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6FF8B" w14:textId="0EE663D9" w:rsidR="001236D9" w:rsidRPr="00953692" w:rsidRDefault="001236D9" w:rsidP="00864BBF">
      <w:pPr>
        <w:pStyle w:val="Sansinterligne"/>
        <w:spacing w:line="276" w:lineRule="auto"/>
        <w:rPr>
          <w:rFonts w:ascii="Times New Roman" w:eastAsiaTheme="minorHAnsi" w:hAnsi="Times New Roman"/>
          <w:sz w:val="24"/>
          <w:szCs w:val="24"/>
          <w:lang w:eastAsia="en-US"/>
        </w:rPr>
      </w:pPr>
      <w:r w:rsidRPr="00953692">
        <w:rPr>
          <w:rFonts w:ascii="Times New Roman" w:eastAsiaTheme="minorHAnsi" w:hAnsi="Times New Roman"/>
          <w:sz w:val="24"/>
          <w:szCs w:val="24"/>
          <w:lang w:val="fr-FR" w:eastAsia="en-US"/>
        </w:rPr>
        <w:t xml:space="preserve"> </w:t>
      </w:r>
    </w:p>
    <w:sdt>
      <w:sdtPr>
        <w:rPr>
          <w:rFonts w:ascii="Times New Roman" w:eastAsiaTheme="minorHAnsi" w:hAnsi="Times New Roman"/>
          <w:sz w:val="24"/>
          <w:szCs w:val="24"/>
          <w:lang w:eastAsia="en-US"/>
        </w:rPr>
        <w:id w:val="-1687978453"/>
        <w:docPartObj>
          <w:docPartGallery w:val="Cover Pages"/>
          <w:docPartUnique/>
        </w:docPartObj>
      </w:sdtPr>
      <w:sdtEndPr>
        <w:rPr>
          <w:rFonts w:cs="Times New Roman"/>
          <w:b/>
          <w:bCs/>
          <w:lang w:val="fr-FR"/>
        </w:rPr>
      </w:sdtEndPr>
      <w:sdtContent>
        <w:p w14:paraId="780A3431" w14:textId="0DE15BF1" w:rsidR="00743189" w:rsidRPr="00953692" w:rsidRDefault="00471529" w:rsidP="00864BBF">
          <w:pPr>
            <w:pStyle w:val="Sansinterligne"/>
            <w:spacing w:line="276" w:lineRule="auto"/>
            <w:rPr>
              <w:sz w:val="24"/>
              <w:szCs w:val="24"/>
            </w:rPr>
          </w:pPr>
          <w:r w:rsidRPr="00953692">
            <w:rPr>
              <w:noProof/>
              <w:sz w:val="24"/>
              <w:szCs w:val="24"/>
              <w:lang w:val="fr-FR" w:eastAsia="fr-FR"/>
            </w:rPr>
            <mc:AlternateContent>
              <mc:Choice Requires="wps">
                <w:drawing>
                  <wp:anchor distT="0" distB="0" distL="114300" distR="114300" simplePos="0" relativeHeight="251661312" behindDoc="0" locked="0" layoutInCell="1" allowOverlap="1" wp14:anchorId="30F2FD7A" wp14:editId="1B079B66">
                    <wp:simplePos x="0" y="0"/>
                    <wp:positionH relativeFrom="page">
                      <wp:posOffset>1013460</wp:posOffset>
                    </wp:positionH>
                    <wp:positionV relativeFrom="margin">
                      <wp:posOffset>4445</wp:posOffset>
                    </wp:positionV>
                    <wp:extent cx="5779770" cy="9356090"/>
                    <wp:effectExtent l="0" t="0" r="0" b="0"/>
                    <wp:wrapNone/>
                    <wp:docPr id="1224562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9356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Hlk144913281" w:displacedByCustomXml="next"/>
                              <w:bookmarkStart w:id="1" w:name="_Hlk144913255" w:displacedByCustomXml="next"/>
                              <w:bookmarkStart w:id="2" w:name="_Hlk144913256" w:displacedByCustomXml="next"/>
                              <w:sdt>
                                <w:sdtPr>
                                  <w:rPr>
                                    <w:rFonts w:ascii="Times New Roman" w:eastAsiaTheme="majorEastAsia" w:hAnsi="Times New Roman" w:cs="Times New Roman"/>
                                    <w:b/>
                                    <w:bCs/>
                                    <w:caps/>
                                    <w:sz w:val="36"/>
                                    <w:szCs w:val="36"/>
                                    <w:lang w:val="fr-FR"/>
                                  </w:rPr>
                                  <w:alias w:val="Название"/>
                                  <w:tag w:val=""/>
                                  <w:id w:val="797192764"/>
                                  <w:showingPlcHdr/>
                                  <w:dataBinding w:prefixMappings="xmlns:ns0='http://purl.org/dc/elements/1.1/' xmlns:ns1='http://schemas.openxmlformats.org/package/2006/metadata/core-properties' " w:xpath="/ns1:coreProperties[1]/ns0:title[1]" w:storeItemID="{6C3C8BC8-F283-45AE-878A-BAB7291924A1}"/>
                                  <w:text/>
                                </w:sdtPr>
                                <w:sdtEndPr/>
                                <w:sdtContent>
                                  <w:p w14:paraId="62F47D95" w14:textId="365C4261" w:rsidR="009E5D3B" w:rsidRPr="006D6964" w:rsidRDefault="00A302AE" w:rsidP="006D6964">
                                    <w:pPr>
                                      <w:pStyle w:val="Sansinterligne"/>
                                      <w:jc w:val="center"/>
                                      <w:rPr>
                                        <w:rFonts w:asciiTheme="majorHAnsi" w:eastAsiaTheme="majorEastAsia" w:hAnsiTheme="majorHAnsi" w:cstheme="majorBidi"/>
                                        <w:caps/>
                                        <w:color w:val="8496B0" w:themeColor="text2" w:themeTint="99"/>
                                        <w:sz w:val="68"/>
                                        <w:szCs w:val="68"/>
                                        <w:lang w:val="fr-FR"/>
                                      </w:rPr>
                                    </w:pPr>
                                    <w:r>
                                      <w:rPr>
                                        <w:rFonts w:ascii="Times New Roman" w:eastAsiaTheme="majorEastAsia" w:hAnsi="Times New Roman" w:cs="Times New Roman"/>
                                        <w:b/>
                                        <w:bCs/>
                                        <w:caps/>
                                        <w:sz w:val="36"/>
                                        <w:szCs w:val="36"/>
                                        <w:lang w:val="fr-FR"/>
                                      </w:rPr>
                                      <w:t xml:space="preserve">     </w:t>
                                    </w:r>
                                  </w:p>
                                </w:sdtContent>
                              </w:sdt>
                              <w:bookmarkEnd w:id="0" w:displacedByCustomXml="prev"/>
                              <w:p w14:paraId="284B8EFD" w14:textId="77777777" w:rsidR="009E5D3B" w:rsidRPr="006D6964" w:rsidRDefault="009E5D3B" w:rsidP="006D6964">
                                <w:pPr>
                                  <w:spacing w:after="0" w:line="276" w:lineRule="auto"/>
                                  <w:jc w:val="center"/>
                                  <w:rPr>
                                    <w:rFonts w:eastAsia="Calibri" w:cs="SimSun"/>
                                    <w:kern w:val="2"/>
                                    <w:sz w:val="24"/>
                                    <w:szCs w:val="24"/>
                                    <w:lang w:val="fr-FR"/>
                                  </w:rPr>
                                </w:pPr>
                              </w:p>
                              <w:p w14:paraId="292DA87F" w14:textId="77777777" w:rsidR="009E5D3B" w:rsidRDefault="009E5D3B" w:rsidP="00743189">
                                <w:pPr>
                                  <w:spacing w:after="0" w:line="276" w:lineRule="auto"/>
                                  <w:jc w:val="center"/>
                                  <w:rPr>
                                    <w:rFonts w:cs="Times New Roman"/>
                                    <w:b/>
                                    <w:bCs/>
                                    <w:sz w:val="40"/>
                                    <w:szCs w:val="40"/>
                                    <w:lang w:val="fr-FR"/>
                                  </w:rPr>
                                </w:pPr>
                              </w:p>
                              <w:p w14:paraId="0DA74BB4" w14:textId="77777777" w:rsidR="009E5D3B" w:rsidRDefault="009E5D3B" w:rsidP="00743189">
                                <w:pPr>
                                  <w:spacing w:after="0" w:line="276" w:lineRule="auto"/>
                                  <w:jc w:val="center"/>
                                  <w:rPr>
                                    <w:rFonts w:cs="Times New Roman"/>
                                    <w:b/>
                                    <w:bCs/>
                                    <w:sz w:val="40"/>
                                    <w:szCs w:val="40"/>
                                    <w:lang w:val="fr-FR"/>
                                  </w:rPr>
                                </w:pPr>
                              </w:p>
                              <w:p w14:paraId="09E16BF5" w14:textId="77777777" w:rsidR="009E5D3B" w:rsidRDefault="009E5D3B" w:rsidP="00743189">
                                <w:pPr>
                                  <w:spacing w:after="0" w:line="276" w:lineRule="auto"/>
                                  <w:jc w:val="center"/>
                                  <w:rPr>
                                    <w:rFonts w:cs="Times New Roman"/>
                                    <w:b/>
                                    <w:bCs/>
                                    <w:sz w:val="40"/>
                                    <w:szCs w:val="40"/>
                                    <w:lang w:val="fr-FR"/>
                                  </w:rPr>
                                </w:pPr>
                              </w:p>
                              <w:p w14:paraId="3C4C9CE7" w14:textId="05F9011F" w:rsidR="009E5D3B" w:rsidRDefault="009E5D3B" w:rsidP="00743189">
                                <w:pPr>
                                  <w:spacing w:after="0" w:line="276" w:lineRule="auto"/>
                                  <w:rPr>
                                    <w:rFonts w:cs="Times New Roman"/>
                                    <w:b/>
                                    <w:bCs/>
                                    <w:sz w:val="40"/>
                                    <w:szCs w:val="40"/>
                                    <w:lang w:val="fr-FR"/>
                                  </w:rPr>
                                </w:pPr>
                              </w:p>
                              <w:p w14:paraId="476DEDC2" w14:textId="77777777" w:rsidR="009E5D3B" w:rsidRDefault="009E5D3B" w:rsidP="00743189">
                                <w:pPr>
                                  <w:spacing w:after="0" w:line="276" w:lineRule="auto"/>
                                  <w:rPr>
                                    <w:rFonts w:cs="Times New Roman"/>
                                    <w:b/>
                                    <w:bCs/>
                                    <w:sz w:val="40"/>
                                    <w:szCs w:val="40"/>
                                    <w:lang w:val="fr-FR"/>
                                  </w:rPr>
                                </w:pPr>
                              </w:p>
                              <w:p w14:paraId="3EA1128F" w14:textId="307E1CB0" w:rsidR="009E5D3B" w:rsidRDefault="009E5D3B" w:rsidP="00223775">
                                <w:pPr>
                                  <w:spacing w:after="0" w:line="276" w:lineRule="auto"/>
                                  <w:jc w:val="center"/>
                                  <w:rPr>
                                    <w:rFonts w:cs="Times New Roman"/>
                                    <w:b/>
                                    <w:bCs/>
                                    <w:sz w:val="40"/>
                                    <w:szCs w:val="40"/>
                                    <w:lang w:val="fr-FR"/>
                                  </w:rPr>
                                </w:pPr>
                                <w:r>
                                  <w:rPr>
                                    <w:rFonts w:cs="Times New Roman"/>
                                    <w:b/>
                                    <w:bCs/>
                                    <w:sz w:val="40"/>
                                    <w:szCs w:val="40"/>
                                    <w:lang w:val="fr-FR"/>
                                  </w:rPr>
                                  <w:t>L</w:t>
                                </w:r>
                                <w:r w:rsidR="00645DD1">
                                  <w:rPr>
                                    <w:rFonts w:cs="Times New Roman"/>
                                    <w:b/>
                                    <w:bCs/>
                                    <w:sz w:val="40"/>
                                    <w:szCs w:val="40"/>
                                    <w:lang w:val="fr-FR"/>
                                  </w:rPr>
                                  <w:t xml:space="preserve">e </w:t>
                                </w:r>
                                <w:r w:rsidRPr="00C6456C">
                                  <w:rPr>
                                    <w:rFonts w:cs="Times New Roman"/>
                                    <w:b/>
                                    <w:bCs/>
                                    <w:sz w:val="40"/>
                                    <w:szCs w:val="40"/>
                                    <w:lang w:val="fr-FR"/>
                                  </w:rPr>
                                  <w:t xml:space="preserve">raisonnable </w:t>
                                </w:r>
                                <w:r>
                                  <w:rPr>
                                    <w:rFonts w:cs="Times New Roman"/>
                                    <w:b/>
                                    <w:bCs/>
                                    <w:sz w:val="40"/>
                                    <w:szCs w:val="40"/>
                                    <w:lang w:val="fr-FR"/>
                                  </w:rPr>
                                  <w:t>à travers</w:t>
                                </w:r>
                                <w:r w:rsidRPr="00C6456C">
                                  <w:rPr>
                                    <w:rFonts w:cs="Times New Roman"/>
                                    <w:b/>
                                    <w:bCs/>
                                    <w:sz w:val="40"/>
                                    <w:szCs w:val="40"/>
                                    <w:lang w:val="fr-FR"/>
                                  </w:rPr>
                                  <w:t xml:space="preserve"> la pluralité des droits de l’accusé</w:t>
                                </w:r>
                                <w:r>
                                  <w:rPr>
                                    <w:rFonts w:cs="Times New Roman"/>
                                    <w:b/>
                                    <w:bCs/>
                                    <w:sz w:val="40"/>
                                    <w:szCs w:val="40"/>
                                    <w:lang w:val="fr-FR"/>
                                  </w:rPr>
                                  <w:t xml:space="preserve"> en droit international pénal</w:t>
                                </w:r>
                                <w:r w:rsidRPr="00C6456C">
                                  <w:rPr>
                                    <w:rFonts w:cs="Times New Roman"/>
                                    <w:b/>
                                    <w:bCs/>
                                    <w:sz w:val="40"/>
                                    <w:szCs w:val="40"/>
                                    <w:lang w:val="fr-FR"/>
                                  </w:rPr>
                                  <w:t xml:space="preserve"> </w:t>
                                </w:r>
                              </w:p>
                              <w:p w14:paraId="1D4BF6B8" w14:textId="2BABE5C5" w:rsidR="009E5D3B" w:rsidRPr="006D6964" w:rsidRDefault="009E5D3B" w:rsidP="006D6964">
                                <w:pPr>
                                  <w:spacing w:after="0" w:line="276" w:lineRule="auto"/>
                                  <w:jc w:val="center"/>
                                  <w:rPr>
                                    <w:rFonts w:cs="Times New Roman"/>
                                    <w:b/>
                                    <w:bCs/>
                                    <w:color w:val="C00000"/>
                                    <w:sz w:val="40"/>
                                    <w:szCs w:val="40"/>
                                    <w:lang w:val="fr-FR"/>
                                  </w:rPr>
                                </w:pPr>
                                <w:r>
                                  <w:rPr>
                                    <w:rFonts w:cs="Times New Roman"/>
                                    <w:i/>
                                    <w:iCs/>
                                    <w:szCs w:val="28"/>
                                    <w:u w:color="C00000"/>
                                    <w:lang w:val="fr-FR"/>
                                  </w:rPr>
                                  <w:t>Entre</w:t>
                                </w:r>
                                <w:r w:rsidRPr="00512C8D">
                                  <w:rPr>
                                    <w:rFonts w:cs="Times New Roman"/>
                                    <w:i/>
                                    <w:iCs/>
                                    <w:szCs w:val="28"/>
                                    <w:u w:color="C00000"/>
                                    <w:lang w:val="fr-FR"/>
                                  </w:rPr>
                                  <w:t xml:space="preserve"> complémentarité et conflictualité</w:t>
                                </w:r>
                              </w:p>
                              <w:p w14:paraId="11253C24" w14:textId="77777777" w:rsidR="009E5D3B" w:rsidRPr="00AB36A2" w:rsidRDefault="009E5D3B" w:rsidP="00743189">
                                <w:pPr>
                                  <w:spacing w:after="0" w:line="360" w:lineRule="auto"/>
                                  <w:rPr>
                                    <w:rFonts w:cs="Times New Roman"/>
                                    <w:b/>
                                    <w:bCs/>
                                    <w:sz w:val="32"/>
                                    <w:szCs w:val="32"/>
                                    <w:lang w:val="fr-FR"/>
                                  </w:rPr>
                                </w:pPr>
                              </w:p>
                              <w:p w14:paraId="45EDAB94" w14:textId="28CA47A1" w:rsidR="009E5D3B" w:rsidRDefault="009E5D3B" w:rsidP="00743189">
                                <w:pPr>
                                  <w:spacing w:after="0" w:line="360" w:lineRule="auto"/>
                                  <w:jc w:val="center"/>
                                  <w:rPr>
                                    <w:rFonts w:cs="Times New Roman"/>
                                    <w:b/>
                                    <w:bCs/>
                                    <w:color w:val="C00000"/>
                                    <w:sz w:val="32"/>
                                    <w:szCs w:val="32"/>
                                    <w:lang w:val="fr-FR"/>
                                  </w:rPr>
                                </w:pPr>
                                <w:r>
                                  <w:rPr>
                                    <w:rFonts w:cs="Times New Roman"/>
                                    <w:b/>
                                    <w:bCs/>
                                    <w:color w:val="C00000"/>
                                    <w:sz w:val="32"/>
                                    <w:szCs w:val="32"/>
                                    <w:lang w:val="fr-FR"/>
                                  </w:rPr>
                                  <w:t xml:space="preserve">TEXTE A SOUMETTRE </w:t>
                                </w:r>
                              </w:p>
                              <w:p w14:paraId="08DB489B" w14:textId="77777777" w:rsidR="009E5D3B" w:rsidRDefault="009E5D3B" w:rsidP="00743189">
                                <w:pPr>
                                  <w:spacing w:after="0" w:line="360" w:lineRule="auto"/>
                                  <w:jc w:val="center"/>
                                  <w:rPr>
                                    <w:rFonts w:cs="Times New Roman"/>
                                    <w:b/>
                                    <w:bCs/>
                                    <w:color w:val="C00000"/>
                                    <w:sz w:val="32"/>
                                    <w:szCs w:val="32"/>
                                    <w:lang w:val="fr-FR"/>
                                  </w:rPr>
                                </w:pPr>
                              </w:p>
                              <w:p w14:paraId="5CAE1235" w14:textId="77777777" w:rsidR="009E5D3B" w:rsidRDefault="009E5D3B" w:rsidP="00743189">
                                <w:pPr>
                                  <w:spacing w:after="0" w:line="360" w:lineRule="auto"/>
                                  <w:jc w:val="center"/>
                                  <w:rPr>
                                    <w:rFonts w:cs="Times New Roman"/>
                                    <w:b/>
                                    <w:bCs/>
                                    <w:color w:val="C00000"/>
                                    <w:sz w:val="32"/>
                                    <w:szCs w:val="32"/>
                                    <w:lang w:val="fr-FR"/>
                                  </w:rPr>
                                </w:pPr>
                              </w:p>
                              <w:p w14:paraId="401D6FB7" w14:textId="77777777" w:rsidR="009E5D3B" w:rsidRDefault="009E5D3B" w:rsidP="00743189">
                                <w:pPr>
                                  <w:spacing w:after="0" w:line="360" w:lineRule="auto"/>
                                  <w:jc w:val="center"/>
                                  <w:rPr>
                                    <w:rFonts w:cs="Times New Roman"/>
                                    <w:b/>
                                    <w:bCs/>
                                    <w:color w:val="C00000"/>
                                    <w:sz w:val="32"/>
                                    <w:szCs w:val="32"/>
                                    <w:lang w:val="fr-FR"/>
                                  </w:rPr>
                                </w:pPr>
                              </w:p>
                              <w:p w14:paraId="562DB076" w14:textId="77777777" w:rsidR="009E5D3B" w:rsidRDefault="009E5D3B" w:rsidP="00743189">
                                <w:pPr>
                                  <w:spacing w:after="0" w:line="360" w:lineRule="auto"/>
                                  <w:jc w:val="center"/>
                                  <w:rPr>
                                    <w:rFonts w:cs="Times New Roman"/>
                                    <w:b/>
                                    <w:bCs/>
                                    <w:color w:val="C00000"/>
                                    <w:sz w:val="32"/>
                                    <w:szCs w:val="32"/>
                                    <w:lang w:val="fr-FR"/>
                                  </w:rPr>
                                </w:pPr>
                              </w:p>
                              <w:bookmarkEnd w:id="2"/>
                              <w:bookmarkEnd w:id="1"/>
                              <w:p w14:paraId="04D5091A" w14:textId="200E0D5B" w:rsidR="009E5D3B" w:rsidRPr="00743189" w:rsidRDefault="009E5D3B" w:rsidP="00743189">
                                <w:pPr>
                                  <w:spacing w:after="0" w:line="360" w:lineRule="auto"/>
                                  <w:jc w:val="center"/>
                                  <w:rPr>
                                    <w:rFonts w:cs="Times New Roman"/>
                                    <w:b/>
                                    <w:bCs/>
                                    <w:color w:val="C00000"/>
                                    <w:sz w:val="32"/>
                                    <w:szCs w:val="32"/>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F2FD7A" id="_x0000_t202" coordsize="21600,21600" o:spt="202" path="m,l,21600r21600,l21600,xe">
                    <v:stroke joinstyle="miter"/>
                    <v:path gradientshapeok="t" o:connecttype="rect"/>
                  </v:shapetype>
                  <v:shape id="Text Box 3" o:spid="_x0000_s1026" type="#_x0000_t202" style="position:absolute;margin-left:79.8pt;margin-top:.35pt;width:455.1pt;height:736.7pt;z-index:251661312;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" filled="f" stroked="f" strokeweight=".5pt">
                    <v:textbox>
                      <w:txbxContent>
                        <w:bookmarkStart w:id="3" w:name="_Hlk144913281" w:displacedByCustomXml="next"/>
                        <w:bookmarkStart w:id="4" w:name="_Hlk144913256" w:displacedByCustomXml="next"/>
                        <w:bookmarkStart w:id="5" w:name="_Hlk144913255" w:displacedByCustomXml="next"/>
                        <w:sdt>
                          <w:sdtPr>
                            <w:rPr>
                              <w:rFonts w:ascii="Times New Roman" w:eastAsiaTheme="majorEastAsia" w:hAnsi="Times New Roman" w:cs="Times New Roman"/>
                              <w:b/>
                              <w:bCs/>
                              <w:caps/>
                              <w:sz w:val="36"/>
                              <w:szCs w:val="36"/>
                              <w:lang w:val="fr-FR"/>
                            </w:rPr>
                            <w:alias w:val="Название"/>
                            <w:tag w:val=""/>
                            <w:id w:val="797192764"/>
                            <w:showingPlcHdr/>
                            <w:dataBinding w:prefixMappings="xmlns:ns0='http://purl.org/dc/elements/1.1/' xmlns:ns1='http://schemas.openxmlformats.org/package/2006/metadata/core-properties' " w:xpath="/ns1:coreProperties[1]/ns0:title[1]" w:storeItemID="{6C3C8BC8-F283-45AE-878A-BAB7291924A1}"/>
                            <w:text/>
                          </w:sdtPr>
                          <w:sdtContent>
                            <w:p w14:paraId="62F47D95" w14:textId="365C4261" w:rsidR="009E5D3B" w:rsidRPr="006D6964" w:rsidRDefault="00A302AE" w:rsidP="006D6964">
                              <w:pPr>
                                <w:pStyle w:val="NoSpacing"/>
                                <w:jc w:val="center"/>
                                <w:rPr>
                                  <w:rFonts w:asciiTheme="majorHAnsi" w:eastAsiaTheme="majorEastAsia" w:hAnsiTheme="majorHAnsi" w:cstheme="majorBidi"/>
                                  <w:caps/>
                                  <w:color w:val="8496B0" w:themeColor="text2" w:themeTint="99"/>
                                  <w:sz w:val="68"/>
                                  <w:szCs w:val="68"/>
                                  <w:lang w:val="fr-FR"/>
                                </w:rPr>
                              </w:pPr>
                              <w:r>
                                <w:rPr>
                                  <w:rFonts w:ascii="Times New Roman" w:eastAsiaTheme="majorEastAsia" w:hAnsi="Times New Roman" w:cs="Times New Roman"/>
                                  <w:b/>
                                  <w:bCs/>
                                  <w:caps/>
                                  <w:sz w:val="36"/>
                                  <w:szCs w:val="36"/>
                                  <w:lang w:val="fr-FR"/>
                                </w:rPr>
                                <w:t xml:space="preserve">     </w:t>
                              </w:r>
                            </w:p>
                          </w:sdtContent>
                        </w:sdt>
                        <w:bookmarkEnd w:id="3" w:displacedByCustomXml="prev"/>
                        <w:p w14:paraId="284B8EFD" w14:textId="77777777" w:rsidR="009E5D3B" w:rsidRPr="006D6964" w:rsidRDefault="009E5D3B" w:rsidP="006D6964">
                          <w:pPr>
                            <w:spacing w:after="0" w:line="276" w:lineRule="auto"/>
                            <w:jc w:val="center"/>
                            <w:rPr>
                              <w:rFonts w:eastAsia="Calibri" w:cs="SimSun"/>
                              <w:kern w:val="2"/>
                              <w:sz w:val="24"/>
                              <w:szCs w:val="24"/>
                              <w:lang w:val="fr-FR"/>
                            </w:rPr>
                          </w:pPr>
                        </w:p>
                        <w:p w14:paraId="292DA87F" w14:textId="77777777" w:rsidR="009E5D3B" w:rsidRDefault="009E5D3B" w:rsidP="00743189">
                          <w:pPr>
                            <w:spacing w:after="0" w:line="276" w:lineRule="auto"/>
                            <w:jc w:val="center"/>
                            <w:rPr>
                              <w:rFonts w:cs="Times New Roman"/>
                              <w:b/>
                              <w:bCs/>
                              <w:sz w:val="40"/>
                              <w:szCs w:val="40"/>
                              <w:lang w:val="fr-FR"/>
                            </w:rPr>
                          </w:pPr>
                        </w:p>
                        <w:p w14:paraId="0DA74BB4" w14:textId="77777777" w:rsidR="009E5D3B" w:rsidRDefault="009E5D3B" w:rsidP="00743189">
                          <w:pPr>
                            <w:spacing w:after="0" w:line="276" w:lineRule="auto"/>
                            <w:jc w:val="center"/>
                            <w:rPr>
                              <w:rFonts w:cs="Times New Roman"/>
                              <w:b/>
                              <w:bCs/>
                              <w:sz w:val="40"/>
                              <w:szCs w:val="40"/>
                              <w:lang w:val="fr-FR"/>
                            </w:rPr>
                          </w:pPr>
                        </w:p>
                        <w:p w14:paraId="09E16BF5" w14:textId="77777777" w:rsidR="009E5D3B" w:rsidRDefault="009E5D3B" w:rsidP="00743189">
                          <w:pPr>
                            <w:spacing w:after="0" w:line="276" w:lineRule="auto"/>
                            <w:jc w:val="center"/>
                            <w:rPr>
                              <w:rFonts w:cs="Times New Roman"/>
                              <w:b/>
                              <w:bCs/>
                              <w:sz w:val="40"/>
                              <w:szCs w:val="40"/>
                              <w:lang w:val="fr-FR"/>
                            </w:rPr>
                          </w:pPr>
                        </w:p>
                        <w:p w14:paraId="3C4C9CE7" w14:textId="05F9011F" w:rsidR="009E5D3B" w:rsidRDefault="009E5D3B" w:rsidP="00743189">
                          <w:pPr>
                            <w:spacing w:after="0" w:line="276" w:lineRule="auto"/>
                            <w:rPr>
                              <w:rFonts w:cs="Times New Roman"/>
                              <w:b/>
                              <w:bCs/>
                              <w:sz w:val="40"/>
                              <w:szCs w:val="40"/>
                              <w:lang w:val="fr-FR"/>
                            </w:rPr>
                          </w:pPr>
                        </w:p>
                        <w:p w14:paraId="476DEDC2" w14:textId="77777777" w:rsidR="009E5D3B" w:rsidRDefault="009E5D3B" w:rsidP="00743189">
                          <w:pPr>
                            <w:spacing w:after="0" w:line="276" w:lineRule="auto"/>
                            <w:rPr>
                              <w:rFonts w:cs="Times New Roman"/>
                              <w:b/>
                              <w:bCs/>
                              <w:sz w:val="40"/>
                              <w:szCs w:val="40"/>
                              <w:lang w:val="fr-FR"/>
                            </w:rPr>
                          </w:pPr>
                        </w:p>
                        <w:p w14:paraId="3EA1128F" w14:textId="307E1CB0" w:rsidR="009E5D3B" w:rsidRDefault="009E5D3B" w:rsidP="00223775">
                          <w:pPr>
                            <w:spacing w:after="0" w:line="276" w:lineRule="auto"/>
                            <w:jc w:val="center"/>
                            <w:rPr>
                              <w:rFonts w:cs="Times New Roman"/>
                              <w:b/>
                              <w:bCs/>
                              <w:sz w:val="40"/>
                              <w:szCs w:val="40"/>
                              <w:lang w:val="fr-FR"/>
                            </w:rPr>
                          </w:pPr>
                          <w:r>
                            <w:rPr>
                              <w:rFonts w:cs="Times New Roman"/>
                              <w:b/>
                              <w:bCs/>
                              <w:sz w:val="40"/>
                              <w:szCs w:val="40"/>
                              <w:lang w:val="fr-FR"/>
                            </w:rPr>
                            <w:t>L</w:t>
                          </w:r>
                          <w:r w:rsidR="00645DD1">
                            <w:rPr>
                              <w:rFonts w:cs="Times New Roman"/>
                              <w:b/>
                              <w:bCs/>
                              <w:sz w:val="40"/>
                              <w:szCs w:val="40"/>
                              <w:lang w:val="fr-FR"/>
                            </w:rPr>
                            <w:t xml:space="preserve">e </w:t>
                          </w:r>
                          <w:r w:rsidRPr="00C6456C">
                            <w:rPr>
                              <w:rFonts w:cs="Times New Roman"/>
                              <w:b/>
                              <w:bCs/>
                              <w:sz w:val="40"/>
                              <w:szCs w:val="40"/>
                              <w:lang w:val="fr-FR"/>
                            </w:rPr>
                            <w:t xml:space="preserve">raisonnable </w:t>
                          </w:r>
                          <w:r>
                            <w:rPr>
                              <w:rFonts w:cs="Times New Roman"/>
                              <w:b/>
                              <w:bCs/>
                              <w:sz w:val="40"/>
                              <w:szCs w:val="40"/>
                              <w:lang w:val="fr-FR"/>
                            </w:rPr>
                            <w:t>à travers</w:t>
                          </w:r>
                          <w:r w:rsidRPr="00C6456C">
                            <w:rPr>
                              <w:rFonts w:cs="Times New Roman"/>
                              <w:b/>
                              <w:bCs/>
                              <w:sz w:val="40"/>
                              <w:szCs w:val="40"/>
                              <w:lang w:val="fr-FR"/>
                            </w:rPr>
                            <w:t xml:space="preserve"> la pluralité des droits de l’accusé</w:t>
                          </w:r>
                          <w:r>
                            <w:rPr>
                              <w:rFonts w:cs="Times New Roman"/>
                              <w:b/>
                              <w:bCs/>
                              <w:sz w:val="40"/>
                              <w:szCs w:val="40"/>
                              <w:lang w:val="fr-FR"/>
                            </w:rPr>
                            <w:t xml:space="preserve"> en droit international pénal</w:t>
                          </w:r>
                          <w:r w:rsidRPr="00C6456C">
                            <w:rPr>
                              <w:rFonts w:cs="Times New Roman"/>
                              <w:b/>
                              <w:bCs/>
                              <w:sz w:val="40"/>
                              <w:szCs w:val="40"/>
                              <w:lang w:val="fr-FR"/>
                            </w:rPr>
                            <w:t xml:space="preserve"> </w:t>
                          </w:r>
                        </w:p>
                        <w:p w14:paraId="1D4BF6B8" w14:textId="2BABE5C5" w:rsidR="009E5D3B" w:rsidRPr="006D6964" w:rsidRDefault="009E5D3B" w:rsidP="006D6964">
                          <w:pPr>
                            <w:spacing w:after="0" w:line="276" w:lineRule="auto"/>
                            <w:jc w:val="center"/>
                            <w:rPr>
                              <w:rFonts w:cs="Times New Roman"/>
                              <w:b/>
                              <w:bCs/>
                              <w:color w:val="C00000"/>
                              <w:sz w:val="40"/>
                              <w:szCs w:val="40"/>
                              <w:lang w:val="fr-FR"/>
                            </w:rPr>
                          </w:pPr>
                          <w:r>
                            <w:rPr>
                              <w:rFonts w:cs="Times New Roman"/>
                              <w:i/>
                              <w:iCs/>
                              <w:szCs w:val="28"/>
                              <w:u w:color="C00000"/>
                              <w:lang w:val="fr-FR"/>
                            </w:rPr>
                            <w:t>Entre</w:t>
                          </w:r>
                          <w:r w:rsidRPr="00512C8D">
                            <w:rPr>
                              <w:rFonts w:cs="Times New Roman"/>
                              <w:i/>
                              <w:iCs/>
                              <w:szCs w:val="28"/>
                              <w:u w:color="C00000"/>
                              <w:lang w:val="fr-FR"/>
                            </w:rPr>
                            <w:t xml:space="preserve"> complémentarité et conflictualité</w:t>
                          </w:r>
                        </w:p>
                        <w:p w14:paraId="11253C24" w14:textId="77777777" w:rsidR="009E5D3B" w:rsidRPr="00AB36A2" w:rsidRDefault="009E5D3B" w:rsidP="00743189">
                          <w:pPr>
                            <w:spacing w:after="0" w:line="360" w:lineRule="auto"/>
                            <w:rPr>
                              <w:rFonts w:cs="Times New Roman"/>
                              <w:b/>
                              <w:bCs/>
                              <w:sz w:val="32"/>
                              <w:szCs w:val="32"/>
                              <w:lang w:val="fr-FR"/>
                            </w:rPr>
                          </w:pPr>
                        </w:p>
                        <w:p w14:paraId="45EDAB94" w14:textId="28CA47A1" w:rsidR="009E5D3B" w:rsidRDefault="009E5D3B" w:rsidP="00743189">
                          <w:pPr>
                            <w:spacing w:after="0" w:line="360" w:lineRule="auto"/>
                            <w:jc w:val="center"/>
                            <w:rPr>
                              <w:rFonts w:cs="Times New Roman"/>
                              <w:b/>
                              <w:bCs/>
                              <w:color w:val="C00000"/>
                              <w:sz w:val="32"/>
                              <w:szCs w:val="32"/>
                              <w:lang w:val="fr-FR"/>
                            </w:rPr>
                          </w:pPr>
                          <w:r>
                            <w:rPr>
                              <w:rFonts w:cs="Times New Roman"/>
                              <w:b/>
                              <w:bCs/>
                              <w:color w:val="C00000"/>
                              <w:sz w:val="32"/>
                              <w:szCs w:val="32"/>
                              <w:lang w:val="fr-FR"/>
                            </w:rPr>
                            <w:t xml:space="preserve">TEXTE A SOUMETTRE </w:t>
                          </w:r>
                        </w:p>
                        <w:p w14:paraId="08DB489B" w14:textId="77777777" w:rsidR="009E5D3B" w:rsidRDefault="009E5D3B" w:rsidP="00743189">
                          <w:pPr>
                            <w:spacing w:after="0" w:line="360" w:lineRule="auto"/>
                            <w:jc w:val="center"/>
                            <w:rPr>
                              <w:rFonts w:cs="Times New Roman"/>
                              <w:b/>
                              <w:bCs/>
                              <w:color w:val="C00000"/>
                              <w:sz w:val="32"/>
                              <w:szCs w:val="32"/>
                              <w:lang w:val="fr-FR"/>
                            </w:rPr>
                          </w:pPr>
                        </w:p>
                        <w:p w14:paraId="5CAE1235" w14:textId="77777777" w:rsidR="009E5D3B" w:rsidRDefault="009E5D3B" w:rsidP="00743189">
                          <w:pPr>
                            <w:spacing w:after="0" w:line="360" w:lineRule="auto"/>
                            <w:jc w:val="center"/>
                            <w:rPr>
                              <w:rFonts w:cs="Times New Roman"/>
                              <w:b/>
                              <w:bCs/>
                              <w:color w:val="C00000"/>
                              <w:sz w:val="32"/>
                              <w:szCs w:val="32"/>
                              <w:lang w:val="fr-FR"/>
                            </w:rPr>
                          </w:pPr>
                        </w:p>
                        <w:p w14:paraId="401D6FB7" w14:textId="77777777" w:rsidR="009E5D3B" w:rsidRDefault="009E5D3B" w:rsidP="00743189">
                          <w:pPr>
                            <w:spacing w:after="0" w:line="360" w:lineRule="auto"/>
                            <w:jc w:val="center"/>
                            <w:rPr>
                              <w:rFonts w:cs="Times New Roman"/>
                              <w:b/>
                              <w:bCs/>
                              <w:color w:val="C00000"/>
                              <w:sz w:val="32"/>
                              <w:szCs w:val="32"/>
                              <w:lang w:val="fr-FR"/>
                            </w:rPr>
                          </w:pPr>
                        </w:p>
                        <w:p w14:paraId="562DB076" w14:textId="77777777" w:rsidR="009E5D3B" w:rsidRDefault="009E5D3B" w:rsidP="00743189">
                          <w:pPr>
                            <w:spacing w:after="0" w:line="360" w:lineRule="auto"/>
                            <w:jc w:val="center"/>
                            <w:rPr>
                              <w:rFonts w:cs="Times New Roman"/>
                              <w:b/>
                              <w:bCs/>
                              <w:color w:val="C00000"/>
                              <w:sz w:val="32"/>
                              <w:szCs w:val="32"/>
                              <w:lang w:val="fr-FR"/>
                            </w:rPr>
                          </w:pPr>
                        </w:p>
                        <w:bookmarkEnd w:id="5"/>
                        <w:bookmarkEnd w:id="4"/>
                        <w:p w14:paraId="04D5091A" w14:textId="200E0D5B" w:rsidR="009E5D3B" w:rsidRPr="00743189" w:rsidRDefault="009E5D3B" w:rsidP="00743189">
                          <w:pPr>
                            <w:spacing w:after="0" w:line="360" w:lineRule="auto"/>
                            <w:jc w:val="center"/>
                            <w:rPr>
                              <w:rFonts w:cs="Times New Roman"/>
                              <w:b/>
                              <w:bCs/>
                              <w:color w:val="C00000"/>
                              <w:sz w:val="32"/>
                              <w:szCs w:val="32"/>
                              <w:lang w:val="fr-FR"/>
                            </w:rPr>
                          </w:pPr>
                        </w:p>
                      </w:txbxContent>
                    </v:textbox>
                    <w10:wrap anchorx="page" anchory="margin"/>
                  </v:shape>
                </w:pict>
              </mc:Fallback>
            </mc:AlternateContent>
          </w:r>
        </w:p>
        <w:p w14:paraId="3A8135C9" w14:textId="6B726B6E" w:rsidR="00743189" w:rsidRPr="00953692" w:rsidRDefault="00471529" w:rsidP="00864BBF">
          <w:pPr>
            <w:spacing w:line="276" w:lineRule="auto"/>
            <w:rPr>
              <w:sz w:val="24"/>
              <w:szCs w:val="24"/>
            </w:rPr>
          </w:pPr>
          <w:r w:rsidRPr="00953692">
            <w:rPr>
              <w:noProof/>
              <w:sz w:val="24"/>
              <w:szCs w:val="24"/>
              <w:lang w:val="fr-FR" w:eastAsia="fr-FR"/>
            </w:rPr>
            <mc:AlternateContent>
              <mc:Choice Requires="wpg">
                <w:drawing>
                  <wp:anchor distT="0" distB="0" distL="114300" distR="114300" simplePos="0" relativeHeight="251660288" behindDoc="1" locked="0" layoutInCell="1" allowOverlap="1" wp14:anchorId="7C768D1F" wp14:editId="43D20764">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337810" cy="6051550"/>
                    <wp:effectExtent l="0" t="0" r="0" b="0"/>
                    <wp:wrapNone/>
                    <wp:docPr id="1145429567"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337810" cy="6051550"/>
                              <a:chOff x="0" y="0"/>
                              <a:chExt cx="4329113" cy="4491038"/>
                            </a:xfrm>
                            <a:solidFill>
                              <a:schemeClr val="tx2">
                                <a:lumMod val="60000"/>
                                <a:lumOff val="40000"/>
                              </a:schemeClr>
                            </a:solidFill>
                          </wpg:grpSpPr>
                          <wps:wsp>
                            <wps:cNvPr id="64" name="Полилиния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wps:spPr>
                            <wps:bodyPr vert="horz" wrap="square" lIns="91440" tIns="45720" rIns="91440" bIns="45720" numCol="1" anchor="t" anchorCtr="0" compatLnSpc="1">
                              <a:prstTxWarp prst="textNoShape">
                                <a:avLst/>
                              </a:prstTxWarp>
                            </wps:bodyPr>
                          </wps:wsp>
                          <wps:wsp>
                            <wps:cNvPr id="65" name="Полилиния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wps:spPr>
                            <wps:bodyPr vert="horz" wrap="square" lIns="91440" tIns="45720" rIns="91440" bIns="45720" numCol="1" anchor="t" anchorCtr="0" compatLnSpc="1">
                              <a:prstTxWarp prst="textNoShape">
                                <a:avLst/>
                              </a:prstTxWarp>
                            </wps:bodyPr>
                          </wps:wsp>
                          <wps:wsp>
                            <wps:cNvPr id="66" name="Полилиния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wps:spPr>
                            <wps:bodyPr vert="horz" wrap="square" lIns="91440" tIns="45720" rIns="91440" bIns="45720" numCol="1" anchor="t" anchorCtr="0" compatLnSpc="1">
                              <a:prstTxWarp prst="textNoShape">
                                <a:avLst/>
                              </a:prstTxWarp>
                            </wps:bodyPr>
                          </wps:wsp>
                          <wps:wsp>
                            <wps:cNvPr id="67" name="Полилиния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wps:spPr>
                            <wps:bodyPr vert="horz" wrap="square" lIns="91440" tIns="45720" rIns="91440" bIns="45720" numCol="1" anchor="t" anchorCtr="0" compatLnSpc="1">
                              <a:prstTxWarp prst="textNoShape">
                                <a:avLst/>
                              </a:prstTxWarp>
                            </wps:bodyPr>
                          </wps:wsp>
                          <wps:wsp>
                            <wps:cNvPr id="68" name="Полилиния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319C47" id="Group 2" o:spid="_x0000_s1026" style="position:absolute;margin-left:0;margin-top:0;width:420.3pt;height:476.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">
                    <o:lock v:ext="edit" aspectratio="t"/>
                    <v:shape id="Полилиния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Полилиния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Полилиния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Полилиния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Полилиния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Pr="00953692">
            <w:rPr>
              <w:noProof/>
              <w:sz w:val="24"/>
              <w:szCs w:val="24"/>
              <w:lang w:val="fr-FR" w:eastAsia="fr-FR"/>
            </w:rPr>
            <mc:AlternateContent>
              <mc:Choice Requires="wps">
                <w:drawing>
                  <wp:anchor distT="0" distB="0" distL="114300" distR="114300" simplePos="0" relativeHeight="251659264" behindDoc="0" locked="0" layoutInCell="1" allowOverlap="1" wp14:anchorId="2B192788" wp14:editId="1DB29623">
                    <wp:simplePos x="0" y="0"/>
                    <wp:positionH relativeFrom="page">
                      <wp:align>center</wp:align>
                    </wp:positionH>
                    <wp:positionV relativeFrom="margin">
                      <wp:align>bottom</wp:align>
                    </wp:positionV>
                    <wp:extent cx="5783580" cy="558165"/>
                    <wp:effectExtent l="0" t="0" r="0" b="0"/>
                    <wp:wrapNone/>
                    <wp:docPr id="7670531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558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8AEE94" w14:textId="21DE1166" w:rsidR="009E5D3B" w:rsidRDefault="00922FFA">
                                <w:pPr>
                                  <w:pStyle w:val="Sansinterligne"/>
                                  <w:jc w:val="right"/>
                                  <w:rPr>
                                    <w:color w:val="4472C4" w:themeColor="accent1"/>
                                    <w:sz w:val="36"/>
                                    <w:szCs w:val="36"/>
                                  </w:rPr>
                                </w:pPr>
                                <w:sdt>
                                  <w:sdtPr>
                                    <w:rPr>
                                      <w:color w:val="4472C4" w:themeColor="accent1"/>
                                      <w:sz w:val="36"/>
                                      <w:szCs w:val="36"/>
                                    </w:rPr>
                                    <w:alias w:val="Учебное заведение"/>
                                    <w:tag w:val="Учебное заведение"/>
                                    <w:id w:val="1850680582"/>
                                    <w:showingPlcHdr/>
                                    <w:dataBinding w:prefixMappings="xmlns:ns0='http://schemas.openxmlformats.org/officeDocument/2006/extended-properties' " w:xpath="/ns0:Properties[1]/ns0:Company[1]" w:storeItemID="{6668398D-A668-4E3E-A5EB-62B293D839F1}"/>
                                    <w:text/>
                                  </w:sdtPr>
                                  <w:sdtEndPr/>
                                  <w:sdtContent>
                                    <w:r w:rsidR="009E5D3B">
                                      <w:rPr>
                                        <w:color w:val="4472C4" w:themeColor="accent1"/>
                                        <w:sz w:val="36"/>
                                        <w:szCs w:val="36"/>
                                      </w:rPr>
                                      <w:t xml:space="preserve">     </w:t>
                                    </w:r>
                                  </w:sdtContent>
                                </w:sdt>
                              </w:p>
                              <w:sdt>
                                <w:sdtPr>
                                  <w:rPr>
                                    <w:color w:val="4472C4" w:themeColor="accent1"/>
                                    <w:sz w:val="36"/>
                                    <w:szCs w:val="36"/>
                                  </w:rPr>
                                  <w:alias w:val="Курс"/>
                                  <w:tag w:val="Курс"/>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14:paraId="39EF7703" w14:textId="232B9AA0" w:rsidR="009E5D3B" w:rsidRDefault="009E5D3B">
                                    <w:pPr>
                                      <w:pStyle w:val="Sansinterligne"/>
                                      <w:jc w:val="right"/>
                                      <w:rPr>
                                        <w:color w:val="4472C4" w:themeColor="accent1"/>
                                        <w:sz w:val="36"/>
                                        <w:szCs w:val="36"/>
                                      </w:rPr>
                                    </w:pPr>
                                    <w:r>
                                      <w:rPr>
                                        <w:color w:val="4472C4"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192788" id="Text Box 1" o:spid="_x0000_s1027" type="#_x0000_t202" style="position:absolute;margin-left:0;margin-top:0;width:455.4pt;height:43.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" filled="f" stroked="f" strokeweight=".5pt">
                    <v:path arrowok="t"/>
                    <v:textbox style="mso-fit-shape-to-text:t" inset="0,0,0,0">
                      <w:txbxContent>
                        <w:p w14:paraId="318AEE94" w14:textId="21DE1166" w:rsidR="009E5D3B" w:rsidRDefault="009E5D3B">
                          <w:pPr>
                            <w:pStyle w:val="Sansinterligne"/>
                            <w:jc w:val="right"/>
                            <w:rPr>
                              <w:color w:val="4472C4" w:themeColor="accent1"/>
                              <w:sz w:val="36"/>
                              <w:szCs w:val="36"/>
                            </w:rPr>
                          </w:pPr>
                          <w:sdt>
                            <w:sdtPr>
                              <w:rPr>
                                <w:color w:val="4472C4" w:themeColor="accent1"/>
                                <w:sz w:val="36"/>
                                <w:szCs w:val="36"/>
                              </w:rPr>
                              <w:alias w:val="Учебное заведение"/>
                              <w:tag w:val="Учебное заведение"/>
                              <w:id w:val="1850680582"/>
                              <w:showingPlcHdr/>
                              <w:dataBinding w:prefixMappings="xmlns:ns0='http://schemas.openxmlformats.org/officeDocument/2006/extended-properties' " w:xpath="/ns0:Properties[1]/ns0:Company[1]" w:storeItemID="{6668398D-A668-4E3E-A5EB-62B293D839F1}"/>
                              <w:text/>
                            </w:sdtPr>
                            <w:sdtContent>
                              <w:r>
                                <w:rPr>
                                  <w:color w:val="4472C4" w:themeColor="accent1"/>
                                  <w:sz w:val="36"/>
                                  <w:szCs w:val="36"/>
                                </w:rPr>
                                <w:t xml:space="preserve">     </w:t>
                              </w:r>
                            </w:sdtContent>
                          </w:sdt>
                        </w:p>
                        <w:sdt>
                          <w:sdtPr>
                            <w:rPr>
                              <w:color w:val="4472C4" w:themeColor="accent1"/>
                              <w:sz w:val="36"/>
                              <w:szCs w:val="36"/>
                            </w:rPr>
                            <w:alias w:val="Курс"/>
                            <w:tag w:val="Курс"/>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39EF7703" w14:textId="232B9AA0" w:rsidR="009E5D3B" w:rsidRDefault="009E5D3B">
                              <w:pPr>
                                <w:pStyle w:val="Sansinterligne"/>
                                <w:jc w:val="right"/>
                                <w:rPr>
                                  <w:color w:val="4472C4" w:themeColor="accent1"/>
                                  <w:sz w:val="36"/>
                                  <w:szCs w:val="36"/>
                                </w:rPr>
                              </w:pPr>
                              <w:r>
                                <w:rPr>
                                  <w:color w:val="4472C4" w:themeColor="accent1"/>
                                  <w:sz w:val="36"/>
                                  <w:szCs w:val="36"/>
                                </w:rPr>
                                <w:t xml:space="preserve">     </w:t>
                              </w:r>
                            </w:p>
                          </w:sdtContent>
                        </w:sdt>
                      </w:txbxContent>
                    </v:textbox>
                    <w10:wrap anchorx="page" anchory="margin"/>
                  </v:shape>
                </w:pict>
              </mc:Fallback>
            </mc:AlternateContent>
          </w:r>
        </w:p>
        <w:p w14:paraId="28FB9F0B" w14:textId="3DA4FF2F" w:rsidR="00F36DB0" w:rsidRPr="00953692" w:rsidRDefault="00743189" w:rsidP="00864BBF">
          <w:pPr>
            <w:spacing w:line="276" w:lineRule="auto"/>
            <w:rPr>
              <w:rFonts w:cs="Times New Roman"/>
              <w:b/>
              <w:bCs/>
              <w:sz w:val="24"/>
              <w:szCs w:val="24"/>
              <w:lang w:val="fr-FR"/>
            </w:rPr>
          </w:pPr>
          <w:r w:rsidRPr="00953692">
            <w:rPr>
              <w:rFonts w:cs="Times New Roman"/>
              <w:b/>
              <w:bCs/>
              <w:sz w:val="24"/>
              <w:szCs w:val="24"/>
              <w:lang w:val="fr-FR"/>
            </w:rPr>
            <w:br w:type="page"/>
          </w:r>
        </w:p>
      </w:sdtContent>
    </w:sdt>
    <w:p w14:paraId="29F490B8" w14:textId="711182E2" w:rsidR="00BB1E63" w:rsidRPr="00953692" w:rsidRDefault="00B65D49" w:rsidP="00864BBF">
      <w:pPr>
        <w:spacing w:before="240" w:line="276" w:lineRule="auto"/>
        <w:jc w:val="center"/>
        <w:rPr>
          <w:rFonts w:cs="Times New Roman"/>
          <w:b/>
          <w:bCs/>
          <w:sz w:val="24"/>
          <w:szCs w:val="24"/>
          <w:lang w:val="fr-FR"/>
        </w:rPr>
      </w:pPr>
      <w:r w:rsidRPr="00953692">
        <w:rPr>
          <w:rFonts w:cs="Times New Roman"/>
          <w:b/>
          <w:bCs/>
          <w:sz w:val="24"/>
          <w:szCs w:val="24"/>
          <w:lang w:val="fr-FR"/>
        </w:rPr>
        <w:lastRenderedPageBreak/>
        <w:t>Liste des abréviations</w:t>
      </w:r>
      <w:r w:rsidR="00D97FBE" w:rsidRPr="00953692">
        <w:rPr>
          <w:rFonts w:cs="Times New Roman"/>
          <w:b/>
          <w:bCs/>
          <w:sz w:val="24"/>
          <w:szCs w:val="24"/>
          <w:lang w:val="fr-FR"/>
        </w:rPr>
        <w:t xml:space="preserve"> et acronymes</w:t>
      </w:r>
    </w:p>
    <w:p w14:paraId="1BCD6746" w14:textId="715DB4D8" w:rsidR="0004654C" w:rsidRPr="00953692" w:rsidRDefault="0004654C" w:rsidP="00864BBF">
      <w:pPr>
        <w:spacing w:before="240" w:after="0" w:line="276" w:lineRule="auto"/>
        <w:ind w:left="708"/>
        <w:rPr>
          <w:rFonts w:cs="Times New Roman"/>
          <w:sz w:val="24"/>
          <w:szCs w:val="24"/>
          <w:lang w:val="fr-FR"/>
        </w:rPr>
      </w:pPr>
      <w:r w:rsidRPr="00953692">
        <w:rPr>
          <w:rFonts w:cs="Times New Roman"/>
          <w:sz w:val="24"/>
          <w:szCs w:val="24"/>
          <w:lang w:val="fr-FR"/>
        </w:rPr>
        <w:t xml:space="preserve">Aff. </w:t>
      </w:r>
      <w:r w:rsidRPr="00953692">
        <w:rPr>
          <w:rFonts w:cs="Times New Roman"/>
          <w:sz w:val="24"/>
          <w:szCs w:val="24"/>
          <w:lang w:val="fr-FR"/>
        </w:rPr>
        <w:tab/>
      </w:r>
      <w:r w:rsidRPr="00953692">
        <w:rPr>
          <w:rFonts w:cs="Times New Roman"/>
          <w:sz w:val="24"/>
          <w:szCs w:val="24"/>
          <w:lang w:val="fr-FR"/>
        </w:rPr>
        <w:tab/>
      </w:r>
      <w:r w:rsidRPr="00953692">
        <w:rPr>
          <w:rFonts w:cs="Times New Roman"/>
          <w:sz w:val="24"/>
          <w:szCs w:val="24"/>
          <w:lang w:val="fr-FR"/>
        </w:rPr>
        <w:tab/>
      </w:r>
      <w:r w:rsidR="007C562F" w:rsidRPr="00953692">
        <w:rPr>
          <w:rFonts w:cs="Times New Roman"/>
          <w:sz w:val="24"/>
          <w:szCs w:val="24"/>
          <w:lang w:val="fr-FR"/>
        </w:rPr>
        <w:tab/>
      </w:r>
      <w:r w:rsidRPr="00953692">
        <w:rPr>
          <w:rFonts w:cs="Times New Roman"/>
          <w:sz w:val="24"/>
          <w:szCs w:val="24"/>
          <w:lang w:val="fr-FR"/>
        </w:rPr>
        <w:t>Affaire</w:t>
      </w:r>
    </w:p>
    <w:p w14:paraId="12A0EFAC" w14:textId="32EFA719" w:rsidR="00013BCB" w:rsidRPr="00953692" w:rsidRDefault="00013BCB" w:rsidP="00864BBF">
      <w:pPr>
        <w:spacing w:after="0" w:line="276" w:lineRule="auto"/>
        <w:ind w:left="708"/>
        <w:jc w:val="both"/>
        <w:rPr>
          <w:rFonts w:cs="Times New Roman"/>
          <w:sz w:val="24"/>
          <w:szCs w:val="24"/>
          <w:lang w:val="fr-FR"/>
        </w:rPr>
      </w:pPr>
      <w:r w:rsidRPr="00953692">
        <w:rPr>
          <w:rFonts w:cs="Times New Roman"/>
          <w:sz w:val="24"/>
          <w:szCs w:val="24"/>
          <w:lang w:val="fr-FR"/>
        </w:rPr>
        <w:t>Al.</w:t>
      </w:r>
      <w:r w:rsidR="00F8476E" w:rsidRPr="00953692">
        <w:rPr>
          <w:rFonts w:cs="Times New Roman"/>
          <w:sz w:val="24"/>
          <w:szCs w:val="24"/>
          <w:lang w:val="fr-FR"/>
        </w:rPr>
        <w:t xml:space="preserve"> </w:t>
      </w:r>
      <w:r w:rsidR="00F8476E" w:rsidRPr="00953692">
        <w:rPr>
          <w:rFonts w:cs="Times New Roman"/>
          <w:sz w:val="24"/>
          <w:szCs w:val="24"/>
          <w:lang w:val="fr-FR"/>
        </w:rPr>
        <w:tab/>
      </w:r>
      <w:r w:rsidR="00F8476E" w:rsidRPr="00953692">
        <w:rPr>
          <w:rFonts w:cs="Times New Roman"/>
          <w:sz w:val="24"/>
          <w:szCs w:val="24"/>
          <w:lang w:val="fr-FR"/>
        </w:rPr>
        <w:tab/>
      </w:r>
      <w:r w:rsidR="00F8476E" w:rsidRPr="00953692">
        <w:rPr>
          <w:rFonts w:cs="Times New Roman"/>
          <w:sz w:val="24"/>
          <w:szCs w:val="24"/>
          <w:lang w:val="fr-FR"/>
        </w:rPr>
        <w:tab/>
      </w:r>
      <w:r w:rsidR="007C562F" w:rsidRPr="00953692">
        <w:rPr>
          <w:rFonts w:cs="Times New Roman"/>
          <w:sz w:val="24"/>
          <w:szCs w:val="24"/>
          <w:lang w:val="fr-FR"/>
        </w:rPr>
        <w:tab/>
      </w:r>
      <w:r w:rsidR="00D34982" w:rsidRPr="00953692">
        <w:rPr>
          <w:rFonts w:cs="Times New Roman"/>
          <w:sz w:val="24"/>
          <w:szCs w:val="24"/>
          <w:lang w:val="fr-FR"/>
        </w:rPr>
        <w:t>Alinéa</w:t>
      </w:r>
      <w:r w:rsidR="00F8476E" w:rsidRPr="00953692">
        <w:rPr>
          <w:rFonts w:cs="Times New Roman"/>
          <w:sz w:val="24"/>
          <w:szCs w:val="24"/>
          <w:lang w:val="fr-FR"/>
        </w:rPr>
        <w:t xml:space="preserve"> </w:t>
      </w:r>
    </w:p>
    <w:p w14:paraId="7264DBB3" w14:textId="2EEA41D3" w:rsidR="00013BCB" w:rsidRPr="00953692" w:rsidRDefault="00013BCB" w:rsidP="00864BBF">
      <w:pPr>
        <w:spacing w:after="0" w:line="276" w:lineRule="auto"/>
        <w:ind w:left="708"/>
        <w:jc w:val="both"/>
        <w:rPr>
          <w:rFonts w:cs="Times New Roman"/>
          <w:sz w:val="24"/>
          <w:szCs w:val="24"/>
          <w:lang w:val="fr-FR"/>
        </w:rPr>
      </w:pPr>
      <w:r w:rsidRPr="00953692">
        <w:rPr>
          <w:rFonts w:cs="Times New Roman"/>
          <w:sz w:val="24"/>
          <w:szCs w:val="24"/>
          <w:lang w:val="fr-FR"/>
        </w:rPr>
        <w:t xml:space="preserve">Art. </w:t>
      </w:r>
      <w:r w:rsidR="00F8476E" w:rsidRPr="00953692">
        <w:rPr>
          <w:rFonts w:cs="Times New Roman"/>
          <w:sz w:val="24"/>
          <w:szCs w:val="24"/>
          <w:lang w:val="fr-FR"/>
        </w:rPr>
        <w:tab/>
      </w:r>
      <w:r w:rsidR="00F8476E" w:rsidRPr="00953692">
        <w:rPr>
          <w:rFonts w:cs="Times New Roman"/>
          <w:sz w:val="24"/>
          <w:szCs w:val="24"/>
          <w:lang w:val="fr-FR"/>
        </w:rPr>
        <w:tab/>
      </w:r>
      <w:r w:rsidR="00F8476E" w:rsidRPr="00953692">
        <w:rPr>
          <w:rFonts w:cs="Times New Roman"/>
          <w:sz w:val="24"/>
          <w:szCs w:val="24"/>
          <w:lang w:val="fr-FR"/>
        </w:rPr>
        <w:tab/>
      </w:r>
      <w:r w:rsidR="007C562F" w:rsidRPr="00953692">
        <w:rPr>
          <w:rFonts w:cs="Times New Roman"/>
          <w:sz w:val="24"/>
          <w:szCs w:val="24"/>
          <w:lang w:val="fr-FR"/>
        </w:rPr>
        <w:tab/>
      </w:r>
      <w:r w:rsidR="00F8476E" w:rsidRPr="00953692">
        <w:rPr>
          <w:rFonts w:cs="Times New Roman"/>
          <w:sz w:val="24"/>
          <w:szCs w:val="24"/>
          <w:lang w:val="fr-FR"/>
        </w:rPr>
        <w:t>Article</w:t>
      </w:r>
    </w:p>
    <w:p w14:paraId="17796100" w14:textId="6BEC0A06" w:rsidR="00FA0E62" w:rsidRPr="00953692" w:rsidRDefault="00FA0E62" w:rsidP="00864BBF">
      <w:pPr>
        <w:spacing w:after="0" w:line="276" w:lineRule="auto"/>
        <w:ind w:left="708"/>
        <w:jc w:val="both"/>
        <w:rPr>
          <w:rFonts w:cs="Times New Roman"/>
          <w:sz w:val="24"/>
          <w:szCs w:val="24"/>
          <w:lang w:val="fr-FR"/>
        </w:rPr>
      </w:pPr>
      <w:r w:rsidRPr="00953692">
        <w:rPr>
          <w:rFonts w:cs="Times New Roman"/>
          <w:sz w:val="24"/>
          <w:szCs w:val="24"/>
          <w:lang w:val="fr-FR"/>
        </w:rPr>
        <w:t>BdP</w:t>
      </w:r>
      <w:r w:rsidRPr="00953692">
        <w:rPr>
          <w:rFonts w:cs="Times New Roman"/>
          <w:sz w:val="24"/>
          <w:szCs w:val="24"/>
          <w:lang w:val="fr-FR"/>
        </w:rPr>
        <w:tab/>
      </w:r>
      <w:r w:rsidRPr="00953692">
        <w:rPr>
          <w:rFonts w:cs="Times New Roman"/>
          <w:sz w:val="24"/>
          <w:szCs w:val="24"/>
          <w:lang w:val="fr-FR"/>
        </w:rPr>
        <w:tab/>
      </w:r>
      <w:r w:rsidRPr="00953692">
        <w:rPr>
          <w:rFonts w:cs="Times New Roman"/>
          <w:sz w:val="24"/>
          <w:szCs w:val="24"/>
          <w:lang w:val="fr-FR"/>
        </w:rPr>
        <w:tab/>
      </w:r>
      <w:r w:rsidR="007C562F" w:rsidRPr="00953692">
        <w:rPr>
          <w:rFonts w:cs="Times New Roman"/>
          <w:sz w:val="24"/>
          <w:szCs w:val="24"/>
          <w:lang w:val="fr-FR"/>
        </w:rPr>
        <w:tab/>
      </w:r>
      <w:r w:rsidRPr="00953692">
        <w:rPr>
          <w:rFonts w:cs="Times New Roman"/>
          <w:sz w:val="24"/>
          <w:szCs w:val="24"/>
          <w:lang w:val="fr-FR"/>
        </w:rPr>
        <w:t>Bureau du Procureur</w:t>
      </w:r>
      <w:r w:rsidR="00676B19" w:rsidRPr="00953692">
        <w:rPr>
          <w:rFonts w:cs="Times New Roman"/>
          <w:sz w:val="24"/>
          <w:szCs w:val="24"/>
          <w:lang w:val="fr-FR"/>
        </w:rPr>
        <w:t xml:space="preserve"> (de la CPI)</w:t>
      </w:r>
    </w:p>
    <w:p w14:paraId="5631D5C2" w14:textId="74FC299B" w:rsidR="009E4A30" w:rsidRPr="00953692" w:rsidRDefault="009E4A30" w:rsidP="00864BBF">
      <w:pPr>
        <w:spacing w:after="0" w:line="276" w:lineRule="auto"/>
        <w:ind w:left="708"/>
        <w:jc w:val="both"/>
        <w:rPr>
          <w:rFonts w:cs="Times New Roman"/>
          <w:sz w:val="24"/>
          <w:szCs w:val="24"/>
          <w:lang w:val="fr-FR"/>
        </w:rPr>
      </w:pPr>
      <w:r w:rsidRPr="00953692">
        <w:rPr>
          <w:rFonts w:cs="Times New Roman"/>
          <w:sz w:val="24"/>
          <w:szCs w:val="24"/>
          <w:lang w:val="fr-FR"/>
        </w:rPr>
        <w:t xml:space="preserve">CAE. </w:t>
      </w:r>
      <w:r w:rsidRPr="00953692">
        <w:rPr>
          <w:rFonts w:cs="Times New Roman"/>
          <w:sz w:val="24"/>
          <w:szCs w:val="24"/>
          <w:lang w:val="fr-FR"/>
        </w:rPr>
        <w:tab/>
      </w:r>
      <w:r w:rsidRPr="00953692">
        <w:rPr>
          <w:rFonts w:cs="Times New Roman"/>
          <w:sz w:val="24"/>
          <w:szCs w:val="24"/>
          <w:lang w:val="fr-FR"/>
        </w:rPr>
        <w:tab/>
      </w:r>
      <w:r w:rsidRPr="00953692">
        <w:rPr>
          <w:rFonts w:cs="Times New Roman"/>
          <w:sz w:val="24"/>
          <w:szCs w:val="24"/>
          <w:lang w:val="fr-FR"/>
        </w:rPr>
        <w:tab/>
      </w:r>
      <w:r w:rsidR="007C562F" w:rsidRPr="00953692">
        <w:rPr>
          <w:rFonts w:cs="Times New Roman"/>
          <w:sz w:val="24"/>
          <w:szCs w:val="24"/>
          <w:lang w:val="fr-FR"/>
        </w:rPr>
        <w:tab/>
      </w:r>
      <w:r w:rsidRPr="00953692">
        <w:rPr>
          <w:rFonts w:cs="Times New Roman"/>
          <w:sz w:val="24"/>
          <w:szCs w:val="24"/>
          <w:lang w:val="fr-FR"/>
        </w:rPr>
        <w:t>Chambres africaines extraordinaire</w:t>
      </w:r>
    </w:p>
    <w:p w14:paraId="38BE73EA" w14:textId="08D507EA" w:rsidR="00AD5D46" w:rsidRPr="00953692" w:rsidRDefault="00AD5D46" w:rsidP="00864BBF">
      <w:pPr>
        <w:spacing w:after="0" w:line="276" w:lineRule="auto"/>
        <w:ind w:left="708"/>
        <w:jc w:val="both"/>
        <w:rPr>
          <w:rFonts w:cs="Times New Roman"/>
          <w:sz w:val="24"/>
          <w:szCs w:val="24"/>
          <w:lang w:val="fr-FR"/>
        </w:rPr>
      </w:pPr>
      <w:r w:rsidRPr="00953692">
        <w:rPr>
          <w:rFonts w:cs="Times New Roman"/>
          <w:sz w:val="24"/>
          <w:szCs w:val="24"/>
          <w:lang w:val="fr-FR"/>
        </w:rPr>
        <w:t>CEDH.</w:t>
      </w:r>
      <w:r w:rsidRPr="00953692">
        <w:rPr>
          <w:rFonts w:cs="Times New Roman"/>
          <w:sz w:val="24"/>
          <w:szCs w:val="24"/>
          <w:lang w:val="fr-FR"/>
        </w:rPr>
        <w:tab/>
      </w:r>
      <w:r w:rsidRPr="00953692">
        <w:rPr>
          <w:rFonts w:cs="Times New Roman"/>
          <w:sz w:val="24"/>
          <w:szCs w:val="24"/>
          <w:lang w:val="fr-FR"/>
        </w:rPr>
        <w:tab/>
      </w:r>
      <w:r w:rsidR="007C562F" w:rsidRPr="00953692">
        <w:rPr>
          <w:rFonts w:cs="Times New Roman"/>
          <w:sz w:val="24"/>
          <w:szCs w:val="24"/>
          <w:lang w:val="fr-FR"/>
        </w:rPr>
        <w:tab/>
      </w:r>
      <w:r w:rsidRPr="00953692">
        <w:rPr>
          <w:rFonts w:cs="Times New Roman"/>
          <w:sz w:val="24"/>
          <w:szCs w:val="24"/>
          <w:lang w:val="fr-FR"/>
        </w:rPr>
        <w:t>Cour européenne des droits de l’homme</w:t>
      </w:r>
    </w:p>
    <w:p w14:paraId="540EA97A" w14:textId="4DD68165" w:rsidR="00AD5D46" w:rsidRPr="00953692" w:rsidRDefault="00AD5D46" w:rsidP="00864BBF">
      <w:pPr>
        <w:spacing w:after="0" w:line="276" w:lineRule="auto"/>
        <w:ind w:left="3540" w:hanging="2832"/>
        <w:jc w:val="both"/>
        <w:rPr>
          <w:rFonts w:cs="Times New Roman"/>
          <w:sz w:val="24"/>
          <w:szCs w:val="24"/>
          <w:lang w:val="fr-FR"/>
        </w:rPr>
      </w:pPr>
      <w:r w:rsidRPr="00953692">
        <w:rPr>
          <w:rFonts w:cs="Times New Roman"/>
          <w:sz w:val="24"/>
          <w:szCs w:val="24"/>
          <w:lang w:val="fr-FR"/>
        </w:rPr>
        <w:t xml:space="preserve">CETC. </w:t>
      </w:r>
      <w:r w:rsidRPr="00953692">
        <w:rPr>
          <w:rFonts w:cs="Times New Roman"/>
          <w:sz w:val="24"/>
          <w:szCs w:val="24"/>
          <w:lang w:val="fr-FR"/>
        </w:rPr>
        <w:tab/>
        <w:t>Chambres spéciales aux seins des tribunaux cambodgiens</w:t>
      </w:r>
    </w:p>
    <w:p w14:paraId="10B43A3E" w14:textId="48E96851" w:rsidR="0004654C" w:rsidRPr="00953692" w:rsidRDefault="0004654C" w:rsidP="00864BBF">
      <w:pPr>
        <w:spacing w:after="0" w:line="276" w:lineRule="auto"/>
        <w:ind w:left="708"/>
        <w:jc w:val="both"/>
        <w:rPr>
          <w:rFonts w:cs="Times New Roman"/>
          <w:sz w:val="24"/>
          <w:szCs w:val="24"/>
          <w:lang w:val="fr-FR"/>
        </w:rPr>
      </w:pPr>
      <w:r w:rsidRPr="00953692">
        <w:rPr>
          <w:rFonts w:cs="Times New Roman"/>
          <w:sz w:val="24"/>
          <w:szCs w:val="24"/>
          <w:lang w:val="fr-FR"/>
        </w:rPr>
        <w:t>CIADH</w:t>
      </w:r>
      <w:r w:rsidR="00E67439" w:rsidRPr="00953692">
        <w:rPr>
          <w:sz w:val="24"/>
          <w:szCs w:val="24"/>
          <w:lang w:val="fr-FR"/>
        </w:rPr>
        <w:t xml:space="preserve"> </w:t>
      </w:r>
      <w:r w:rsidR="00E67439" w:rsidRPr="00953692">
        <w:rPr>
          <w:sz w:val="24"/>
          <w:szCs w:val="24"/>
          <w:lang w:val="fr-FR"/>
        </w:rPr>
        <w:tab/>
      </w:r>
      <w:r w:rsidR="00E67439" w:rsidRPr="00953692">
        <w:rPr>
          <w:sz w:val="24"/>
          <w:szCs w:val="24"/>
          <w:lang w:val="fr-FR"/>
        </w:rPr>
        <w:tab/>
      </w:r>
      <w:r w:rsidR="007C562F" w:rsidRPr="00953692">
        <w:rPr>
          <w:sz w:val="24"/>
          <w:szCs w:val="24"/>
          <w:lang w:val="fr-FR"/>
        </w:rPr>
        <w:tab/>
      </w:r>
      <w:r w:rsidR="00E67439" w:rsidRPr="00953692">
        <w:rPr>
          <w:rFonts w:cs="Times New Roman"/>
          <w:sz w:val="24"/>
          <w:szCs w:val="24"/>
          <w:lang w:val="fr-FR"/>
        </w:rPr>
        <w:t>Cour interaméricaine des droits de l'homme</w:t>
      </w:r>
    </w:p>
    <w:p w14:paraId="25112992" w14:textId="3D53CFC1" w:rsidR="00AD5D46" w:rsidRPr="00953692" w:rsidRDefault="00AD5D46" w:rsidP="00864BBF">
      <w:pPr>
        <w:spacing w:after="0" w:line="276" w:lineRule="auto"/>
        <w:ind w:left="708"/>
        <w:jc w:val="both"/>
        <w:rPr>
          <w:rFonts w:cs="Times New Roman"/>
          <w:sz w:val="24"/>
          <w:szCs w:val="24"/>
          <w:lang w:val="fr-FR"/>
        </w:rPr>
      </w:pPr>
      <w:r w:rsidRPr="00953692">
        <w:rPr>
          <w:rFonts w:cs="Times New Roman"/>
          <w:sz w:val="24"/>
          <w:szCs w:val="24"/>
          <w:lang w:val="fr-FR"/>
        </w:rPr>
        <w:t xml:space="preserve">CSK. </w:t>
      </w:r>
      <w:r w:rsidRPr="00953692">
        <w:rPr>
          <w:rFonts w:cs="Times New Roman"/>
          <w:sz w:val="24"/>
          <w:szCs w:val="24"/>
          <w:lang w:val="fr-FR"/>
        </w:rPr>
        <w:tab/>
      </w:r>
      <w:r w:rsidRPr="00953692">
        <w:rPr>
          <w:rFonts w:cs="Times New Roman"/>
          <w:sz w:val="24"/>
          <w:szCs w:val="24"/>
          <w:lang w:val="fr-FR"/>
        </w:rPr>
        <w:tab/>
      </w:r>
      <w:r w:rsidRPr="00953692">
        <w:rPr>
          <w:rFonts w:cs="Times New Roman"/>
          <w:sz w:val="24"/>
          <w:szCs w:val="24"/>
          <w:lang w:val="fr-FR"/>
        </w:rPr>
        <w:tab/>
      </w:r>
      <w:r w:rsidR="007C562F" w:rsidRPr="00953692">
        <w:rPr>
          <w:rFonts w:cs="Times New Roman"/>
          <w:sz w:val="24"/>
          <w:szCs w:val="24"/>
          <w:lang w:val="fr-FR"/>
        </w:rPr>
        <w:tab/>
      </w:r>
      <w:r w:rsidRPr="00953692">
        <w:rPr>
          <w:rFonts w:cs="Times New Roman"/>
          <w:sz w:val="24"/>
          <w:szCs w:val="24"/>
          <w:lang w:val="fr-FR"/>
        </w:rPr>
        <w:t>Chambres spéciales du Kosovo</w:t>
      </w:r>
    </w:p>
    <w:p w14:paraId="78A0B3B7" w14:textId="0293B569" w:rsidR="00AD5D46" w:rsidRPr="00953692" w:rsidRDefault="001131F9" w:rsidP="00864BBF">
      <w:pPr>
        <w:spacing w:after="0" w:line="276" w:lineRule="auto"/>
        <w:ind w:left="708"/>
        <w:jc w:val="both"/>
        <w:rPr>
          <w:rFonts w:cs="Times New Roman"/>
          <w:sz w:val="24"/>
          <w:szCs w:val="24"/>
          <w:lang w:val="fr-FR"/>
        </w:rPr>
      </w:pPr>
      <w:r w:rsidRPr="00953692">
        <w:rPr>
          <w:rFonts w:cs="Times New Roman"/>
          <w:sz w:val="24"/>
          <w:szCs w:val="24"/>
          <w:lang w:val="fr-FR"/>
        </w:rPr>
        <w:t>CPI</w:t>
      </w:r>
      <w:r w:rsidR="00AD5D46" w:rsidRPr="00953692">
        <w:rPr>
          <w:rFonts w:cs="Times New Roman"/>
          <w:sz w:val="24"/>
          <w:szCs w:val="24"/>
          <w:lang w:val="fr-FR"/>
        </w:rPr>
        <w:t xml:space="preserve">. </w:t>
      </w:r>
      <w:r w:rsidR="00AD5D46" w:rsidRPr="00953692">
        <w:rPr>
          <w:rFonts w:cs="Times New Roman"/>
          <w:sz w:val="24"/>
          <w:szCs w:val="24"/>
          <w:lang w:val="fr-FR"/>
        </w:rPr>
        <w:tab/>
      </w:r>
      <w:r w:rsidR="00AD5D46" w:rsidRPr="00953692">
        <w:rPr>
          <w:rFonts w:cs="Times New Roman"/>
          <w:sz w:val="24"/>
          <w:szCs w:val="24"/>
          <w:lang w:val="fr-FR"/>
        </w:rPr>
        <w:tab/>
      </w:r>
      <w:r w:rsidR="00AD5D46" w:rsidRPr="00953692">
        <w:rPr>
          <w:rFonts w:cs="Times New Roman"/>
          <w:sz w:val="24"/>
          <w:szCs w:val="24"/>
          <w:lang w:val="fr-FR"/>
        </w:rPr>
        <w:tab/>
      </w:r>
      <w:r w:rsidR="007C562F" w:rsidRPr="00953692">
        <w:rPr>
          <w:rFonts w:cs="Times New Roman"/>
          <w:sz w:val="24"/>
          <w:szCs w:val="24"/>
          <w:lang w:val="fr-FR"/>
        </w:rPr>
        <w:tab/>
      </w:r>
      <w:r w:rsidR="00AD5D46" w:rsidRPr="00953692">
        <w:rPr>
          <w:rFonts w:cs="Times New Roman"/>
          <w:sz w:val="24"/>
          <w:szCs w:val="24"/>
          <w:lang w:val="fr-FR"/>
        </w:rPr>
        <w:t>Cour pénale internationale</w:t>
      </w:r>
    </w:p>
    <w:p w14:paraId="2ADE2FD2" w14:textId="77A325AD" w:rsidR="001131F9" w:rsidRPr="00953692" w:rsidRDefault="001131F9" w:rsidP="00864BBF">
      <w:pPr>
        <w:spacing w:after="0" w:line="276" w:lineRule="auto"/>
        <w:ind w:left="708"/>
        <w:jc w:val="both"/>
        <w:rPr>
          <w:rFonts w:cs="Times New Roman"/>
          <w:sz w:val="24"/>
          <w:szCs w:val="24"/>
          <w:lang w:val="fr-FR"/>
        </w:rPr>
      </w:pPr>
      <w:r w:rsidRPr="00953692">
        <w:rPr>
          <w:rFonts w:cs="Times New Roman"/>
          <w:sz w:val="24"/>
          <w:szCs w:val="24"/>
          <w:lang w:val="fr-FR"/>
        </w:rPr>
        <w:t>CPSC</w:t>
      </w:r>
      <w:r w:rsidR="00AD5D46" w:rsidRPr="00953692">
        <w:rPr>
          <w:rFonts w:cs="Times New Roman"/>
          <w:sz w:val="24"/>
          <w:szCs w:val="24"/>
          <w:lang w:val="fr-FR"/>
        </w:rPr>
        <w:t>.</w:t>
      </w:r>
      <w:r w:rsidR="00AD5D46" w:rsidRPr="00953692">
        <w:rPr>
          <w:rFonts w:cs="Times New Roman"/>
          <w:sz w:val="24"/>
          <w:szCs w:val="24"/>
          <w:lang w:val="fr-FR"/>
        </w:rPr>
        <w:tab/>
      </w:r>
      <w:r w:rsidR="00AD5D46" w:rsidRPr="00953692">
        <w:rPr>
          <w:rFonts w:cs="Times New Roman"/>
          <w:sz w:val="24"/>
          <w:szCs w:val="24"/>
          <w:lang w:val="fr-FR"/>
        </w:rPr>
        <w:tab/>
      </w:r>
      <w:r w:rsidR="00AD5D46" w:rsidRPr="00953692">
        <w:rPr>
          <w:rFonts w:cs="Times New Roman"/>
          <w:sz w:val="24"/>
          <w:szCs w:val="24"/>
          <w:lang w:val="fr-FR"/>
        </w:rPr>
        <w:tab/>
      </w:r>
      <w:r w:rsidR="007C562F" w:rsidRPr="00953692">
        <w:rPr>
          <w:rFonts w:cs="Times New Roman"/>
          <w:sz w:val="24"/>
          <w:szCs w:val="24"/>
          <w:lang w:val="fr-FR"/>
        </w:rPr>
        <w:tab/>
      </w:r>
      <w:r w:rsidR="00AD5D46" w:rsidRPr="00953692">
        <w:rPr>
          <w:rFonts w:cs="Times New Roman"/>
          <w:sz w:val="24"/>
          <w:szCs w:val="24"/>
          <w:lang w:val="fr-FR"/>
        </w:rPr>
        <w:t>Cour pénale spéciale centrafricaine</w:t>
      </w:r>
    </w:p>
    <w:p w14:paraId="57B5DC60" w14:textId="11078171" w:rsidR="00EF330B" w:rsidRPr="00953692" w:rsidRDefault="00EF330B" w:rsidP="00864BBF">
      <w:pPr>
        <w:spacing w:after="0" w:line="276" w:lineRule="auto"/>
        <w:ind w:left="708"/>
        <w:jc w:val="both"/>
        <w:rPr>
          <w:rFonts w:cs="Times New Roman"/>
          <w:sz w:val="24"/>
          <w:szCs w:val="24"/>
          <w:lang w:val="fr-FR"/>
        </w:rPr>
      </w:pPr>
      <w:r w:rsidRPr="00953692">
        <w:rPr>
          <w:rFonts w:cs="Times New Roman"/>
          <w:sz w:val="24"/>
          <w:szCs w:val="24"/>
          <w:lang w:val="fr-FR"/>
        </w:rPr>
        <w:t>DIH.</w:t>
      </w:r>
      <w:r w:rsidRPr="00953692">
        <w:rPr>
          <w:rFonts w:cs="Times New Roman"/>
          <w:sz w:val="24"/>
          <w:szCs w:val="24"/>
          <w:lang w:val="fr-FR"/>
        </w:rPr>
        <w:tab/>
      </w:r>
      <w:r w:rsidRPr="00953692">
        <w:rPr>
          <w:rFonts w:cs="Times New Roman"/>
          <w:sz w:val="24"/>
          <w:szCs w:val="24"/>
          <w:lang w:val="fr-FR"/>
        </w:rPr>
        <w:tab/>
      </w:r>
      <w:r w:rsidRPr="00953692">
        <w:rPr>
          <w:rFonts w:cs="Times New Roman"/>
          <w:sz w:val="24"/>
          <w:szCs w:val="24"/>
          <w:lang w:val="fr-FR"/>
        </w:rPr>
        <w:tab/>
      </w:r>
      <w:r w:rsidR="007C562F" w:rsidRPr="00953692">
        <w:rPr>
          <w:rFonts w:cs="Times New Roman"/>
          <w:sz w:val="24"/>
          <w:szCs w:val="24"/>
          <w:lang w:val="fr-FR"/>
        </w:rPr>
        <w:tab/>
      </w:r>
      <w:r w:rsidRPr="00953692">
        <w:rPr>
          <w:rFonts w:cs="Times New Roman"/>
          <w:sz w:val="24"/>
          <w:szCs w:val="24"/>
          <w:lang w:val="fr-FR"/>
        </w:rPr>
        <w:t>Droit international humanitaire</w:t>
      </w:r>
    </w:p>
    <w:p w14:paraId="0B8EFB02" w14:textId="67FD7C3A" w:rsidR="00EF330B" w:rsidRPr="00953692" w:rsidRDefault="00EF330B" w:rsidP="00864BBF">
      <w:pPr>
        <w:spacing w:after="0" w:line="276" w:lineRule="auto"/>
        <w:ind w:left="708"/>
        <w:jc w:val="both"/>
        <w:rPr>
          <w:rFonts w:cs="Times New Roman"/>
          <w:sz w:val="24"/>
          <w:szCs w:val="24"/>
          <w:lang w:val="fr-FR"/>
        </w:rPr>
      </w:pPr>
      <w:r w:rsidRPr="00953692">
        <w:rPr>
          <w:rFonts w:cs="Times New Roman"/>
          <w:sz w:val="24"/>
          <w:szCs w:val="24"/>
          <w:lang w:val="fr-FR"/>
        </w:rPr>
        <w:t>DIP.</w:t>
      </w:r>
      <w:r w:rsidRPr="00953692">
        <w:rPr>
          <w:rFonts w:cs="Times New Roman"/>
          <w:sz w:val="24"/>
          <w:szCs w:val="24"/>
          <w:lang w:val="fr-FR"/>
        </w:rPr>
        <w:tab/>
      </w:r>
      <w:r w:rsidRPr="00953692">
        <w:rPr>
          <w:rFonts w:cs="Times New Roman"/>
          <w:sz w:val="24"/>
          <w:szCs w:val="24"/>
          <w:lang w:val="fr-FR"/>
        </w:rPr>
        <w:tab/>
      </w:r>
      <w:r w:rsidRPr="00953692">
        <w:rPr>
          <w:rFonts w:cs="Times New Roman"/>
          <w:sz w:val="24"/>
          <w:szCs w:val="24"/>
          <w:lang w:val="fr-FR"/>
        </w:rPr>
        <w:tab/>
      </w:r>
      <w:r w:rsidR="007C562F" w:rsidRPr="00953692">
        <w:rPr>
          <w:rFonts w:cs="Times New Roman"/>
          <w:sz w:val="24"/>
          <w:szCs w:val="24"/>
          <w:lang w:val="fr-FR"/>
        </w:rPr>
        <w:tab/>
      </w:r>
      <w:r w:rsidRPr="00953692">
        <w:rPr>
          <w:rFonts w:cs="Times New Roman"/>
          <w:sz w:val="24"/>
          <w:szCs w:val="24"/>
          <w:lang w:val="fr-FR"/>
        </w:rPr>
        <w:t>Droit international pénal</w:t>
      </w:r>
    </w:p>
    <w:p w14:paraId="2C92791D" w14:textId="257B8BF6" w:rsidR="00013BCB" w:rsidRPr="00953692" w:rsidRDefault="00013BCB" w:rsidP="00864BBF">
      <w:pPr>
        <w:spacing w:after="0" w:line="276" w:lineRule="auto"/>
        <w:ind w:left="708"/>
        <w:jc w:val="both"/>
        <w:rPr>
          <w:rFonts w:cs="Times New Roman"/>
          <w:sz w:val="24"/>
          <w:szCs w:val="24"/>
          <w:lang w:val="fr-FR"/>
        </w:rPr>
      </w:pPr>
      <w:r w:rsidRPr="00953692">
        <w:rPr>
          <w:rFonts w:cs="Times New Roman"/>
          <w:sz w:val="24"/>
          <w:szCs w:val="24"/>
          <w:lang w:val="fr-FR"/>
        </w:rPr>
        <w:t>ONU</w:t>
      </w:r>
      <w:r w:rsidR="00F8476E" w:rsidRPr="00953692">
        <w:rPr>
          <w:rFonts w:cs="Times New Roman"/>
          <w:sz w:val="24"/>
          <w:szCs w:val="24"/>
          <w:lang w:val="fr-FR"/>
        </w:rPr>
        <w:t xml:space="preserve">. </w:t>
      </w:r>
      <w:r w:rsidR="00F8476E" w:rsidRPr="00953692">
        <w:rPr>
          <w:rFonts w:cs="Times New Roman"/>
          <w:sz w:val="24"/>
          <w:szCs w:val="24"/>
          <w:lang w:val="fr-FR"/>
        </w:rPr>
        <w:tab/>
      </w:r>
      <w:r w:rsidR="00F8476E" w:rsidRPr="00953692">
        <w:rPr>
          <w:rFonts w:cs="Times New Roman"/>
          <w:sz w:val="24"/>
          <w:szCs w:val="24"/>
          <w:lang w:val="fr-FR"/>
        </w:rPr>
        <w:tab/>
      </w:r>
      <w:r w:rsidR="00F8476E" w:rsidRPr="00953692">
        <w:rPr>
          <w:rFonts w:cs="Times New Roman"/>
          <w:sz w:val="24"/>
          <w:szCs w:val="24"/>
          <w:lang w:val="fr-FR"/>
        </w:rPr>
        <w:tab/>
      </w:r>
      <w:r w:rsidR="007C562F" w:rsidRPr="00953692">
        <w:rPr>
          <w:rFonts w:cs="Times New Roman"/>
          <w:sz w:val="24"/>
          <w:szCs w:val="24"/>
          <w:lang w:val="fr-FR"/>
        </w:rPr>
        <w:tab/>
      </w:r>
      <w:r w:rsidR="00F8476E" w:rsidRPr="00953692">
        <w:rPr>
          <w:rFonts w:cs="Times New Roman"/>
          <w:sz w:val="24"/>
          <w:szCs w:val="24"/>
          <w:lang w:val="fr-FR"/>
        </w:rPr>
        <w:t>Organisation des nations unies</w:t>
      </w:r>
    </w:p>
    <w:p w14:paraId="1B86DBF9" w14:textId="7E86B62B" w:rsidR="00A365AE" w:rsidRPr="00953692" w:rsidRDefault="00A365AE" w:rsidP="00864BBF">
      <w:pPr>
        <w:spacing w:after="0" w:line="276" w:lineRule="auto"/>
        <w:ind w:left="708"/>
        <w:jc w:val="both"/>
        <w:rPr>
          <w:rFonts w:cs="Times New Roman"/>
          <w:sz w:val="24"/>
          <w:szCs w:val="24"/>
          <w:lang w:val="fr-FR"/>
        </w:rPr>
      </w:pPr>
      <w:r w:rsidRPr="00953692">
        <w:rPr>
          <w:rFonts w:cs="Times New Roman"/>
          <w:sz w:val="24"/>
          <w:szCs w:val="24"/>
          <w:lang w:val="fr-FR"/>
        </w:rPr>
        <w:t>OPJ</w:t>
      </w:r>
      <w:r w:rsidRPr="00953692">
        <w:rPr>
          <w:rFonts w:cs="Times New Roman"/>
          <w:sz w:val="24"/>
          <w:szCs w:val="24"/>
          <w:lang w:val="fr-FR"/>
        </w:rPr>
        <w:tab/>
      </w:r>
      <w:r w:rsidRPr="00953692">
        <w:rPr>
          <w:rFonts w:cs="Times New Roman"/>
          <w:sz w:val="24"/>
          <w:szCs w:val="24"/>
          <w:lang w:val="fr-FR"/>
        </w:rPr>
        <w:tab/>
      </w:r>
      <w:r w:rsidRPr="00953692">
        <w:rPr>
          <w:rFonts w:cs="Times New Roman"/>
          <w:sz w:val="24"/>
          <w:szCs w:val="24"/>
          <w:lang w:val="fr-FR"/>
        </w:rPr>
        <w:tab/>
      </w:r>
      <w:r w:rsidR="007C562F" w:rsidRPr="00953692">
        <w:rPr>
          <w:rFonts w:cs="Times New Roman"/>
          <w:sz w:val="24"/>
          <w:szCs w:val="24"/>
          <w:lang w:val="fr-FR"/>
        </w:rPr>
        <w:tab/>
      </w:r>
      <w:r w:rsidRPr="00953692">
        <w:rPr>
          <w:rFonts w:cs="Times New Roman"/>
          <w:sz w:val="24"/>
          <w:szCs w:val="24"/>
          <w:lang w:val="fr-FR"/>
        </w:rPr>
        <w:t>Officier de police judiciaire</w:t>
      </w:r>
    </w:p>
    <w:p w14:paraId="07A9C31E" w14:textId="53560145" w:rsidR="00013BCB" w:rsidRPr="00953692" w:rsidRDefault="00013BCB" w:rsidP="00864BBF">
      <w:pPr>
        <w:spacing w:after="0" w:line="276" w:lineRule="auto"/>
        <w:ind w:left="708"/>
        <w:jc w:val="both"/>
        <w:rPr>
          <w:rFonts w:cs="Times New Roman"/>
          <w:sz w:val="24"/>
          <w:szCs w:val="24"/>
          <w:lang w:val="fr-FR"/>
        </w:rPr>
      </w:pPr>
      <w:r w:rsidRPr="00953692">
        <w:rPr>
          <w:rFonts w:cs="Times New Roman"/>
          <w:sz w:val="24"/>
          <w:szCs w:val="24"/>
          <w:lang w:val="fr-FR"/>
        </w:rPr>
        <w:t>PIDCP</w:t>
      </w:r>
      <w:r w:rsidR="00F8476E" w:rsidRPr="00953692">
        <w:rPr>
          <w:rFonts w:cs="Times New Roman"/>
          <w:sz w:val="24"/>
          <w:szCs w:val="24"/>
          <w:lang w:val="fr-FR"/>
        </w:rPr>
        <w:t xml:space="preserve">. </w:t>
      </w:r>
      <w:r w:rsidR="00F8476E" w:rsidRPr="00953692">
        <w:rPr>
          <w:rFonts w:cs="Times New Roman"/>
          <w:sz w:val="24"/>
          <w:szCs w:val="24"/>
          <w:lang w:val="fr-FR"/>
        </w:rPr>
        <w:tab/>
      </w:r>
      <w:r w:rsidR="00F8476E" w:rsidRPr="00953692">
        <w:rPr>
          <w:rFonts w:cs="Times New Roman"/>
          <w:sz w:val="24"/>
          <w:szCs w:val="24"/>
          <w:lang w:val="fr-FR"/>
        </w:rPr>
        <w:tab/>
      </w:r>
      <w:r w:rsidR="007C562F" w:rsidRPr="00953692">
        <w:rPr>
          <w:rFonts w:cs="Times New Roman"/>
          <w:sz w:val="24"/>
          <w:szCs w:val="24"/>
          <w:lang w:val="fr-FR"/>
        </w:rPr>
        <w:tab/>
      </w:r>
      <w:r w:rsidR="00F8476E" w:rsidRPr="00953692">
        <w:rPr>
          <w:rFonts w:cs="Times New Roman"/>
          <w:sz w:val="24"/>
          <w:szCs w:val="24"/>
          <w:lang w:val="fr-FR"/>
        </w:rPr>
        <w:t>Pacte international des droits civils et politiques</w:t>
      </w:r>
    </w:p>
    <w:p w14:paraId="16F85CA4" w14:textId="0FB51252" w:rsidR="001131F9" w:rsidRPr="00953692" w:rsidRDefault="001131F9" w:rsidP="00864BBF">
      <w:pPr>
        <w:spacing w:after="0" w:line="276" w:lineRule="auto"/>
        <w:ind w:left="708"/>
        <w:jc w:val="both"/>
        <w:rPr>
          <w:rFonts w:cs="Times New Roman"/>
          <w:sz w:val="24"/>
          <w:szCs w:val="24"/>
          <w:lang w:val="fr-FR"/>
        </w:rPr>
      </w:pPr>
      <w:r w:rsidRPr="00953692">
        <w:rPr>
          <w:rFonts w:cs="Times New Roman"/>
          <w:sz w:val="24"/>
          <w:szCs w:val="24"/>
          <w:lang w:val="fr-FR"/>
        </w:rPr>
        <w:t>RPP</w:t>
      </w:r>
      <w:r w:rsidR="00AD5D46" w:rsidRPr="00953692">
        <w:rPr>
          <w:rFonts w:cs="Times New Roman"/>
          <w:sz w:val="24"/>
          <w:szCs w:val="24"/>
          <w:lang w:val="fr-FR"/>
        </w:rPr>
        <w:t xml:space="preserve">. </w:t>
      </w:r>
      <w:r w:rsidR="00AD5D46" w:rsidRPr="00953692">
        <w:rPr>
          <w:rFonts w:cs="Times New Roman"/>
          <w:sz w:val="24"/>
          <w:szCs w:val="24"/>
          <w:lang w:val="fr-FR"/>
        </w:rPr>
        <w:tab/>
      </w:r>
      <w:r w:rsidR="00AD5D46" w:rsidRPr="00953692">
        <w:rPr>
          <w:rFonts w:cs="Times New Roman"/>
          <w:sz w:val="24"/>
          <w:szCs w:val="24"/>
          <w:lang w:val="fr-FR"/>
        </w:rPr>
        <w:tab/>
      </w:r>
      <w:r w:rsidR="00AD5D46" w:rsidRPr="00953692">
        <w:rPr>
          <w:rFonts w:cs="Times New Roman"/>
          <w:sz w:val="24"/>
          <w:szCs w:val="24"/>
          <w:lang w:val="fr-FR"/>
        </w:rPr>
        <w:tab/>
      </w:r>
      <w:r w:rsidR="007C562F" w:rsidRPr="00953692">
        <w:rPr>
          <w:rFonts w:cs="Times New Roman"/>
          <w:sz w:val="24"/>
          <w:szCs w:val="24"/>
          <w:lang w:val="fr-FR"/>
        </w:rPr>
        <w:tab/>
      </w:r>
      <w:r w:rsidR="00AD5D46" w:rsidRPr="00953692">
        <w:rPr>
          <w:rFonts w:cs="Times New Roman"/>
          <w:sz w:val="24"/>
          <w:szCs w:val="24"/>
          <w:lang w:val="fr-FR"/>
        </w:rPr>
        <w:t>Règlement de procédure et des preuves</w:t>
      </w:r>
    </w:p>
    <w:p w14:paraId="52CE7ABF" w14:textId="308C7EE0" w:rsidR="00E67439" w:rsidRPr="00953692" w:rsidRDefault="00E67439" w:rsidP="00864BBF">
      <w:pPr>
        <w:spacing w:after="0" w:line="276" w:lineRule="auto"/>
        <w:ind w:left="708"/>
        <w:jc w:val="both"/>
        <w:rPr>
          <w:rFonts w:cs="Times New Roman"/>
          <w:sz w:val="24"/>
          <w:szCs w:val="24"/>
          <w:lang w:val="fr-FR"/>
        </w:rPr>
      </w:pPr>
      <w:r w:rsidRPr="00953692">
        <w:rPr>
          <w:rFonts w:cs="Times New Roman"/>
          <w:sz w:val="24"/>
          <w:szCs w:val="24"/>
          <w:lang w:val="fr-FR"/>
        </w:rPr>
        <w:t xml:space="preserve">R.T.N.U. </w:t>
      </w:r>
      <w:r w:rsidRPr="00953692">
        <w:rPr>
          <w:rFonts w:cs="Times New Roman"/>
          <w:sz w:val="24"/>
          <w:szCs w:val="24"/>
          <w:lang w:val="fr-FR"/>
        </w:rPr>
        <w:tab/>
      </w:r>
      <w:r w:rsidRPr="00953692">
        <w:rPr>
          <w:rFonts w:cs="Times New Roman"/>
          <w:sz w:val="24"/>
          <w:szCs w:val="24"/>
          <w:lang w:val="fr-FR"/>
        </w:rPr>
        <w:tab/>
      </w:r>
      <w:r w:rsidR="007C562F" w:rsidRPr="00953692">
        <w:rPr>
          <w:rFonts w:cs="Times New Roman"/>
          <w:sz w:val="24"/>
          <w:szCs w:val="24"/>
          <w:lang w:val="fr-FR"/>
        </w:rPr>
        <w:tab/>
      </w:r>
      <w:r w:rsidRPr="00953692">
        <w:rPr>
          <w:rFonts w:cs="Times New Roman"/>
          <w:sz w:val="24"/>
          <w:szCs w:val="24"/>
          <w:lang w:val="fr-FR"/>
        </w:rPr>
        <w:t>Recueils des traités des Nations Unies</w:t>
      </w:r>
    </w:p>
    <w:p w14:paraId="383BA062" w14:textId="18EC1BDD" w:rsidR="00013BCB" w:rsidRPr="00953692" w:rsidRDefault="00013BCB" w:rsidP="00864BBF">
      <w:pPr>
        <w:spacing w:after="0" w:line="276" w:lineRule="auto"/>
        <w:ind w:left="708"/>
        <w:jc w:val="both"/>
        <w:rPr>
          <w:rFonts w:cs="Times New Roman"/>
          <w:sz w:val="24"/>
          <w:szCs w:val="24"/>
          <w:lang w:val="fr-FR"/>
        </w:rPr>
      </w:pPr>
      <w:r w:rsidRPr="00953692">
        <w:rPr>
          <w:rFonts w:cs="Times New Roman"/>
          <w:sz w:val="24"/>
          <w:szCs w:val="24"/>
          <w:lang w:val="fr-FR"/>
        </w:rPr>
        <w:t xml:space="preserve">TMI. </w:t>
      </w:r>
      <w:r w:rsidRPr="00953692">
        <w:rPr>
          <w:rFonts w:cs="Times New Roman"/>
          <w:sz w:val="24"/>
          <w:szCs w:val="24"/>
          <w:lang w:val="fr-FR"/>
        </w:rPr>
        <w:tab/>
      </w:r>
      <w:r w:rsidRPr="00953692">
        <w:rPr>
          <w:rFonts w:cs="Times New Roman"/>
          <w:sz w:val="24"/>
          <w:szCs w:val="24"/>
          <w:lang w:val="fr-FR"/>
        </w:rPr>
        <w:tab/>
      </w:r>
      <w:r w:rsidRPr="00953692">
        <w:rPr>
          <w:rFonts w:cs="Times New Roman"/>
          <w:sz w:val="24"/>
          <w:szCs w:val="24"/>
          <w:lang w:val="fr-FR"/>
        </w:rPr>
        <w:tab/>
      </w:r>
      <w:r w:rsidR="007C562F" w:rsidRPr="00953692">
        <w:rPr>
          <w:rFonts w:cs="Times New Roman"/>
          <w:sz w:val="24"/>
          <w:szCs w:val="24"/>
          <w:lang w:val="fr-FR"/>
        </w:rPr>
        <w:tab/>
      </w:r>
      <w:r w:rsidRPr="00953692">
        <w:rPr>
          <w:rFonts w:cs="Times New Roman"/>
          <w:sz w:val="24"/>
          <w:szCs w:val="24"/>
          <w:lang w:val="fr-FR"/>
        </w:rPr>
        <w:t>Tribunal Militaire international</w:t>
      </w:r>
    </w:p>
    <w:p w14:paraId="58CEE289" w14:textId="76707178" w:rsidR="00E67439" w:rsidRPr="00953692" w:rsidRDefault="00E67439" w:rsidP="00864BBF">
      <w:pPr>
        <w:spacing w:after="0" w:line="276" w:lineRule="auto"/>
        <w:ind w:left="3540" w:hanging="2832"/>
        <w:jc w:val="both"/>
        <w:rPr>
          <w:rFonts w:cs="Times New Roman"/>
          <w:sz w:val="24"/>
          <w:szCs w:val="24"/>
          <w:lang w:val="fr-FR"/>
        </w:rPr>
      </w:pPr>
      <w:r w:rsidRPr="00953692">
        <w:rPr>
          <w:rFonts w:cs="Times New Roman"/>
          <w:sz w:val="24"/>
          <w:szCs w:val="24"/>
          <w:lang w:val="fr-FR"/>
        </w:rPr>
        <w:t xml:space="preserve">TMIEO </w:t>
      </w:r>
      <w:r w:rsidRPr="00953692">
        <w:rPr>
          <w:rFonts w:cs="Times New Roman"/>
          <w:sz w:val="24"/>
          <w:szCs w:val="24"/>
          <w:lang w:val="fr-FR"/>
        </w:rPr>
        <w:tab/>
        <w:t>Le Tribunal militaire international pour l'Extrême-Orient</w:t>
      </w:r>
    </w:p>
    <w:p w14:paraId="54F0085F" w14:textId="34F5A183" w:rsidR="00013BCB" w:rsidRPr="00953692" w:rsidRDefault="00013BCB" w:rsidP="00864BBF">
      <w:pPr>
        <w:spacing w:after="0" w:line="276" w:lineRule="auto"/>
        <w:ind w:left="708"/>
        <w:jc w:val="both"/>
        <w:rPr>
          <w:rFonts w:cs="Times New Roman"/>
          <w:sz w:val="24"/>
          <w:szCs w:val="24"/>
          <w:lang w:val="fr-FR"/>
        </w:rPr>
      </w:pPr>
      <w:r w:rsidRPr="00953692">
        <w:rPr>
          <w:rFonts w:cs="Times New Roman"/>
          <w:sz w:val="24"/>
          <w:szCs w:val="24"/>
          <w:lang w:val="fr-FR"/>
        </w:rPr>
        <w:t xml:space="preserve">TPI. </w:t>
      </w:r>
      <w:r w:rsidR="00F8476E" w:rsidRPr="00953692">
        <w:rPr>
          <w:rFonts w:cs="Times New Roman"/>
          <w:sz w:val="24"/>
          <w:szCs w:val="24"/>
          <w:lang w:val="fr-FR"/>
        </w:rPr>
        <w:tab/>
      </w:r>
      <w:r w:rsidR="00F8476E" w:rsidRPr="00953692">
        <w:rPr>
          <w:rFonts w:cs="Times New Roman"/>
          <w:sz w:val="24"/>
          <w:szCs w:val="24"/>
          <w:lang w:val="fr-FR"/>
        </w:rPr>
        <w:tab/>
      </w:r>
      <w:r w:rsidR="00F8476E" w:rsidRPr="00953692">
        <w:rPr>
          <w:rFonts w:cs="Times New Roman"/>
          <w:sz w:val="24"/>
          <w:szCs w:val="24"/>
          <w:lang w:val="fr-FR"/>
        </w:rPr>
        <w:tab/>
      </w:r>
      <w:r w:rsidR="007C562F" w:rsidRPr="00953692">
        <w:rPr>
          <w:rFonts w:cs="Times New Roman"/>
          <w:sz w:val="24"/>
          <w:szCs w:val="24"/>
          <w:lang w:val="fr-FR"/>
        </w:rPr>
        <w:tab/>
      </w:r>
      <w:r w:rsidR="00F8476E" w:rsidRPr="00953692">
        <w:rPr>
          <w:rFonts w:cs="Times New Roman"/>
          <w:sz w:val="24"/>
          <w:szCs w:val="24"/>
          <w:lang w:val="fr-FR"/>
        </w:rPr>
        <w:t>Tribunal pénal international</w:t>
      </w:r>
      <w:r w:rsidR="00E67439" w:rsidRPr="00953692">
        <w:rPr>
          <w:rFonts w:cs="Times New Roman"/>
          <w:sz w:val="24"/>
          <w:szCs w:val="24"/>
          <w:lang w:val="fr-FR"/>
        </w:rPr>
        <w:t xml:space="preserve"> ad hoc</w:t>
      </w:r>
    </w:p>
    <w:p w14:paraId="70560BFE" w14:textId="519CDFE3" w:rsidR="00F02F7A" w:rsidRPr="00953692" w:rsidRDefault="00F02F7A" w:rsidP="00864BBF">
      <w:pPr>
        <w:spacing w:after="0" w:line="276" w:lineRule="auto"/>
        <w:ind w:left="3540" w:hanging="2832"/>
        <w:jc w:val="both"/>
        <w:rPr>
          <w:rFonts w:cs="Times New Roman"/>
          <w:sz w:val="24"/>
          <w:szCs w:val="24"/>
          <w:lang w:val="fr-FR"/>
        </w:rPr>
      </w:pPr>
      <w:r w:rsidRPr="00953692">
        <w:rPr>
          <w:rFonts w:cs="Times New Roman"/>
          <w:sz w:val="24"/>
          <w:szCs w:val="24"/>
          <w:lang w:val="fr-FR"/>
        </w:rPr>
        <w:t xml:space="preserve">TPIR. </w:t>
      </w:r>
      <w:r w:rsidRPr="00953692">
        <w:rPr>
          <w:rFonts w:cs="Times New Roman"/>
          <w:sz w:val="24"/>
          <w:szCs w:val="24"/>
          <w:lang w:val="fr-FR"/>
        </w:rPr>
        <w:tab/>
        <w:t>T</w:t>
      </w:r>
      <w:r w:rsidRPr="00953692">
        <w:rPr>
          <w:sz w:val="24"/>
          <w:szCs w:val="24"/>
          <w:lang w:val="fr-FR"/>
        </w:rPr>
        <w:t>ribunal pénal international chargé de poursuivre les personnes présumées responsables d’actes de génocide ou d’autres violations graves du droit international humanitaire commises sur le territoire du Rwanda et les citoyens rwandais présumés responsables de tels actes ou violations commises sur le territoire d’États voisins entre le 1er janvier et le 31 décembre 1994</w:t>
      </w:r>
    </w:p>
    <w:p w14:paraId="35DB1C21" w14:textId="503B67AF" w:rsidR="001131F9" w:rsidRPr="00953692" w:rsidRDefault="001131F9" w:rsidP="00864BBF">
      <w:pPr>
        <w:spacing w:after="0" w:line="276" w:lineRule="auto"/>
        <w:ind w:left="3540" w:hanging="2832"/>
        <w:jc w:val="both"/>
        <w:rPr>
          <w:rFonts w:cs="Times New Roman"/>
          <w:sz w:val="24"/>
          <w:szCs w:val="24"/>
          <w:lang w:val="fr-FR"/>
        </w:rPr>
      </w:pPr>
      <w:r w:rsidRPr="00953692">
        <w:rPr>
          <w:rFonts w:cs="Times New Roman"/>
          <w:sz w:val="24"/>
          <w:szCs w:val="24"/>
          <w:lang w:val="fr-FR"/>
        </w:rPr>
        <w:t>TPIY</w:t>
      </w:r>
      <w:r w:rsidR="00AD5D46" w:rsidRPr="00953692">
        <w:rPr>
          <w:rFonts w:cs="Times New Roman"/>
          <w:sz w:val="24"/>
          <w:szCs w:val="24"/>
          <w:lang w:val="fr-FR"/>
        </w:rPr>
        <w:t xml:space="preserve">. </w:t>
      </w:r>
      <w:r w:rsidR="00AD5D46" w:rsidRPr="00953692">
        <w:rPr>
          <w:rFonts w:cs="Times New Roman"/>
          <w:sz w:val="24"/>
          <w:szCs w:val="24"/>
          <w:lang w:val="fr-FR"/>
        </w:rPr>
        <w:tab/>
      </w:r>
      <w:r w:rsidR="00F02F7A" w:rsidRPr="00953692">
        <w:rPr>
          <w:sz w:val="24"/>
          <w:szCs w:val="24"/>
          <w:lang w:val="fr-FR"/>
        </w:rPr>
        <w:t>Tribunal international chargé de poursuivre les personnes   présumées responsables de violations graves du droit international humanitaire commises sur le territoire de l’ex-Yougoslavie depuis 1991</w:t>
      </w:r>
    </w:p>
    <w:p w14:paraId="2F02EDE7" w14:textId="12058922" w:rsidR="001131F9" w:rsidRPr="00953692" w:rsidRDefault="001131F9" w:rsidP="00864BBF">
      <w:pPr>
        <w:spacing w:after="0" w:line="276" w:lineRule="auto"/>
        <w:ind w:left="708"/>
        <w:jc w:val="both"/>
        <w:rPr>
          <w:rFonts w:cs="Times New Roman"/>
          <w:sz w:val="24"/>
          <w:szCs w:val="24"/>
          <w:lang w:val="fr-FR"/>
        </w:rPr>
      </w:pPr>
      <w:r w:rsidRPr="00953692">
        <w:rPr>
          <w:rFonts w:cs="Times New Roman"/>
          <w:sz w:val="24"/>
          <w:szCs w:val="24"/>
          <w:lang w:val="fr-FR"/>
        </w:rPr>
        <w:t>TSL</w:t>
      </w:r>
      <w:r w:rsidR="00AD5D46" w:rsidRPr="00953692">
        <w:rPr>
          <w:rFonts w:cs="Times New Roman"/>
          <w:sz w:val="24"/>
          <w:szCs w:val="24"/>
          <w:lang w:val="fr-FR"/>
        </w:rPr>
        <w:t xml:space="preserve">. </w:t>
      </w:r>
      <w:r w:rsidR="00AD5D46" w:rsidRPr="00953692">
        <w:rPr>
          <w:rFonts w:cs="Times New Roman"/>
          <w:sz w:val="24"/>
          <w:szCs w:val="24"/>
          <w:lang w:val="fr-FR"/>
        </w:rPr>
        <w:tab/>
      </w:r>
      <w:r w:rsidR="00AD5D46" w:rsidRPr="00953692">
        <w:rPr>
          <w:rFonts w:cs="Times New Roman"/>
          <w:sz w:val="24"/>
          <w:szCs w:val="24"/>
          <w:lang w:val="fr-FR"/>
        </w:rPr>
        <w:tab/>
      </w:r>
      <w:r w:rsidR="00AD5D46" w:rsidRPr="00953692">
        <w:rPr>
          <w:rFonts w:cs="Times New Roman"/>
          <w:sz w:val="24"/>
          <w:szCs w:val="24"/>
          <w:lang w:val="fr-FR"/>
        </w:rPr>
        <w:tab/>
      </w:r>
      <w:r w:rsidR="003C6621" w:rsidRPr="00953692">
        <w:rPr>
          <w:rFonts w:cs="Times New Roman"/>
          <w:sz w:val="24"/>
          <w:szCs w:val="24"/>
          <w:lang w:val="fr-FR"/>
        </w:rPr>
        <w:tab/>
      </w:r>
      <w:r w:rsidR="00AD5D46" w:rsidRPr="00953692">
        <w:rPr>
          <w:rFonts w:cs="Times New Roman"/>
          <w:sz w:val="24"/>
          <w:szCs w:val="24"/>
          <w:lang w:val="fr-FR"/>
        </w:rPr>
        <w:t>Tribunal spécial pour le Liban</w:t>
      </w:r>
    </w:p>
    <w:p w14:paraId="033A5FA0" w14:textId="6C21CA45" w:rsidR="001131F9" w:rsidRPr="00953692" w:rsidRDefault="001131F9" w:rsidP="00864BBF">
      <w:pPr>
        <w:spacing w:after="0" w:line="276" w:lineRule="auto"/>
        <w:ind w:left="708"/>
        <w:jc w:val="both"/>
        <w:rPr>
          <w:rFonts w:cs="Times New Roman"/>
          <w:sz w:val="24"/>
          <w:szCs w:val="24"/>
          <w:lang w:val="fr-FR"/>
        </w:rPr>
      </w:pPr>
      <w:r w:rsidRPr="00953692">
        <w:rPr>
          <w:rFonts w:cs="Times New Roman"/>
          <w:sz w:val="24"/>
          <w:szCs w:val="24"/>
          <w:lang w:val="fr-FR"/>
        </w:rPr>
        <w:t>TSSL</w:t>
      </w:r>
      <w:r w:rsidR="00AD5D46" w:rsidRPr="00953692">
        <w:rPr>
          <w:rFonts w:cs="Times New Roman"/>
          <w:sz w:val="24"/>
          <w:szCs w:val="24"/>
          <w:lang w:val="fr-FR"/>
        </w:rPr>
        <w:t xml:space="preserve">. </w:t>
      </w:r>
      <w:r w:rsidR="00AD5D46" w:rsidRPr="00953692">
        <w:rPr>
          <w:rFonts w:cs="Times New Roman"/>
          <w:sz w:val="24"/>
          <w:szCs w:val="24"/>
          <w:lang w:val="fr-FR"/>
        </w:rPr>
        <w:tab/>
      </w:r>
      <w:r w:rsidR="00AD5D46" w:rsidRPr="00953692">
        <w:rPr>
          <w:rFonts w:cs="Times New Roman"/>
          <w:sz w:val="24"/>
          <w:szCs w:val="24"/>
          <w:lang w:val="fr-FR"/>
        </w:rPr>
        <w:tab/>
      </w:r>
      <w:r w:rsidR="00AD5D46" w:rsidRPr="00953692">
        <w:rPr>
          <w:rFonts w:cs="Times New Roman"/>
          <w:sz w:val="24"/>
          <w:szCs w:val="24"/>
          <w:lang w:val="fr-FR"/>
        </w:rPr>
        <w:tab/>
      </w:r>
      <w:r w:rsidR="000C24F8" w:rsidRPr="00953692">
        <w:rPr>
          <w:rFonts w:cs="Times New Roman"/>
          <w:sz w:val="24"/>
          <w:szCs w:val="24"/>
          <w:lang w:val="fr-FR"/>
        </w:rPr>
        <w:tab/>
      </w:r>
      <w:r w:rsidR="00AD5D46" w:rsidRPr="00953692">
        <w:rPr>
          <w:rFonts w:cs="Times New Roman"/>
          <w:sz w:val="24"/>
          <w:szCs w:val="24"/>
          <w:lang w:val="fr-FR"/>
        </w:rPr>
        <w:t xml:space="preserve">Tribunal spécial pour la </w:t>
      </w:r>
      <w:r w:rsidR="00755B7F" w:rsidRPr="00953692">
        <w:rPr>
          <w:rFonts w:cs="Times New Roman"/>
          <w:sz w:val="24"/>
          <w:szCs w:val="24"/>
          <w:lang w:val="fr-FR"/>
        </w:rPr>
        <w:t>S</w:t>
      </w:r>
      <w:r w:rsidR="00AD5D46" w:rsidRPr="00953692">
        <w:rPr>
          <w:rFonts w:cs="Times New Roman"/>
          <w:sz w:val="24"/>
          <w:szCs w:val="24"/>
          <w:lang w:val="fr-FR"/>
        </w:rPr>
        <w:t xml:space="preserve">ierra </w:t>
      </w:r>
      <w:r w:rsidR="00755B7F" w:rsidRPr="00953692">
        <w:rPr>
          <w:rFonts w:cs="Times New Roman"/>
          <w:sz w:val="24"/>
          <w:szCs w:val="24"/>
          <w:lang w:val="fr-FR"/>
        </w:rPr>
        <w:t>L</w:t>
      </w:r>
      <w:r w:rsidR="00AD5D46" w:rsidRPr="00953692">
        <w:rPr>
          <w:rFonts w:cs="Times New Roman"/>
          <w:sz w:val="24"/>
          <w:szCs w:val="24"/>
          <w:lang w:val="fr-FR"/>
        </w:rPr>
        <w:t xml:space="preserve">eone </w:t>
      </w:r>
    </w:p>
    <w:p w14:paraId="1D23676B" w14:textId="5C818D2B" w:rsidR="00D945D2" w:rsidRPr="00953692" w:rsidRDefault="00981FFC" w:rsidP="00864BBF">
      <w:pPr>
        <w:spacing w:after="0" w:line="276" w:lineRule="auto"/>
        <w:ind w:left="3540" w:hanging="2832"/>
        <w:jc w:val="both"/>
        <w:rPr>
          <w:rFonts w:cs="Times New Roman"/>
          <w:sz w:val="24"/>
          <w:szCs w:val="24"/>
          <w:lang w:val="en-US"/>
        </w:rPr>
      </w:pPr>
      <w:r w:rsidRPr="00953692">
        <w:rPr>
          <w:sz w:val="24"/>
          <w:szCs w:val="24"/>
          <w:lang w:val="en-US"/>
        </w:rPr>
        <w:t>UNTAET</w:t>
      </w:r>
      <w:r w:rsidR="006D27F0" w:rsidRPr="00953692">
        <w:rPr>
          <w:sz w:val="24"/>
          <w:szCs w:val="24"/>
          <w:lang w:val="en-US"/>
        </w:rPr>
        <w:t>.</w:t>
      </w:r>
      <w:r w:rsidR="006D27F0" w:rsidRPr="00953692">
        <w:rPr>
          <w:sz w:val="24"/>
          <w:szCs w:val="24"/>
          <w:lang w:val="en-US"/>
        </w:rPr>
        <w:tab/>
        <w:t>United Nations Transitional Administration in East Timor</w:t>
      </w:r>
    </w:p>
    <w:p w14:paraId="3EAAB6EA" w14:textId="77777777" w:rsidR="00D945D2" w:rsidRPr="00953692" w:rsidRDefault="00D945D2" w:rsidP="00864BBF">
      <w:pPr>
        <w:spacing w:after="0" w:line="276" w:lineRule="auto"/>
        <w:ind w:left="708"/>
        <w:jc w:val="both"/>
        <w:rPr>
          <w:rFonts w:cs="Times New Roman"/>
          <w:sz w:val="24"/>
          <w:szCs w:val="24"/>
          <w:lang w:val="en-US"/>
        </w:rPr>
      </w:pPr>
    </w:p>
    <w:p w14:paraId="52765337" w14:textId="6DC6F98B" w:rsidR="007C3ED4" w:rsidRPr="00D14A9B" w:rsidRDefault="00B65D49" w:rsidP="00D14A9B">
      <w:pPr>
        <w:pStyle w:val="Titre1"/>
        <w:jc w:val="center"/>
        <w:rPr>
          <w:rFonts w:ascii="Times New Roman" w:hAnsi="Times New Roman"/>
          <w:b/>
          <w:bCs/>
          <w:color w:val="auto"/>
          <w:sz w:val="24"/>
          <w:szCs w:val="24"/>
          <w:lang w:val="fr-FR"/>
        </w:rPr>
      </w:pPr>
      <w:bookmarkStart w:id="3" w:name="_Toc195179401"/>
      <w:r w:rsidRPr="00D14A9B">
        <w:rPr>
          <w:rFonts w:ascii="Times New Roman" w:hAnsi="Times New Roman"/>
          <w:b/>
          <w:bCs/>
          <w:color w:val="auto"/>
          <w:sz w:val="24"/>
          <w:szCs w:val="24"/>
          <w:lang w:val="fr-FR"/>
        </w:rPr>
        <w:lastRenderedPageBreak/>
        <w:t>Introduction</w:t>
      </w:r>
      <w:bookmarkEnd w:id="3"/>
    </w:p>
    <w:p w14:paraId="59A4CD99" w14:textId="77777777" w:rsidR="00D14A9B" w:rsidRPr="00D14A9B" w:rsidRDefault="00D14A9B" w:rsidP="00D14A9B">
      <w:pPr>
        <w:rPr>
          <w:lang w:val="fr-FR" w:eastAsia="ru-RU"/>
        </w:rPr>
      </w:pPr>
    </w:p>
    <w:p w14:paraId="6083144C" w14:textId="5F563119" w:rsidR="00B9091B" w:rsidRPr="00953692" w:rsidRDefault="004C767D"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w:t>
      </w:r>
      <w:r w:rsidRPr="00953692">
        <w:rPr>
          <w:rFonts w:cs="Times New Roman"/>
          <w:sz w:val="24"/>
          <w:szCs w:val="24"/>
          <w:lang w:val="fr-FR"/>
        </w:rPr>
        <w:t xml:space="preserve"> </w:t>
      </w:r>
      <w:r w:rsidR="002B25BF" w:rsidRPr="00953692">
        <w:rPr>
          <w:rFonts w:cs="Times New Roman"/>
          <w:sz w:val="24"/>
          <w:szCs w:val="24"/>
          <w:lang w:val="fr-FR"/>
        </w:rPr>
        <w:t xml:space="preserve">Le procès pénal international est conduit de façon </w:t>
      </w:r>
      <w:r w:rsidR="002B25BF" w:rsidRPr="00953692">
        <w:rPr>
          <w:rFonts w:cs="Times New Roman"/>
          <w:i/>
          <w:iCs/>
          <w:sz w:val="24"/>
          <w:szCs w:val="24"/>
          <w:lang w:val="fr-FR"/>
        </w:rPr>
        <w:t>équitable et rapide</w:t>
      </w:r>
      <w:r w:rsidR="002B25BF" w:rsidRPr="00953692">
        <w:rPr>
          <w:rFonts w:cs="Times New Roman"/>
          <w:sz w:val="24"/>
          <w:szCs w:val="24"/>
          <w:lang w:val="fr-FR"/>
        </w:rPr>
        <w:t xml:space="preserve">. </w:t>
      </w:r>
      <w:r w:rsidR="00554EDC" w:rsidRPr="00953692">
        <w:rPr>
          <w:rFonts w:cs="Times New Roman"/>
          <w:sz w:val="24"/>
          <w:szCs w:val="24"/>
          <w:lang w:val="fr-FR"/>
        </w:rPr>
        <w:t xml:space="preserve">C’est en réalité cette exigence que l’on retrouve aujourd’hui dans tous les actes constitutifs des juridictions pénales internationales. Le </w:t>
      </w:r>
      <w:r w:rsidR="00554EDC" w:rsidRPr="00953692">
        <w:rPr>
          <w:rFonts w:eastAsia="Calibri" w:cs="Times New Roman"/>
          <w:sz w:val="24"/>
          <w:szCs w:val="24"/>
          <w:lang w:val="fr-FR"/>
        </w:rPr>
        <w:t xml:space="preserve">paragraphe 2 de l’article 64 du statut de Rome de </w:t>
      </w:r>
      <w:r w:rsidR="005F77A0" w:rsidRPr="00953692">
        <w:rPr>
          <w:rFonts w:eastAsia="Calibri" w:cs="Times New Roman"/>
          <w:sz w:val="24"/>
          <w:szCs w:val="24"/>
          <w:lang w:val="fr-FR"/>
        </w:rPr>
        <w:t xml:space="preserve">la </w:t>
      </w:r>
      <w:r w:rsidR="00554EDC" w:rsidRPr="00953692">
        <w:rPr>
          <w:rFonts w:eastAsia="Calibri" w:cs="Times New Roman"/>
          <w:sz w:val="24"/>
          <w:szCs w:val="24"/>
          <w:lang w:val="fr-FR"/>
        </w:rPr>
        <w:t>CPI prévo</w:t>
      </w:r>
      <w:r w:rsidR="00334DFD" w:rsidRPr="00953692">
        <w:rPr>
          <w:rFonts w:eastAsia="Calibri" w:cs="Times New Roman"/>
          <w:sz w:val="24"/>
          <w:szCs w:val="24"/>
          <w:lang w:val="fr-FR"/>
        </w:rPr>
        <w:t>it</w:t>
      </w:r>
      <w:r w:rsidR="00B01AB6" w:rsidRPr="00953692">
        <w:rPr>
          <w:rFonts w:eastAsia="Calibri" w:cs="Times New Roman"/>
          <w:sz w:val="24"/>
          <w:szCs w:val="24"/>
          <w:lang w:val="fr-FR"/>
        </w:rPr>
        <w:t>,</w:t>
      </w:r>
      <w:r w:rsidR="00554EDC" w:rsidRPr="00953692">
        <w:rPr>
          <w:rFonts w:eastAsia="Calibri" w:cs="Times New Roman"/>
          <w:sz w:val="24"/>
          <w:szCs w:val="24"/>
          <w:lang w:val="fr-FR"/>
        </w:rPr>
        <w:t xml:space="preserve"> que ‘’</w:t>
      </w:r>
      <w:r w:rsidR="00554EDC" w:rsidRPr="00953692">
        <w:rPr>
          <w:rFonts w:eastAsia="Calibri" w:cs="Times New Roman"/>
          <w:i/>
          <w:iCs/>
          <w:sz w:val="24"/>
          <w:szCs w:val="24"/>
          <w:lang w:val="fr-FR"/>
        </w:rPr>
        <w:t xml:space="preserve">la </w:t>
      </w:r>
      <w:r w:rsidR="00554EDC" w:rsidRPr="00953692">
        <w:rPr>
          <w:rFonts w:cs="Times New Roman"/>
          <w:i/>
          <w:iCs/>
          <w:sz w:val="24"/>
          <w:szCs w:val="24"/>
          <w:lang w:val="fr-FR"/>
        </w:rPr>
        <w:t>Chambre de première instance veille à ce que le procès soit conduit de façon équitable et avec diligence, dans le plein respect des droits de l'accusé et en ayant pleinement égard à la nécessité d'assurer la protection des victimes et des témoins’’</w:t>
      </w:r>
      <w:r w:rsidR="009C307E" w:rsidRPr="00953692">
        <w:rPr>
          <w:rStyle w:val="Appelnotedebasdep"/>
          <w:rFonts w:cs="Times New Roman"/>
          <w:i/>
          <w:iCs/>
          <w:sz w:val="24"/>
          <w:szCs w:val="24"/>
          <w:lang w:val="fr-FR"/>
        </w:rPr>
        <w:footnoteReference w:customMarkFollows="1" w:id="1"/>
        <w:t>1</w:t>
      </w:r>
      <w:r w:rsidR="00554EDC" w:rsidRPr="00953692">
        <w:rPr>
          <w:rFonts w:cs="Times New Roman"/>
          <w:sz w:val="24"/>
          <w:szCs w:val="24"/>
          <w:lang w:val="fr-FR"/>
        </w:rPr>
        <w:t xml:space="preserve">. </w:t>
      </w:r>
      <w:r w:rsidR="00320616" w:rsidRPr="00953692">
        <w:rPr>
          <w:rFonts w:cs="Times New Roman"/>
          <w:sz w:val="24"/>
          <w:szCs w:val="24"/>
          <w:lang w:val="fr-FR"/>
        </w:rPr>
        <w:t>C</w:t>
      </w:r>
      <w:r w:rsidR="00334DFD" w:rsidRPr="00953692">
        <w:rPr>
          <w:rFonts w:cs="Times New Roman"/>
          <w:sz w:val="24"/>
          <w:szCs w:val="24"/>
          <w:lang w:val="fr-FR"/>
        </w:rPr>
        <w:t xml:space="preserve">es libellés </w:t>
      </w:r>
      <w:r w:rsidR="00320616" w:rsidRPr="00953692">
        <w:rPr>
          <w:rFonts w:cs="Times New Roman"/>
          <w:sz w:val="24"/>
          <w:szCs w:val="24"/>
          <w:lang w:val="fr-FR"/>
        </w:rPr>
        <w:t>sont pratiquement les mêmes qui avaient été</w:t>
      </w:r>
      <w:r w:rsidR="00334DFD" w:rsidRPr="00953692">
        <w:rPr>
          <w:rFonts w:cs="Times New Roman"/>
          <w:sz w:val="24"/>
          <w:szCs w:val="24"/>
          <w:lang w:val="fr-FR"/>
        </w:rPr>
        <w:t xml:space="preserve"> </w:t>
      </w:r>
      <w:r w:rsidR="00320616" w:rsidRPr="00953692">
        <w:rPr>
          <w:rFonts w:cs="Times New Roman"/>
          <w:sz w:val="24"/>
          <w:szCs w:val="24"/>
          <w:lang w:val="fr-FR"/>
        </w:rPr>
        <w:t>prévus par</w:t>
      </w:r>
      <w:r w:rsidR="00334DFD" w:rsidRPr="00953692">
        <w:rPr>
          <w:rFonts w:cs="Times New Roman"/>
          <w:sz w:val="24"/>
          <w:szCs w:val="24"/>
          <w:lang w:val="fr-FR"/>
        </w:rPr>
        <w:t xml:space="preserve"> les articles 20 et 19 d</w:t>
      </w:r>
      <w:r w:rsidR="00554EDC" w:rsidRPr="00953692">
        <w:rPr>
          <w:rFonts w:cs="Times New Roman"/>
          <w:sz w:val="24"/>
          <w:szCs w:val="24"/>
          <w:lang w:val="fr-FR"/>
        </w:rPr>
        <w:t xml:space="preserve">es statuts </w:t>
      </w:r>
      <w:r w:rsidR="00334DFD" w:rsidRPr="00953692">
        <w:rPr>
          <w:rFonts w:cs="Times New Roman"/>
          <w:sz w:val="24"/>
          <w:szCs w:val="24"/>
          <w:lang w:val="fr-FR"/>
        </w:rPr>
        <w:t xml:space="preserve">respectivement </w:t>
      </w:r>
      <w:r w:rsidR="00554EDC" w:rsidRPr="00953692">
        <w:rPr>
          <w:rFonts w:cs="Times New Roman"/>
          <w:sz w:val="24"/>
          <w:szCs w:val="24"/>
          <w:lang w:val="fr-FR"/>
        </w:rPr>
        <w:t>de TPIY</w:t>
      </w:r>
      <w:r w:rsidR="009C307E" w:rsidRPr="00953692">
        <w:rPr>
          <w:rStyle w:val="Appelnotedebasdep"/>
          <w:rFonts w:cs="Times New Roman"/>
          <w:sz w:val="24"/>
          <w:szCs w:val="24"/>
          <w:lang w:val="fr-FR"/>
        </w:rPr>
        <w:footnoteReference w:customMarkFollows="1" w:id="2"/>
        <w:t>2</w:t>
      </w:r>
      <w:r w:rsidR="00554EDC" w:rsidRPr="00953692">
        <w:rPr>
          <w:rFonts w:cs="Times New Roman"/>
          <w:sz w:val="24"/>
          <w:szCs w:val="24"/>
          <w:lang w:val="fr-FR"/>
        </w:rPr>
        <w:t xml:space="preserve"> et TPIR</w:t>
      </w:r>
      <w:r w:rsidR="009C307E" w:rsidRPr="00953692">
        <w:rPr>
          <w:rStyle w:val="Appelnotedebasdep"/>
          <w:rFonts w:cs="Times New Roman"/>
          <w:sz w:val="24"/>
          <w:szCs w:val="24"/>
          <w:lang w:val="fr-FR"/>
        </w:rPr>
        <w:footnoteReference w:customMarkFollows="1" w:id="3"/>
        <w:t>3</w:t>
      </w:r>
      <w:r w:rsidR="00320616" w:rsidRPr="00953692">
        <w:rPr>
          <w:rFonts w:cs="Times New Roman"/>
          <w:sz w:val="24"/>
          <w:szCs w:val="24"/>
          <w:lang w:val="fr-FR"/>
        </w:rPr>
        <w:t> ; y compris l’article 40 de la loi n°05/L-053 du 3 août 2015 sur les chambres et parquets spécialisés du Kosovo</w:t>
      </w:r>
      <w:r w:rsidR="009C307E" w:rsidRPr="00953692">
        <w:rPr>
          <w:rStyle w:val="Appelnotedebasdep"/>
          <w:rFonts w:cs="Times New Roman"/>
          <w:sz w:val="24"/>
          <w:szCs w:val="24"/>
          <w:lang w:val="fr-FR"/>
        </w:rPr>
        <w:footnoteReference w:customMarkFollows="1" w:id="4"/>
        <w:t>4</w:t>
      </w:r>
      <w:r w:rsidR="00320616" w:rsidRPr="00953692">
        <w:rPr>
          <w:rFonts w:cs="Times New Roman"/>
          <w:sz w:val="24"/>
          <w:szCs w:val="24"/>
          <w:lang w:val="fr-FR"/>
        </w:rPr>
        <w:t>.</w:t>
      </w:r>
      <w:r w:rsidR="0033524F" w:rsidRPr="00953692">
        <w:rPr>
          <w:rFonts w:cs="Times New Roman"/>
          <w:sz w:val="24"/>
          <w:szCs w:val="24"/>
          <w:lang w:val="fr-FR"/>
        </w:rPr>
        <w:t xml:space="preserve"> </w:t>
      </w:r>
      <w:r w:rsidR="009C307E" w:rsidRPr="00953692">
        <w:rPr>
          <w:rFonts w:cs="Times New Roman"/>
          <w:sz w:val="24"/>
          <w:szCs w:val="24"/>
          <w:lang w:val="fr-FR"/>
        </w:rPr>
        <w:t>L’</w:t>
      </w:r>
      <w:r w:rsidR="009C307E" w:rsidRPr="00953692">
        <w:rPr>
          <w:sz w:val="24"/>
          <w:szCs w:val="24"/>
          <w:lang w:val="fr-FR"/>
        </w:rPr>
        <w:t>a</w:t>
      </w:r>
      <w:r w:rsidR="00956EAB" w:rsidRPr="00953692">
        <w:rPr>
          <w:sz w:val="24"/>
          <w:szCs w:val="24"/>
          <w:lang w:val="fr-FR"/>
        </w:rPr>
        <w:t xml:space="preserve">rticle 21 </w:t>
      </w:r>
      <w:r w:rsidR="009C307E" w:rsidRPr="00953692">
        <w:rPr>
          <w:sz w:val="24"/>
          <w:szCs w:val="24"/>
          <w:lang w:val="fr-FR"/>
        </w:rPr>
        <w:t xml:space="preserve">du statut du TSL exige à ce que </w:t>
      </w:r>
      <w:r w:rsidR="00857035" w:rsidRPr="00953692">
        <w:rPr>
          <w:sz w:val="24"/>
          <w:szCs w:val="24"/>
          <w:lang w:val="fr-FR"/>
        </w:rPr>
        <w:t>« </w:t>
      </w:r>
      <w:r w:rsidR="009C307E" w:rsidRPr="00953692">
        <w:rPr>
          <w:i/>
          <w:iCs/>
          <w:sz w:val="24"/>
          <w:szCs w:val="24"/>
          <w:lang w:val="fr-FR"/>
        </w:rPr>
        <w:t>l</w:t>
      </w:r>
      <w:r w:rsidR="00956EAB" w:rsidRPr="00953692">
        <w:rPr>
          <w:i/>
          <w:iCs/>
          <w:sz w:val="24"/>
          <w:szCs w:val="24"/>
          <w:lang w:val="fr-FR"/>
        </w:rPr>
        <w:t>e Tribunal limite strictement le procès, l’appel et la révision à un examen rapide des questions soulevées par les charges, des moyens d’appel ou des moyens de révision</w:t>
      </w:r>
      <w:r w:rsidR="009C307E" w:rsidRPr="00953692">
        <w:rPr>
          <w:i/>
          <w:iCs/>
          <w:sz w:val="24"/>
          <w:szCs w:val="24"/>
          <w:lang w:val="fr-FR"/>
        </w:rPr>
        <w:t xml:space="preserve"> ; </w:t>
      </w:r>
      <w:r w:rsidR="00956EAB" w:rsidRPr="00953692">
        <w:rPr>
          <w:i/>
          <w:iCs/>
          <w:sz w:val="24"/>
          <w:szCs w:val="24"/>
          <w:lang w:val="fr-FR"/>
        </w:rPr>
        <w:t>pren</w:t>
      </w:r>
      <w:r w:rsidR="009C307E" w:rsidRPr="00953692">
        <w:rPr>
          <w:i/>
          <w:iCs/>
          <w:sz w:val="24"/>
          <w:szCs w:val="24"/>
          <w:lang w:val="fr-FR"/>
        </w:rPr>
        <w:t>ant</w:t>
      </w:r>
      <w:r w:rsidR="00956EAB" w:rsidRPr="00953692">
        <w:rPr>
          <w:i/>
          <w:iCs/>
          <w:sz w:val="24"/>
          <w:szCs w:val="24"/>
          <w:lang w:val="fr-FR"/>
        </w:rPr>
        <w:t xml:space="preserve"> des mesures strictes pour éviter toute action qui entraînerait un retard non justifié</w:t>
      </w:r>
      <w:r w:rsidR="00857035" w:rsidRPr="00953692">
        <w:rPr>
          <w:sz w:val="24"/>
          <w:szCs w:val="24"/>
          <w:lang w:val="fr-FR"/>
        </w:rPr>
        <w:t> »</w:t>
      </w:r>
      <w:r w:rsidR="009C307E" w:rsidRPr="00953692">
        <w:rPr>
          <w:rStyle w:val="Appelnotedebasdep"/>
          <w:sz w:val="24"/>
          <w:szCs w:val="24"/>
          <w:lang w:val="fr-FR"/>
        </w:rPr>
        <w:footnoteReference w:customMarkFollows="1" w:id="5"/>
        <w:t>5</w:t>
      </w:r>
      <w:r w:rsidR="00B9091B" w:rsidRPr="00953692">
        <w:rPr>
          <w:rStyle w:val="Appelnotedebasdep"/>
          <w:sz w:val="24"/>
          <w:szCs w:val="24"/>
          <w:lang w:val="fr-FR"/>
        </w:rPr>
        <w:t> </w:t>
      </w:r>
      <w:r w:rsidR="00B9091B" w:rsidRPr="00953692">
        <w:rPr>
          <w:sz w:val="24"/>
          <w:szCs w:val="24"/>
          <w:lang w:val="fr-FR"/>
        </w:rPr>
        <w:t>; l’article 33 d</w:t>
      </w:r>
      <w:r w:rsidR="00D60B70" w:rsidRPr="00953692">
        <w:rPr>
          <w:sz w:val="24"/>
          <w:szCs w:val="24"/>
          <w:lang w:val="fr-FR"/>
        </w:rPr>
        <w:t xml:space="preserve">e la loi relative à la création de </w:t>
      </w:r>
      <w:r w:rsidR="00BB2808" w:rsidRPr="00953692">
        <w:rPr>
          <w:sz w:val="24"/>
          <w:szCs w:val="24"/>
          <w:lang w:val="fr-FR"/>
        </w:rPr>
        <w:t>C</w:t>
      </w:r>
      <w:r w:rsidR="0033524F" w:rsidRPr="00953692">
        <w:rPr>
          <w:sz w:val="24"/>
          <w:szCs w:val="24"/>
          <w:lang w:val="fr-FR"/>
        </w:rPr>
        <w:t>ETC</w:t>
      </w:r>
      <w:r w:rsidR="00D60B70" w:rsidRPr="00953692">
        <w:rPr>
          <w:sz w:val="24"/>
          <w:szCs w:val="24"/>
          <w:lang w:val="fr-FR"/>
        </w:rPr>
        <w:t xml:space="preserve"> évoque dans le même esprit un procès équitable et dans un délai raisonnable</w:t>
      </w:r>
      <w:r w:rsidR="00AD4BF7" w:rsidRPr="00953692">
        <w:rPr>
          <w:rStyle w:val="Appelnotedebasdep"/>
          <w:sz w:val="24"/>
          <w:szCs w:val="24"/>
          <w:lang w:val="fr-FR"/>
        </w:rPr>
        <w:footnoteReference w:customMarkFollows="1" w:id="6"/>
        <w:t>6</w:t>
      </w:r>
      <w:r w:rsidR="00D60B70" w:rsidRPr="00953692">
        <w:rPr>
          <w:sz w:val="24"/>
          <w:szCs w:val="24"/>
          <w:lang w:val="fr-FR"/>
        </w:rPr>
        <w:t>.</w:t>
      </w:r>
    </w:p>
    <w:p w14:paraId="4316E546" w14:textId="30F9EB3E" w:rsidR="00F04A48" w:rsidRPr="00953692" w:rsidRDefault="00565399" w:rsidP="00864BBF">
      <w:pPr>
        <w:spacing w:line="276" w:lineRule="auto"/>
        <w:ind w:firstLine="1134"/>
        <w:jc w:val="both"/>
        <w:rPr>
          <w:sz w:val="24"/>
          <w:szCs w:val="24"/>
          <w:lang w:val="fr-FR"/>
        </w:rPr>
      </w:pPr>
      <w:r w:rsidRPr="00953692">
        <w:rPr>
          <w:b/>
          <w:bCs/>
          <w:sz w:val="24"/>
          <w:szCs w:val="24"/>
          <w:lang w:val="fr-FR"/>
        </w:rPr>
        <w:t>2.</w:t>
      </w:r>
      <w:r w:rsidRPr="00953692">
        <w:rPr>
          <w:sz w:val="24"/>
          <w:szCs w:val="24"/>
          <w:lang w:val="fr-FR"/>
        </w:rPr>
        <w:t xml:space="preserve"> L’équité et la rapidité de la procédure </w:t>
      </w:r>
      <w:r w:rsidR="00E60499" w:rsidRPr="00953692">
        <w:rPr>
          <w:sz w:val="24"/>
          <w:szCs w:val="24"/>
          <w:lang w:val="fr-FR"/>
        </w:rPr>
        <w:t>forme</w:t>
      </w:r>
      <w:r w:rsidR="00002D14" w:rsidRPr="00953692">
        <w:rPr>
          <w:sz w:val="24"/>
          <w:szCs w:val="24"/>
          <w:lang w:val="fr-FR"/>
        </w:rPr>
        <w:t>nt</w:t>
      </w:r>
      <w:r w:rsidR="00E60499" w:rsidRPr="00953692">
        <w:rPr>
          <w:sz w:val="24"/>
          <w:szCs w:val="24"/>
          <w:lang w:val="fr-FR"/>
        </w:rPr>
        <w:t xml:space="preserve"> donc ainsi </w:t>
      </w:r>
      <w:r w:rsidR="00002D14" w:rsidRPr="00953692">
        <w:rPr>
          <w:sz w:val="24"/>
          <w:szCs w:val="24"/>
          <w:lang w:val="fr-FR"/>
        </w:rPr>
        <w:t>cet</w:t>
      </w:r>
      <w:r w:rsidR="00E60499" w:rsidRPr="00953692">
        <w:rPr>
          <w:sz w:val="24"/>
          <w:szCs w:val="24"/>
          <w:lang w:val="fr-FR"/>
        </w:rPr>
        <w:t xml:space="preserve"> archétype du procès pénal international dont l</w:t>
      </w:r>
      <w:r w:rsidR="000B37C4" w:rsidRPr="00953692">
        <w:rPr>
          <w:sz w:val="24"/>
          <w:szCs w:val="24"/>
          <w:lang w:val="fr-FR"/>
        </w:rPr>
        <w:t>’</w:t>
      </w:r>
      <w:r w:rsidR="00E60499" w:rsidRPr="00953692">
        <w:rPr>
          <w:sz w:val="24"/>
          <w:szCs w:val="24"/>
          <w:lang w:val="fr-FR"/>
        </w:rPr>
        <w:t>idée avait déjà été germé</w:t>
      </w:r>
      <w:r w:rsidR="00B01AB6" w:rsidRPr="00953692">
        <w:rPr>
          <w:sz w:val="24"/>
          <w:szCs w:val="24"/>
          <w:lang w:val="fr-FR"/>
        </w:rPr>
        <w:t>e</w:t>
      </w:r>
      <w:r w:rsidR="00E60499" w:rsidRPr="00953692">
        <w:rPr>
          <w:sz w:val="24"/>
          <w:szCs w:val="24"/>
          <w:lang w:val="fr-FR"/>
        </w:rPr>
        <w:t xml:space="preserve"> à Nuremberg. L</w:t>
      </w:r>
      <w:r w:rsidR="009368F0" w:rsidRPr="00953692">
        <w:rPr>
          <w:sz w:val="24"/>
          <w:szCs w:val="24"/>
          <w:lang w:val="fr-FR"/>
        </w:rPr>
        <w:t>e</w:t>
      </w:r>
      <w:r w:rsidR="00E60499" w:rsidRPr="00953692">
        <w:rPr>
          <w:sz w:val="24"/>
          <w:szCs w:val="24"/>
          <w:lang w:val="fr-FR"/>
        </w:rPr>
        <w:t xml:space="preserve"> statut </w:t>
      </w:r>
      <w:r w:rsidR="001E7D3E" w:rsidRPr="00953692">
        <w:rPr>
          <w:sz w:val="24"/>
          <w:szCs w:val="24"/>
          <w:lang w:val="fr-FR"/>
        </w:rPr>
        <w:t>d</w:t>
      </w:r>
      <w:r w:rsidR="00E60499" w:rsidRPr="00953692">
        <w:rPr>
          <w:sz w:val="24"/>
          <w:szCs w:val="24"/>
          <w:lang w:val="fr-FR"/>
        </w:rPr>
        <w:t xml:space="preserve">u TMI de Nuremberg </w:t>
      </w:r>
      <w:r w:rsidR="00D74D43" w:rsidRPr="00953692">
        <w:rPr>
          <w:sz w:val="24"/>
          <w:szCs w:val="24"/>
          <w:lang w:val="fr-FR"/>
        </w:rPr>
        <w:t>prévit d’organiser un procès équitable pour jug</w:t>
      </w:r>
      <w:r w:rsidR="00BB2808" w:rsidRPr="00953692">
        <w:rPr>
          <w:sz w:val="24"/>
          <w:szCs w:val="24"/>
          <w:lang w:val="fr-FR"/>
        </w:rPr>
        <w:t>er</w:t>
      </w:r>
      <w:r w:rsidR="00D74D43" w:rsidRPr="00953692">
        <w:rPr>
          <w:sz w:val="24"/>
          <w:szCs w:val="24"/>
          <w:lang w:val="fr-FR"/>
        </w:rPr>
        <w:t xml:space="preserve"> ceux que l’on qualifia </w:t>
      </w:r>
      <w:r w:rsidR="006D4204" w:rsidRPr="00953692">
        <w:rPr>
          <w:sz w:val="24"/>
          <w:szCs w:val="24"/>
          <w:lang w:val="fr-FR"/>
        </w:rPr>
        <w:t>a priori</w:t>
      </w:r>
      <w:r w:rsidR="005F77A0" w:rsidRPr="00953692">
        <w:rPr>
          <w:sz w:val="24"/>
          <w:szCs w:val="24"/>
          <w:lang w:val="fr-FR"/>
        </w:rPr>
        <w:t xml:space="preserve"> </w:t>
      </w:r>
      <w:r w:rsidR="006D4204" w:rsidRPr="00953692">
        <w:rPr>
          <w:sz w:val="24"/>
          <w:szCs w:val="24"/>
          <w:lang w:val="fr-FR"/>
        </w:rPr>
        <w:t>tout de même</w:t>
      </w:r>
      <w:r w:rsidR="00D74D43" w:rsidRPr="00953692">
        <w:rPr>
          <w:sz w:val="24"/>
          <w:szCs w:val="24"/>
          <w:lang w:val="fr-FR"/>
        </w:rPr>
        <w:t xml:space="preserve"> des ‘’grands criminels’’</w:t>
      </w:r>
      <w:r w:rsidR="00AD4BF7" w:rsidRPr="00953692">
        <w:rPr>
          <w:rStyle w:val="Appelnotedebasdep"/>
          <w:sz w:val="24"/>
          <w:szCs w:val="24"/>
          <w:lang w:val="fr-FR"/>
        </w:rPr>
        <w:footnoteReference w:customMarkFollows="1" w:id="7"/>
        <w:t>7</w:t>
      </w:r>
      <w:r w:rsidR="00D74D43" w:rsidRPr="00953692">
        <w:rPr>
          <w:sz w:val="24"/>
          <w:szCs w:val="24"/>
          <w:lang w:val="fr-FR"/>
        </w:rPr>
        <w:t xml:space="preserve">. </w:t>
      </w:r>
      <w:r w:rsidR="009368F0" w:rsidRPr="00953692">
        <w:rPr>
          <w:sz w:val="24"/>
          <w:szCs w:val="24"/>
          <w:lang w:val="fr-FR"/>
        </w:rPr>
        <w:t xml:space="preserve">En effet, </w:t>
      </w:r>
      <w:r w:rsidR="00AE2C46" w:rsidRPr="00953692">
        <w:rPr>
          <w:sz w:val="24"/>
          <w:szCs w:val="24"/>
          <w:lang w:val="fr-FR"/>
        </w:rPr>
        <w:t xml:space="preserve">d’un côté, </w:t>
      </w:r>
      <w:r w:rsidR="009368F0" w:rsidRPr="00953692">
        <w:rPr>
          <w:sz w:val="24"/>
          <w:szCs w:val="24"/>
          <w:lang w:val="fr-FR"/>
        </w:rPr>
        <w:t xml:space="preserve">l’article 16 </w:t>
      </w:r>
      <w:r w:rsidR="009368F0" w:rsidRPr="00953692">
        <w:rPr>
          <w:sz w:val="24"/>
          <w:szCs w:val="24"/>
          <w:lang w:val="fr-FR"/>
        </w:rPr>
        <w:lastRenderedPageBreak/>
        <w:t>de ce statut en donn</w:t>
      </w:r>
      <w:r w:rsidR="0033524F" w:rsidRPr="00953692">
        <w:rPr>
          <w:sz w:val="24"/>
          <w:szCs w:val="24"/>
          <w:lang w:val="fr-FR"/>
        </w:rPr>
        <w:t>ait</w:t>
      </w:r>
      <w:r w:rsidR="009368F0" w:rsidRPr="00953692">
        <w:rPr>
          <w:sz w:val="24"/>
          <w:szCs w:val="24"/>
          <w:lang w:val="fr-FR"/>
        </w:rPr>
        <w:t xml:space="preserve"> le contenu en évoquant notamment, </w:t>
      </w:r>
      <w:r w:rsidR="009368F0" w:rsidRPr="00953692">
        <w:rPr>
          <w:i/>
          <w:iCs/>
          <w:sz w:val="24"/>
          <w:szCs w:val="24"/>
          <w:lang w:val="fr-FR"/>
        </w:rPr>
        <w:t>la complétude de l’acte d’accusation, la remise à l’accusé de ceci et de tous les documents annexes traduits dans la langue qu’il comprend ; le droit de s’expliquer ; la traduction des interrogatoires ; le droit de se défendre ou de se faire assister ; et le droit d’apporter toutes preuves et de poser des questions aux témoins à charge</w:t>
      </w:r>
      <w:r w:rsidR="009368F0" w:rsidRPr="00953692">
        <w:rPr>
          <w:sz w:val="24"/>
          <w:szCs w:val="24"/>
          <w:lang w:val="fr-FR"/>
        </w:rPr>
        <w:t>.</w:t>
      </w:r>
      <w:r w:rsidR="00CF4F7F" w:rsidRPr="00953692">
        <w:rPr>
          <w:sz w:val="24"/>
          <w:szCs w:val="24"/>
          <w:lang w:val="fr-FR"/>
        </w:rPr>
        <w:t xml:space="preserve"> </w:t>
      </w:r>
      <w:r w:rsidR="00E30B93" w:rsidRPr="00953692">
        <w:rPr>
          <w:sz w:val="24"/>
          <w:szCs w:val="24"/>
          <w:lang w:val="fr-FR"/>
        </w:rPr>
        <w:t xml:space="preserve">De l’autre côté, </w:t>
      </w:r>
      <w:r w:rsidR="001B2E5D" w:rsidRPr="00953692">
        <w:rPr>
          <w:sz w:val="24"/>
          <w:szCs w:val="24"/>
          <w:lang w:val="fr-FR"/>
        </w:rPr>
        <w:t>l’article 18 trai</w:t>
      </w:r>
      <w:r w:rsidR="00743BFA" w:rsidRPr="00953692">
        <w:rPr>
          <w:sz w:val="24"/>
          <w:szCs w:val="24"/>
          <w:lang w:val="fr-FR"/>
        </w:rPr>
        <w:t>tant</w:t>
      </w:r>
      <w:r w:rsidR="001B2E5D" w:rsidRPr="00953692">
        <w:rPr>
          <w:sz w:val="24"/>
          <w:szCs w:val="24"/>
          <w:lang w:val="fr-FR"/>
        </w:rPr>
        <w:t xml:space="preserve"> de la compétence de ce </w:t>
      </w:r>
      <w:r w:rsidR="005F77A0" w:rsidRPr="00953692">
        <w:rPr>
          <w:sz w:val="24"/>
          <w:szCs w:val="24"/>
          <w:lang w:val="fr-FR"/>
        </w:rPr>
        <w:t>T</w:t>
      </w:r>
      <w:r w:rsidR="001B2E5D" w:rsidRPr="00953692">
        <w:rPr>
          <w:sz w:val="24"/>
          <w:szCs w:val="24"/>
          <w:lang w:val="fr-FR"/>
        </w:rPr>
        <w:t>ribunal, prévo</w:t>
      </w:r>
      <w:r w:rsidR="00CB463C" w:rsidRPr="00953692">
        <w:rPr>
          <w:sz w:val="24"/>
          <w:szCs w:val="24"/>
          <w:lang w:val="fr-FR"/>
        </w:rPr>
        <w:t>yai</w:t>
      </w:r>
      <w:r w:rsidR="001B2E5D" w:rsidRPr="00953692">
        <w:rPr>
          <w:sz w:val="24"/>
          <w:szCs w:val="24"/>
          <w:lang w:val="fr-FR"/>
        </w:rPr>
        <w:t>t à ce que ce dernier</w:t>
      </w:r>
      <w:r w:rsidR="00F04A48" w:rsidRPr="00953692">
        <w:rPr>
          <w:sz w:val="24"/>
          <w:szCs w:val="24"/>
          <w:lang w:val="fr-FR"/>
        </w:rPr>
        <w:t xml:space="preserve"> : </w:t>
      </w:r>
    </w:p>
    <w:p w14:paraId="72AEAD85" w14:textId="17D9C9E2" w:rsidR="001B2E5D" w:rsidRPr="00953692" w:rsidRDefault="00F04A48" w:rsidP="00864BBF">
      <w:pPr>
        <w:spacing w:line="276" w:lineRule="auto"/>
        <w:ind w:left="1134"/>
        <w:jc w:val="both"/>
        <w:rPr>
          <w:sz w:val="22"/>
          <w:lang w:val="fr-FR"/>
        </w:rPr>
      </w:pPr>
      <w:r w:rsidRPr="00953692">
        <w:rPr>
          <w:sz w:val="22"/>
          <w:lang w:val="fr-FR"/>
        </w:rPr>
        <w:t>« </w:t>
      </w:r>
      <w:r w:rsidR="00B3194F" w:rsidRPr="00953692">
        <w:rPr>
          <w:i/>
          <w:iCs/>
          <w:sz w:val="22"/>
          <w:lang w:val="fr-FR"/>
        </w:rPr>
        <w:t>a) Limite strictement le procès à un examen rapide des questions soulevées par les charges; b) Pren</w:t>
      </w:r>
      <w:r w:rsidR="005F77A0" w:rsidRPr="00953692">
        <w:rPr>
          <w:i/>
          <w:iCs/>
          <w:sz w:val="22"/>
          <w:lang w:val="fr-FR"/>
        </w:rPr>
        <w:t>ne</w:t>
      </w:r>
      <w:r w:rsidR="00B3194F" w:rsidRPr="00953692">
        <w:rPr>
          <w:i/>
          <w:iCs/>
          <w:sz w:val="22"/>
          <w:lang w:val="fr-FR"/>
        </w:rPr>
        <w:t xml:space="preserve"> des mesures strictes pour éviter toute action qui entraînerait un retard non justifié, et écarte toutes questions et déclarations étrangères au procès, de quelque nature qu'elles soient; c) Agi</w:t>
      </w:r>
      <w:r w:rsidR="005F77A0" w:rsidRPr="00953692">
        <w:rPr>
          <w:i/>
          <w:iCs/>
          <w:sz w:val="22"/>
          <w:lang w:val="fr-FR"/>
        </w:rPr>
        <w:t>sse</w:t>
      </w:r>
      <w:r w:rsidR="00B3194F" w:rsidRPr="00953692">
        <w:rPr>
          <w:i/>
          <w:iCs/>
          <w:sz w:val="22"/>
          <w:lang w:val="fr-FR"/>
        </w:rPr>
        <w:t xml:space="preserve"> sommairement en ce qui concerne les perturbateurs en leur infligeant une juste sanction, y compris l'exclusion d'un accusé ou de son défenseur de certaines phases de la procédure ou de toutes les phases </w:t>
      </w:r>
      <w:r w:rsidRPr="00953692">
        <w:rPr>
          <w:i/>
          <w:iCs/>
          <w:sz w:val="22"/>
          <w:lang w:val="fr-FR"/>
        </w:rPr>
        <w:t>u</w:t>
      </w:r>
      <w:r w:rsidR="00B3194F" w:rsidRPr="00953692">
        <w:rPr>
          <w:i/>
          <w:iCs/>
          <w:sz w:val="22"/>
          <w:lang w:val="fr-FR"/>
        </w:rPr>
        <w:t>ltérieures, mais sans que cela empêche de décider sur les charges</w:t>
      </w:r>
      <w:r w:rsidRPr="00953692">
        <w:rPr>
          <w:sz w:val="22"/>
          <w:lang w:val="fr-FR"/>
        </w:rPr>
        <w:t> »</w:t>
      </w:r>
      <w:r w:rsidR="00B3194F" w:rsidRPr="00953692">
        <w:rPr>
          <w:sz w:val="22"/>
          <w:lang w:val="fr-FR"/>
        </w:rPr>
        <w:t xml:space="preserve">. </w:t>
      </w:r>
    </w:p>
    <w:p w14:paraId="797ADFB6" w14:textId="3515C661" w:rsidR="00B53855" w:rsidRPr="00953692" w:rsidRDefault="000B6806" w:rsidP="00864BBF">
      <w:pPr>
        <w:spacing w:after="0" w:line="276" w:lineRule="auto"/>
        <w:ind w:firstLine="1134"/>
        <w:jc w:val="both"/>
        <w:rPr>
          <w:sz w:val="24"/>
          <w:szCs w:val="24"/>
          <w:lang w:val="fr-FR"/>
        </w:rPr>
      </w:pPr>
      <w:r w:rsidRPr="00953692">
        <w:rPr>
          <w:b/>
          <w:bCs/>
          <w:sz w:val="24"/>
          <w:szCs w:val="24"/>
          <w:lang w:val="fr-FR"/>
        </w:rPr>
        <w:t>3.</w:t>
      </w:r>
      <w:r w:rsidRPr="00953692">
        <w:rPr>
          <w:sz w:val="24"/>
          <w:szCs w:val="24"/>
          <w:lang w:val="fr-FR"/>
        </w:rPr>
        <w:t xml:space="preserve"> </w:t>
      </w:r>
      <w:r w:rsidR="00F04A48" w:rsidRPr="00953692">
        <w:rPr>
          <w:sz w:val="24"/>
          <w:szCs w:val="24"/>
          <w:lang w:val="fr-FR"/>
        </w:rPr>
        <w:t>En outre, faisant suite à cette disposition, l’article 19 dispos</w:t>
      </w:r>
      <w:r w:rsidR="00743BFA" w:rsidRPr="00953692">
        <w:rPr>
          <w:sz w:val="24"/>
          <w:szCs w:val="24"/>
          <w:lang w:val="fr-FR"/>
        </w:rPr>
        <w:t>ait</w:t>
      </w:r>
      <w:r w:rsidR="00F04A48" w:rsidRPr="00953692">
        <w:rPr>
          <w:sz w:val="24"/>
          <w:szCs w:val="24"/>
          <w:lang w:val="fr-FR"/>
        </w:rPr>
        <w:t xml:space="preserve"> </w:t>
      </w:r>
      <w:r w:rsidR="00F04A48" w:rsidRPr="00953692">
        <w:rPr>
          <w:i/>
          <w:iCs/>
          <w:sz w:val="24"/>
          <w:szCs w:val="24"/>
          <w:lang w:val="fr-FR"/>
        </w:rPr>
        <w:t xml:space="preserve">que « le </w:t>
      </w:r>
      <w:r w:rsidR="00B3194F" w:rsidRPr="00953692">
        <w:rPr>
          <w:i/>
          <w:iCs/>
          <w:sz w:val="24"/>
          <w:szCs w:val="24"/>
          <w:lang w:val="fr-FR"/>
        </w:rPr>
        <w:t>Tribunal ne sera pas lié par les règles techniques relatives à l'administration des preuves. Il adoptera et appliquera autant que possible une procédure rapide et non formaliste et admettra tout moyen qu'il estimera avoir une valeur probante</w:t>
      </w:r>
      <w:r w:rsidR="00F04A48" w:rsidRPr="00953692">
        <w:rPr>
          <w:i/>
          <w:iCs/>
          <w:sz w:val="24"/>
          <w:szCs w:val="24"/>
          <w:lang w:val="fr-FR"/>
        </w:rPr>
        <w:t> »</w:t>
      </w:r>
      <w:r w:rsidR="00B3194F" w:rsidRPr="00953692">
        <w:rPr>
          <w:sz w:val="24"/>
          <w:szCs w:val="24"/>
          <w:lang w:val="fr-FR"/>
        </w:rPr>
        <w:t>.</w:t>
      </w:r>
      <w:r w:rsidR="000B37C4" w:rsidRPr="00953692">
        <w:rPr>
          <w:sz w:val="24"/>
          <w:szCs w:val="24"/>
          <w:lang w:val="fr-FR"/>
        </w:rPr>
        <w:t xml:space="preserve"> Il en ressort une volonté plutôt claire d’organiser un procès pénal à la fois équitable et rapide. </w:t>
      </w:r>
      <w:r w:rsidR="00146BB1" w:rsidRPr="00953692">
        <w:rPr>
          <w:sz w:val="24"/>
          <w:szCs w:val="24"/>
          <w:lang w:val="fr-FR"/>
        </w:rPr>
        <w:t xml:space="preserve">La preuve, nonobstant la grande complexité de ce procès, il a fallu qu’un délai de moins d’une année (du 20 </w:t>
      </w:r>
      <w:r w:rsidR="0033524F" w:rsidRPr="00953692">
        <w:rPr>
          <w:sz w:val="24"/>
          <w:szCs w:val="24"/>
          <w:lang w:val="fr-FR"/>
        </w:rPr>
        <w:t>nov.</w:t>
      </w:r>
      <w:r w:rsidR="00146BB1" w:rsidRPr="00953692">
        <w:rPr>
          <w:sz w:val="24"/>
          <w:szCs w:val="24"/>
          <w:lang w:val="fr-FR"/>
        </w:rPr>
        <w:t xml:space="preserve"> 1945 au 1</w:t>
      </w:r>
      <w:r w:rsidR="00146BB1" w:rsidRPr="00953692">
        <w:rPr>
          <w:sz w:val="24"/>
          <w:szCs w:val="24"/>
          <w:vertAlign w:val="superscript"/>
          <w:lang w:val="fr-FR"/>
        </w:rPr>
        <w:t>er</w:t>
      </w:r>
      <w:r w:rsidR="00146BB1" w:rsidRPr="00953692">
        <w:rPr>
          <w:sz w:val="24"/>
          <w:szCs w:val="24"/>
          <w:lang w:val="fr-FR"/>
        </w:rPr>
        <w:t xml:space="preserve"> oct</w:t>
      </w:r>
      <w:r w:rsidR="0033524F" w:rsidRPr="00953692">
        <w:rPr>
          <w:sz w:val="24"/>
          <w:szCs w:val="24"/>
          <w:lang w:val="fr-FR"/>
        </w:rPr>
        <w:t>.</w:t>
      </w:r>
      <w:r w:rsidR="00146BB1" w:rsidRPr="00953692">
        <w:rPr>
          <w:sz w:val="24"/>
          <w:szCs w:val="24"/>
          <w:lang w:val="fr-FR"/>
        </w:rPr>
        <w:t xml:space="preserve"> 1946)</w:t>
      </w:r>
      <w:r w:rsidR="006D3665" w:rsidRPr="00953692">
        <w:rPr>
          <w:rStyle w:val="Appelnotedebasdep"/>
          <w:sz w:val="24"/>
          <w:szCs w:val="24"/>
          <w:lang w:val="fr-FR"/>
        </w:rPr>
        <w:footnoteReference w:customMarkFollows="1" w:id="8"/>
        <w:t>8</w:t>
      </w:r>
      <w:r w:rsidR="00146BB1" w:rsidRPr="00953692">
        <w:rPr>
          <w:sz w:val="24"/>
          <w:szCs w:val="24"/>
          <w:lang w:val="fr-FR"/>
        </w:rPr>
        <w:t xml:space="preserve"> pour juger ces grands criminels.</w:t>
      </w:r>
      <w:r w:rsidR="00500011" w:rsidRPr="00953692">
        <w:rPr>
          <w:sz w:val="24"/>
          <w:szCs w:val="24"/>
          <w:lang w:val="fr-FR"/>
        </w:rPr>
        <w:t xml:space="preserve"> </w:t>
      </w:r>
    </w:p>
    <w:p w14:paraId="44B6FA37" w14:textId="4A74D395" w:rsidR="00B3194F" w:rsidRPr="00953692" w:rsidRDefault="00E04715" w:rsidP="00864BBF">
      <w:pPr>
        <w:spacing w:after="0" w:line="276" w:lineRule="auto"/>
        <w:ind w:firstLine="1134"/>
        <w:jc w:val="both"/>
        <w:rPr>
          <w:sz w:val="24"/>
          <w:szCs w:val="24"/>
          <w:lang w:val="fr-FR"/>
        </w:rPr>
      </w:pPr>
      <w:r w:rsidRPr="00953692">
        <w:rPr>
          <w:b/>
          <w:bCs/>
          <w:sz w:val="24"/>
          <w:szCs w:val="24"/>
          <w:lang w:val="fr-FR"/>
        </w:rPr>
        <w:t>4.</w:t>
      </w:r>
      <w:r w:rsidRPr="00953692">
        <w:rPr>
          <w:sz w:val="24"/>
          <w:szCs w:val="24"/>
          <w:lang w:val="fr-FR"/>
        </w:rPr>
        <w:t xml:space="preserve"> </w:t>
      </w:r>
      <w:r w:rsidR="00DE0866" w:rsidRPr="00953692">
        <w:rPr>
          <w:sz w:val="24"/>
          <w:szCs w:val="24"/>
          <w:lang w:val="fr-FR"/>
        </w:rPr>
        <w:t>Dans son magnifique ouvrage abordant les questions du délai raisonnable devant les juridictions pénales internationales, Marie Nicolas affirme pertinemment que « la notion du procès équitable</w:t>
      </w:r>
      <w:r w:rsidR="00B01AB6" w:rsidRPr="00953692">
        <w:rPr>
          <w:sz w:val="24"/>
          <w:szCs w:val="24"/>
          <w:lang w:val="fr-FR"/>
        </w:rPr>
        <w:t>,</w:t>
      </w:r>
      <w:r w:rsidR="00DE0866" w:rsidRPr="00953692">
        <w:rPr>
          <w:sz w:val="24"/>
          <w:szCs w:val="24"/>
          <w:lang w:val="fr-FR"/>
        </w:rPr>
        <w:t xml:space="preserve"> qui est aujourd’hui le socle de tout procès pénale</w:t>
      </w:r>
      <w:r w:rsidR="006D3665" w:rsidRPr="00953692">
        <w:rPr>
          <w:rStyle w:val="Appelnotedebasdep"/>
          <w:sz w:val="24"/>
          <w:szCs w:val="24"/>
          <w:lang w:val="fr-FR"/>
        </w:rPr>
        <w:footnoteReference w:customMarkFollows="1" w:id="9"/>
        <w:t>9</w:t>
      </w:r>
      <w:r w:rsidR="00DE0866" w:rsidRPr="00953692">
        <w:rPr>
          <w:sz w:val="24"/>
          <w:szCs w:val="24"/>
          <w:lang w:val="fr-FR"/>
        </w:rPr>
        <w:t>, est apparue dans les procès d’après la seconde Guerre mondiale »</w:t>
      </w:r>
      <w:r w:rsidR="006D3665" w:rsidRPr="00953692">
        <w:rPr>
          <w:rStyle w:val="Appelnotedebasdep"/>
          <w:sz w:val="24"/>
          <w:szCs w:val="24"/>
          <w:lang w:val="fr-FR"/>
        </w:rPr>
        <w:footnoteReference w:customMarkFollows="1" w:id="10"/>
        <w:t>10</w:t>
      </w:r>
      <w:r w:rsidR="00DE0866" w:rsidRPr="00953692">
        <w:rPr>
          <w:sz w:val="24"/>
          <w:szCs w:val="24"/>
          <w:lang w:val="fr-FR"/>
        </w:rPr>
        <w:t>. Cette affirmation est scientifiquement prouvable, plus particulièrement en droit international pénal</w:t>
      </w:r>
      <w:r w:rsidR="00136804" w:rsidRPr="00953692">
        <w:rPr>
          <w:sz w:val="24"/>
          <w:szCs w:val="24"/>
          <w:lang w:val="fr-FR"/>
        </w:rPr>
        <w:t xml:space="preserve">, </w:t>
      </w:r>
      <w:r w:rsidR="0033524F" w:rsidRPr="00953692">
        <w:rPr>
          <w:sz w:val="24"/>
          <w:szCs w:val="24"/>
          <w:lang w:val="fr-FR"/>
        </w:rPr>
        <w:t xml:space="preserve">et </w:t>
      </w:r>
      <w:r w:rsidR="00E67439" w:rsidRPr="00953692">
        <w:rPr>
          <w:sz w:val="24"/>
          <w:szCs w:val="24"/>
          <w:lang w:val="fr-FR"/>
        </w:rPr>
        <w:t>dont</w:t>
      </w:r>
      <w:r w:rsidR="00DE0866" w:rsidRPr="00953692">
        <w:rPr>
          <w:sz w:val="24"/>
          <w:szCs w:val="24"/>
          <w:lang w:val="fr-FR"/>
        </w:rPr>
        <w:t xml:space="preserve"> le procès de Nuremberg</w:t>
      </w:r>
      <w:r w:rsidR="00136804" w:rsidRPr="00953692">
        <w:rPr>
          <w:sz w:val="24"/>
          <w:szCs w:val="24"/>
          <w:lang w:val="fr-FR"/>
        </w:rPr>
        <w:t xml:space="preserve"> </w:t>
      </w:r>
      <w:r w:rsidR="00DE0866" w:rsidRPr="00953692">
        <w:rPr>
          <w:sz w:val="24"/>
          <w:szCs w:val="24"/>
          <w:lang w:val="fr-FR"/>
        </w:rPr>
        <w:t>s</w:t>
      </w:r>
      <w:r w:rsidR="00136804" w:rsidRPr="00953692">
        <w:rPr>
          <w:sz w:val="24"/>
          <w:szCs w:val="24"/>
          <w:lang w:val="fr-FR"/>
        </w:rPr>
        <w:t>’en</w:t>
      </w:r>
      <w:r w:rsidR="00E67439" w:rsidRPr="00953692">
        <w:rPr>
          <w:sz w:val="24"/>
          <w:szCs w:val="24"/>
          <w:lang w:val="fr-FR"/>
        </w:rPr>
        <w:t xml:space="preserve"> étant</w:t>
      </w:r>
      <w:r w:rsidR="00DE0866" w:rsidRPr="00953692">
        <w:rPr>
          <w:sz w:val="24"/>
          <w:szCs w:val="24"/>
          <w:lang w:val="fr-FR"/>
        </w:rPr>
        <w:t xml:space="preserve"> </w:t>
      </w:r>
      <w:r w:rsidR="00E67439" w:rsidRPr="00953692">
        <w:rPr>
          <w:sz w:val="24"/>
          <w:szCs w:val="24"/>
          <w:lang w:val="fr-FR"/>
        </w:rPr>
        <w:t>révélé</w:t>
      </w:r>
      <w:r w:rsidR="0033524F" w:rsidRPr="00953692">
        <w:rPr>
          <w:sz w:val="24"/>
          <w:szCs w:val="24"/>
          <w:lang w:val="fr-FR"/>
        </w:rPr>
        <w:t xml:space="preserve"> indubitablement</w:t>
      </w:r>
      <w:r w:rsidR="00DE0866" w:rsidRPr="00953692">
        <w:rPr>
          <w:sz w:val="24"/>
          <w:szCs w:val="24"/>
          <w:lang w:val="fr-FR"/>
        </w:rPr>
        <w:t xml:space="preserve"> un moment fondateur à la fois sur le plan théorique (les actes constitutifs) et pratique (le jugement)</w:t>
      </w:r>
      <w:r w:rsidR="00E77A0C" w:rsidRPr="00953692">
        <w:rPr>
          <w:rStyle w:val="Appelnotedebasdep"/>
          <w:sz w:val="24"/>
          <w:szCs w:val="24"/>
          <w:lang w:val="fr-FR"/>
        </w:rPr>
        <w:footnoteReference w:customMarkFollows="1" w:id="11"/>
        <w:t>11</w:t>
      </w:r>
      <w:r w:rsidR="00136804" w:rsidRPr="00953692">
        <w:rPr>
          <w:sz w:val="24"/>
          <w:szCs w:val="24"/>
          <w:lang w:val="fr-FR"/>
        </w:rPr>
        <w:t>,</w:t>
      </w:r>
      <w:r w:rsidR="00DB7368" w:rsidRPr="00953692">
        <w:rPr>
          <w:sz w:val="24"/>
          <w:szCs w:val="24"/>
          <w:lang w:val="fr-FR"/>
        </w:rPr>
        <w:t xml:space="preserve"> a donc</w:t>
      </w:r>
      <w:r w:rsidR="00136804" w:rsidRPr="00953692">
        <w:rPr>
          <w:sz w:val="24"/>
          <w:szCs w:val="24"/>
          <w:lang w:val="fr-FR"/>
        </w:rPr>
        <w:t xml:space="preserve"> </w:t>
      </w:r>
      <w:r w:rsidR="00E67439" w:rsidRPr="00953692">
        <w:rPr>
          <w:sz w:val="24"/>
          <w:szCs w:val="24"/>
          <w:lang w:val="fr-FR"/>
        </w:rPr>
        <w:t>aussi incontestablement</w:t>
      </w:r>
      <w:r w:rsidR="00DB7368" w:rsidRPr="00953692">
        <w:rPr>
          <w:sz w:val="24"/>
          <w:szCs w:val="24"/>
          <w:lang w:val="fr-FR"/>
        </w:rPr>
        <w:t xml:space="preserve"> </w:t>
      </w:r>
      <w:r w:rsidR="00136804" w:rsidRPr="00953692">
        <w:rPr>
          <w:sz w:val="24"/>
          <w:szCs w:val="24"/>
          <w:lang w:val="fr-FR"/>
        </w:rPr>
        <w:t>c</w:t>
      </w:r>
      <w:r w:rsidR="00DB7368" w:rsidRPr="00953692">
        <w:rPr>
          <w:sz w:val="24"/>
          <w:szCs w:val="24"/>
          <w:lang w:val="fr-FR"/>
        </w:rPr>
        <w:t>e mérite d’avoir posé les bases d’une justice pénale internationale équitable et rapide.</w:t>
      </w:r>
      <w:r w:rsidR="0033524F" w:rsidRPr="00953692">
        <w:rPr>
          <w:sz w:val="24"/>
          <w:szCs w:val="24"/>
          <w:lang w:val="fr-FR"/>
        </w:rPr>
        <w:t xml:space="preserve"> Il faut dire d’emblée que le procès de Nuremberg et celui de Tokyo </w:t>
      </w:r>
      <w:r w:rsidR="0033524F" w:rsidRPr="00953692">
        <w:rPr>
          <w:sz w:val="24"/>
          <w:szCs w:val="24"/>
          <w:lang w:val="fr-FR"/>
        </w:rPr>
        <w:lastRenderedPageBreak/>
        <w:t>ont été aussi marqués par leur rapidité, reflétant, à n’en point douter, le vœu des alliés de juger les grands criminels avec une célérité remarquable.</w:t>
      </w:r>
    </w:p>
    <w:p w14:paraId="1D4B9C30" w14:textId="51FCE1B4" w:rsidR="00ED43E7" w:rsidRPr="00953692" w:rsidRDefault="00E04715" w:rsidP="00864BBF">
      <w:pPr>
        <w:spacing w:after="0" w:line="276" w:lineRule="auto"/>
        <w:ind w:firstLine="1134"/>
        <w:jc w:val="both"/>
        <w:rPr>
          <w:sz w:val="24"/>
          <w:szCs w:val="24"/>
          <w:lang w:val="fr-FR"/>
        </w:rPr>
      </w:pPr>
      <w:r w:rsidRPr="00953692">
        <w:rPr>
          <w:b/>
          <w:bCs/>
          <w:sz w:val="24"/>
          <w:szCs w:val="24"/>
          <w:lang w:val="fr-FR"/>
        </w:rPr>
        <w:t>5</w:t>
      </w:r>
      <w:r w:rsidR="00E96C06" w:rsidRPr="00953692">
        <w:rPr>
          <w:b/>
          <w:bCs/>
          <w:sz w:val="24"/>
          <w:szCs w:val="24"/>
          <w:lang w:val="fr-FR"/>
        </w:rPr>
        <w:t>.</w:t>
      </w:r>
      <w:r w:rsidR="00E96C06" w:rsidRPr="00953692">
        <w:rPr>
          <w:sz w:val="24"/>
          <w:szCs w:val="24"/>
          <w:lang w:val="fr-FR"/>
        </w:rPr>
        <w:t xml:space="preserve"> Dans la littérature juridique, plus p</w:t>
      </w:r>
      <w:r w:rsidR="00E96D58" w:rsidRPr="00953692">
        <w:rPr>
          <w:sz w:val="24"/>
          <w:szCs w:val="24"/>
          <w:lang w:val="fr-FR"/>
        </w:rPr>
        <w:t>récisé</w:t>
      </w:r>
      <w:r w:rsidR="00E96C06" w:rsidRPr="00953692">
        <w:rPr>
          <w:sz w:val="24"/>
          <w:szCs w:val="24"/>
          <w:lang w:val="fr-FR"/>
        </w:rPr>
        <w:t xml:space="preserve">ment en droit pénal, cette association intéressante </w:t>
      </w:r>
      <w:r w:rsidR="00091F60" w:rsidRPr="00953692">
        <w:rPr>
          <w:sz w:val="24"/>
          <w:szCs w:val="24"/>
          <w:lang w:val="fr-FR"/>
        </w:rPr>
        <w:t>de l’équité et de la rapidité avait déjà été</w:t>
      </w:r>
      <w:r w:rsidR="00F502DC" w:rsidRPr="00953692">
        <w:rPr>
          <w:sz w:val="24"/>
          <w:szCs w:val="24"/>
          <w:lang w:val="fr-FR"/>
        </w:rPr>
        <w:t xml:space="preserve"> subtilement</w:t>
      </w:r>
      <w:r w:rsidR="00091F60" w:rsidRPr="00953692">
        <w:rPr>
          <w:sz w:val="24"/>
          <w:szCs w:val="24"/>
          <w:lang w:val="fr-FR"/>
        </w:rPr>
        <w:t xml:space="preserve"> évoquée par Beccaria dans son emblématique Traité des délits et des peines </w:t>
      </w:r>
      <w:r w:rsidR="00F502DC" w:rsidRPr="00953692">
        <w:rPr>
          <w:sz w:val="24"/>
          <w:szCs w:val="24"/>
          <w:lang w:val="fr-FR"/>
        </w:rPr>
        <w:t xml:space="preserve">de 1764 </w:t>
      </w:r>
      <w:r w:rsidR="00091F60" w:rsidRPr="00953692">
        <w:rPr>
          <w:sz w:val="24"/>
          <w:szCs w:val="24"/>
          <w:lang w:val="fr-FR"/>
        </w:rPr>
        <w:t>en ces termes :</w:t>
      </w:r>
      <w:r w:rsidR="00D16410" w:rsidRPr="00953692">
        <w:rPr>
          <w:sz w:val="24"/>
          <w:szCs w:val="24"/>
          <w:lang w:val="fr-FR"/>
        </w:rPr>
        <w:t xml:space="preserve"> « </w:t>
      </w:r>
      <w:r w:rsidR="00E52A60" w:rsidRPr="00953692">
        <w:rPr>
          <w:rFonts w:eastAsia="Calibri" w:cs="Times New Roman"/>
          <w:i/>
          <w:iCs/>
          <w:sz w:val="24"/>
          <w:szCs w:val="24"/>
          <w:lang w:val="fr-FR"/>
        </w:rPr>
        <w:t>une fois les preuves ont été reconnues valables et la certitude du délit est établie, il faut accorder à l’accusé le temps et les moyens nécessaires pour se justifier ; mais ce temps doit être assez bref pour ne pas compromettre la promptitude du châtiment, dont le but principal est de refréner les délits</w:t>
      </w:r>
      <w:r w:rsidR="00E52A60" w:rsidRPr="00953692">
        <w:rPr>
          <w:rFonts w:eastAsia="Calibri" w:cs="Times New Roman"/>
          <w:sz w:val="24"/>
          <w:szCs w:val="24"/>
          <w:lang w:val="fr-FR"/>
        </w:rPr>
        <w:t> »</w:t>
      </w:r>
      <w:r w:rsidR="006D3665" w:rsidRPr="00953692">
        <w:rPr>
          <w:rStyle w:val="Appelnotedebasdep"/>
          <w:sz w:val="24"/>
          <w:szCs w:val="24"/>
          <w:lang w:val="fr-FR"/>
        </w:rPr>
        <w:footnoteReference w:customMarkFollows="1" w:id="12"/>
        <w:t>11</w:t>
      </w:r>
      <w:r w:rsidR="00E52A60" w:rsidRPr="00953692">
        <w:rPr>
          <w:sz w:val="24"/>
          <w:szCs w:val="24"/>
          <w:lang w:val="fr-FR"/>
        </w:rPr>
        <w:t xml:space="preserve">. </w:t>
      </w:r>
    </w:p>
    <w:p w14:paraId="1671BCB1" w14:textId="67EB3D10" w:rsidR="002E02E3" w:rsidRPr="00953692" w:rsidRDefault="00E04715" w:rsidP="00864BBF">
      <w:pPr>
        <w:spacing w:after="0" w:line="276" w:lineRule="auto"/>
        <w:ind w:firstLine="1134"/>
        <w:jc w:val="both"/>
        <w:rPr>
          <w:sz w:val="24"/>
          <w:szCs w:val="24"/>
          <w:lang w:val="fr-FR"/>
        </w:rPr>
      </w:pPr>
      <w:r w:rsidRPr="00953692">
        <w:rPr>
          <w:b/>
          <w:bCs/>
          <w:sz w:val="24"/>
          <w:szCs w:val="24"/>
          <w:lang w:val="fr-FR"/>
        </w:rPr>
        <w:t>6.</w:t>
      </w:r>
      <w:r w:rsidRPr="00953692">
        <w:rPr>
          <w:sz w:val="24"/>
          <w:szCs w:val="24"/>
          <w:lang w:val="fr-FR"/>
        </w:rPr>
        <w:t xml:space="preserve"> </w:t>
      </w:r>
      <w:r w:rsidR="004E48E6" w:rsidRPr="00953692">
        <w:rPr>
          <w:sz w:val="24"/>
          <w:szCs w:val="24"/>
          <w:lang w:val="fr-FR"/>
        </w:rPr>
        <w:t>S’il est évidemment difficile de paraphraser cet auteur du haut de s</w:t>
      </w:r>
      <w:r w:rsidR="00BA6E19" w:rsidRPr="00953692">
        <w:rPr>
          <w:sz w:val="24"/>
          <w:szCs w:val="24"/>
          <w:lang w:val="fr-FR"/>
        </w:rPr>
        <w:t>on autorité</w:t>
      </w:r>
      <w:r w:rsidR="004E48E6" w:rsidRPr="00953692">
        <w:rPr>
          <w:sz w:val="24"/>
          <w:szCs w:val="24"/>
          <w:lang w:val="fr-FR"/>
        </w:rPr>
        <w:t xml:space="preserve"> scientifique,</w:t>
      </w:r>
      <w:r w:rsidR="00F502DC" w:rsidRPr="00953692">
        <w:rPr>
          <w:sz w:val="24"/>
          <w:szCs w:val="24"/>
          <w:lang w:val="fr-FR"/>
        </w:rPr>
        <w:t xml:space="preserve"> notamment en cette matière,</w:t>
      </w:r>
      <w:r w:rsidR="004E48E6" w:rsidRPr="00953692">
        <w:rPr>
          <w:sz w:val="24"/>
          <w:szCs w:val="24"/>
          <w:lang w:val="fr-FR"/>
        </w:rPr>
        <w:t xml:space="preserve"> ce passage nous parait du moins d’une clarté évidente</w:t>
      </w:r>
      <w:r w:rsidR="00744282" w:rsidRPr="00953692">
        <w:rPr>
          <w:sz w:val="24"/>
          <w:szCs w:val="24"/>
          <w:lang w:val="fr-FR"/>
        </w:rPr>
        <w:t>,</w:t>
      </w:r>
      <w:r w:rsidR="00F502DC" w:rsidRPr="00953692">
        <w:rPr>
          <w:sz w:val="24"/>
          <w:szCs w:val="24"/>
          <w:lang w:val="fr-FR"/>
        </w:rPr>
        <w:t xml:space="preserve"> étant donné que</w:t>
      </w:r>
      <w:r w:rsidR="004E48E6" w:rsidRPr="00953692">
        <w:rPr>
          <w:sz w:val="24"/>
          <w:szCs w:val="24"/>
          <w:lang w:val="fr-FR"/>
        </w:rPr>
        <w:t xml:space="preserve"> l’auteur évoque l’idée de reposer les poursuites pénales sur une certitude des faits tout en donnant à l’accusé le temps de s</w:t>
      </w:r>
      <w:r w:rsidR="006D4204" w:rsidRPr="00953692">
        <w:rPr>
          <w:sz w:val="24"/>
          <w:szCs w:val="24"/>
          <w:lang w:val="fr-FR"/>
        </w:rPr>
        <w:t>’en</w:t>
      </w:r>
      <w:r w:rsidR="004E48E6" w:rsidRPr="00953692">
        <w:rPr>
          <w:sz w:val="24"/>
          <w:szCs w:val="24"/>
          <w:lang w:val="fr-FR"/>
        </w:rPr>
        <w:t xml:space="preserve"> défendre ;</w:t>
      </w:r>
      <w:r w:rsidR="00070825" w:rsidRPr="00953692">
        <w:rPr>
          <w:sz w:val="24"/>
          <w:szCs w:val="24"/>
          <w:lang w:val="fr-FR"/>
        </w:rPr>
        <w:t xml:space="preserve"> </w:t>
      </w:r>
      <w:r w:rsidR="004E48E6" w:rsidRPr="00953692">
        <w:rPr>
          <w:sz w:val="24"/>
          <w:szCs w:val="24"/>
          <w:lang w:val="fr-FR"/>
        </w:rPr>
        <w:t>de veiller à ce que le temps du procès soit moins long afin que la répression ait tout son sens.</w:t>
      </w:r>
      <w:r w:rsidR="008743CE" w:rsidRPr="00953692">
        <w:rPr>
          <w:sz w:val="24"/>
          <w:szCs w:val="24"/>
          <w:lang w:val="fr-FR"/>
        </w:rPr>
        <w:t xml:space="preserve"> Il y a un mélange</w:t>
      </w:r>
      <w:r w:rsidR="006A5FE9" w:rsidRPr="00953692">
        <w:rPr>
          <w:sz w:val="24"/>
          <w:szCs w:val="24"/>
          <w:lang w:val="fr-FR"/>
        </w:rPr>
        <w:t xml:space="preserve"> </w:t>
      </w:r>
      <w:r w:rsidR="00070825" w:rsidRPr="00953692">
        <w:rPr>
          <w:sz w:val="24"/>
          <w:szCs w:val="24"/>
          <w:lang w:val="fr-FR"/>
        </w:rPr>
        <w:t>intéressant</w:t>
      </w:r>
      <w:r w:rsidR="008743CE" w:rsidRPr="00953692">
        <w:rPr>
          <w:sz w:val="24"/>
          <w:szCs w:val="24"/>
          <w:lang w:val="fr-FR"/>
        </w:rPr>
        <w:t xml:space="preserve"> de rigidité du droit pénal et d’humanisme judiciaire qui fut sans nul doute le résultat de ce vent révolutionnaire qui souffla durant le XVIIIe siècle. </w:t>
      </w:r>
    </w:p>
    <w:p w14:paraId="6DD794F4" w14:textId="3B38FDDC" w:rsidR="005541CB" w:rsidRPr="00953692" w:rsidRDefault="004E48E6" w:rsidP="00864BBF">
      <w:pPr>
        <w:spacing w:after="0" w:line="276" w:lineRule="auto"/>
        <w:ind w:firstLine="1134"/>
        <w:jc w:val="both"/>
        <w:rPr>
          <w:sz w:val="24"/>
          <w:szCs w:val="24"/>
          <w:lang w:val="fr-FR"/>
        </w:rPr>
      </w:pPr>
      <w:r w:rsidRPr="00953692">
        <w:rPr>
          <w:b/>
          <w:bCs/>
          <w:sz w:val="24"/>
          <w:szCs w:val="24"/>
          <w:lang w:val="fr-FR"/>
        </w:rPr>
        <w:t xml:space="preserve"> </w:t>
      </w:r>
      <w:r w:rsidR="00E04715" w:rsidRPr="00953692">
        <w:rPr>
          <w:b/>
          <w:bCs/>
          <w:sz w:val="24"/>
          <w:szCs w:val="24"/>
          <w:lang w:val="fr-FR"/>
        </w:rPr>
        <w:t>7</w:t>
      </w:r>
      <w:r w:rsidR="00E91D97" w:rsidRPr="00953692">
        <w:rPr>
          <w:b/>
          <w:bCs/>
          <w:sz w:val="24"/>
          <w:szCs w:val="24"/>
          <w:lang w:val="fr-FR"/>
        </w:rPr>
        <w:t xml:space="preserve">. </w:t>
      </w:r>
      <w:r w:rsidR="00AC2EEE" w:rsidRPr="00953692">
        <w:rPr>
          <w:sz w:val="24"/>
          <w:szCs w:val="24"/>
          <w:lang w:val="fr-FR"/>
        </w:rPr>
        <w:t>A en croire ce passage,</w:t>
      </w:r>
      <w:r w:rsidR="00AC2EEE" w:rsidRPr="00953692">
        <w:rPr>
          <w:b/>
          <w:bCs/>
          <w:sz w:val="24"/>
          <w:szCs w:val="24"/>
          <w:lang w:val="fr-FR"/>
        </w:rPr>
        <w:t xml:space="preserve"> </w:t>
      </w:r>
      <w:r w:rsidR="00AC2EEE" w:rsidRPr="00953692">
        <w:rPr>
          <w:sz w:val="24"/>
          <w:szCs w:val="24"/>
          <w:lang w:val="fr-FR"/>
        </w:rPr>
        <w:t>l</w:t>
      </w:r>
      <w:r w:rsidR="0052394A" w:rsidRPr="00953692">
        <w:rPr>
          <w:sz w:val="24"/>
          <w:szCs w:val="24"/>
          <w:lang w:val="fr-FR"/>
        </w:rPr>
        <w:t xml:space="preserve">a rapidité du procès est associée à la finalité </w:t>
      </w:r>
      <w:r w:rsidR="00070825" w:rsidRPr="00953692">
        <w:rPr>
          <w:sz w:val="24"/>
          <w:szCs w:val="24"/>
          <w:lang w:val="fr-FR"/>
        </w:rPr>
        <w:t xml:space="preserve">même </w:t>
      </w:r>
      <w:r w:rsidR="0052394A" w:rsidRPr="00953692">
        <w:rPr>
          <w:sz w:val="24"/>
          <w:szCs w:val="24"/>
          <w:lang w:val="fr-FR"/>
        </w:rPr>
        <w:t>du droit pénal.</w:t>
      </w:r>
      <w:r w:rsidR="000D2AC3" w:rsidRPr="00953692">
        <w:rPr>
          <w:sz w:val="24"/>
          <w:szCs w:val="24"/>
          <w:lang w:val="fr-FR"/>
        </w:rPr>
        <w:t xml:space="preserve"> On dirait que</w:t>
      </w:r>
      <w:r w:rsidR="00484245" w:rsidRPr="00953692">
        <w:rPr>
          <w:sz w:val="24"/>
          <w:szCs w:val="24"/>
          <w:lang w:val="fr-FR"/>
        </w:rPr>
        <w:t>,</w:t>
      </w:r>
      <w:r w:rsidR="000D2AC3" w:rsidRPr="00953692">
        <w:rPr>
          <w:sz w:val="24"/>
          <w:szCs w:val="24"/>
          <w:lang w:val="fr-FR"/>
        </w:rPr>
        <w:t xml:space="preserve"> cette question est inhérente au fonctionnement d’une justice</w:t>
      </w:r>
      <w:r w:rsidR="00BB2808" w:rsidRPr="00953692">
        <w:rPr>
          <w:sz w:val="24"/>
          <w:szCs w:val="24"/>
          <w:lang w:val="fr-FR"/>
        </w:rPr>
        <w:t xml:space="preserve"> pénale</w:t>
      </w:r>
      <w:r w:rsidR="000D2AC3" w:rsidRPr="00953692">
        <w:rPr>
          <w:sz w:val="24"/>
          <w:szCs w:val="24"/>
          <w:lang w:val="fr-FR"/>
        </w:rPr>
        <w:t xml:space="preserve"> ; </w:t>
      </w:r>
      <w:r w:rsidR="00BA6E19" w:rsidRPr="00953692">
        <w:rPr>
          <w:sz w:val="24"/>
          <w:szCs w:val="24"/>
          <w:lang w:val="fr-FR"/>
        </w:rPr>
        <w:t>celle-ci</w:t>
      </w:r>
      <w:r w:rsidR="000D2AC3" w:rsidRPr="00953692">
        <w:rPr>
          <w:sz w:val="24"/>
          <w:szCs w:val="24"/>
          <w:lang w:val="fr-FR"/>
        </w:rPr>
        <w:t xml:space="preserve"> doit être </w:t>
      </w:r>
      <w:r w:rsidR="00070825" w:rsidRPr="00953692">
        <w:rPr>
          <w:sz w:val="24"/>
          <w:szCs w:val="24"/>
          <w:lang w:val="fr-FR"/>
        </w:rPr>
        <w:t xml:space="preserve">notamment </w:t>
      </w:r>
      <w:r w:rsidR="000D2AC3" w:rsidRPr="00953692">
        <w:rPr>
          <w:sz w:val="24"/>
          <w:szCs w:val="24"/>
          <w:lang w:val="fr-FR"/>
        </w:rPr>
        <w:t>rapide</w:t>
      </w:r>
      <w:r w:rsidR="00BA6E19" w:rsidRPr="00953692">
        <w:rPr>
          <w:sz w:val="24"/>
          <w:szCs w:val="24"/>
          <w:lang w:val="fr-FR"/>
        </w:rPr>
        <w:t>.</w:t>
      </w:r>
      <w:r w:rsidR="00B218FB" w:rsidRPr="00953692">
        <w:rPr>
          <w:sz w:val="24"/>
          <w:szCs w:val="24"/>
          <w:lang w:val="fr-FR"/>
        </w:rPr>
        <w:t xml:space="preserve"> Franklin Kuty</w:t>
      </w:r>
      <w:r w:rsidR="005539DD" w:rsidRPr="00953692">
        <w:rPr>
          <w:sz w:val="24"/>
          <w:szCs w:val="24"/>
          <w:lang w:val="fr-FR"/>
        </w:rPr>
        <w:t xml:space="preserve"> </w:t>
      </w:r>
      <w:r w:rsidR="00BA6E19" w:rsidRPr="00953692">
        <w:rPr>
          <w:sz w:val="24"/>
          <w:szCs w:val="24"/>
          <w:lang w:val="fr-FR"/>
        </w:rPr>
        <w:t xml:space="preserve">soutient </w:t>
      </w:r>
      <w:r w:rsidR="005539DD" w:rsidRPr="00953692">
        <w:rPr>
          <w:sz w:val="24"/>
          <w:szCs w:val="24"/>
          <w:lang w:val="fr-FR"/>
        </w:rPr>
        <w:t xml:space="preserve">dans son ouvrage sur la justice pénale et procès </w:t>
      </w:r>
      <w:r w:rsidR="00DB7368" w:rsidRPr="00953692">
        <w:rPr>
          <w:sz w:val="24"/>
          <w:szCs w:val="24"/>
          <w:lang w:val="fr-FR"/>
        </w:rPr>
        <w:t>équitable «</w:t>
      </w:r>
      <w:r w:rsidR="00B218FB" w:rsidRPr="00953692">
        <w:rPr>
          <w:sz w:val="24"/>
          <w:szCs w:val="24"/>
          <w:lang w:val="fr-FR"/>
        </w:rPr>
        <w:t> </w:t>
      </w:r>
      <w:r w:rsidR="00BA6E19" w:rsidRPr="00953692">
        <w:rPr>
          <w:sz w:val="24"/>
          <w:szCs w:val="24"/>
          <w:lang w:val="fr-FR"/>
        </w:rPr>
        <w:t>qu’</w:t>
      </w:r>
      <w:r w:rsidR="00B218FB" w:rsidRPr="00953692">
        <w:rPr>
          <w:sz w:val="24"/>
          <w:szCs w:val="24"/>
          <w:lang w:val="fr-FR"/>
        </w:rPr>
        <w:t>une justice rétive</w:t>
      </w:r>
      <w:r w:rsidR="00DB7368" w:rsidRPr="00953692">
        <w:rPr>
          <w:sz w:val="24"/>
          <w:szCs w:val="24"/>
          <w:lang w:val="fr-FR"/>
        </w:rPr>
        <w:t xml:space="preserve"> est une </w:t>
      </w:r>
      <w:r w:rsidR="00B218FB" w:rsidRPr="00953692">
        <w:rPr>
          <w:sz w:val="24"/>
          <w:szCs w:val="24"/>
          <w:lang w:val="fr-FR"/>
        </w:rPr>
        <w:t>justice fautive »</w:t>
      </w:r>
      <w:r w:rsidR="00067065" w:rsidRPr="00953692">
        <w:rPr>
          <w:rStyle w:val="Appelnotedebasdep"/>
          <w:sz w:val="24"/>
          <w:szCs w:val="24"/>
          <w:lang w:val="fr-FR"/>
        </w:rPr>
        <w:footnoteReference w:customMarkFollows="1" w:id="13"/>
        <w:t>12</w:t>
      </w:r>
      <w:r w:rsidR="00394170" w:rsidRPr="00953692">
        <w:rPr>
          <w:rStyle w:val="Appelnotedebasdep"/>
          <w:sz w:val="24"/>
          <w:szCs w:val="24"/>
          <w:lang w:val="fr-FR"/>
        </w:rPr>
        <w:t> </w:t>
      </w:r>
      <w:r w:rsidR="00394170" w:rsidRPr="00953692">
        <w:rPr>
          <w:sz w:val="24"/>
          <w:szCs w:val="24"/>
          <w:lang w:val="fr-FR"/>
        </w:rPr>
        <w:t>; les retards imputables à la justice sont une faute. A</w:t>
      </w:r>
      <w:r w:rsidR="003477F1" w:rsidRPr="00953692">
        <w:rPr>
          <w:sz w:val="24"/>
          <w:szCs w:val="24"/>
          <w:lang w:val="fr-FR"/>
        </w:rPr>
        <w:t>u</w:t>
      </w:r>
      <w:r w:rsidR="00EF6594" w:rsidRPr="00953692">
        <w:rPr>
          <w:sz w:val="24"/>
          <w:szCs w:val="24"/>
          <w:lang w:val="fr-FR"/>
        </w:rPr>
        <w:t xml:space="preserve"> </w:t>
      </w:r>
      <w:r w:rsidR="007E25F1" w:rsidRPr="00953692">
        <w:rPr>
          <w:sz w:val="24"/>
          <w:szCs w:val="24"/>
          <w:lang w:val="fr-FR"/>
        </w:rPr>
        <w:t>XIXe</w:t>
      </w:r>
      <w:r w:rsidR="00EF6594" w:rsidRPr="00953692">
        <w:rPr>
          <w:sz w:val="24"/>
          <w:szCs w:val="24"/>
          <w:lang w:val="fr-FR"/>
        </w:rPr>
        <w:t xml:space="preserve"> siècle, Faustin Hélie, partisan de l’application de la prescription pour tous</w:t>
      </w:r>
      <w:r w:rsidR="00BB2808" w:rsidRPr="00953692">
        <w:rPr>
          <w:sz w:val="24"/>
          <w:szCs w:val="24"/>
          <w:lang w:val="fr-FR"/>
        </w:rPr>
        <w:t xml:space="preserve"> les crimes</w:t>
      </w:r>
      <w:r w:rsidR="00067065" w:rsidRPr="00953692">
        <w:rPr>
          <w:rStyle w:val="Appelnotedebasdep"/>
          <w:sz w:val="24"/>
          <w:szCs w:val="24"/>
          <w:lang w:val="fr-FR"/>
        </w:rPr>
        <w:footnoteReference w:customMarkFollows="1" w:id="14"/>
        <w:t>13</w:t>
      </w:r>
      <w:r w:rsidR="00394170" w:rsidRPr="00953692">
        <w:rPr>
          <w:sz w:val="24"/>
          <w:szCs w:val="24"/>
          <w:lang w:val="fr-FR"/>
        </w:rPr>
        <w:t xml:space="preserve">, </w:t>
      </w:r>
      <w:r w:rsidR="003477F1" w:rsidRPr="00953692">
        <w:rPr>
          <w:sz w:val="24"/>
          <w:szCs w:val="24"/>
          <w:lang w:val="fr-FR"/>
        </w:rPr>
        <w:t>affirmait que,</w:t>
      </w:r>
      <w:r w:rsidR="00EF6594" w:rsidRPr="00953692">
        <w:rPr>
          <w:sz w:val="24"/>
          <w:szCs w:val="24"/>
          <w:lang w:val="fr-FR"/>
        </w:rPr>
        <w:t xml:space="preserve"> </w:t>
      </w:r>
      <w:r w:rsidR="003477F1" w:rsidRPr="00953692">
        <w:rPr>
          <w:sz w:val="24"/>
          <w:szCs w:val="24"/>
          <w:lang w:val="fr-FR"/>
        </w:rPr>
        <w:t>« </w:t>
      </w:r>
      <w:r w:rsidR="00EF6594" w:rsidRPr="00953692">
        <w:rPr>
          <w:sz w:val="24"/>
          <w:szCs w:val="24"/>
          <w:lang w:val="fr-FR"/>
        </w:rPr>
        <w:t>la peine trop longtemps attendue prend quelque chose de cruel et même d’injuste »</w:t>
      </w:r>
      <w:r w:rsidR="00067065" w:rsidRPr="00953692">
        <w:rPr>
          <w:rStyle w:val="Appelnotedebasdep"/>
          <w:sz w:val="24"/>
          <w:szCs w:val="24"/>
          <w:lang w:val="fr-FR"/>
        </w:rPr>
        <w:footnoteReference w:customMarkFollows="1" w:id="15"/>
        <w:t>14</w:t>
      </w:r>
      <w:r w:rsidR="00EF6594" w:rsidRPr="00953692">
        <w:rPr>
          <w:sz w:val="24"/>
          <w:szCs w:val="24"/>
          <w:lang w:val="fr-FR"/>
        </w:rPr>
        <w:t>.</w:t>
      </w:r>
      <w:r w:rsidR="007E25F1" w:rsidRPr="00953692">
        <w:rPr>
          <w:sz w:val="24"/>
          <w:szCs w:val="24"/>
          <w:lang w:val="fr-FR"/>
        </w:rPr>
        <w:t xml:space="preserve"> </w:t>
      </w:r>
      <w:r w:rsidR="00E417F0" w:rsidRPr="00953692">
        <w:rPr>
          <w:sz w:val="24"/>
          <w:szCs w:val="24"/>
          <w:lang w:val="fr-FR"/>
        </w:rPr>
        <w:t>Dans le cadre d’une analyse soutenant l’établissement des délais de prescription</w:t>
      </w:r>
      <w:r w:rsidR="00DB7368" w:rsidRPr="00953692">
        <w:rPr>
          <w:sz w:val="24"/>
          <w:szCs w:val="24"/>
          <w:lang w:val="fr-FR"/>
        </w:rPr>
        <w:t xml:space="preserve"> pour toutes les infractions</w:t>
      </w:r>
      <w:r w:rsidR="00E417F0" w:rsidRPr="00953692">
        <w:rPr>
          <w:sz w:val="24"/>
          <w:szCs w:val="24"/>
          <w:lang w:val="fr-FR"/>
        </w:rPr>
        <w:t xml:space="preserve">, il va sans dire que l’auteur vise la promptitude de la justice pénale ; les infractions doivent être réprimées </w:t>
      </w:r>
      <w:r w:rsidR="00953692">
        <w:rPr>
          <w:sz w:val="24"/>
          <w:szCs w:val="24"/>
          <w:lang w:val="fr-FR"/>
        </w:rPr>
        <w:t>dans</w:t>
      </w:r>
      <w:r w:rsidR="00E417F0" w:rsidRPr="00953692">
        <w:rPr>
          <w:sz w:val="24"/>
          <w:szCs w:val="24"/>
          <w:lang w:val="fr-FR"/>
        </w:rPr>
        <w:t xml:space="preserve"> un laps de temps</w:t>
      </w:r>
      <w:r w:rsidR="00DB7368" w:rsidRPr="00953692">
        <w:rPr>
          <w:sz w:val="24"/>
          <w:szCs w:val="24"/>
          <w:lang w:val="fr-FR"/>
        </w:rPr>
        <w:t>,</w:t>
      </w:r>
      <w:r w:rsidR="00E417F0" w:rsidRPr="00953692">
        <w:rPr>
          <w:sz w:val="24"/>
          <w:szCs w:val="24"/>
          <w:lang w:val="fr-FR"/>
        </w:rPr>
        <w:t xml:space="preserve"> qui soit à la fois déterminé et beaucoup moins long</w:t>
      </w:r>
      <w:r w:rsidR="00307B35" w:rsidRPr="00953692">
        <w:rPr>
          <w:sz w:val="24"/>
          <w:szCs w:val="24"/>
          <w:lang w:val="fr-FR"/>
        </w:rPr>
        <w:t>.</w:t>
      </w:r>
      <w:r w:rsidR="00394170" w:rsidRPr="00953692">
        <w:rPr>
          <w:sz w:val="24"/>
          <w:szCs w:val="24"/>
          <w:lang w:val="fr-FR"/>
        </w:rPr>
        <w:t xml:space="preserve"> </w:t>
      </w:r>
    </w:p>
    <w:p w14:paraId="61934945" w14:textId="0FD33B93" w:rsidR="00EF6594" w:rsidRPr="00953692" w:rsidRDefault="00E04715" w:rsidP="00864BBF">
      <w:pPr>
        <w:spacing w:after="0" w:line="276" w:lineRule="auto"/>
        <w:ind w:firstLine="1134"/>
        <w:jc w:val="both"/>
        <w:rPr>
          <w:sz w:val="24"/>
          <w:szCs w:val="24"/>
          <w:lang w:val="fr-FR"/>
        </w:rPr>
      </w:pPr>
      <w:r w:rsidRPr="00953692">
        <w:rPr>
          <w:b/>
          <w:bCs/>
          <w:sz w:val="24"/>
          <w:szCs w:val="24"/>
          <w:lang w:val="fr-FR"/>
        </w:rPr>
        <w:t>8</w:t>
      </w:r>
      <w:r w:rsidR="005541CB" w:rsidRPr="00953692">
        <w:rPr>
          <w:b/>
          <w:bCs/>
          <w:sz w:val="24"/>
          <w:szCs w:val="24"/>
          <w:lang w:val="fr-FR"/>
        </w:rPr>
        <w:t>.</w:t>
      </w:r>
      <w:r w:rsidR="005541CB" w:rsidRPr="00953692">
        <w:rPr>
          <w:sz w:val="24"/>
          <w:szCs w:val="24"/>
          <w:lang w:val="fr-FR"/>
        </w:rPr>
        <w:t xml:space="preserve"> </w:t>
      </w:r>
      <w:r w:rsidR="00E417F0" w:rsidRPr="00953692">
        <w:rPr>
          <w:sz w:val="24"/>
          <w:szCs w:val="24"/>
          <w:lang w:val="fr-FR"/>
        </w:rPr>
        <w:t xml:space="preserve">Il </w:t>
      </w:r>
      <w:r w:rsidR="007E25F1" w:rsidRPr="00953692">
        <w:rPr>
          <w:sz w:val="24"/>
          <w:szCs w:val="24"/>
          <w:lang w:val="fr-FR"/>
        </w:rPr>
        <w:t>en découle</w:t>
      </w:r>
      <w:r w:rsidR="00E417F0" w:rsidRPr="00953692">
        <w:rPr>
          <w:sz w:val="24"/>
          <w:szCs w:val="24"/>
          <w:lang w:val="fr-FR"/>
        </w:rPr>
        <w:t xml:space="preserve"> </w:t>
      </w:r>
      <w:r w:rsidR="007E25F1" w:rsidRPr="00953692">
        <w:rPr>
          <w:sz w:val="24"/>
          <w:szCs w:val="24"/>
          <w:lang w:val="fr-FR"/>
        </w:rPr>
        <w:t>que</w:t>
      </w:r>
      <w:r w:rsidR="00E417F0" w:rsidRPr="00953692">
        <w:rPr>
          <w:sz w:val="24"/>
          <w:szCs w:val="24"/>
          <w:lang w:val="fr-FR"/>
        </w:rPr>
        <w:t>,</w:t>
      </w:r>
      <w:r w:rsidR="007E25F1" w:rsidRPr="00953692">
        <w:rPr>
          <w:sz w:val="24"/>
          <w:szCs w:val="24"/>
          <w:lang w:val="fr-FR"/>
        </w:rPr>
        <w:t xml:space="preserve"> la </w:t>
      </w:r>
      <w:r w:rsidR="00916323" w:rsidRPr="00953692">
        <w:rPr>
          <w:sz w:val="24"/>
          <w:szCs w:val="24"/>
          <w:lang w:val="fr-FR"/>
        </w:rPr>
        <w:t xml:space="preserve">question de la </w:t>
      </w:r>
      <w:r w:rsidR="007E25F1" w:rsidRPr="00953692">
        <w:rPr>
          <w:sz w:val="24"/>
          <w:szCs w:val="24"/>
          <w:lang w:val="fr-FR"/>
        </w:rPr>
        <w:t xml:space="preserve">rapidité est une valeur </w:t>
      </w:r>
      <w:r w:rsidR="00916323" w:rsidRPr="00953692">
        <w:rPr>
          <w:sz w:val="24"/>
          <w:szCs w:val="24"/>
          <w:lang w:val="fr-FR"/>
        </w:rPr>
        <w:t xml:space="preserve">indissociable </w:t>
      </w:r>
      <w:r w:rsidR="007E25F1" w:rsidRPr="00953692">
        <w:rPr>
          <w:sz w:val="24"/>
          <w:szCs w:val="24"/>
          <w:lang w:val="fr-FR"/>
        </w:rPr>
        <w:t>de toute justice pénale</w:t>
      </w:r>
      <w:r w:rsidR="00916323" w:rsidRPr="00953692">
        <w:rPr>
          <w:sz w:val="24"/>
          <w:szCs w:val="24"/>
          <w:lang w:val="fr-FR"/>
        </w:rPr>
        <w:t>, car elle garantit l’applicabilité des normes du droit pénal. Puisqu’elle touche au fonctionnement même de la justice</w:t>
      </w:r>
      <w:r w:rsidR="003651F1" w:rsidRPr="00953692">
        <w:rPr>
          <w:sz w:val="24"/>
          <w:szCs w:val="24"/>
          <w:lang w:val="fr-FR"/>
        </w:rPr>
        <w:t xml:space="preserve"> pénale </w:t>
      </w:r>
      <w:r w:rsidR="00BB2808" w:rsidRPr="00953692">
        <w:rPr>
          <w:sz w:val="24"/>
          <w:szCs w:val="24"/>
          <w:lang w:val="fr-FR"/>
        </w:rPr>
        <w:t>(</w:t>
      </w:r>
      <w:r w:rsidR="003651F1" w:rsidRPr="00953692">
        <w:rPr>
          <w:sz w:val="24"/>
          <w:szCs w:val="24"/>
          <w:lang w:val="fr-FR"/>
        </w:rPr>
        <w:t>internationale)</w:t>
      </w:r>
      <w:r w:rsidR="00067065" w:rsidRPr="00953692">
        <w:rPr>
          <w:rStyle w:val="Appelnotedebasdep"/>
          <w:sz w:val="24"/>
          <w:szCs w:val="24"/>
          <w:lang w:val="fr-FR"/>
        </w:rPr>
        <w:footnoteReference w:customMarkFollows="1" w:id="16"/>
        <w:t>15</w:t>
      </w:r>
      <w:r w:rsidR="00916323" w:rsidRPr="00953692">
        <w:rPr>
          <w:sz w:val="24"/>
          <w:szCs w:val="24"/>
          <w:lang w:val="fr-FR"/>
        </w:rPr>
        <w:t xml:space="preserve">, la rapidité </w:t>
      </w:r>
      <w:r w:rsidR="003651F1" w:rsidRPr="00953692">
        <w:rPr>
          <w:sz w:val="24"/>
          <w:szCs w:val="24"/>
          <w:lang w:val="fr-FR"/>
        </w:rPr>
        <w:t xml:space="preserve">ou encore la célérité </w:t>
      </w:r>
      <w:r w:rsidR="00002D14" w:rsidRPr="00953692">
        <w:rPr>
          <w:sz w:val="24"/>
          <w:szCs w:val="24"/>
          <w:lang w:val="fr-FR"/>
        </w:rPr>
        <w:t xml:space="preserve">de la procédure </w:t>
      </w:r>
      <w:r w:rsidR="007567A6" w:rsidRPr="00953692">
        <w:rPr>
          <w:sz w:val="24"/>
          <w:szCs w:val="24"/>
          <w:lang w:val="fr-FR"/>
        </w:rPr>
        <w:t>s’avère être</w:t>
      </w:r>
      <w:r w:rsidR="00916323" w:rsidRPr="00953692">
        <w:rPr>
          <w:sz w:val="24"/>
          <w:szCs w:val="24"/>
          <w:lang w:val="fr-FR"/>
        </w:rPr>
        <w:t xml:space="preserve"> une notion inclusive, </w:t>
      </w:r>
      <w:r w:rsidR="007567A6" w:rsidRPr="00953692">
        <w:rPr>
          <w:sz w:val="24"/>
          <w:szCs w:val="24"/>
          <w:lang w:val="fr-FR"/>
        </w:rPr>
        <w:t>en ce</w:t>
      </w:r>
      <w:r w:rsidR="00916323" w:rsidRPr="00953692">
        <w:rPr>
          <w:sz w:val="24"/>
          <w:szCs w:val="24"/>
          <w:lang w:val="fr-FR"/>
        </w:rPr>
        <w:t xml:space="preserve"> qu’elle profite à la fois à la Communauté</w:t>
      </w:r>
      <w:r w:rsidR="007567A6" w:rsidRPr="00953692">
        <w:rPr>
          <w:sz w:val="24"/>
          <w:szCs w:val="24"/>
          <w:lang w:val="fr-FR"/>
        </w:rPr>
        <w:t xml:space="preserve"> directement</w:t>
      </w:r>
      <w:r w:rsidR="00916323" w:rsidRPr="00953692">
        <w:rPr>
          <w:sz w:val="24"/>
          <w:szCs w:val="24"/>
          <w:lang w:val="fr-FR"/>
        </w:rPr>
        <w:t xml:space="preserve"> affectée par le crime</w:t>
      </w:r>
      <w:r w:rsidR="007567A6" w:rsidRPr="00953692">
        <w:rPr>
          <w:sz w:val="24"/>
          <w:szCs w:val="24"/>
          <w:lang w:val="fr-FR"/>
        </w:rPr>
        <w:t xml:space="preserve"> (y compris la Communauté </w:t>
      </w:r>
      <w:r w:rsidR="007567A6" w:rsidRPr="00953692">
        <w:rPr>
          <w:sz w:val="24"/>
          <w:szCs w:val="24"/>
          <w:lang w:val="fr-FR"/>
        </w:rPr>
        <w:lastRenderedPageBreak/>
        <w:t>internationale dans le cadre de cette étude)</w:t>
      </w:r>
      <w:r w:rsidR="00916323" w:rsidRPr="00953692">
        <w:rPr>
          <w:sz w:val="24"/>
          <w:szCs w:val="24"/>
          <w:lang w:val="fr-FR"/>
        </w:rPr>
        <w:t>, les victimes</w:t>
      </w:r>
      <w:r w:rsidR="003651F1" w:rsidRPr="00953692">
        <w:rPr>
          <w:sz w:val="24"/>
          <w:szCs w:val="24"/>
          <w:lang w:val="fr-FR"/>
        </w:rPr>
        <w:t xml:space="preserve"> de ceci</w:t>
      </w:r>
      <w:r w:rsidR="00916323" w:rsidRPr="00953692">
        <w:rPr>
          <w:sz w:val="24"/>
          <w:szCs w:val="24"/>
          <w:lang w:val="fr-FR"/>
        </w:rPr>
        <w:t xml:space="preserve"> ou toute personne intéressée, mais aussi </w:t>
      </w:r>
      <w:r w:rsidR="003651F1" w:rsidRPr="00953692">
        <w:rPr>
          <w:sz w:val="24"/>
          <w:szCs w:val="24"/>
          <w:lang w:val="fr-FR"/>
        </w:rPr>
        <w:t xml:space="preserve">à </w:t>
      </w:r>
      <w:r w:rsidR="00916323" w:rsidRPr="00953692">
        <w:rPr>
          <w:sz w:val="24"/>
          <w:szCs w:val="24"/>
          <w:lang w:val="fr-FR"/>
        </w:rPr>
        <w:t>l’accusé lui-même.</w:t>
      </w:r>
    </w:p>
    <w:p w14:paraId="18277E42" w14:textId="02353566" w:rsidR="005541CB" w:rsidRPr="00953692" w:rsidRDefault="00E04715" w:rsidP="00864BBF">
      <w:pPr>
        <w:spacing w:after="0" w:line="276" w:lineRule="auto"/>
        <w:ind w:firstLine="1134"/>
        <w:jc w:val="both"/>
        <w:rPr>
          <w:rFonts w:eastAsia="Calibri" w:cs="Times New Roman"/>
          <w:sz w:val="24"/>
          <w:szCs w:val="24"/>
          <w:lang w:val="fr-FR"/>
        </w:rPr>
      </w:pPr>
      <w:r w:rsidRPr="00953692">
        <w:rPr>
          <w:b/>
          <w:bCs/>
          <w:sz w:val="24"/>
          <w:szCs w:val="24"/>
          <w:lang w:val="fr-FR"/>
        </w:rPr>
        <w:t>9</w:t>
      </w:r>
      <w:r w:rsidR="00916323" w:rsidRPr="00953692">
        <w:rPr>
          <w:b/>
          <w:bCs/>
          <w:sz w:val="24"/>
          <w:szCs w:val="24"/>
          <w:lang w:val="fr-FR"/>
        </w:rPr>
        <w:t>.</w:t>
      </w:r>
      <w:r w:rsidR="00916323" w:rsidRPr="00953692">
        <w:rPr>
          <w:sz w:val="24"/>
          <w:szCs w:val="24"/>
          <w:lang w:val="fr-FR"/>
        </w:rPr>
        <w:t xml:space="preserve"> Par contre, l</w:t>
      </w:r>
      <w:r w:rsidR="00535266" w:rsidRPr="00953692">
        <w:rPr>
          <w:sz w:val="24"/>
          <w:szCs w:val="24"/>
          <w:lang w:val="fr-FR"/>
        </w:rPr>
        <w:t>’équité semble être en procédure pénale une notion plus restrictive vis</w:t>
      </w:r>
      <w:r w:rsidR="00E417F0" w:rsidRPr="00953692">
        <w:rPr>
          <w:sz w:val="24"/>
          <w:szCs w:val="24"/>
          <w:lang w:val="fr-FR"/>
        </w:rPr>
        <w:t>ant</w:t>
      </w:r>
      <w:r w:rsidR="00535266" w:rsidRPr="00953692">
        <w:rPr>
          <w:sz w:val="24"/>
          <w:szCs w:val="24"/>
          <w:lang w:val="fr-FR"/>
        </w:rPr>
        <w:t xml:space="preserve"> spécialement la situation de l’accusé</w:t>
      </w:r>
      <w:r w:rsidR="00CA5E1D" w:rsidRPr="00953692">
        <w:rPr>
          <w:sz w:val="24"/>
          <w:szCs w:val="24"/>
          <w:lang w:val="fr-FR"/>
        </w:rPr>
        <w:t xml:space="preserve"> face aux pouvoirs de la justice</w:t>
      </w:r>
      <w:r w:rsidR="00535266" w:rsidRPr="00953692">
        <w:rPr>
          <w:sz w:val="24"/>
          <w:szCs w:val="24"/>
          <w:lang w:val="fr-FR"/>
        </w:rPr>
        <w:t>.</w:t>
      </w:r>
      <w:r w:rsidR="00221872" w:rsidRPr="00953692">
        <w:rPr>
          <w:sz w:val="24"/>
          <w:szCs w:val="24"/>
          <w:lang w:val="fr-FR"/>
        </w:rPr>
        <w:t xml:space="preserve"> </w:t>
      </w:r>
      <w:r w:rsidR="00221872" w:rsidRPr="00953692">
        <w:rPr>
          <w:rFonts w:eastAsia="Calibri" w:cs="Times New Roman"/>
          <w:sz w:val="24"/>
          <w:szCs w:val="24"/>
          <w:lang w:val="fr-FR"/>
        </w:rPr>
        <w:t>L</w:t>
      </w:r>
      <w:r w:rsidR="000619C4" w:rsidRPr="00953692">
        <w:rPr>
          <w:rFonts w:eastAsia="Calibri" w:cs="Times New Roman"/>
          <w:sz w:val="24"/>
          <w:szCs w:val="24"/>
          <w:lang w:val="fr-FR"/>
        </w:rPr>
        <w:t>a notion d’équité</w:t>
      </w:r>
      <w:r w:rsidR="00221872" w:rsidRPr="00953692">
        <w:rPr>
          <w:rFonts w:eastAsia="Calibri" w:cs="Times New Roman"/>
          <w:sz w:val="24"/>
          <w:szCs w:val="24"/>
          <w:lang w:val="fr-FR"/>
        </w:rPr>
        <w:t xml:space="preserve"> </w:t>
      </w:r>
      <w:r w:rsidR="000619C4" w:rsidRPr="00953692">
        <w:rPr>
          <w:rFonts w:eastAsia="Calibri" w:cs="Times New Roman"/>
          <w:sz w:val="24"/>
          <w:szCs w:val="24"/>
          <w:lang w:val="fr-FR"/>
        </w:rPr>
        <w:t>n’est ni une spécificité du droit pénal, ni définie par les textes pénaux internationaux</w:t>
      </w:r>
      <w:r w:rsidR="00367DF4" w:rsidRPr="00953692">
        <w:rPr>
          <w:rFonts w:eastAsia="Calibri" w:cs="Times New Roman"/>
          <w:sz w:val="24"/>
          <w:szCs w:val="24"/>
          <w:lang w:val="fr-FR"/>
        </w:rPr>
        <w:t xml:space="preserve"> ou tout autre texte juridique</w:t>
      </w:r>
      <w:r w:rsidR="000619C4" w:rsidRPr="00953692">
        <w:rPr>
          <w:rFonts w:eastAsia="Calibri" w:cs="Times New Roman"/>
          <w:sz w:val="24"/>
          <w:szCs w:val="24"/>
          <w:lang w:val="fr-FR"/>
        </w:rPr>
        <w:t xml:space="preserve">. </w:t>
      </w:r>
      <w:r w:rsidR="00367DF4" w:rsidRPr="00953692">
        <w:rPr>
          <w:rFonts w:eastAsia="Calibri" w:cs="Times New Roman"/>
          <w:sz w:val="24"/>
          <w:szCs w:val="24"/>
          <w:lang w:val="fr-FR"/>
        </w:rPr>
        <w:t>La définir</w:t>
      </w:r>
      <w:r w:rsidR="000619C4" w:rsidRPr="00953692">
        <w:rPr>
          <w:rFonts w:eastAsia="Calibri" w:cs="Times New Roman"/>
          <w:sz w:val="24"/>
          <w:szCs w:val="24"/>
          <w:lang w:val="fr-FR"/>
        </w:rPr>
        <w:t xml:space="preserve"> </w:t>
      </w:r>
      <w:r w:rsidR="00506767" w:rsidRPr="00953692">
        <w:rPr>
          <w:rFonts w:eastAsia="Calibri" w:cs="Times New Roman"/>
          <w:sz w:val="24"/>
          <w:szCs w:val="24"/>
          <w:lang w:val="fr-FR"/>
        </w:rPr>
        <w:t xml:space="preserve">très exactement </w:t>
      </w:r>
      <w:r w:rsidR="000619C4" w:rsidRPr="00953692">
        <w:rPr>
          <w:rFonts w:eastAsia="Calibri" w:cs="Times New Roman"/>
          <w:sz w:val="24"/>
          <w:szCs w:val="24"/>
          <w:lang w:val="fr-FR"/>
        </w:rPr>
        <w:t>n’est pas si simple</w:t>
      </w:r>
      <w:r w:rsidR="00D00A81" w:rsidRPr="00953692">
        <w:rPr>
          <w:rFonts w:eastAsia="Calibri" w:cs="Times New Roman"/>
          <w:sz w:val="24"/>
          <w:szCs w:val="24"/>
          <w:lang w:val="fr-FR"/>
        </w:rPr>
        <w:t>,</w:t>
      </w:r>
      <w:r w:rsidR="000619C4" w:rsidRPr="00953692">
        <w:rPr>
          <w:rFonts w:eastAsia="Calibri" w:cs="Times New Roman"/>
          <w:sz w:val="24"/>
          <w:szCs w:val="24"/>
          <w:lang w:val="fr-FR"/>
        </w:rPr>
        <w:t xml:space="preserve"> d’autant plus qu’elle relève essentiellement du droit naturel et surplombe le droit positif</w:t>
      </w:r>
      <w:r w:rsidR="00E417F0" w:rsidRPr="00953692">
        <w:rPr>
          <w:rFonts w:eastAsia="Calibri" w:cs="Times New Roman"/>
          <w:sz w:val="24"/>
          <w:szCs w:val="24"/>
          <w:lang w:val="fr-FR"/>
        </w:rPr>
        <w:t xml:space="preserve"> </w:t>
      </w:r>
      <w:r w:rsidR="000A5C4D" w:rsidRPr="00953692">
        <w:rPr>
          <w:rFonts w:eastAsia="Calibri" w:cs="Times New Roman"/>
          <w:sz w:val="24"/>
          <w:szCs w:val="24"/>
          <w:lang w:val="fr-FR"/>
        </w:rPr>
        <w:t xml:space="preserve">dont </w:t>
      </w:r>
      <w:r w:rsidR="000619C4" w:rsidRPr="00953692">
        <w:rPr>
          <w:rFonts w:eastAsia="Calibri" w:cs="Times New Roman"/>
          <w:sz w:val="24"/>
          <w:szCs w:val="24"/>
          <w:lang w:val="fr-FR"/>
        </w:rPr>
        <w:t>elle tente de combler les vides et lacunes</w:t>
      </w:r>
      <w:r w:rsidR="00067065" w:rsidRPr="00953692">
        <w:rPr>
          <w:rStyle w:val="Appelnotedebasdep"/>
          <w:rFonts w:eastAsia="Calibri" w:cs="Times New Roman"/>
          <w:sz w:val="24"/>
          <w:szCs w:val="24"/>
          <w:lang w:val="fr-FR"/>
        </w:rPr>
        <w:footnoteReference w:customMarkFollows="1" w:id="17"/>
        <w:t>16</w:t>
      </w:r>
      <w:r w:rsidR="000619C4" w:rsidRPr="00953692">
        <w:rPr>
          <w:rFonts w:eastAsia="Calibri" w:cs="Times New Roman"/>
          <w:sz w:val="24"/>
          <w:szCs w:val="24"/>
          <w:lang w:val="fr-FR"/>
        </w:rPr>
        <w:t xml:space="preserve">. Dans la langue latine, </w:t>
      </w:r>
      <w:r w:rsidR="000619C4" w:rsidRPr="00953692">
        <w:rPr>
          <w:rFonts w:eastAsia="Calibri" w:cs="Times New Roman"/>
          <w:i/>
          <w:sz w:val="24"/>
          <w:szCs w:val="24"/>
          <w:lang w:val="fr-FR"/>
        </w:rPr>
        <w:t>aequus</w:t>
      </w:r>
      <w:r w:rsidR="000619C4" w:rsidRPr="00953692">
        <w:rPr>
          <w:rFonts w:eastAsia="Calibri" w:cs="Times New Roman"/>
          <w:sz w:val="24"/>
          <w:szCs w:val="24"/>
          <w:lang w:val="fr-FR"/>
        </w:rPr>
        <w:t xml:space="preserve"> signifie ‘’égal’’</w:t>
      </w:r>
      <w:r w:rsidR="00067065" w:rsidRPr="00953692">
        <w:rPr>
          <w:rStyle w:val="Appelnotedebasdep"/>
          <w:rFonts w:eastAsia="Calibri" w:cs="Times New Roman"/>
          <w:sz w:val="24"/>
          <w:szCs w:val="24"/>
          <w:lang w:val="fr-FR"/>
        </w:rPr>
        <w:footnoteReference w:customMarkFollows="1" w:id="18"/>
        <w:t>17</w:t>
      </w:r>
      <w:r w:rsidR="000619C4" w:rsidRPr="00953692">
        <w:rPr>
          <w:rFonts w:eastAsia="Calibri" w:cs="Times New Roman"/>
          <w:sz w:val="24"/>
          <w:szCs w:val="24"/>
          <w:lang w:val="fr-FR"/>
        </w:rPr>
        <w:t xml:space="preserve">, qui s’emploie généralement en comme </w:t>
      </w:r>
      <w:r w:rsidR="00A41EA4" w:rsidRPr="00953692">
        <w:rPr>
          <w:rFonts w:eastAsia="Calibri" w:cs="Times New Roman"/>
          <w:sz w:val="24"/>
          <w:szCs w:val="24"/>
          <w:lang w:val="fr-FR"/>
        </w:rPr>
        <w:t>la</w:t>
      </w:r>
      <w:r w:rsidR="000619C4" w:rsidRPr="00953692">
        <w:rPr>
          <w:rFonts w:eastAsia="Calibri" w:cs="Times New Roman"/>
          <w:sz w:val="24"/>
          <w:szCs w:val="24"/>
          <w:lang w:val="fr-FR"/>
        </w:rPr>
        <w:t xml:space="preserve"> recherche d</w:t>
      </w:r>
      <w:r w:rsidR="00A41EA4" w:rsidRPr="00953692">
        <w:rPr>
          <w:rFonts w:eastAsia="Calibri" w:cs="Times New Roman"/>
          <w:sz w:val="24"/>
          <w:szCs w:val="24"/>
          <w:lang w:val="fr-FR"/>
        </w:rPr>
        <w:t>’un</w:t>
      </w:r>
      <w:r w:rsidR="005541CB" w:rsidRPr="00953692">
        <w:rPr>
          <w:rFonts w:eastAsia="Calibri" w:cs="Times New Roman"/>
          <w:sz w:val="24"/>
          <w:szCs w:val="24"/>
          <w:lang w:val="fr-FR"/>
        </w:rPr>
        <w:t xml:space="preserve"> équilibre</w:t>
      </w:r>
      <w:r w:rsidR="000619C4" w:rsidRPr="00953692">
        <w:rPr>
          <w:rFonts w:eastAsia="Calibri" w:cs="Times New Roman"/>
          <w:sz w:val="24"/>
          <w:szCs w:val="24"/>
          <w:lang w:val="fr-FR"/>
        </w:rPr>
        <w:t xml:space="preserve"> entre deux situations présent</w:t>
      </w:r>
      <w:r w:rsidR="005541CB" w:rsidRPr="00953692">
        <w:rPr>
          <w:rFonts w:eastAsia="Calibri" w:cs="Times New Roman"/>
          <w:sz w:val="24"/>
          <w:szCs w:val="24"/>
          <w:lang w:val="fr-FR"/>
        </w:rPr>
        <w:t>a</w:t>
      </w:r>
      <w:r w:rsidR="000619C4" w:rsidRPr="00953692">
        <w:rPr>
          <w:rFonts w:eastAsia="Calibri" w:cs="Times New Roman"/>
          <w:sz w:val="24"/>
          <w:szCs w:val="24"/>
          <w:lang w:val="fr-FR"/>
        </w:rPr>
        <w:t xml:space="preserve">nt des intérêts antipodiques. </w:t>
      </w:r>
    </w:p>
    <w:p w14:paraId="1E2447A0" w14:textId="1F73AF78" w:rsidR="00755B7F" w:rsidRPr="00953692" w:rsidRDefault="00E04715" w:rsidP="00864BBF">
      <w:pPr>
        <w:spacing w:after="0" w:line="276" w:lineRule="auto"/>
        <w:ind w:firstLine="1134"/>
        <w:jc w:val="both"/>
        <w:rPr>
          <w:sz w:val="24"/>
          <w:szCs w:val="24"/>
          <w:lang w:val="fr-FR"/>
        </w:rPr>
      </w:pPr>
      <w:r w:rsidRPr="00953692">
        <w:rPr>
          <w:rFonts w:eastAsia="Calibri" w:cs="Times New Roman"/>
          <w:b/>
          <w:bCs/>
          <w:sz w:val="24"/>
          <w:szCs w:val="24"/>
          <w:lang w:val="fr-FR"/>
        </w:rPr>
        <w:t>10</w:t>
      </w:r>
      <w:r w:rsidR="005541CB" w:rsidRPr="00953692">
        <w:rPr>
          <w:rFonts w:eastAsia="Calibri" w:cs="Times New Roman"/>
          <w:b/>
          <w:bCs/>
          <w:sz w:val="24"/>
          <w:szCs w:val="24"/>
          <w:lang w:val="fr-FR"/>
        </w:rPr>
        <w:t>.</w:t>
      </w:r>
      <w:r w:rsidR="005541CB" w:rsidRPr="00953692">
        <w:rPr>
          <w:rFonts w:eastAsia="Calibri" w:cs="Times New Roman"/>
          <w:sz w:val="24"/>
          <w:szCs w:val="24"/>
          <w:lang w:val="fr-FR"/>
        </w:rPr>
        <w:t xml:space="preserve"> </w:t>
      </w:r>
      <w:r w:rsidR="000619C4" w:rsidRPr="00953692">
        <w:rPr>
          <w:rFonts w:eastAsia="Calibri" w:cs="Times New Roman"/>
          <w:sz w:val="24"/>
          <w:szCs w:val="24"/>
          <w:lang w:val="fr-FR"/>
        </w:rPr>
        <w:t>La doctrine précise qu’en procédure pénale, l’équité inclut spécialement « </w:t>
      </w:r>
      <w:r w:rsidR="000619C4" w:rsidRPr="00953692">
        <w:rPr>
          <w:rFonts w:eastAsia="Calibri" w:cs="Times New Roman"/>
          <w:i/>
          <w:sz w:val="24"/>
          <w:szCs w:val="24"/>
          <w:lang w:val="fr-FR"/>
        </w:rPr>
        <w:t>le respect des droits de la défense, l'égalité des armes, la nécessité du débat contradictoire »</w:t>
      </w:r>
      <w:r w:rsidR="00067065" w:rsidRPr="00953692">
        <w:rPr>
          <w:rStyle w:val="Appelnotedebasdep"/>
          <w:rFonts w:eastAsia="Calibri" w:cs="Times New Roman"/>
          <w:sz w:val="24"/>
          <w:szCs w:val="24"/>
          <w:lang w:val="fr-FR"/>
        </w:rPr>
        <w:footnoteReference w:customMarkFollows="1" w:id="19"/>
        <w:t>18</w:t>
      </w:r>
      <w:r w:rsidR="000619C4" w:rsidRPr="00953692">
        <w:rPr>
          <w:rFonts w:eastAsia="Calibri" w:cs="Times New Roman"/>
          <w:sz w:val="24"/>
          <w:szCs w:val="24"/>
          <w:lang w:val="fr-FR"/>
        </w:rPr>
        <w:t xml:space="preserve">. </w:t>
      </w:r>
      <w:r w:rsidR="00367DF4" w:rsidRPr="00953692">
        <w:rPr>
          <w:rFonts w:eastAsia="Calibri" w:cs="Times New Roman"/>
          <w:sz w:val="24"/>
          <w:szCs w:val="24"/>
          <w:lang w:val="fr-FR"/>
        </w:rPr>
        <w:t>E</w:t>
      </w:r>
      <w:r w:rsidR="000619C4" w:rsidRPr="00953692">
        <w:rPr>
          <w:rFonts w:eastAsia="Calibri" w:cs="Times New Roman"/>
          <w:sz w:val="24"/>
          <w:szCs w:val="24"/>
          <w:lang w:val="fr-FR"/>
        </w:rPr>
        <w:t>lle tend donc à éluder tout arbitraire</w:t>
      </w:r>
      <w:r w:rsidR="00067065" w:rsidRPr="00953692">
        <w:rPr>
          <w:rStyle w:val="Appelnotedebasdep"/>
          <w:rFonts w:eastAsia="Calibri" w:cs="Times New Roman"/>
          <w:sz w:val="24"/>
          <w:szCs w:val="24"/>
          <w:lang w:val="fr-FR"/>
        </w:rPr>
        <w:footnoteReference w:customMarkFollows="1" w:id="20"/>
        <w:t>19</w:t>
      </w:r>
      <w:r w:rsidR="000619C4" w:rsidRPr="00953692">
        <w:rPr>
          <w:rFonts w:eastAsia="Calibri" w:cs="Times New Roman"/>
          <w:sz w:val="24"/>
          <w:szCs w:val="24"/>
          <w:lang w:val="fr-FR"/>
        </w:rPr>
        <w:t xml:space="preserve"> à la fois du législateur et du juge. Le premier</w:t>
      </w:r>
      <w:r w:rsidR="005F5C63" w:rsidRPr="00953692">
        <w:rPr>
          <w:rFonts w:eastAsia="Calibri" w:cs="Times New Roman"/>
          <w:sz w:val="24"/>
          <w:szCs w:val="24"/>
          <w:lang w:val="fr-FR"/>
        </w:rPr>
        <w:t xml:space="preserve"> devra</w:t>
      </w:r>
      <w:r w:rsidR="000619C4" w:rsidRPr="00953692">
        <w:rPr>
          <w:rFonts w:eastAsia="Calibri" w:cs="Times New Roman"/>
          <w:sz w:val="24"/>
          <w:szCs w:val="24"/>
          <w:lang w:val="fr-FR"/>
        </w:rPr>
        <w:t xml:space="preserve"> élaborer des lois justes, et </w:t>
      </w:r>
      <w:r w:rsidR="005F5C63" w:rsidRPr="00953692">
        <w:rPr>
          <w:rFonts w:eastAsia="Calibri" w:cs="Times New Roman"/>
          <w:sz w:val="24"/>
          <w:szCs w:val="24"/>
          <w:lang w:val="fr-FR"/>
        </w:rPr>
        <w:t>le second</w:t>
      </w:r>
      <w:r w:rsidR="000619C4" w:rsidRPr="00953692">
        <w:rPr>
          <w:rFonts w:eastAsia="Calibri" w:cs="Times New Roman"/>
          <w:sz w:val="24"/>
          <w:szCs w:val="24"/>
          <w:lang w:val="fr-FR"/>
        </w:rPr>
        <w:t xml:space="preserve"> </w:t>
      </w:r>
      <w:r w:rsidR="005F5C63" w:rsidRPr="00953692">
        <w:rPr>
          <w:rFonts w:eastAsia="Calibri" w:cs="Times New Roman"/>
          <w:sz w:val="24"/>
          <w:szCs w:val="24"/>
          <w:lang w:val="fr-FR"/>
        </w:rPr>
        <w:t>quant à lui</w:t>
      </w:r>
      <w:r w:rsidR="006C31CE" w:rsidRPr="00953692">
        <w:rPr>
          <w:rFonts w:eastAsia="Calibri" w:cs="Times New Roman"/>
          <w:sz w:val="24"/>
          <w:szCs w:val="24"/>
          <w:lang w:val="fr-FR"/>
        </w:rPr>
        <w:t>,</w:t>
      </w:r>
      <w:r w:rsidR="005F5C63" w:rsidRPr="00953692">
        <w:rPr>
          <w:rFonts w:eastAsia="Calibri" w:cs="Times New Roman"/>
          <w:sz w:val="24"/>
          <w:szCs w:val="24"/>
          <w:lang w:val="fr-FR"/>
        </w:rPr>
        <w:t xml:space="preserve"> les</w:t>
      </w:r>
      <w:r w:rsidR="000619C4" w:rsidRPr="00953692">
        <w:rPr>
          <w:rFonts w:eastAsia="Calibri" w:cs="Times New Roman"/>
          <w:sz w:val="24"/>
          <w:szCs w:val="24"/>
          <w:lang w:val="fr-FR"/>
        </w:rPr>
        <w:t xml:space="preserve"> appliquer</w:t>
      </w:r>
      <w:r w:rsidR="006C31CE" w:rsidRPr="00953692">
        <w:rPr>
          <w:rFonts w:eastAsia="Calibri" w:cs="Times New Roman"/>
          <w:sz w:val="24"/>
          <w:szCs w:val="24"/>
          <w:lang w:val="fr-FR"/>
        </w:rPr>
        <w:t>a</w:t>
      </w:r>
      <w:r w:rsidR="000619C4" w:rsidRPr="00953692">
        <w:rPr>
          <w:rFonts w:eastAsia="Calibri" w:cs="Times New Roman"/>
          <w:sz w:val="24"/>
          <w:szCs w:val="24"/>
          <w:lang w:val="fr-FR"/>
        </w:rPr>
        <w:t xml:space="preserve"> </w:t>
      </w:r>
      <w:r w:rsidR="00A7156C" w:rsidRPr="00953692">
        <w:rPr>
          <w:rFonts w:eastAsia="Calibri" w:cs="Times New Roman"/>
          <w:sz w:val="24"/>
          <w:szCs w:val="24"/>
          <w:lang w:val="fr-FR"/>
        </w:rPr>
        <w:t>sur</w:t>
      </w:r>
      <w:r w:rsidR="000619C4" w:rsidRPr="00953692">
        <w:rPr>
          <w:rFonts w:eastAsia="Calibri" w:cs="Times New Roman"/>
          <w:sz w:val="24"/>
          <w:szCs w:val="24"/>
          <w:lang w:val="fr-FR"/>
        </w:rPr>
        <w:t xml:space="preserve"> </w:t>
      </w:r>
      <w:r w:rsidR="00A7156C" w:rsidRPr="00953692">
        <w:rPr>
          <w:rFonts w:eastAsia="Calibri" w:cs="Times New Roman"/>
          <w:sz w:val="24"/>
          <w:szCs w:val="24"/>
          <w:lang w:val="fr-FR"/>
        </w:rPr>
        <w:t xml:space="preserve">des </w:t>
      </w:r>
      <w:r w:rsidR="000619C4" w:rsidRPr="00953692">
        <w:rPr>
          <w:rFonts w:eastAsia="Calibri" w:cs="Times New Roman"/>
          <w:sz w:val="24"/>
          <w:szCs w:val="24"/>
          <w:lang w:val="fr-FR"/>
        </w:rPr>
        <w:t>cas particulier</w:t>
      </w:r>
      <w:r w:rsidR="00E047A5" w:rsidRPr="00953692">
        <w:rPr>
          <w:rFonts w:eastAsia="Calibri" w:cs="Times New Roman"/>
          <w:sz w:val="24"/>
          <w:szCs w:val="24"/>
          <w:lang w:val="fr-FR"/>
        </w:rPr>
        <w:t>s</w:t>
      </w:r>
      <w:r w:rsidR="000619C4" w:rsidRPr="00953692">
        <w:rPr>
          <w:rFonts w:eastAsia="Calibri" w:cs="Times New Roman"/>
          <w:sz w:val="24"/>
          <w:szCs w:val="24"/>
          <w:lang w:val="fr-FR"/>
        </w:rPr>
        <w:t xml:space="preserve"> de manière à refléter la justice</w:t>
      </w:r>
      <w:r w:rsidR="00AE6C26" w:rsidRPr="00953692">
        <w:rPr>
          <w:rFonts w:eastAsia="Calibri" w:cs="Times New Roman"/>
          <w:sz w:val="24"/>
          <w:szCs w:val="24"/>
          <w:lang w:val="fr-FR"/>
        </w:rPr>
        <w:t xml:space="preserve">, c’est-à-dire ce qui est </w:t>
      </w:r>
      <w:r w:rsidR="00755B7F" w:rsidRPr="00953692">
        <w:rPr>
          <w:rFonts w:eastAsia="Calibri" w:cs="Times New Roman"/>
          <w:sz w:val="24"/>
          <w:szCs w:val="24"/>
          <w:lang w:val="fr-FR"/>
        </w:rPr>
        <w:t>formellement</w:t>
      </w:r>
      <w:r w:rsidR="00AE6C26" w:rsidRPr="00953692">
        <w:rPr>
          <w:rFonts w:eastAsia="Calibri" w:cs="Times New Roman"/>
          <w:sz w:val="24"/>
          <w:szCs w:val="24"/>
          <w:lang w:val="fr-FR"/>
        </w:rPr>
        <w:t xml:space="preserve"> juste</w:t>
      </w:r>
      <w:r w:rsidR="00781459" w:rsidRPr="00953692">
        <w:rPr>
          <w:rFonts w:eastAsia="Calibri" w:cs="Times New Roman"/>
          <w:sz w:val="24"/>
          <w:szCs w:val="24"/>
          <w:lang w:val="fr-FR"/>
        </w:rPr>
        <w:t xml:space="preserve">, mais qui devra aussi paraitre juste </w:t>
      </w:r>
      <w:r w:rsidR="00545426" w:rsidRPr="00953692">
        <w:rPr>
          <w:rFonts w:eastAsia="Calibri" w:cs="Times New Roman"/>
          <w:sz w:val="24"/>
          <w:szCs w:val="24"/>
          <w:lang w:val="fr-FR"/>
        </w:rPr>
        <w:t>aux yeux de</w:t>
      </w:r>
      <w:r w:rsidR="00781459" w:rsidRPr="00953692">
        <w:rPr>
          <w:rFonts w:eastAsia="Calibri" w:cs="Times New Roman"/>
          <w:sz w:val="24"/>
          <w:szCs w:val="24"/>
          <w:lang w:val="fr-FR"/>
        </w:rPr>
        <w:t xml:space="preserve"> l’opinion publique</w:t>
      </w:r>
      <w:r w:rsidR="000619C4" w:rsidRPr="00953692">
        <w:rPr>
          <w:rFonts w:eastAsia="Calibri" w:cs="Times New Roman"/>
          <w:sz w:val="24"/>
          <w:szCs w:val="24"/>
          <w:lang w:val="fr-FR"/>
        </w:rPr>
        <w:t>. Le procès équitable signifierait</w:t>
      </w:r>
      <w:r w:rsidR="00545426" w:rsidRPr="00953692">
        <w:rPr>
          <w:rFonts w:eastAsia="Calibri" w:cs="Times New Roman"/>
          <w:sz w:val="24"/>
          <w:szCs w:val="24"/>
          <w:lang w:val="fr-FR"/>
        </w:rPr>
        <w:t xml:space="preserve"> alors</w:t>
      </w:r>
      <w:r w:rsidR="000619C4" w:rsidRPr="00953692">
        <w:rPr>
          <w:rFonts w:eastAsia="Calibri" w:cs="Times New Roman"/>
          <w:sz w:val="24"/>
          <w:szCs w:val="24"/>
          <w:lang w:val="fr-FR"/>
        </w:rPr>
        <w:t xml:space="preserve"> que la décision judiciaire devrait être conforme aux règles ou principes fondamentaux de la justice pénale</w:t>
      </w:r>
      <w:r w:rsidR="00781459" w:rsidRPr="00953692">
        <w:rPr>
          <w:rFonts w:eastAsia="Calibri" w:cs="Times New Roman"/>
          <w:sz w:val="24"/>
          <w:szCs w:val="24"/>
          <w:lang w:val="fr-FR"/>
        </w:rPr>
        <w:t xml:space="preserve"> et aux valeurs communes d’une société donnée</w:t>
      </w:r>
      <w:r w:rsidR="00E417F0" w:rsidRPr="00953692">
        <w:rPr>
          <w:rFonts w:eastAsia="Calibri" w:cs="Times New Roman"/>
          <w:sz w:val="24"/>
          <w:szCs w:val="24"/>
          <w:lang w:val="fr-FR"/>
        </w:rPr>
        <w:t>, en l’occurrence de la communauté internationale</w:t>
      </w:r>
      <w:r w:rsidR="000619C4" w:rsidRPr="00953692">
        <w:rPr>
          <w:rFonts w:eastAsia="Calibri" w:cs="Times New Roman"/>
          <w:sz w:val="24"/>
          <w:szCs w:val="24"/>
          <w:lang w:val="fr-FR"/>
        </w:rPr>
        <w:t>.</w:t>
      </w:r>
    </w:p>
    <w:p w14:paraId="1C5DCC16" w14:textId="14CAC044" w:rsidR="00ED43E7" w:rsidRPr="00953692" w:rsidRDefault="00E04715" w:rsidP="00864BBF">
      <w:pPr>
        <w:spacing w:after="0" w:line="276" w:lineRule="auto"/>
        <w:ind w:firstLine="1134"/>
        <w:jc w:val="both"/>
        <w:rPr>
          <w:rFonts w:eastAsia="Calibri" w:cs="Times New Roman"/>
          <w:sz w:val="24"/>
          <w:szCs w:val="24"/>
          <w:lang w:val="fr-FR"/>
        </w:rPr>
      </w:pPr>
      <w:r w:rsidRPr="00953692">
        <w:rPr>
          <w:rFonts w:eastAsia="Calibri" w:cs="Times New Roman"/>
          <w:b/>
          <w:bCs/>
          <w:sz w:val="24"/>
          <w:szCs w:val="24"/>
          <w:lang w:val="fr-FR"/>
        </w:rPr>
        <w:t>11</w:t>
      </w:r>
      <w:r w:rsidR="00935550" w:rsidRPr="00953692">
        <w:rPr>
          <w:rFonts w:eastAsia="Calibri" w:cs="Times New Roman"/>
          <w:b/>
          <w:bCs/>
          <w:sz w:val="24"/>
          <w:szCs w:val="24"/>
          <w:lang w:val="fr-FR"/>
        </w:rPr>
        <w:t>.</w:t>
      </w:r>
      <w:r w:rsidR="00935550" w:rsidRPr="00953692">
        <w:rPr>
          <w:rFonts w:eastAsia="Calibri" w:cs="Times New Roman"/>
          <w:sz w:val="24"/>
          <w:szCs w:val="24"/>
          <w:lang w:val="fr-FR"/>
        </w:rPr>
        <w:t xml:space="preserve"> </w:t>
      </w:r>
      <w:r w:rsidR="000619C4" w:rsidRPr="00953692">
        <w:rPr>
          <w:rFonts w:eastAsia="Calibri" w:cs="Times New Roman"/>
          <w:sz w:val="24"/>
          <w:szCs w:val="24"/>
          <w:lang w:val="fr-FR"/>
        </w:rPr>
        <w:t>Il n’est plus à démontrer que ces principes</w:t>
      </w:r>
      <w:r w:rsidR="00501F72" w:rsidRPr="00953692">
        <w:rPr>
          <w:rFonts w:eastAsia="Calibri" w:cs="Times New Roman"/>
          <w:sz w:val="24"/>
          <w:szCs w:val="24"/>
          <w:lang w:val="fr-FR"/>
        </w:rPr>
        <w:t>,</w:t>
      </w:r>
      <w:r w:rsidR="000619C4" w:rsidRPr="00953692">
        <w:rPr>
          <w:rFonts w:eastAsia="Calibri" w:cs="Times New Roman"/>
          <w:sz w:val="24"/>
          <w:szCs w:val="24"/>
          <w:lang w:val="fr-FR"/>
        </w:rPr>
        <w:t xml:space="preserve"> </w:t>
      </w:r>
      <w:r w:rsidR="00501F72" w:rsidRPr="00953692">
        <w:rPr>
          <w:rFonts w:eastAsia="Calibri" w:cs="Times New Roman"/>
          <w:sz w:val="24"/>
          <w:szCs w:val="24"/>
          <w:lang w:val="fr-FR"/>
        </w:rPr>
        <w:t xml:space="preserve">tels que </w:t>
      </w:r>
      <w:r w:rsidR="00501F72" w:rsidRPr="00953692">
        <w:rPr>
          <w:rFonts w:eastAsia="Calibri" w:cs="Times New Roman"/>
          <w:i/>
          <w:iCs/>
          <w:sz w:val="24"/>
          <w:szCs w:val="24"/>
          <w:lang w:val="fr-FR"/>
        </w:rPr>
        <w:t>l’égalité des armes entre les parties au procès, l’indépendance et l’impartialité du juge, les poursuites à charge et à décharge, l’intégrité du tribunal, etc</w:t>
      </w:r>
      <w:r w:rsidR="00501F72" w:rsidRPr="00953692">
        <w:rPr>
          <w:rFonts w:eastAsia="Calibri" w:cs="Times New Roman"/>
          <w:sz w:val="24"/>
          <w:szCs w:val="24"/>
          <w:lang w:val="fr-FR"/>
        </w:rPr>
        <w:t xml:space="preserve">., </w:t>
      </w:r>
      <w:r w:rsidR="000619C4" w:rsidRPr="00953692">
        <w:rPr>
          <w:rFonts w:eastAsia="Calibri" w:cs="Times New Roman"/>
          <w:sz w:val="24"/>
          <w:szCs w:val="24"/>
          <w:lang w:val="fr-FR"/>
        </w:rPr>
        <w:t>orientent le droit pénal et sa mise en application vers d’autres nouveaux paradigmes, dont celui du respect des droits humains</w:t>
      </w:r>
      <w:r w:rsidR="00E417F0" w:rsidRPr="00953692">
        <w:rPr>
          <w:rFonts w:eastAsia="Calibri" w:cs="Times New Roman"/>
          <w:sz w:val="24"/>
          <w:szCs w:val="24"/>
          <w:lang w:val="fr-FR"/>
        </w:rPr>
        <w:t>, e</w:t>
      </w:r>
      <w:r w:rsidR="00D00A81" w:rsidRPr="00953692">
        <w:rPr>
          <w:rFonts w:eastAsia="Calibri" w:cs="Times New Roman"/>
          <w:sz w:val="24"/>
          <w:szCs w:val="24"/>
          <w:lang w:val="fr-FR"/>
        </w:rPr>
        <w:t>t</w:t>
      </w:r>
      <w:r w:rsidR="00A41EA4" w:rsidRPr="00953692">
        <w:rPr>
          <w:rFonts w:eastAsia="Calibri" w:cs="Times New Roman"/>
          <w:sz w:val="24"/>
          <w:szCs w:val="24"/>
          <w:lang w:val="fr-FR"/>
        </w:rPr>
        <w:t xml:space="preserve"> ce, </w:t>
      </w:r>
      <w:r w:rsidR="000619C4" w:rsidRPr="00953692">
        <w:rPr>
          <w:rFonts w:eastAsia="Calibri" w:cs="Times New Roman"/>
          <w:sz w:val="24"/>
          <w:szCs w:val="24"/>
          <w:lang w:val="fr-FR"/>
        </w:rPr>
        <w:t>quelle que soit la gravité des faits</w:t>
      </w:r>
      <w:r w:rsidR="00A41EA4" w:rsidRPr="00953692">
        <w:rPr>
          <w:rFonts w:eastAsia="Calibri" w:cs="Times New Roman"/>
          <w:sz w:val="24"/>
          <w:szCs w:val="24"/>
          <w:lang w:val="fr-FR"/>
        </w:rPr>
        <w:t xml:space="preserve"> criminels</w:t>
      </w:r>
      <w:r w:rsidR="000619C4" w:rsidRPr="00953692">
        <w:rPr>
          <w:rFonts w:eastAsia="Calibri" w:cs="Times New Roman"/>
          <w:sz w:val="24"/>
          <w:szCs w:val="24"/>
          <w:lang w:val="fr-FR"/>
        </w:rPr>
        <w:t xml:space="preserve"> reprochés à la personne poursuivie</w:t>
      </w:r>
      <w:r w:rsidR="00F6026D" w:rsidRPr="00953692">
        <w:rPr>
          <w:rFonts w:eastAsia="Calibri" w:cs="Times New Roman"/>
          <w:sz w:val="24"/>
          <w:szCs w:val="24"/>
          <w:lang w:val="fr-FR"/>
        </w:rPr>
        <w:t>. L</w:t>
      </w:r>
      <w:r w:rsidR="000619C4" w:rsidRPr="00953692">
        <w:rPr>
          <w:rFonts w:eastAsia="Calibri" w:cs="Times New Roman"/>
          <w:sz w:val="24"/>
          <w:szCs w:val="24"/>
          <w:lang w:val="fr-FR"/>
        </w:rPr>
        <w:t xml:space="preserve">’action répressive ne </w:t>
      </w:r>
      <w:r w:rsidR="00A41EA4" w:rsidRPr="00953692">
        <w:rPr>
          <w:rFonts w:eastAsia="Calibri" w:cs="Times New Roman"/>
          <w:sz w:val="24"/>
          <w:szCs w:val="24"/>
          <w:lang w:val="fr-FR"/>
        </w:rPr>
        <w:t>devrait pas être</w:t>
      </w:r>
      <w:r w:rsidR="00F21667" w:rsidRPr="00953692">
        <w:rPr>
          <w:rFonts w:eastAsia="Calibri" w:cs="Times New Roman"/>
          <w:sz w:val="24"/>
          <w:szCs w:val="24"/>
          <w:lang w:val="fr-FR"/>
        </w:rPr>
        <w:t xml:space="preserve"> vindicative</w:t>
      </w:r>
      <w:r w:rsidR="000619C4" w:rsidRPr="00953692">
        <w:rPr>
          <w:rFonts w:eastAsia="Calibri" w:cs="Times New Roman"/>
          <w:sz w:val="24"/>
          <w:szCs w:val="24"/>
          <w:lang w:val="fr-FR"/>
        </w:rPr>
        <w:t>, mais plutô</w:t>
      </w:r>
      <w:r w:rsidR="00A41EA4" w:rsidRPr="00953692">
        <w:rPr>
          <w:rFonts w:eastAsia="Calibri" w:cs="Times New Roman"/>
          <w:sz w:val="24"/>
          <w:szCs w:val="24"/>
          <w:lang w:val="fr-FR"/>
        </w:rPr>
        <w:t>t</w:t>
      </w:r>
      <w:r w:rsidR="000619C4" w:rsidRPr="00953692">
        <w:rPr>
          <w:rFonts w:eastAsia="Calibri" w:cs="Times New Roman"/>
          <w:sz w:val="24"/>
          <w:szCs w:val="24"/>
          <w:lang w:val="fr-FR"/>
        </w:rPr>
        <w:t xml:space="preserve"> un processus d’éclatement d’une vérité.</w:t>
      </w:r>
      <w:r w:rsidR="00E417F0" w:rsidRPr="00953692">
        <w:rPr>
          <w:rFonts w:eastAsia="Calibri" w:cs="Times New Roman"/>
          <w:sz w:val="24"/>
          <w:szCs w:val="24"/>
          <w:lang w:val="fr-FR"/>
        </w:rPr>
        <w:t xml:space="preserve"> C’est en effet l’idée intrinsèque qui avait </w:t>
      </w:r>
      <w:r w:rsidR="00501F72" w:rsidRPr="00953692">
        <w:rPr>
          <w:rFonts w:eastAsia="Calibri" w:cs="Times New Roman"/>
          <w:sz w:val="24"/>
          <w:szCs w:val="24"/>
          <w:lang w:val="fr-FR"/>
        </w:rPr>
        <w:t>conduit les alliés à opter pour l’organisation d’un procès plutôt qu’une simple fusillade des accusés.</w:t>
      </w:r>
      <w:r w:rsidR="000619C4" w:rsidRPr="00953692">
        <w:rPr>
          <w:rFonts w:eastAsia="Calibri" w:cs="Times New Roman"/>
          <w:sz w:val="24"/>
          <w:szCs w:val="24"/>
          <w:lang w:val="fr-FR"/>
        </w:rPr>
        <w:t xml:space="preserve"> </w:t>
      </w:r>
    </w:p>
    <w:p w14:paraId="7046693F" w14:textId="54C53C21" w:rsidR="003107B8" w:rsidRPr="00953692" w:rsidRDefault="00E04715" w:rsidP="00864BBF">
      <w:pPr>
        <w:spacing w:after="0" w:line="276" w:lineRule="auto"/>
        <w:ind w:firstLine="1134"/>
        <w:jc w:val="both"/>
        <w:rPr>
          <w:sz w:val="24"/>
          <w:szCs w:val="24"/>
          <w:lang w:val="fr-FR"/>
        </w:rPr>
      </w:pPr>
      <w:r w:rsidRPr="00953692">
        <w:rPr>
          <w:rFonts w:eastAsia="Calibri" w:cs="Times New Roman"/>
          <w:b/>
          <w:bCs/>
          <w:sz w:val="24"/>
          <w:szCs w:val="24"/>
          <w:lang w:val="fr-FR"/>
        </w:rPr>
        <w:t>12.</w:t>
      </w:r>
      <w:r w:rsidRPr="00953692">
        <w:rPr>
          <w:rFonts w:eastAsia="Calibri" w:cs="Times New Roman"/>
          <w:sz w:val="24"/>
          <w:szCs w:val="24"/>
          <w:lang w:val="fr-FR"/>
        </w:rPr>
        <w:t xml:space="preserve"> </w:t>
      </w:r>
      <w:r w:rsidR="00501F72" w:rsidRPr="00953692">
        <w:rPr>
          <w:rFonts w:eastAsia="Calibri" w:cs="Times New Roman"/>
          <w:sz w:val="24"/>
          <w:szCs w:val="24"/>
          <w:lang w:val="fr-FR"/>
        </w:rPr>
        <w:t>En outre</w:t>
      </w:r>
      <w:r w:rsidR="000619C4" w:rsidRPr="00953692">
        <w:rPr>
          <w:rFonts w:eastAsia="Calibri" w:cs="Times New Roman"/>
          <w:sz w:val="24"/>
          <w:szCs w:val="24"/>
          <w:lang w:val="fr-FR"/>
        </w:rPr>
        <w:t>, il peut être relevé</w:t>
      </w:r>
      <w:r w:rsidR="00A41EA4" w:rsidRPr="00953692">
        <w:rPr>
          <w:rFonts w:eastAsia="Calibri" w:cs="Times New Roman"/>
          <w:sz w:val="24"/>
          <w:szCs w:val="24"/>
          <w:lang w:val="fr-FR"/>
        </w:rPr>
        <w:t>,</w:t>
      </w:r>
      <w:r w:rsidR="000619C4" w:rsidRPr="00953692">
        <w:rPr>
          <w:rFonts w:eastAsia="Calibri" w:cs="Times New Roman"/>
          <w:sz w:val="24"/>
          <w:szCs w:val="24"/>
          <w:lang w:val="fr-FR"/>
        </w:rPr>
        <w:t xml:space="preserve"> </w:t>
      </w:r>
      <w:r w:rsidR="00501F72" w:rsidRPr="00953692">
        <w:rPr>
          <w:rFonts w:eastAsia="Calibri" w:cs="Times New Roman"/>
          <w:sz w:val="24"/>
          <w:szCs w:val="24"/>
          <w:lang w:val="fr-FR"/>
        </w:rPr>
        <w:t xml:space="preserve">dans le </w:t>
      </w:r>
      <w:r w:rsidR="005541CB" w:rsidRPr="00953692">
        <w:rPr>
          <w:rFonts w:eastAsia="Calibri" w:cs="Times New Roman"/>
          <w:sz w:val="24"/>
          <w:szCs w:val="24"/>
          <w:lang w:val="fr-FR"/>
        </w:rPr>
        <w:t>même</w:t>
      </w:r>
      <w:r w:rsidR="00501F72" w:rsidRPr="00953692">
        <w:rPr>
          <w:rFonts w:eastAsia="Calibri" w:cs="Times New Roman"/>
          <w:sz w:val="24"/>
          <w:szCs w:val="24"/>
          <w:lang w:val="fr-FR"/>
        </w:rPr>
        <w:t xml:space="preserve"> ordre d’idées</w:t>
      </w:r>
      <w:r w:rsidR="000619C4" w:rsidRPr="00953692">
        <w:rPr>
          <w:rFonts w:eastAsia="Calibri" w:cs="Times New Roman"/>
          <w:sz w:val="24"/>
          <w:szCs w:val="24"/>
          <w:lang w:val="fr-FR"/>
        </w:rPr>
        <w:t xml:space="preserve">, cette évolution du rôle </w:t>
      </w:r>
      <w:r w:rsidR="00F21667" w:rsidRPr="00953692">
        <w:rPr>
          <w:rFonts w:eastAsia="Calibri" w:cs="Times New Roman"/>
          <w:sz w:val="24"/>
          <w:szCs w:val="24"/>
          <w:lang w:val="fr-FR"/>
        </w:rPr>
        <w:t>attribué au</w:t>
      </w:r>
      <w:r w:rsidR="000619C4" w:rsidRPr="00953692">
        <w:rPr>
          <w:rFonts w:eastAsia="Calibri" w:cs="Times New Roman"/>
          <w:sz w:val="24"/>
          <w:szCs w:val="24"/>
          <w:lang w:val="fr-FR"/>
        </w:rPr>
        <w:t xml:space="preserve"> procureur qui ne devrait plus poursuivre qu’à charge mais également à décharge. </w:t>
      </w:r>
      <w:r w:rsidR="00BA6E19" w:rsidRPr="00953692">
        <w:rPr>
          <w:rFonts w:eastAsia="Calibri" w:cs="Times New Roman"/>
          <w:sz w:val="24"/>
          <w:szCs w:val="24"/>
          <w:lang w:val="fr-FR"/>
        </w:rPr>
        <w:t xml:space="preserve">On voit ici théoriquement l’exemple parfait d’une procédure pénale moins acharnée, censée apporter la lumière nécessaire sur ce qui s’est passé. </w:t>
      </w:r>
      <w:r w:rsidR="00501F72" w:rsidRPr="00953692">
        <w:rPr>
          <w:rFonts w:eastAsia="Calibri" w:cs="Times New Roman"/>
          <w:sz w:val="24"/>
          <w:szCs w:val="24"/>
          <w:lang w:val="fr-FR"/>
        </w:rPr>
        <w:t>On en vient finalement au fait que</w:t>
      </w:r>
      <w:r w:rsidR="00F21667" w:rsidRPr="00953692">
        <w:rPr>
          <w:rFonts w:eastAsia="Calibri" w:cs="Times New Roman"/>
          <w:sz w:val="24"/>
          <w:szCs w:val="24"/>
          <w:lang w:val="fr-FR"/>
        </w:rPr>
        <w:t xml:space="preserve">, l’équité introduit en procédure pénale la notion d’égalité entre </w:t>
      </w:r>
      <w:r w:rsidR="00A41EA4" w:rsidRPr="00953692">
        <w:rPr>
          <w:rFonts w:eastAsia="Calibri" w:cs="Times New Roman"/>
          <w:sz w:val="24"/>
          <w:szCs w:val="24"/>
          <w:lang w:val="fr-FR"/>
        </w:rPr>
        <w:t>c</w:t>
      </w:r>
      <w:r w:rsidR="00F21667" w:rsidRPr="00953692">
        <w:rPr>
          <w:rFonts w:eastAsia="Calibri" w:cs="Times New Roman"/>
          <w:sz w:val="24"/>
          <w:szCs w:val="24"/>
          <w:lang w:val="fr-FR"/>
        </w:rPr>
        <w:t>e procureur</w:t>
      </w:r>
      <w:r w:rsidR="00501F72" w:rsidRPr="00953692">
        <w:rPr>
          <w:rFonts w:eastAsia="Calibri" w:cs="Times New Roman"/>
          <w:sz w:val="24"/>
          <w:szCs w:val="24"/>
          <w:lang w:val="fr-FR"/>
        </w:rPr>
        <w:t xml:space="preserve"> </w:t>
      </w:r>
      <w:r w:rsidR="00892DEF" w:rsidRPr="00953692">
        <w:rPr>
          <w:rFonts w:eastAsia="Calibri" w:cs="Times New Roman"/>
          <w:sz w:val="24"/>
          <w:szCs w:val="24"/>
          <w:lang w:val="fr-FR"/>
        </w:rPr>
        <w:t>(</w:t>
      </w:r>
      <w:r w:rsidR="00A41EA4" w:rsidRPr="00953692">
        <w:rPr>
          <w:rFonts w:eastAsia="Calibri" w:cs="Times New Roman"/>
          <w:sz w:val="24"/>
          <w:szCs w:val="24"/>
          <w:lang w:val="fr-FR"/>
        </w:rPr>
        <w:t>aux pouvoirs exorbitants</w:t>
      </w:r>
      <w:r w:rsidR="00501F72" w:rsidRPr="00953692">
        <w:rPr>
          <w:rFonts w:eastAsia="Calibri" w:cs="Times New Roman"/>
          <w:sz w:val="24"/>
          <w:szCs w:val="24"/>
          <w:lang w:val="fr-FR"/>
        </w:rPr>
        <w:t xml:space="preserve"> et</w:t>
      </w:r>
      <w:r w:rsidR="000418D1" w:rsidRPr="00953692">
        <w:rPr>
          <w:rFonts w:eastAsia="Calibri" w:cs="Times New Roman"/>
          <w:sz w:val="24"/>
          <w:szCs w:val="24"/>
          <w:lang w:val="fr-FR"/>
        </w:rPr>
        <w:t xml:space="preserve"> </w:t>
      </w:r>
      <w:r w:rsidR="00A41EA4" w:rsidRPr="00953692">
        <w:rPr>
          <w:rFonts w:eastAsia="Calibri" w:cs="Times New Roman"/>
          <w:sz w:val="24"/>
          <w:szCs w:val="24"/>
          <w:lang w:val="fr-FR"/>
        </w:rPr>
        <w:t>impressionnants</w:t>
      </w:r>
      <w:r w:rsidR="00892DEF" w:rsidRPr="00953692">
        <w:rPr>
          <w:rFonts w:eastAsia="Calibri" w:cs="Times New Roman"/>
          <w:sz w:val="24"/>
          <w:szCs w:val="24"/>
          <w:lang w:val="fr-FR"/>
        </w:rPr>
        <w:t>)</w:t>
      </w:r>
      <w:r w:rsidR="00F21667" w:rsidRPr="00953692">
        <w:rPr>
          <w:rFonts w:eastAsia="Calibri" w:cs="Times New Roman"/>
          <w:sz w:val="24"/>
          <w:szCs w:val="24"/>
          <w:lang w:val="fr-FR"/>
        </w:rPr>
        <w:t xml:space="preserve"> et </w:t>
      </w:r>
      <w:r w:rsidR="00551679" w:rsidRPr="00953692">
        <w:rPr>
          <w:rFonts w:eastAsia="Calibri" w:cs="Times New Roman"/>
          <w:sz w:val="24"/>
          <w:szCs w:val="24"/>
          <w:lang w:val="fr-FR"/>
        </w:rPr>
        <w:t xml:space="preserve">cet </w:t>
      </w:r>
      <w:r w:rsidR="00F21667" w:rsidRPr="00953692">
        <w:rPr>
          <w:rFonts w:eastAsia="Calibri" w:cs="Times New Roman"/>
          <w:sz w:val="24"/>
          <w:szCs w:val="24"/>
          <w:lang w:val="fr-FR"/>
        </w:rPr>
        <w:t>accusé</w:t>
      </w:r>
      <w:r w:rsidR="002306BF" w:rsidRPr="00953692">
        <w:rPr>
          <w:rFonts w:eastAsia="Calibri" w:cs="Times New Roman"/>
          <w:sz w:val="24"/>
          <w:szCs w:val="24"/>
          <w:lang w:val="fr-FR"/>
        </w:rPr>
        <w:t xml:space="preserve"> qui voit ses droits procéduraux de plus en plus </w:t>
      </w:r>
      <w:r w:rsidR="00501F72" w:rsidRPr="00953692">
        <w:rPr>
          <w:rFonts w:eastAsia="Calibri" w:cs="Times New Roman"/>
          <w:sz w:val="24"/>
          <w:szCs w:val="24"/>
          <w:lang w:val="fr-FR"/>
        </w:rPr>
        <w:t xml:space="preserve">accrus et </w:t>
      </w:r>
      <w:r w:rsidR="002306BF" w:rsidRPr="00953692">
        <w:rPr>
          <w:rFonts w:eastAsia="Calibri" w:cs="Times New Roman"/>
          <w:sz w:val="24"/>
          <w:szCs w:val="24"/>
          <w:lang w:val="fr-FR"/>
        </w:rPr>
        <w:t>renforcés</w:t>
      </w:r>
      <w:r w:rsidR="00F21667" w:rsidRPr="00953692">
        <w:rPr>
          <w:rFonts w:eastAsia="Calibri" w:cs="Times New Roman"/>
          <w:sz w:val="24"/>
          <w:szCs w:val="24"/>
          <w:lang w:val="fr-FR"/>
        </w:rPr>
        <w:t xml:space="preserve">. </w:t>
      </w:r>
      <w:r w:rsidR="003107B8" w:rsidRPr="00953692">
        <w:rPr>
          <w:rFonts w:eastAsia="Calibri" w:cs="Times New Roman"/>
          <w:sz w:val="24"/>
          <w:szCs w:val="24"/>
          <w:lang w:val="fr-FR"/>
        </w:rPr>
        <w:t xml:space="preserve">La bataille </w:t>
      </w:r>
      <w:r w:rsidR="00495AAC" w:rsidRPr="00953692">
        <w:rPr>
          <w:rFonts w:eastAsia="Calibri" w:cs="Times New Roman"/>
          <w:sz w:val="24"/>
          <w:szCs w:val="24"/>
          <w:lang w:val="fr-FR"/>
        </w:rPr>
        <w:t xml:space="preserve">judiciaire </w:t>
      </w:r>
      <w:r w:rsidR="003107B8" w:rsidRPr="00953692">
        <w:rPr>
          <w:rFonts w:eastAsia="Calibri" w:cs="Times New Roman"/>
          <w:sz w:val="24"/>
          <w:szCs w:val="24"/>
          <w:lang w:val="fr-FR"/>
        </w:rPr>
        <w:t xml:space="preserve">s’annonce </w:t>
      </w:r>
      <w:r w:rsidR="007D04B7" w:rsidRPr="00953692">
        <w:rPr>
          <w:rFonts w:eastAsia="Calibri" w:cs="Times New Roman"/>
          <w:sz w:val="24"/>
          <w:szCs w:val="24"/>
          <w:lang w:val="fr-FR"/>
        </w:rPr>
        <w:t>dès lors</w:t>
      </w:r>
      <w:r w:rsidR="00CB7083" w:rsidRPr="00953692">
        <w:rPr>
          <w:rFonts w:eastAsia="Calibri" w:cs="Times New Roman"/>
          <w:sz w:val="24"/>
          <w:szCs w:val="24"/>
          <w:lang w:val="fr-FR"/>
        </w:rPr>
        <w:t xml:space="preserve"> d’une</w:t>
      </w:r>
      <w:r w:rsidR="003107B8" w:rsidRPr="00953692">
        <w:rPr>
          <w:rFonts w:eastAsia="Calibri" w:cs="Times New Roman"/>
          <w:sz w:val="24"/>
          <w:szCs w:val="24"/>
          <w:lang w:val="fr-FR"/>
        </w:rPr>
        <w:t xml:space="preserve"> rude</w:t>
      </w:r>
      <w:r w:rsidR="00CB7083" w:rsidRPr="00953692">
        <w:rPr>
          <w:rFonts w:eastAsia="Calibri" w:cs="Times New Roman"/>
          <w:sz w:val="24"/>
          <w:szCs w:val="24"/>
          <w:lang w:val="fr-FR"/>
        </w:rPr>
        <w:t xml:space="preserve">sse </w:t>
      </w:r>
      <w:r w:rsidR="00CE0FAC" w:rsidRPr="00953692">
        <w:rPr>
          <w:rFonts w:eastAsia="Calibri" w:cs="Times New Roman"/>
          <w:sz w:val="24"/>
          <w:szCs w:val="24"/>
          <w:lang w:val="fr-FR"/>
        </w:rPr>
        <w:t>remarquable</w:t>
      </w:r>
      <w:r w:rsidR="003107B8" w:rsidRPr="00953692">
        <w:rPr>
          <w:rFonts w:eastAsia="Calibri" w:cs="Times New Roman"/>
          <w:sz w:val="24"/>
          <w:szCs w:val="24"/>
          <w:lang w:val="fr-FR"/>
        </w:rPr>
        <w:t>,</w:t>
      </w:r>
      <w:r w:rsidR="00CE0FAC" w:rsidRPr="00953692">
        <w:rPr>
          <w:rFonts w:eastAsia="Calibri" w:cs="Times New Roman"/>
          <w:sz w:val="24"/>
          <w:szCs w:val="24"/>
          <w:lang w:val="fr-FR"/>
        </w:rPr>
        <w:t xml:space="preserve"> mais</w:t>
      </w:r>
      <w:r w:rsidR="003107B8" w:rsidRPr="00953692">
        <w:rPr>
          <w:rFonts w:eastAsia="Calibri" w:cs="Times New Roman"/>
          <w:sz w:val="24"/>
          <w:szCs w:val="24"/>
          <w:lang w:val="fr-FR"/>
        </w:rPr>
        <w:t xml:space="preserve"> auréolée d</w:t>
      </w:r>
      <w:r w:rsidR="00CB7083" w:rsidRPr="00953692">
        <w:rPr>
          <w:rFonts w:eastAsia="Calibri" w:cs="Times New Roman"/>
          <w:sz w:val="24"/>
          <w:szCs w:val="24"/>
          <w:lang w:val="fr-FR"/>
        </w:rPr>
        <w:t>e</w:t>
      </w:r>
      <w:r w:rsidR="003107B8" w:rsidRPr="00953692">
        <w:rPr>
          <w:rFonts w:eastAsia="Calibri" w:cs="Times New Roman"/>
          <w:sz w:val="24"/>
          <w:szCs w:val="24"/>
          <w:lang w:val="fr-FR"/>
        </w:rPr>
        <w:t xml:space="preserve"> ce</w:t>
      </w:r>
      <w:r w:rsidR="00C44B99" w:rsidRPr="00953692">
        <w:rPr>
          <w:rFonts w:eastAsia="Calibri" w:cs="Times New Roman"/>
          <w:sz w:val="24"/>
          <w:szCs w:val="24"/>
          <w:lang w:val="fr-FR"/>
        </w:rPr>
        <w:t xml:space="preserve">tte </w:t>
      </w:r>
      <w:r w:rsidR="003107B8" w:rsidRPr="00953692">
        <w:rPr>
          <w:rFonts w:eastAsia="Calibri" w:cs="Times New Roman"/>
          <w:sz w:val="24"/>
          <w:szCs w:val="24"/>
          <w:lang w:val="fr-FR"/>
        </w:rPr>
        <w:t>équité</w:t>
      </w:r>
      <w:r w:rsidR="00501F72" w:rsidRPr="00953692">
        <w:rPr>
          <w:rFonts w:eastAsia="Calibri" w:cs="Times New Roman"/>
          <w:sz w:val="24"/>
          <w:szCs w:val="24"/>
          <w:lang w:val="fr-FR"/>
        </w:rPr>
        <w:t>.</w:t>
      </w:r>
      <w:r w:rsidR="003107B8" w:rsidRPr="00953692">
        <w:rPr>
          <w:rFonts w:eastAsia="Calibri" w:cs="Times New Roman"/>
          <w:sz w:val="24"/>
          <w:szCs w:val="24"/>
          <w:lang w:val="fr-FR"/>
        </w:rPr>
        <w:t xml:space="preserve"> </w:t>
      </w:r>
    </w:p>
    <w:p w14:paraId="18CE458F" w14:textId="23840690" w:rsidR="00AB1BD9" w:rsidRPr="00953692" w:rsidRDefault="0047240F" w:rsidP="00864BBF">
      <w:pPr>
        <w:spacing w:after="0" w:line="276" w:lineRule="auto"/>
        <w:ind w:firstLine="1134"/>
        <w:jc w:val="both"/>
        <w:rPr>
          <w:rFonts w:eastAsia="Calibri" w:cs="Times New Roman"/>
          <w:sz w:val="24"/>
          <w:szCs w:val="24"/>
          <w:lang w:val="fr-FR"/>
        </w:rPr>
      </w:pPr>
      <w:r w:rsidRPr="00953692">
        <w:rPr>
          <w:rFonts w:eastAsia="Calibri" w:cs="Times New Roman"/>
          <w:b/>
          <w:bCs/>
          <w:sz w:val="24"/>
          <w:szCs w:val="24"/>
          <w:lang w:val="fr-FR"/>
        </w:rPr>
        <w:lastRenderedPageBreak/>
        <w:t>13</w:t>
      </w:r>
      <w:r w:rsidR="004F309F" w:rsidRPr="00953692">
        <w:rPr>
          <w:rFonts w:eastAsia="Calibri" w:cs="Times New Roman"/>
          <w:b/>
          <w:bCs/>
          <w:sz w:val="24"/>
          <w:szCs w:val="24"/>
          <w:lang w:val="fr-FR"/>
        </w:rPr>
        <w:t>.</w:t>
      </w:r>
      <w:r w:rsidR="004F309F" w:rsidRPr="00953692">
        <w:rPr>
          <w:rFonts w:eastAsia="Calibri" w:cs="Times New Roman"/>
          <w:sz w:val="24"/>
          <w:szCs w:val="24"/>
          <w:lang w:val="fr-FR"/>
        </w:rPr>
        <w:t xml:space="preserve"> </w:t>
      </w:r>
      <w:r w:rsidR="00AC2EEE" w:rsidRPr="00953692">
        <w:rPr>
          <w:rFonts w:eastAsia="Calibri" w:cs="Times New Roman"/>
          <w:sz w:val="24"/>
          <w:szCs w:val="24"/>
          <w:lang w:val="fr-FR"/>
        </w:rPr>
        <w:t>Cependant</w:t>
      </w:r>
      <w:r w:rsidR="00AF7D02" w:rsidRPr="00953692">
        <w:rPr>
          <w:rFonts w:eastAsia="Calibri" w:cs="Times New Roman"/>
          <w:sz w:val="24"/>
          <w:szCs w:val="24"/>
          <w:lang w:val="fr-FR"/>
        </w:rPr>
        <w:t xml:space="preserve"> cet équilibre</w:t>
      </w:r>
      <w:r w:rsidR="00F6026D" w:rsidRPr="00953692">
        <w:rPr>
          <w:rFonts w:eastAsia="Calibri" w:cs="Times New Roman"/>
          <w:sz w:val="24"/>
          <w:szCs w:val="24"/>
          <w:lang w:val="fr-FR"/>
        </w:rPr>
        <w:t>,</w:t>
      </w:r>
      <w:r w:rsidR="00AF7D02" w:rsidRPr="00953692">
        <w:rPr>
          <w:rFonts w:eastAsia="Calibri" w:cs="Times New Roman"/>
          <w:sz w:val="24"/>
          <w:szCs w:val="24"/>
          <w:lang w:val="fr-FR"/>
        </w:rPr>
        <w:t xml:space="preserve"> </w:t>
      </w:r>
      <w:r w:rsidR="004F309F" w:rsidRPr="00953692">
        <w:rPr>
          <w:rFonts w:eastAsia="Calibri" w:cs="Times New Roman"/>
          <w:sz w:val="24"/>
          <w:szCs w:val="24"/>
          <w:lang w:val="fr-FR"/>
        </w:rPr>
        <w:t>évidemment louable</w:t>
      </w:r>
      <w:r w:rsidR="00F6026D" w:rsidRPr="00953692">
        <w:rPr>
          <w:rFonts w:eastAsia="Calibri" w:cs="Times New Roman"/>
          <w:sz w:val="24"/>
          <w:szCs w:val="24"/>
          <w:lang w:val="fr-FR"/>
        </w:rPr>
        <w:t>,</w:t>
      </w:r>
      <w:r w:rsidR="004F309F" w:rsidRPr="00953692">
        <w:rPr>
          <w:rFonts w:eastAsia="Calibri" w:cs="Times New Roman"/>
          <w:sz w:val="24"/>
          <w:szCs w:val="24"/>
          <w:lang w:val="fr-FR"/>
        </w:rPr>
        <w:t xml:space="preserve"> n’est qu’</w:t>
      </w:r>
      <w:r w:rsidR="00CE0FAC" w:rsidRPr="00953692">
        <w:rPr>
          <w:rFonts w:eastAsia="Calibri" w:cs="Times New Roman"/>
          <w:sz w:val="24"/>
          <w:szCs w:val="24"/>
          <w:lang w:val="fr-FR"/>
        </w:rPr>
        <w:t xml:space="preserve">idéalement </w:t>
      </w:r>
      <w:r w:rsidR="004F309F" w:rsidRPr="00953692">
        <w:rPr>
          <w:rFonts w:eastAsia="Calibri" w:cs="Times New Roman"/>
          <w:sz w:val="24"/>
          <w:szCs w:val="24"/>
          <w:lang w:val="fr-FR"/>
        </w:rPr>
        <w:t xml:space="preserve">insuffisant dans un processus </w:t>
      </w:r>
      <w:r w:rsidR="006D615E" w:rsidRPr="00953692">
        <w:rPr>
          <w:rFonts w:eastAsia="Calibri" w:cs="Times New Roman"/>
          <w:sz w:val="24"/>
          <w:szCs w:val="24"/>
          <w:lang w:val="fr-FR"/>
        </w:rPr>
        <w:t>dont</w:t>
      </w:r>
      <w:r w:rsidR="004F309F" w:rsidRPr="00953692">
        <w:rPr>
          <w:rFonts w:eastAsia="Calibri" w:cs="Times New Roman"/>
          <w:sz w:val="24"/>
          <w:szCs w:val="24"/>
          <w:lang w:val="fr-FR"/>
        </w:rPr>
        <w:t xml:space="preserve"> la stigmatisation, la privation de la liberté ou encore la restriction de certains droits montrent</w:t>
      </w:r>
      <w:r w:rsidR="00495C49" w:rsidRPr="00953692">
        <w:rPr>
          <w:rFonts w:eastAsia="Calibri" w:cs="Times New Roman"/>
          <w:sz w:val="24"/>
          <w:szCs w:val="24"/>
          <w:lang w:val="fr-FR"/>
        </w:rPr>
        <w:t xml:space="preserve"> </w:t>
      </w:r>
      <w:r w:rsidR="003107B8" w:rsidRPr="00953692">
        <w:rPr>
          <w:rFonts w:eastAsia="Calibri" w:cs="Times New Roman"/>
          <w:sz w:val="24"/>
          <w:szCs w:val="24"/>
          <w:lang w:val="fr-FR"/>
        </w:rPr>
        <w:t>parfaitement</w:t>
      </w:r>
      <w:r w:rsidR="004F309F" w:rsidRPr="00953692">
        <w:rPr>
          <w:rFonts w:eastAsia="Calibri" w:cs="Times New Roman"/>
          <w:sz w:val="24"/>
          <w:szCs w:val="24"/>
          <w:lang w:val="fr-FR"/>
        </w:rPr>
        <w:t xml:space="preserve"> que l’accusé demeure </w:t>
      </w:r>
      <w:r w:rsidR="003107B8" w:rsidRPr="00953692">
        <w:rPr>
          <w:rFonts w:eastAsia="Calibri" w:cs="Times New Roman"/>
          <w:sz w:val="24"/>
          <w:szCs w:val="24"/>
          <w:lang w:val="fr-FR"/>
        </w:rPr>
        <w:t xml:space="preserve">jusqu’aujourd’hui </w:t>
      </w:r>
      <w:r w:rsidR="004F309F" w:rsidRPr="00953692">
        <w:rPr>
          <w:rFonts w:eastAsia="Calibri" w:cs="Times New Roman"/>
          <w:sz w:val="24"/>
          <w:szCs w:val="24"/>
          <w:lang w:val="fr-FR"/>
        </w:rPr>
        <w:t>dans une posture désavantageuse</w:t>
      </w:r>
      <w:r w:rsidR="000340EB" w:rsidRPr="00953692">
        <w:rPr>
          <w:rFonts w:eastAsia="Calibri" w:cs="Times New Roman"/>
          <w:sz w:val="24"/>
          <w:szCs w:val="24"/>
          <w:lang w:val="fr-FR"/>
        </w:rPr>
        <w:t xml:space="preserve">, qui n’en reste pas moins justifiée par l’autorité </w:t>
      </w:r>
      <w:r w:rsidR="00A7156C" w:rsidRPr="00953692">
        <w:rPr>
          <w:rFonts w:eastAsia="Calibri" w:cs="Times New Roman"/>
          <w:sz w:val="24"/>
          <w:szCs w:val="24"/>
          <w:lang w:val="fr-FR"/>
        </w:rPr>
        <w:t xml:space="preserve">légitime </w:t>
      </w:r>
      <w:r w:rsidR="000340EB" w:rsidRPr="00953692">
        <w:rPr>
          <w:rFonts w:eastAsia="Calibri" w:cs="Times New Roman"/>
          <w:sz w:val="24"/>
          <w:szCs w:val="24"/>
          <w:lang w:val="fr-FR"/>
        </w:rPr>
        <w:t>que devrait avoir les institutions judiciaires sur les justiciables, particulièrement les auteurs présumés des crimes.</w:t>
      </w:r>
      <w:r w:rsidR="006726F3" w:rsidRPr="00953692">
        <w:rPr>
          <w:rFonts w:eastAsia="Calibri" w:cs="Times New Roman"/>
          <w:sz w:val="24"/>
          <w:szCs w:val="24"/>
          <w:lang w:val="fr-FR"/>
        </w:rPr>
        <w:t xml:space="preserve"> </w:t>
      </w:r>
    </w:p>
    <w:p w14:paraId="5CACC8E4" w14:textId="6D225C9E" w:rsidR="00E744A2" w:rsidRPr="00953692" w:rsidRDefault="0047240F" w:rsidP="00864BBF">
      <w:pPr>
        <w:spacing w:after="0" w:line="276" w:lineRule="auto"/>
        <w:ind w:firstLine="1134"/>
        <w:jc w:val="both"/>
        <w:rPr>
          <w:rFonts w:eastAsia="Calibri" w:cs="Times New Roman"/>
          <w:sz w:val="24"/>
          <w:szCs w:val="24"/>
          <w:lang w:val="fr-FR"/>
        </w:rPr>
      </w:pPr>
      <w:r w:rsidRPr="00953692">
        <w:rPr>
          <w:rFonts w:eastAsia="Calibri" w:cs="Times New Roman"/>
          <w:b/>
          <w:bCs/>
          <w:sz w:val="24"/>
          <w:szCs w:val="24"/>
          <w:lang w:val="fr-FR"/>
        </w:rPr>
        <w:t>14.</w:t>
      </w:r>
      <w:r w:rsidRPr="00953692">
        <w:rPr>
          <w:rFonts w:eastAsia="Calibri" w:cs="Times New Roman"/>
          <w:sz w:val="24"/>
          <w:szCs w:val="24"/>
          <w:lang w:val="fr-FR"/>
        </w:rPr>
        <w:t xml:space="preserve"> </w:t>
      </w:r>
      <w:r w:rsidR="006726F3" w:rsidRPr="00953692">
        <w:rPr>
          <w:rFonts w:eastAsia="Calibri" w:cs="Times New Roman"/>
          <w:sz w:val="24"/>
          <w:szCs w:val="24"/>
          <w:lang w:val="fr-FR"/>
        </w:rPr>
        <w:t xml:space="preserve">A posteriori, ce qui devra </w:t>
      </w:r>
      <w:r w:rsidR="00A7156C" w:rsidRPr="00953692">
        <w:rPr>
          <w:rFonts w:eastAsia="Calibri" w:cs="Times New Roman"/>
          <w:sz w:val="24"/>
          <w:szCs w:val="24"/>
          <w:lang w:val="fr-FR"/>
        </w:rPr>
        <w:t xml:space="preserve">être </w:t>
      </w:r>
      <w:r w:rsidR="006726F3" w:rsidRPr="00953692">
        <w:rPr>
          <w:rFonts w:eastAsia="Calibri" w:cs="Times New Roman"/>
          <w:sz w:val="24"/>
          <w:szCs w:val="24"/>
          <w:lang w:val="fr-FR"/>
        </w:rPr>
        <w:t>évit</w:t>
      </w:r>
      <w:r w:rsidR="00A7156C" w:rsidRPr="00953692">
        <w:rPr>
          <w:rFonts w:eastAsia="Calibri" w:cs="Times New Roman"/>
          <w:sz w:val="24"/>
          <w:szCs w:val="24"/>
          <w:lang w:val="fr-FR"/>
        </w:rPr>
        <w:t>é</w:t>
      </w:r>
      <w:r w:rsidR="006726F3" w:rsidRPr="00953692">
        <w:rPr>
          <w:rFonts w:eastAsia="Calibri" w:cs="Times New Roman"/>
          <w:sz w:val="24"/>
          <w:szCs w:val="24"/>
          <w:lang w:val="fr-FR"/>
        </w:rPr>
        <w:t xml:space="preserve"> en matière d’administration de la justice, c’est bien tout </w:t>
      </w:r>
      <w:r w:rsidR="006726F3" w:rsidRPr="00953692">
        <w:rPr>
          <w:rFonts w:eastAsia="Calibri" w:cs="Times New Roman"/>
          <w:i/>
          <w:iCs/>
          <w:sz w:val="24"/>
          <w:szCs w:val="24"/>
          <w:lang w:val="fr-FR"/>
        </w:rPr>
        <w:t>abus de procédure</w:t>
      </w:r>
      <w:r w:rsidR="006726F3" w:rsidRPr="00953692">
        <w:rPr>
          <w:rFonts w:eastAsia="Calibri" w:cs="Times New Roman"/>
          <w:sz w:val="24"/>
          <w:szCs w:val="24"/>
          <w:lang w:val="fr-FR"/>
        </w:rPr>
        <w:t xml:space="preserve"> susceptible d’</w:t>
      </w:r>
      <w:r w:rsidR="00E744A2" w:rsidRPr="00953692">
        <w:rPr>
          <w:rFonts w:eastAsia="Calibri" w:cs="Times New Roman"/>
          <w:sz w:val="24"/>
          <w:szCs w:val="24"/>
          <w:lang w:val="fr-FR"/>
        </w:rPr>
        <w:t>être</w:t>
      </w:r>
      <w:r w:rsidR="006726F3" w:rsidRPr="00953692">
        <w:rPr>
          <w:rFonts w:eastAsia="Calibri" w:cs="Times New Roman"/>
          <w:sz w:val="24"/>
          <w:szCs w:val="24"/>
          <w:lang w:val="fr-FR"/>
        </w:rPr>
        <w:t xml:space="preserve"> commis par les organes judiciaires</w:t>
      </w:r>
      <w:r w:rsidR="004F309F" w:rsidRPr="00953692">
        <w:rPr>
          <w:rFonts w:eastAsia="Calibri" w:cs="Times New Roman"/>
          <w:sz w:val="24"/>
          <w:szCs w:val="24"/>
          <w:lang w:val="fr-FR"/>
        </w:rPr>
        <w:t xml:space="preserve"> que seul le temps peut </w:t>
      </w:r>
      <w:r w:rsidR="0056464A" w:rsidRPr="00953692">
        <w:rPr>
          <w:rFonts w:eastAsia="Calibri" w:cs="Times New Roman"/>
          <w:sz w:val="24"/>
          <w:szCs w:val="24"/>
          <w:lang w:val="fr-FR"/>
        </w:rPr>
        <w:t xml:space="preserve">nous </w:t>
      </w:r>
      <w:r w:rsidR="004F309F" w:rsidRPr="00953692">
        <w:rPr>
          <w:rFonts w:eastAsia="Calibri" w:cs="Times New Roman"/>
          <w:sz w:val="24"/>
          <w:szCs w:val="24"/>
          <w:lang w:val="fr-FR"/>
        </w:rPr>
        <w:t xml:space="preserve">en </w:t>
      </w:r>
      <w:r w:rsidR="00E744A2" w:rsidRPr="00953692">
        <w:rPr>
          <w:rFonts w:eastAsia="Calibri" w:cs="Times New Roman"/>
          <w:sz w:val="24"/>
          <w:szCs w:val="24"/>
          <w:lang w:val="fr-FR"/>
        </w:rPr>
        <w:t>révéler</w:t>
      </w:r>
      <w:r w:rsidR="0056464A" w:rsidRPr="00953692">
        <w:rPr>
          <w:rFonts w:eastAsia="Calibri" w:cs="Times New Roman"/>
          <w:sz w:val="24"/>
          <w:szCs w:val="24"/>
          <w:lang w:val="fr-FR"/>
        </w:rPr>
        <w:t xml:space="preserve"> la teneur</w:t>
      </w:r>
      <w:r w:rsidR="004F309F" w:rsidRPr="00953692">
        <w:rPr>
          <w:rFonts w:eastAsia="Calibri" w:cs="Times New Roman"/>
          <w:sz w:val="24"/>
          <w:szCs w:val="24"/>
          <w:lang w:val="fr-FR"/>
        </w:rPr>
        <w:t xml:space="preserve">. Ce temps, c’est </w:t>
      </w:r>
      <w:r w:rsidR="00C44B99" w:rsidRPr="00953692">
        <w:rPr>
          <w:rFonts w:eastAsia="Calibri" w:cs="Times New Roman"/>
          <w:sz w:val="24"/>
          <w:szCs w:val="24"/>
          <w:lang w:val="fr-FR"/>
        </w:rPr>
        <w:t xml:space="preserve">d’abord </w:t>
      </w:r>
      <w:r w:rsidR="004F309F" w:rsidRPr="00953692">
        <w:rPr>
          <w:rFonts w:eastAsia="Calibri" w:cs="Times New Roman"/>
          <w:sz w:val="24"/>
          <w:szCs w:val="24"/>
          <w:lang w:val="fr-FR"/>
        </w:rPr>
        <w:t>le temps d’enquêter (d’instruire) et de juger</w:t>
      </w:r>
      <w:r w:rsidR="00094E3B" w:rsidRPr="00953692">
        <w:rPr>
          <w:rFonts w:eastAsia="Calibri" w:cs="Times New Roman"/>
          <w:sz w:val="24"/>
          <w:szCs w:val="24"/>
          <w:lang w:val="fr-FR"/>
        </w:rPr>
        <w:t>, d’une part</w:t>
      </w:r>
      <w:r w:rsidR="006D615E" w:rsidRPr="00953692">
        <w:rPr>
          <w:rFonts w:eastAsia="Calibri" w:cs="Times New Roman"/>
          <w:sz w:val="24"/>
          <w:szCs w:val="24"/>
          <w:lang w:val="fr-FR"/>
        </w:rPr>
        <w:t>,</w:t>
      </w:r>
      <w:r w:rsidR="004F309F" w:rsidRPr="00953692">
        <w:rPr>
          <w:rFonts w:eastAsia="Calibri" w:cs="Times New Roman"/>
          <w:sz w:val="24"/>
          <w:szCs w:val="24"/>
          <w:lang w:val="fr-FR"/>
        </w:rPr>
        <w:t xml:space="preserve"> </w:t>
      </w:r>
      <w:r w:rsidR="006D615E" w:rsidRPr="00953692">
        <w:rPr>
          <w:rFonts w:eastAsia="Calibri" w:cs="Times New Roman"/>
          <w:sz w:val="24"/>
          <w:szCs w:val="24"/>
          <w:lang w:val="fr-FR"/>
        </w:rPr>
        <w:t>car l</w:t>
      </w:r>
      <w:r w:rsidR="00EE1111" w:rsidRPr="00953692">
        <w:rPr>
          <w:rFonts w:eastAsia="Calibri" w:cs="Times New Roman"/>
          <w:sz w:val="24"/>
          <w:szCs w:val="24"/>
          <w:lang w:val="fr-FR"/>
        </w:rPr>
        <w:t xml:space="preserve">es acteurs qui en sont chargés ont l’obligation d’agir avec diligence. </w:t>
      </w:r>
      <w:r w:rsidR="00094E3B" w:rsidRPr="00953692">
        <w:rPr>
          <w:rFonts w:eastAsia="Calibri" w:cs="Times New Roman"/>
          <w:sz w:val="24"/>
          <w:szCs w:val="24"/>
          <w:lang w:val="fr-FR"/>
        </w:rPr>
        <w:t>D’autre part, c’est aussi le temps d’être jugé</w:t>
      </w:r>
      <w:r w:rsidR="006D615E" w:rsidRPr="00953692">
        <w:rPr>
          <w:rFonts w:eastAsia="Calibri" w:cs="Times New Roman"/>
          <w:sz w:val="24"/>
          <w:szCs w:val="24"/>
          <w:lang w:val="fr-FR"/>
        </w:rPr>
        <w:t> ; l</w:t>
      </w:r>
      <w:r w:rsidR="00094E3B" w:rsidRPr="00953692">
        <w:rPr>
          <w:rFonts w:eastAsia="Calibri" w:cs="Times New Roman"/>
          <w:sz w:val="24"/>
          <w:szCs w:val="24"/>
          <w:lang w:val="fr-FR"/>
        </w:rPr>
        <w:t>’accusé a</w:t>
      </w:r>
      <w:r w:rsidR="00A7156C" w:rsidRPr="00953692">
        <w:rPr>
          <w:rFonts w:eastAsia="Calibri" w:cs="Times New Roman"/>
          <w:sz w:val="24"/>
          <w:szCs w:val="24"/>
          <w:lang w:val="fr-FR"/>
        </w:rPr>
        <w:t>,</w:t>
      </w:r>
      <w:r w:rsidR="00094E3B" w:rsidRPr="00953692">
        <w:rPr>
          <w:rFonts w:eastAsia="Calibri" w:cs="Times New Roman"/>
          <w:sz w:val="24"/>
          <w:szCs w:val="24"/>
          <w:lang w:val="fr-FR"/>
        </w:rPr>
        <w:t xml:space="preserve"> </w:t>
      </w:r>
      <w:r w:rsidR="002B7343" w:rsidRPr="00953692">
        <w:rPr>
          <w:rFonts w:eastAsia="Calibri" w:cs="Times New Roman"/>
          <w:sz w:val="24"/>
          <w:szCs w:val="24"/>
          <w:lang w:val="fr-FR"/>
        </w:rPr>
        <w:t>en revanche</w:t>
      </w:r>
      <w:r w:rsidR="00A7156C" w:rsidRPr="00953692">
        <w:rPr>
          <w:rFonts w:eastAsia="Calibri" w:cs="Times New Roman"/>
          <w:sz w:val="24"/>
          <w:szCs w:val="24"/>
          <w:lang w:val="fr-FR"/>
        </w:rPr>
        <w:t>,</w:t>
      </w:r>
      <w:r w:rsidR="002B7343" w:rsidRPr="00953692">
        <w:rPr>
          <w:rFonts w:eastAsia="Calibri" w:cs="Times New Roman"/>
          <w:sz w:val="24"/>
          <w:szCs w:val="24"/>
          <w:lang w:val="fr-FR"/>
        </w:rPr>
        <w:t xml:space="preserve"> le droit d’être jugé sans </w:t>
      </w:r>
      <w:r w:rsidR="00736001" w:rsidRPr="00953692">
        <w:rPr>
          <w:rFonts w:eastAsia="Calibri" w:cs="Times New Roman"/>
          <w:sz w:val="24"/>
          <w:szCs w:val="24"/>
          <w:lang w:val="fr-FR"/>
        </w:rPr>
        <w:t xml:space="preserve">retard </w:t>
      </w:r>
      <w:r w:rsidR="002B7343" w:rsidRPr="00953692">
        <w:rPr>
          <w:rFonts w:eastAsia="Calibri" w:cs="Times New Roman"/>
          <w:sz w:val="24"/>
          <w:szCs w:val="24"/>
          <w:lang w:val="fr-FR"/>
        </w:rPr>
        <w:t>excessif</w:t>
      </w:r>
      <w:r w:rsidR="003107B8" w:rsidRPr="00953692">
        <w:rPr>
          <w:rFonts w:eastAsia="Calibri" w:cs="Times New Roman"/>
          <w:sz w:val="24"/>
          <w:szCs w:val="24"/>
          <w:lang w:val="fr-FR"/>
        </w:rPr>
        <w:t xml:space="preserve"> afin soit, de subir les conséquences de son antisocialité soit, d’</w:t>
      </w:r>
      <w:r w:rsidR="00D465A8" w:rsidRPr="00953692">
        <w:rPr>
          <w:rFonts w:eastAsia="Calibri" w:cs="Times New Roman"/>
          <w:sz w:val="24"/>
          <w:szCs w:val="24"/>
          <w:lang w:val="fr-FR"/>
        </w:rPr>
        <w:t>être</w:t>
      </w:r>
      <w:r w:rsidR="003107B8" w:rsidRPr="00953692">
        <w:rPr>
          <w:rFonts w:eastAsia="Calibri" w:cs="Times New Roman"/>
          <w:sz w:val="24"/>
          <w:szCs w:val="24"/>
          <w:lang w:val="fr-FR"/>
        </w:rPr>
        <w:t xml:space="preserve"> acquitté et lavé de </w:t>
      </w:r>
      <w:r w:rsidR="00736001" w:rsidRPr="00953692">
        <w:rPr>
          <w:rFonts w:eastAsia="Calibri" w:cs="Times New Roman"/>
          <w:sz w:val="24"/>
          <w:szCs w:val="24"/>
          <w:lang w:val="fr-FR"/>
        </w:rPr>
        <w:t xml:space="preserve">tout soupçon légitime ou de </w:t>
      </w:r>
      <w:r w:rsidR="003107B8" w:rsidRPr="00953692">
        <w:rPr>
          <w:rFonts w:eastAsia="Calibri" w:cs="Times New Roman"/>
          <w:sz w:val="24"/>
          <w:szCs w:val="24"/>
          <w:lang w:val="fr-FR"/>
        </w:rPr>
        <w:t>toute présomption de culpabilité</w:t>
      </w:r>
      <w:r w:rsidR="00E70DBF" w:rsidRPr="00953692">
        <w:rPr>
          <w:rFonts w:eastAsia="Calibri" w:cs="Times New Roman"/>
          <w:sz w:val="24"/>
          <w:szCs w:val="24"/>
          <w:lang w:val="fr-FR"/>
        </w:rPr>
        <w:t xml:space="preserve"> qui pesait </w:t>
      </w:r>
      <w:r w:rsidR="00E70DBF" w:rsidRPr="00953692">
        <w:rPr>
          <w:rFonts w:eastAsia="Calibri" w:cs="Times New Roman"/>
          <w:i/>
          <w:iCs/>
          <w:sz w:val="24"/>
          <w:szCs w:val="24"/>
          <w:lang w:val="fr-FR"/>
        </w:rPr>
        <w:t>de facto</w:t>
      </w:r>
      <w:r w:rsidR="00E70DBF" w:rsidRPr="00953692">
        <w:rPr>
          <w:rFonts w:eastAsia="Calibri" w:cs="Times New Roman"/>
          <w:sz w:val="24"/>
          <w:szCs w:val="24"/>
          <w:lang w:val="fr-FR"/>
        </w:rPr>
        <w:t xml:space="preserve"> sur lui</w:t>
      </w:r>
      <w:r w:rsidR="002B7343" w:rsidRPr="00953692">
        <w:rPr>
          <w:rFonts w:eastAsia="Calibri" w:cs="Times New Roman"/>
          <w:sz w:val="24"/>
          <w:szCs w:val="24"/>
          <w:lang w:val="fr-FR"/>
        </w:rPr>
        <w:t>.</w:t>
      </w:r>
      <w:bookmarkStart w:id="4" w:name="_Hlk132024995"/>
    </w:p>
    <w:p w14:paraId="61597BE9" w14:textId="4EFAC80A" w:rsidR="002B7343" w:rsidRPr="00953692" w:rsidRDefault="0047240F" w:rsidP="00864BBF">
      <w:pPr>
        <w:spacing w:after="0" w:line="276" w:lineRule="auto"/>
        <w:ind w:firstLine="1134"/>
        <w:jc w:val="both"/>
        <w:rPr>
          <w:rFonts w:cs="Times New Roman"/>
          <w:sz w:val="24"/>
          <w:szCs w:val="24"/>
          <w:lang w:val="fr-FR"/>
        </w:rPr>
      </w:pPr>
      <w:r w:rsidRPr="00953692">
        <w:rPr>
          <w:rFonts w:eastAsia="Calibri" w:cs="Times New Roman"/>
          <w:b/>
          <w:bCs/>
          <w:sz w:val="24"/>
          <w:szCs w:val="24"/>
          <w:lang w:val="fr-FR"/>
        </w:rPr>
        <w:t>15</w:t>
      </w:r>
      <w:r w:rsidR="00736001" w:rsidRPr="00953692">
        <w:rPr>
          <w:rFonts w:eastAsia="Calibri" w:cs="Times New Roman"/>
          <w:b/>
          <w:bCs/>
          <w:sz w:val="24"/>
          <w:szCs w:val="24"/>
          <w:lang w:val="fr-FR"/>
        </w:rPr>
        <w:t>.</w:t>
      </w:r>
      <w:r w:rsidR="00736001" w:rsidRPr="00953692">
        <w:rPr>
          <w:rFonts w:eastAsia="Calibri" w:cs="Times New Roman"/>
          <w:sz w:val="24"/>
          <w:szCs w:val="24"/>
          <w:lang w:val="fr-FR"/>
        </w:rPr>
        <w:t xml:space="preserve"> </w:t>
      </w:r>
      <w:r w:rsidR="00416447" w:rsidRPr="00953692">
        <w:rPr>
          <w:rFonts w:eastAsia="Calibri" w:cs="Times New Roman"/>
          <w:sz w:val="24"/>
          <w:szCs w:val="24"/>
          <w:lang w:val="fr-FR"/>
        </w:rPr>
        <w:t>L</w:t>
      </w:r>
      <w:r w:rsidR="00D465A8" w:rsidRPr="00953692">
        <w:rPr>
          <w:rFonts w:eastAsia="Calibri" w:cs="Times New Roman"/>
          <w:sz w:val="24"/>
          <w:szCs w:val="24"/>
          <w:lang w:val="fr-FR"/>
        </w:rPr>
        <w:t xml:space="preserve">e droit </w:t>
      </w:r>
      <w:r w:rsidR="00416447" w:rsidRPr="00953692">
        <w:rPr>
          <w:rFonts w:eastAsia="Calibri" w:cs="Times New Roman"/>
          <w:sz w:val="24"/>
          <w:szCs w:val="24"/>
          <w:lang w:val="fr-FR"/>
        </w:rPr>
        <w:t xml:space="preserve">d’être jugé sans retard excessif </w:t>
      </w:r>
      <w:r w:rsidR="002B7343" w:rsidRPr="00953692">
        <w:rPr>
          <w:rFonts w:cs="Times New Roman"/>
          <w:sz w:val="24"/>
          <w:szCs w:val="24"/>
          <w:lang w:val="fr-FR"/>
        </w:rPr>
        <w:t xml:space="preserve">est en réalité </w:t>
      </w:r>
      <w:r w:rsidR="00416447" w:rsidRPr="00953692">
        <w:rPr>
          <w:rFonts w:cs="Times New Roman"/>
          <w:sz w:val="24"/>
          <w:szCs w:val="24"/>
          <w:lang w:val="fr-FR"/>
        </w:rPr>
        <w:t>cette</w:t>
      </w:r>
      <w:r w:rsidR="002B7343" w:rsidRPr="00953692">
        <w:rPr>
          <w:rFonts w:cs="Times New Roman"/>
          <w:sz w:val="24"/>
          <w:szCs w:val="24"/>
          <w:lang w:val="fr-FR"/>
        </w:rPr>
        <w:t xml:space="preserve"> formulation du droit au procès dans un délai raisonnable empruntée </w:t>
      </w:r>
      <w:r w:rsidR="006D615E" w:rsidRPr="00953692">
        <w:rPr>
          <w:rFonts w:cs="Times New Roman"/>
          <w:sz w:val="24"/>
          <w:szCs w:val="24"/>
          <w:lang w:val="fr-FR"/>
        </w:rPr>
        <w:t>à</w:t>
      </w:r>
      <w:r w:rsidR="002B7343" w:rsidRPr="00953692">
        <w:rPr>
          <w:rFonts w:cs="Times New Roman"/>
          <w:sz w:val="24"/>
          <w:szCs w:val="24"/>
          <w:lang w:val="fr-FR"/>
        </w:rPr>
        <w:t xml:space="preserve"> l’article 14 du PIDCP par tous les actes constitutifs des juridictions pénales internationales</w:t>
      </w:r>
      <w:r w:rsidR="009129DC" w:rsidRPr="00953692">
        <w:rPr>
          <w:rStyle w:val="Appelnotedebasdep"/>
          <w:rFonts w:cs="Times New Roman"/>
          <w:sz w:val="24"/>
          <w:szCs w:val="24"/>
          <w:lang w:val="fr-FR"/>
        </w:rPr>
        <w:footnoteReference w:customMarkFollows="1" w:id="21"/>
        <w:t>20</w:t>
      </w:r>
      <w:r w:rsidR="002B7343" w:rsidRPr="00953692">
        <w:rPr>
          <w:rFonts w:cs="Times New Roman"/>
          <w:sz w:val="24"/>
          <w:szCs w:val="24"/>
          <w:lang w:val="fr-FR"/>
        </w:rPr>
        <w:t>.</w:t>
      </w:r>
      <w:r w:rsidR="006F37E6" w:rsidRPr="00953692">
        <w:rPr>
          <w:rFonts w:cs="Times New Roman"/>
          <w:sz w:val="24"/>
          <w:szCs w:val="24"/>
          <w:lang w:val="fr-FR"/>
        </w:rPr>
        <w:t xml:space="preserve"> C’est en </w:t>
      </w:r>
      <w:r w:rsidR="00BB2808" w:rsidRPr="00953692">
        <w:rPr>
          <w:rFonts w:cs="Times New Roman"/>
          <w:sz w:val="24"/>
          <w:szCs w:val="24"/>
          <w:lang w:val="fr-FR"/>
        </w:rPr>
        <w:t>fait</w:t>
      </w:r>
      <w:r w:rsidR="006F37E6" w:rsidRPr="00953692">
        <w:rPr>
          <w:rFonts w:cs="Times New Roman"/>
          <w:sz w:val="24"/>
          <w:szCs w:val="24"/>
          <w:lang w:val="fr-FR"/>
        </w:rPr>
        <w:t xml:space="preserve"> l’équivalent du</w:t>
      </w:r>
      <w:r w:rsidR="0031158D" w:rsidRPr="00953692">
        <w:rPr>
          <w:rFonts w:cs="Times New Roman"/>
          <w:sz w:val="24"/>
          <w:szCs w:val="24"/>
          <w:lang w:val="fr-FR"/>
        </w:rPr>
        <w:t xml:space="preserve"> droit d’être jugé dans un</w:t>
      </w:r>
      <w:r w:rsidR="006F37E6" w:rsidRPr="00953692">
        <w:rPr>
          <w:rFonts w:cs="Times New Roman"/>
          <w:sz w:val="24"/>
          <w:szCs w:val="24"/>
          <w:lang w:val="fr-FR"/>
        </w:rPr>
        <w:t xml:space="preserve"> délai</w:t>
      </w:r>
      <w:r w:rsidR="00361B88" w:rsidRPr="00953692">
        <w:rPr>
          <w:rFonts w:cs="Times New Roman"/>
          <w:sz w:val="24"/>
          <w:szCs w:val="24"/>
          <w:lang w:val="fr-FR"/>
        </w:rPr>
        <w:t xml:space="preserve"> raisonnable</w:t>
      </w:r>
      <w:r w:rsidR="0031158D" w:rsidRPr="00953692">
        <w:rPr>
          <w:rFonts w:cs="Times New Roman"/>
          <w:sz w:val="24"/>
          <w:szCs w:val="24"/>
          <w:lang w:val="fr-FR"/>
        </w:rPr>
        <w:t xml:space="preserve"> que l’on retrouve dans la plupart des textes juridiques</w:t>
      </w:r>
      <w:r w:rsidR="00BB2808" w:rsidRPr="00953692">
        <w:rPr>
          <w:rFonts w:cs="Times New Roman"/>
          <w:sz w:val="24"/>
          <w:szCs w:val="24"/>
          <w:lang w:val="fr-FR"/>
        </w:rPr>
        <w:t xml:space="preserve"> conventionnels ou nationaux</w:t>
      </w:r>
      <w:r w:rsidR="00CE5B31" w:rsidRPr="00953692">
        <w:rPr>
          <w:rFonts w:cs="Times New Roman"/>
          <w:sz w:val="24"/>
          <w:szCs w:val="24"/>
          <w:lang w:val="fr-FR"/>
        </w:rPr>
        <w:t>.</w:t>
      </w:r>
      <w:r w:rsidR="006F37E6" w:rsidRPr="00953692">
        <w:rPr>
          <w:rFonts w:cs="Times New Roman"/>
          <w:sz w:val="24"/>
          <w:szCs w:val="24"/>
          <w:lang w:val="fr-FR"/>
        </w:rPr>
        <w:t xml:space="preserve"> </w:t>
      </w:r>
      <w:r w:rsidR="00CE5B31" w:rsidRPr="00953692">
        <w:rPr>
          <w:rFonts w:cs="Times New Roman"/>
          <w:sz w:val="24"/>
          <w:szCs w:val="24"/>
          <w:lang w:val="fr-FR"/>
        </w:rPr>
        <w:t>M</w:t>
      </w:r>
      <w:r w:rsidR="006F37E6" w:rsidRPr="00953692">
        <w:rPr>
          <w:rFonts w:cs="Times New Roman"/>
          <w:sz w:val="24"/>
          <w:szCs w:val="24"/>
          <w:lang w:val="fr-FR"/>
        </w:rPr>
        <w:t>ais</w:t>
      </w:r>
      <w:r w:rsidR="00CE5B31" w:rsidRPr="00953692">
        <w:rPr>
          <w:rFonts w:cs="Times New Roman"/>
          <w:sz w:val="24"/>
          <w:szCs w:val="24"/>
          <w:lang w:val="fr-FR"/>
        </w:rPr>
        <w:t xml:space="preserve"> cette équipollence</w:t>
      </w:r>
      <w:r w:rsidR="006F37E6" w:rsidRPr="00953692">
        <w:rPr>
          <w:rFonts w:cs="Times New Roman"/>
          <w:sz w:val="24"/>
          <w:szCs w:val="24"/>
          <w:lang w:val="fr-FR"/>
        </w:rPr>
        <w:t xml:space="preserve"> peut être critiqué</w:t>
      </w:r>
      <w:r w:rsidR="00CE5B31" w:rsidRPr="00953692">
        <w:rPr>
          <w:rFonts w:cs="Times New Roman"/>
          <w:sz w:val="24"/>
          <w:szCs w:val="24"/>
          <w:lang w:val="fr-FR"/>
        </w:rPr>
        <w:t>e</w:t>
      </w:r>
      <w:r w:rsidR="006F37E6" w:rsidRPr="00953692">
        <w:rPr>
          <w:rFonts w:cs="Times New Roman"/>
          <w:sz w:val="24"/>
          <w:szCs w:val="24"/>
          <w:lang w:val="fr-FR"/>
        </w:rPr>
        <w:t xml:space="preserve"> pour plusieurs raisons, notamment en ce qui concerne le choix</w:t>
      </w:r>
      <w:r w:rsidR="00926D1A" w:rsidRPr="00953692">
        <w:rPr>
          <w:rFonts w:cs="Times New Roman"/>
          <w:sz w:val="24"/>
          <w:szCs w:val="24"/>
          <w:lang w:val="fr-FR"/>
        </w:rPr>
        <w:t xml:space="preserve"> ambigu</w:t>
      </w:r>
      <w:r w:rsidR="006F37E6" w:rsidRPr="00953692">
        <w:rPr>
          <w:rFonts w:cs="Times New Roman"/>
          <w:sz w:val="24"/>
          <w:szCs w:val="24"/>
          <w:lang w:val="fr-FR"/>
        </w:rPr>
        <w:t xml:space="preserve"> des mots</w:t>
      </w:r>
      <w:r w:rsidR="00BB2808" w:rsidRPr="00953692">
        <w:rPr>
          <w:rFonts w:cs="Times New Roman"/>
          <w:sz w:val="24"/>
          <w:szCs w:val="24"/>
          <w:lang w:val="fr-FR"/>
        </w:rPr>
        <w:t>, le moment de son invocation</w:t>
      </w:r>
      <w:r w:rsidR="006F37E6" w:rsidRPr="00953692">
        <w:rPr>
          <w:rFonts w:cs="Times New Roman"/>
          <w:sz w:val="24"/>
          <w:szCs w:val="24"/>
          <w:lang w:val="fr-FR"/>
        </w:rPr>
        <w:t xml:space="preserve"> </w:t>
      </w:r>
      <w:r w:rsidR="00926D1A" w:rsidRPr="00953692">
        <w:rPr>
          <w:rFonts w:cs="Times New Roman"/>
          <w:sz w:val="24"/>
          <w:szCs w:val="24"/>
          <w:lang w:val="fr-FR"/>
        </w:rPr>
        <w:t>ou encore l’exclusion de la victime du champ d’application de cette norme</w:t>
      </w:r>
      <w:r w:rsidR="00AB1BD9" w:rsidRPr="00953692">
        <w:rPr>
          <w:rFonts w:cs="Times New Roman"/>
          <w:sz w:val="24"/>
          <w:szCs w:val="24"/>
          <w:lang w:val="fr-FR"/>
        </w:rPr>
        <w:t xml:space="preserve"> consacrée en droit international pénal</w:t>
      </w:r>
      <w:r w:rsidR="00926D1A" w:rsidRPr="00953692">
        <w:rPr>
          <w:rFonts w:cs="Times New Roman"/>
          <w:sz w:val="24"/>
          <w:szCs w:val="24"/>
          <w:lang w:val="fr-FR"/>
        </w:rPr>
        <w:t>.</w:t>
      </w:r>
      <w:bookmarkEnd w:id="4"/>
      <w:r w:rsidR="00926D1A" w:rsidRPr="00953692">
        <w:rPr>
          <w:rFonts w:cs="Times New Roman"/>
          <w:sz w:val="24"/>
          <w:szCs w:val="24"/>
          <w:lang w:val="fr-FR"/>
        </w:rPr>
        <w:t xml:space="preserve"> </w:t>
      </w:r>
      <w:r w:rsidR="00956428" w:rsidRPr="00953692">
        <w:rPr>
          <w:rFonts w:cs="Times New Roman"/>
          <w:sz w:val="24"/>
          <w:szCs w:val="24"/>
          <w:lang w:val="fr-FR"/>
        </w:rPr>
        <w:t xml:space="preserve">Cependant, </w:t>
      </w:r>
      <w:r w:rsidR="00E54FD4" w:rsidRPr="00953692">
        <w:rPr>
          <w:rFonts w:cs="Times New Roman"/>
          <w:sz w:val="24"/>
          <w:szCs w:val="24"/>
          <w:lang w:val="fr-FR"/>
        </w:rPr>
        <w:t xml:space="preserve">ceci n’est pas l’objet précis de cette étude </w:t>
      </w:r>
      <w:r w:rsidR="00956428" w:rsidRPr="00953692">
        <w:rPr>
          <w:rFonts w:cs="Times New Roman"/>
          <w:sz w:val="24"/>
          <w:szCs w:val="24"/>
          <w:lang w:val="fr-FR"/>
        </w:rPr>
        <w:t xml:space="preserve">dans </w:t>
      </w:r>
      <w:r w:rsidR="00E54FD4" w:rsidRPr="00953692">
        <w:rPr>
          <w:rFonts w:cs="Times New Roman"/>
          <w:sz w:val="24"/>
          <w:szCs w:val="24"/>
          <w:lang w:val="fr-FR"/>
        </w:rPr>
        <w:t>laquelle</w:t>
      </w:r>
      <w:r w:rsidR="00956428" w:rsidRPr="00953692">
        <w:rPr>
          <w:rFonts w:cs="Times New Roman"/>
          <w:sz w:val="24"/>
          <w:szCs w:val="24"/>
          <w:lang w:val="fr-FR"/>
        </w:rPr>
        <w:t>, ces formulations seront</w:t>
      </w:r>
      <w:r w:rsidR="00BB2808" w:rsidRPr="00953692">
        <w:rPr>
          <w:rFonts w:cs="Times New Roman"/>
          <w:sz w:val="24"/>
          <w:szCs w:val="24"/>
          <w:lang w:val="fr-FR"/>
        </w:rPr>
        <w:t xml:space="preserve"> plutôt</w:t>
      </w:r>
      <w:r w:rsidR="00956428" w:rsidRPr="00953692">
        <w:rPr>
          <w:rFonts w:cs="Times New Roman"/>
          <w:sz w:val="24"/>
          <w:szCs w:val="24"/>
          <w:lang w:val="fr-FR"/>
        </w:rPr>
        <w:t xml:space="preserve"> indistinctement utilisées </w:t>
      </w:r>
      <w:r w:rsidR="00653697" w:rsidRPr="00953692">
        <w:rPr>
          <w:rFonts w:cs="Times New Roman"/>
          <w:sz w:val="24"/>
          <w:szCs w:val="24"/>
          <w:lang w:val="fr-FR"/>
        </w:rPr>
        <w:t xml:space="preserve">pour raison de </w:t>
      </w:r>
      <w:r w:rsidR="00E54FD4" w:rsidRPr="00953692">
        <w:rPr>
          <w:rFonts w:cs="Times New Roman"/>
          <w:sz w:val="24"/>
          <w:szCs w:val="24"/>
          <w:lang w:val="fr-FR"/>
        </w:rPr>
        <w:t>simplicité</w:t>
      </w:r>
      <w:r w:rsidR="00653697" w:rsidRPr="00953692">
        <w:rPr>
          <w:rFonts w:cs="Times New Roman"/>
          <w:sz w:val="24"/>
          <w:szCs w:val="24"/>
          <w:lang w:val="fr-FR"/>
        </w:rPr>
        <w:t xml:space="preserve"> </w:t>
      </w:r>
      <w:r w:rsidR="00597D79" w:rsidRPr="00953692">
        <w:rPr>
          <w:rFonts w:cs="Times New Roman"/>
          <w:sz w:val="24"/>
          <w:szCs w:val="24"/>
          <w:lang w:val="fr-FR"/>
        </w:rPr>
        <w:t>et d’univocité.</w:t>
      </w:r>
    </w:p>
    <w:p w14:paraId="20E2F0EE" w14:textId="643ED1E0" w:rsidR="000619C4" w:rsidRPr="00953692" w:rsidRDefault="000661A6" w:rsidP="00864BBF">
      <w:pPr>
        <w:spacing w:after="0" w:line="276" w:lineRule="auto"/>
        <w:ind w:firstLine="1134"/>
        <w:jc w:val="both"/>
        <w:rPr>
          <w:rFonts w:eastAsia="Calibri" w:cs="Times New Roman"/>
          <w:sz w:val="24"/>
          <w:szCs w:val="24"/>
          <w:lang w:val="fr-FR"/>
        </w:rPr>
      </w:pPr>
      <w:r w:rsidRPr="00953692">
        <w:rPr>
          <w:rFonts w:cs="Times New Roman"/>
          <w:b/>
          <w:bCs/>
          <w:sz w:val="24"/>
          <w:szCs w:val="24"/>
          <w:lang w:val="fr-FR"/>
        </w:rPr>
        <w:t>1</w:t>
      </w:r>
      <w:r w:rsidR="0047240F" w:rsidRPr="00953692">
        <w:rPr>
          <w:rFonts w:cs="Times New Roman"/>
          <w:b/>
          <w:bCs/>
          <w:sz w:val="24"/>
          <w:szCs w:val="24"/>
          <w:lang w:val="fr-FR"/>
        </w:rPr>
        <w:t>6</w:t>
      </w:r>
      <w:r w:rsidR="002B7343" w:rsidRPr="00953692">
        <w:rPr>
          <w:rFonts w:cs="Times New Roman"/>
          <w:b/>
          <w:bCs/>
          <w:sz w:val="24"/>
          <w:szCs w:val="24"/>
          <w:lang w:val="fr-FR"/>
        </w:rPr>
        <w:t>.</w:t>
      </w:r>
      <w:r w:rsidR="002B7343" w:rsidRPr="00953692">
        <w:rPr>
          <w:rFonts w:cs="Times New Roman"/>
          <w:sz w:val="24"/>
          <w:szCs w:val="24"/>
          <w:lang w:val="fr-FR"/>
        </w:rPr>
        <w:t xml:space="preserve"> </w:t>
      </w:r>
      <w:r w:rsidR="000619C4" w:rsidRPr="00953692">
        <w:rPr>
          <w:rFonts w:eastAsia="Calibri" w:cs="Times New Roman"/>
          <w:sz w:val="24"/>
          <w:szCs w:val="24"/>
          <w:lang w:val="fr-FR"/>
        </w:rPr>
        <w:t xml:space="preserve">En effet, </w:t>
      </w:r>
      <w:r w:rsidR="00394FB4" w:rsidRPr="00953692">
        <w:rPr>
          <w:rFonts w:eastAsia="Calibri" w:cs="Times New Roman"/>
          <w:sz w:val="24"/>
          <w:szCs w:val="24"/>
          <w:lang w:val="fr-FR"/>
        </w:rPr>
        <w:t xml:space="preserve">conformément à ce qui a été mentionné ci-haut, </w:t>
      </w:r>
      <w:r w:rsidR="000619C4" w:rsidRPr="00953692">
        <w:rPr>
          <w:rFonts w:eastAsia="Calibri" w:cs="Times New Roman"/>
          <w:sz w:val="24"/>
          <w:szCs w:val="24"/>
          <w:lang w:val="fr-FR"/>
        </w:rPr>
        <w:t xml:space="preserve">sémantiquement le délai raisonnable </w:t>
      </w:r>
      <w:r w:rsidR="00231D72" w:rsidRPr="00953692">
        <w:rPr>
          <w:rFonts w:eastAsia="Calibri" w:cs="Times New Roman"/>
          <w:sz w:val="24"/>
          <w:szCs w:val="24"/>
          <w:lang w:val="fr-FR"/>
        </w:rPr>
        <w:t>tire ses racines</w:t>
      </w:r>
      <w:r w:rsidR="000619C4" w:rsidRPr="00953692">
        <w:rPr>
          <w:rFonts w:eastAsia="Calibri" w:cs="Times New Roman"/>
          <w:sz w:val="24"/>
          <w:szCs w:val="24"/>
          <w:lang w:val="fr-FR"/>
        </w:rPr>
        <w:t xml:space="preserve"> de l’équité</w:t>
      </w:r>
      <w:r w:rsidR="00394FB4" w:rsidRPr="00953692">
        <w:rPr>
          <w:rFonts w:eastAsia="Calibri" w:cs="Times New Roman"/>
          <w:sz w:val="24"/>
          <w:szCs w:val="24"/>
          <w:lang w:val="fr-FR"/>
        </w:rPr>
        <w:t> ;</w:t>
      </w:r>
      <w:r w:rsidR="000619C4" w:rsidRPr="00953692">
        <w:rPr>
          <w:rFonts w:eastAsia="Calibri" w:cs="Times New Roman"/>
          <w:sz w:val="24"/>
          <w:szCs w:val="24"/>
          <w:lang w:val="fr-FR"/>
        </w:rPr>
        <w:t xml:space="preserve"> l’adjectif </w:t>
      </w:r>
      <w:r w:rsidR="000619C4" w:rsidRPr="00953692">
        <w:rPr>
          <w:rFonts w:eastAsia="Calibri" w:cs="Times New Roman"/>
          <w:i/>
          <w:sz w:val="24"/>
          <w:szCs w:val="24"/>
          <w:lang w:val="fr-FR"/>
        </w:rPr>
        <w:t xml:space="preserve">‘’raisonnable’’, </w:t>
      </w:r>
      <w:r w:rsidR="000619C4" w:rsidRPr="00953692">
        <w:rPr>
          <w:rFonts w:eastAsia="Calibri" w:cs="Times New Roman"/>
          <w:sz w:val="24"/>
          <w:szCs w:val="24"/>
          <w:lang w:val="fr-FR"/>
        </w:rPr>
        <w:t>selon le</w:t>
      </w:r>
      <w:r w:rsidR="00416447" w:rsidRPr="00953692">
        <w:rPr>
          <w:rFonts w:eastAsia="Calibri" w:cs="Times New Roman"/>
          <w:sz w:val="24"/>
          <w:szCs w:val="24"/>
          <w:lang w:val="fr-FR"/>
        </w:rPr>
        <w:t>s</w:t>
      </w:r>
      <w:r w:rsidR="000619C4" w:rsidRPr="00953692">
        <w:rPr>
          <w:rFonts w:eastAsia="Calibri" w:cs="Times New Roman"/>
          <w:sz w:val="24"/>
          <w:szCs w:val="24"/>
          <w:lang w:val="fr-FR"/>
        </w:rPr>
        <w:t xml:space="preserve"> vocabulaire</w:t>
      </w:r>
      <w:r w:rsidR="00416447" w:rsidRPr="00953692">
        <w:rPr>
          <w:rFonts w:eastAsia="Calibri" w:cs="Times New Roman"/>
          <w:sz w:val="24"/>
          <w:szCs w:val="24"/>
          <w:lang w:val="fr-FR"/>
        </w:rPr>
        <w:t>s</w:t>
      </w:r>
      <w:r w:rsidR="000619C4" w:rsidRPr="00953692">
        <w:rPr>
          <w:rFonts w:eastAsia="Calibri" w:cs="Times New Roman"/>
          <w:sz w:val="24"/>
          <w:szCs w:val="24"/>
          <w:lang w:val="fr-FR"/>
        </w:rPr>
        <w:t xml:space="preserve"> juridique</w:t>
      </w:r>
      <w:r w:rsidR="00416447" w:rsidRPr="00953692">
        <w:rPr>
          <w:rFonts w:eastAsia="Calibri" w:cs="Times New Roman"/>
          <w:sz w:val="24"/>
          <w:szCs w:val="24"/>
          <w:lang w:val="fr-FR"/>
        </w:rPr>
        <w:t>s</w:t>
      </w:r>
      <w:r w:rsidR="000619C4" w:rsidRPr="00953692">
        <w:rPr>
          <w:rFonts w:eastAsia="Calibri" w:cs="Times New Roman"/>
          <w:sz w:val="24"/>
          <w:szCs w:val="24"/>
          <w:lang w:val="fr-FR"/>
        </w:rPr>
        <w:t>, « renvoie à ce qui est conforme à la raison, qui répond aux exigences de la rationalité »</w:t>
      </w:r>
      <w:r w:rsidR="009129DC" w:rsidRPr="00953692">
        <w:rPr>
          <w:rStyle w:val="Appelnotedebasdep"/>
          <w:rFonts w:eastAsia="Calibri" w:cs="Times New Roman"/>
          <w:sz w:val="24"/>
          <w:szCs w:val="24"/>
          <w:lang w:val="fr-FR"/>
        </w:rPr>
        <w:footnoteReference w:customMarkFollows="1" w:id="22"/>
        <w:t>21</w:t>
      </w:r>
      <w:r w:rsidR="000619C4" w:rsidRPr="00953692">
        <w:rPr>
          <w:rFonts w:eastAsia="Calibri" w:cs="Times New Roman"/>
          <w:sz w:val="24"/>
          <w:szCs w:val="24"/>
          <w:lang w:val="fr-FR"/>
        </w:rPr>
        <w:t>. La rationalité elle-même n’est pas étrangère au droit d’une manière générale, puisqu’elle se conçoit comme une veilleuse permanente qui guide son évolution</w:t>
      </w:r>
      <w:r w:rsidR="009129DC" w:rsidRPr="00953692">
        <w:rPr>
          <w:rStyle w:val="Appelnotedebasdep"/>
          <w:rFonts w:eastAsia="Calibri" w:cs="Times New Roman"/>
          <w:sz w:val="24"/>
          <w:szCs w:val="24"/>
          <w:lang w:val="fr-FR"/>
        </w:rPr>
        <w:footnoteReference w:customMarkFollows="1" w:id="23"/>
        <w:t>22</w:t>
      </w:r>
      <w:r w:rsidR="000619C4" w:rsidRPr="00953692">
        <w:rPr>
          <w:rFonts w:eastAsia="Calibri" w:cs="Times New Roman"/>
          <w:sz w:val="24"/>
          <w:szCs w:val="24"/>
          <w:lang w:val="fr-FR"/>
        </w:rPr>
        <w:t xml:space="preserve"> dans le temps. C’est d’ailleurs à travers cette évolution con</w:t>
      </w:r>
      <w:r w:rsidR="00072A63" w:rsidRPr="00953692">
        <w:rPr>
          <w:rFonts w:eastAsia="Calibri" w:cs="Times New Roman"/>
          <w:sz w:val="24"/>
          <w:szCs w:val="24"/>
          <w:lang w:val="fr-FR"/>
        </w:rPr>
        <w:t>stante</w:t>
      </w:r>
      <w:r w:rsidR="000619C4" w:rsidRPr="00953692">
        <w:rPr>
          <w:rFonts w:eastAsia="Calibri" w:cs="Times New Roman"/>
          <w:sz w:val="24"/>
          <w:szCs w:val="24"/>
          <w:lang w:val="fr-FR"/>
        </w:rPr>
        <w:t xml:space="preserve"> que naquit </w:t>
      </w:r>
      <w:r w:rsidR="000619C4" w:rsidRPr="00953692">
        <w:rPr>
          <w:rFonts w:eastAsia="Calibri" w:cs="Times New Roman"/>
          <w:sz w:val="24"/>
          <w:szCs w:val="24"/>
          <w:lang w:val="fr-FR"/>
        </w:rPr>
        <w:lastRenderedPageBreak/>
        <w:t>et s’améliore cette notion fourre-tout du droit à un procès équitable, dont le délai raisonnable en fait</w:t>
      </w:r>
      <w:r w:rsidR="00416447" w:rsidRPr="00953692">
        <w:rPr>
          <w:rFonts w:eastAsia="Calibri" w:cs="Times New Roman"/>
          <w:sz w:val="24"/>
          <w:szCs w:val="24"/>
          <w:lang w:val="fr-FR"/>
        </w:rPr>
        <w:t xml:space="preserve"> </w:t>
      </w:r>
      <w:r w:rsidR="0006498F" w:rsidRPr="00953692">
        <w:rPr>
          <w:rFonts w:eastAsia="Calibri" w:cs="Times New Roman"/>
          <w:sz w:val="24"/>
          <w:szCs w:val="24"/>
          <w:lang w:val="fr-FR"/>
        </w:rPr>
        <w:t>indissociablement</w:t>
      </w:r>
      <w:r w:rsidR="000619C4" w:rsidRPr="00953692">
        <w:rPr>
          <w:rFonts w:eastAsia="Calibri" w:cs="Times New Roman"/>
          <w:sz w:val="24"/>
          <w:szCs w:val="24"/>
          <w:lang w:val="fr-FR"/>
        </w:rPr>
        <w:t xml:space="preserve"> partie intégrante</w:t>
      </w:r>
      <w:r w:rsidR="009129DC" w:rsidRPr="00953692">
        <w:rPr>
          <w:rStyle w:val="Appelnotedebasdep"/>
          <w:rFonts w:eastAsia="Calibri" w:cs="Times New Roman"/>
          <w:sz w:val="24"/>
          <w:szCs w:val="24"/>
          <w:lang w:val="fr-FR"/>
        </w:rPr>
        <w:footnoteReference w:customMarkFollows="1" w:id="24"/>
        <w:t>23</w:t>
      </w:r>
      <w:r w:rsidR="000619C4" w:rsidRPr="00953692">
        <w:rPr>
          <w:rFonts w:eastAsia="Calibri" w:cs="Times New Roman"/>
          <w:sz w:val="24"/>
          <w:szCs w:val="24"/>
          <w:lang w:val="fr-FR"/>
        </w:rPr>
        <w:t xml:space="preserve">. </w:t>
      </w:r>
      <w:r w:rsidR="00A354D7" w:rsidRPr="00953692">
        <w:rPr>
          <w:rFonts w:eastAsia="Calibri" w:cs="Times New Roman"/>
          <w:sz w:val="24"/>
          <w:szCs w:val="24"/>
          <w:lang w:val="fr-FR"/>
        </w:rPr>
        <w:t>Cette intégration du délai raisonnable dans cette notion du procès équitable semble se détacher de la notion de la rapidité. La raison, c’est qu’il s’agit d’un droit subjectif censé protéger l’accusé des procédures interminables. Toutefois, comme le précise Claire Etrillard dans son étude sur ‘’le temps d’investigation pénale’’, le droit d’être jugé sans retard excessif exprime bien cette exigence de célérité de la procédure</w:t>
      </w:r>
      <w:r w:rsidR="009129DC" w:rsidRPr="00953692">
        <w:rPr>
          <w:rStyle w:val="Appelnotedebasdep"/>
          <w:rFonts w:eastAsia="Calibri" w:cs="Times New Roman"/>
          <w:sz w:val="24"/>
          <w:szCs w:val="24"/>
          <w:lang w:val="fr-FR"/>
        </w:rPr>
        <w:footnoteReference w:customMarkFollows="1" w:id="25"/>
        <w:t>24</w:t>
      </w:r>
      <w:r w:rsidR="00A354D7" w:rsidRPr="00953692">
        <w:rPr>
          <w:rFonts w:eastAsia="Calibri" w:cs="Times New Roman"/>
          <w:sz w:val="24"/>
          <w:szCs w:val="24"/>
          <w:lang w:val="fr-FR"/>
        </w:rPr>
        <w:t>.</w:t>
      </w:r>
    </w:p>
    <w:p w14:paraId="5F0E96AF" w14:textId="64C63864" w:rsidR="00747F5C" w:rsidRPr="00953692" w:rsidRDefault="00822F56" w:rsidP="00864BBF">
      <w:pPr>
        <w:spacing w:after="0" w:line="276" w:lineRule="auto"/>
        <w:ind w:firstLine="1134"/>
        <w:jc w:val="both"/>
        <w:rPr>
          <w:rFonts w:eastAsia="Calibri" w:cs="Times New Roman"/>
          <w:sz w:val="24"/>
          <w:szCs w:val="24"/>
          <w:lang w:val="fr-FR"/>
        </w:rPr>
      </w:pPr>
      <w:r w:rsidRPr="00953692">
        <w:rPr>
          <w:rFonts w:eastAsia="Calibri" w:cs="Times New Roman"/>
          <w:b/>
          <w:bCs/>
          <w:sz w:val="24"/>
          <w:szCs w:val="24"/>
          <w:lang w:val="fr-FR"/>
        </w:rPr>
        <w:t>1</w:t>
      </w:r>
      <w:r w:rsidR="0047240F" w:rsidRPr="00953692">
        <w:rPr>
          <w:rFonts w:eastAsia="Calibri" w:cs="Times New Roman"/>
          <w:b/>
          <w:bCs/>
          <w:sz w:val="24"/>
          <w:szCs w:val="24"/>
          <w:lang w:val="fr-FR"/>
        </w:rPr>
        <w:t>7</w:t>
      </w:r>
      <w:r w:rsidR="00231D72" w:rsidRPr="00953692">
        <w:rPr>
          <w:rFonts w:eastAsia="Calibri" w:cs="Times New Roman"/>
          <w:b/>
          <w:bCs/>
          <w:sz w:val="24"/>
          <w:szCs w:val="24"/>
          <w:lang w:val="fr-FR"/>
        </w:rPr>
        <w:t>.</w:t>
      </w:r>
      <w:r w:rsidR="00231D72" w:rsidRPr="00953692">
        <w:rPr>
          <w:rFonts w:eastAsia="Calibri" w:cs="Times New Roman"/>
          <w:sz w:val="24"/>
          <w:szCs w:val="24"/>
          <w:lang w:val="fr-FR"/>
        </w:rPr>
        <w:t xml:space="preserve"> </w:t>
      </w:r>
      <w:r w:rsidR="00A354D7" w:rsidRPr="00953692">
        <w:rPr>
          <w:rFonts w:eastAsia="Calibri" w:cs="Times New Roman"/>
          <w:sz w:val="24"/>
          <w:szCs w:val="24"/>
          <w:lang w:val="fr-FR"/>
        </w:rPr>
        <w:t>En réalité</w:t>
      </w:r>
      <w:r w:rsidR="00CB48F9" w:rsidRPr="00953692">
        <w:rPr>
          <w:rFonts w:eastAsia="Calibri" w:cs="Times New Roman"/>
          <w:sz w:val="24"/>
          <w:szCs w:val="24"/>
          <w:lang w:val="fr-FR"/>
        </w:rPr>
        <w:t xml:space="preserve">, </w:t>
      </w:r>
      <w:r w:rsidR="00A354D7" w:rsidRPr="00953692">
        <w:rPr>
          <w:rFonts w:eastAsia="Calibri" w:cs="Times New Roman"/>
          <w:sz w:val="24"/>
          <w:szCs w:val="24"/>
          <w:lang w:val="fr-FR"/>
        </w:rPr>
        <w:t xml:space="preserve">dans le cadre d’un procès équitable et rapide, </w:t>
      </w:r>
      <w:r w:rsidR="00CB48F9" w:rsidRPr="00953692">
        <w:rPr>
          <w:rFonts w:eastAsia="Calibri" w:cs="Times New Roman"/>
          <w:sz w:val="24"/>
          <w:szCs w:val="24"/>
          <w:lang w:val="fr-FR"/>
        </w:rPr>
        <w:t>le délai raisonnable</w:t>
      </w:r>
      <w:r w:rsidR="00755D06" w:rsidRPr="00953692">
        <w:rPr>
          <w:rFonts w:eastAsia="Calibri" w:cs="Times New Roman"/>
          <w:sz w:val="24"/>
          <w:szCs w:val="24"/>
          <w:lang w:val="fr-FR"/>
        </w:rPr>
        <w:t xml:space="preserve">, </w:t>
      </w:r>
      <w:r w:rsidR="00CB48F9" w:rsidRPr="00953692">
        <w:rPr>
          <w:rFonts w:eastAsia="Calibri" w:cs="Times New Roman"/>
          <w:sz w:val="24"/>
          <w:szCs w:val="24"/>
          <w:lang w:val="fr-FR"/>
        </w:rPr>
        <w:t>sous toutes ses formulations</w:t>
      </w:r>
      <w:r w:rsidR="001D2061" w:rsidRPr="00953692">
        <w:rPr>
          <w:rFonts w:eastAsia="Calibri" w:cs="Times New Roman"/>
          <w:sz w:val="24"/>
          <w:szCs w:val="24"/>
          <w:lang w:val="fr-FR"/>
        </w:rPr>
        <w:t>,</w:t>
      </w:r>
      <w:r w:rsidR="00CB48F9" w:rsidRPr="00953692">
        <w:rPr>
          <w:rFonts w:eastAsia="Calibri" w:cs="Times New Roman"/>
          <w:sz w:val="24"/>
          <w:szCs w:val="24"/>
          <w:lang w:val="fr-FR"/>
        </w:rPr>
        <w:t xml:space="preserve"> pose </w:t>
      </w:r>
      <w:r w:rsidR="00582E7B" w:rsidRPr="00953692">
        <w:rPr>
          <w:rFonts w:eastAsia="Calibri" w:cs="Times New Roman"/>
          <w:sz w:val="24"/>
          <w:szCs w:val="24"/>
          <w:lang w:val="fr-FR"/>
        </w:rPr>
        <w:t>deux</w:t>
      </w:r>
      <w:r w:rsidR="00CB48F9" w:rsidRPr="00953692">
        <w:rPr>
          <w:rFonts w:eastAsia="Calibri" w:cs="Times New Roman"/>
          <w:sz w:val="24"/>
          <w:szCs w:val="24"/>
          <w:lang w:val="fr-FR"/>
        </w:rPr>
        <w:t xml:space="preserve"> problème</w:t>
      </w:r>
      <w:r w:rsidR="00582E7B" w:rsidRPr="00953692">
        <w:rPr>
          <w:rFonts w:eastAsia="Calibri" w:cs="Times New Roman"/>
          <w:sz w:val="24"/>
          <w:szCs w:val="24"/>
          <w:lang w:val="fr-FR"/>
        </w:rPr>
        <w:t>s</w:t>
      </w:r>
      <w:r w:rsidR="00CB48F9" w:rsidRPr="00953692">
        <w:rPr>
          <w:rFonts w:eastAsia="Calibri" w:cs="Times New Roman"/>
          <w:sz w:val="24"/>
          <w:szCs w:val="24"/>
          <w:lang w:val="fr-FR"/>
        </w:rPr>
        <w:t xml:space="preserve"> </w:t>
      </w:r>
      <w:r w:rsidR="00582E7B" w:rsidRPr="00953692">
        <w:rPr>
          <w:rFonts w:eastAsia="Calibri" w:cs="Times New Roman"/>
          <w:sz w:val="24"/>
          <w:szCs w:val="24"/>
          <w:lang w:val="fr-FR"/>
        </w:rPr>
        <w:t xml:space="preserve">essentiels </w:t>
      </w:r>
      <w:r w:rsidR="00CB48F9" w:rsidRPr="00953692">
        <w:rPr>
          <w:rFonts w:eastAsia="Calibri" w:cs="Times New Roman"/>
          <w:sz w:val="24"/>
          <w:szCs w:val="24"/>
          <w:lang w:val="fr-FR"/>
        </w:rPr>
        <w:t xml:space="preserve">quant à son </w:t>
      </w:r>
      <w:r w:rsidR="00C17EA1" w:rsidRPr="00953692">
        <w:rPr>
          <w:rFonts w:eastAsia="Calibri" w:cs="Times New Roman"/>
          <w:sz w:val="24"/>
          <w:szCs w:val="24"/>
          <w:lang w:val="fr-FR"/>
        </w:rPr>
        <w:t>applicabilité</w:t>
      </w:r>
      <w:r w:rsidR="00CB48F9" w:rsidRPr="00953692">
        <w:rPr>
          <w:rFonts w:eastAsia="Calibri" w:cs="Times New Roman"/>
          <w:sz w:val="24"/>
          <w:szCs w:val="24"/>
          <w:lang w:val="fr-FR"/>
        </w:rPr>
        <w:t xml:space="preserve">. </w:t>
      </w:r>
      <w:r w:rsidR="00BC0D8D" w:rsidRPr="00953692">
        <w:rPr>
          <w:rFonts w:eastAsia="Calibri" w:cs="Times New Roman"/>
          <w:sz w:val="24"/>
          <w:szCs w:val="24"/>
          <w:lang w:val="fr-FR"/>
        </w:rPr>
        <w:t>L</w:t>
      </w:r>
      <w:r w:rsidR="00582E7B" w:rsidRPr="00953692">
        <w:rPr>
          <w:rFonts w:eastAsia="Calibri" w:cs="Times New Roman"/>
          <w:sz w:val="24"/>
          <w:szCs w:val="24"/>
          <w:lang w:val="fr-FR"/>
        </w:rPr>
        <w:t>e</w:t>
      </w:r>
      <w:r w:rsidR="00BC0D8D" w:rsidRPr="00953692">
        <w:rPr>
          <w:rFonts w:eastAsia="Calibri" w:cs="Times New Roman"/>
          <w:sz w:val="24"/>
          <w:szCs w:val="24"/>
          <w:lang w:val="fr-FR"/>
        </w:rPr>
        <w:t xml:space="preserve"> premi</w:t>
      </w:r>
      <w:r w:rsidR="00582E7B" w:rsidRPr="00953692">
        <w:rPr>
          <w:rFonts w:eastAsia="Calibri" w:cs="Times New Roman"/>
          <w:sz w:val="24"/>
          <w:szCs w:val="24"/>
          <w:lang w:val="fr-FR"/>
        </w:rPr>
        <w:t>e</w:t>
      </w:r>
      <w:r w:rsidR="00BC0D8D" w:rsidRPr="00953692">
        <w:rPr>
          <w:rFonts w:eastAsia="Calibri" w:cs="Times New Roman"/>
          <w:sz w:val="24"/>
          <w:szCs w:val="24"/>
          <w:lang w:val="fr-FR"/>
        </w:rPr>
        <w:t>r est théorique, révélé par l’utilisation des termes qui ne semblent exprimer aucune obligatoriété dans un sens ou dans un autre, ouvrant ainsi la voie à un champ incontrôlable d’interprétations tendancieuses ou subjectivistes</w:t>
      </w:r>
      <w:r w:rsidR="00B644F5" w:rsidRPr="00953692">
        <w:rPr>
          <w:rFonts w:eastAsia="Calibri" w:cs="Times New Roman"/>
          <w:sz w:val="24"/>
          <w:szCs w:val="24"/>
          <w:lang w:val="fr-FR"/>
        </w:rPr>
        <w:t> ; ou à des raccourcis inquiétants</w:t>
      </w:r>
      <w:r w:rsidR="00BC0D8D" w:rsidRPr="00953692">
        <w:rPr>
          <w:rFonts w:eastAsia="Calibri" w:cs="Times New Roman"/>
          <w:sz w:val="24"/>
          <w:szCs w:val="24"/>
          <w:lang w:val="fr-FR"/>
        </w:rPr>
        <w:t>. L</w:t>
      </w:r>
      <w:r w:rsidR="00582E7B" w:rsidRPr="00953692">
        <w:rPr>
          <w:rFonts w:eastAsia="Calibri" w:cs="Times New Roman"/>
          <w:sz w:val="24"/>
          <w:szCs w:val="24"/>
          <w:lang w:val="fr-FR"/>
        </w:rPr>
        <w:t>e</w:t>
      </w:r>
      <w:r w:rsidR="00BC0D8D" w:rsidRPr="00953692">
        <w:rPr>
          <w:rFonts w:eastAsia="Calibri" w:cs="Times New Roman"/>
          <w:sz w:val="24"/>
          <w:szCs w:val="24"/>
          <w:lang w:val="fr-FR"/>
        </w:rPr>
        <w:t xml:space="preserve"> second se rapportant aux critères </w:t>
      </w:r>
      <w:r w:rsidR="00C17EA1" w:rsidRPr="00953692">
        <w:rPr>
          <w:rFonts w:eastAsia="Calibri" w:cs="Times New Roman"/>
          <w:sz w:val="24"/>
          <w:szCs w:val="24"/>
          <w:lang w:val="fr-FR"/>
        </w:rPr>
        <w:t xml:space="preserve">jurisprudentiels </w:t>
      </w:r>
      <w:r w:rsidR="00BC0D8D" w:rsidRPr="00953692">
        <w:rPr>
          <w:rFonts w:eastAsia="Calibri" w:cs="Times New Roman"/>
          <w:sz w:val="24"/>
          <w:szCs w:val="24"/>
          <w:lang w:val="fr-FR"/>
        </w:rPr>
        <w:t xml:space="preserve">d’appréciation, </w:t>
      </w:r>
      <w:r w:rsidR="00A354D7" w:rsidRPr="00953692">
        <w:rPr>
          <w:rFonts w:eastAsia="Calibri" w:cs="Times New Roman"/>
          <w:sz w:val="24"/>
          <w:szCs w:val="24"/>
          <w:lang w:val="fr-FR"/>
        </w:rPr>
        <w:t>révèle</w:t>
      </w:r>
      <w:r w:rsidR="00BC0D8D" w:rsidRPr="00953692">
        <w:rPr>
          <w:rFonts w:eastAsia="Calibri" w:cs="Times New Roman"/>
          <w:sz w:val="24"/>
          <w:szCs w:val="24"/>
          <w:lang w:val="fr-FR"/>
        </w:rPr>
        <w:t xml:space="preserve"> l</w:t>
      </w:r>
      <w:r w:rsidR="00C17EA1" w:rsidRPr="00953692">
        <w:rPr>
          <w:rFonts w:eastAsia="Calibri" w:cs="Times New Roman"/>
          <w:sz w:val="24"/>
          <w:szCs w:val="24"/>
          <w:lang w:val="fr-FR"/>
        </w:rPr>
        <w:t>a difficulté</w:t>
      </w:r>
      <w:r w:rsidR="00BC0D8D" w:rsidRPr="00953692">
        <w:rPr>
          <w:rFonts w:eastAsia="Calibri" w:cs="Times New Roman"/>
          <w:sz w:val="24"/>
          <w:szCs w:val="24"/>
          <w:lang w:val="fr-FR"/>
        </w:rPr>
        <w:t xml:space="preserve"> pratique de sa perception. Car en pratique, à défaut d’une précision peu ou prou objective de ce qui devrait impérativement être considéré comme un </w:t>
      </w:r>
      <w:r w:rsidR="00BC0D8D" w:rsidRPr="00953692">
        <w:rPr>
          <w:rFonts w:eastAsia="Calibri" w:cs="Times New Roman"/>
          <w:i/>
          <w:sz w:val="24"/>
          <w:szCs w:val="24"/>
          <w:lang w:val="fr-FR"/>
        </w:rPr>
        <w:t>franchissement du Rubicon</w:t>
      </w:r>
      <w:r w:rsidR="00BC0D8D" w:rsidRPr="00953692">
        <w:rPr>
          <w:rFonts w:eastAsia="Calibri" w:cs="Times New Roman"/>
          <w:sz w:val="24"/>
          <w:szCs w:val="24"/>
          <w:lang w:val="fr-FR"/>
        </w:rPr>
        <w:t xml:space="preserve">, il va de soi que, chaque partie se contente et s’obstine </w:t>
      </w:r>
      <w:r w:rsidR="00C17EA1" w:rsidRPr="00953692">
        <w:rPr>
          <w:rFonts w:eastAsia="Calibri" w:cs="Times New Roman"/>
          <w:sz w:val="24"/>
          <w:szCs w:val="24"/>
          <w:lang w:val="fr-FR"/>
        </w:rPr>
        <w:t xml:space="preserve">à </w:t>
      </w:r>
      <w:r w:rsidR="00BC0D8D" w:rsidRPr="00953692">
        <w:rPr>
          <w:rFonts w:eastAsia="Calibri" w:cs="Times New Roman"/>
          <w:sz w:val="24"/>
          <w:szCs w:val="24"/>
          <w:lang w:val="fr-FR"/>
        </w:rPr>
        <w:t xml:space="preserve">apprécier la raisonnabilité du délai selon son entendement et ses propres intérêts. </w:t>
      </w:r>
      <w:r w:rsidR="00C17EA1" w:rsidRPr="00953692">
        <w:rPr>
          <w:rFonts w:eastAsia="Calibri" w:cs="Times New Roman"/>
          <w:sz w:val="24"/>
          <w:szCs w:val="24"/>
          <w:lang w:val="fr-FR"/>
        </w:rPr>
        <w:t>Chaque acteur du procès a sa propre perception du temps</w:t>
      </w:r>
      <w:r w:rsidR="00B04148" w:rsidRPr="00953692">
        <w:rPr>
          <w:rStyle w:val="Appelnotedebasdep"/>
          <w:rFonts w:eastAsia="Calibri" w:cs="Times New Roman"/>
          <w:sz w:val="24"/>
          <w:szCs w:val="24"/>
          <w:lang w:val="fr-FR"/>
        </w:rPr>
        <w:footnoteReference w:customMarkFollows="1" w:id="26"/>
        <w:t>25</w:t>
      </w:r>
      <w:r w:rsidR="00FC24E2" w:rsidRPr="00953692">
        <w:rPr>
          <w:rFonts w:eastAsia="Calibri" w:cs="Times New Roman"/>
          <w:sz w:val="24"/>
          <w:szCs w:val="24"/>
          <w:lang w:val="fr-FR"/>
        </w:rPr>
        <w:t>, plus exactement lorsqu’il n’y aucune limitation légale, tel qu’en matière du délai raisonnable.</w:t>
      </w:r>
      <w:r w:rsidR="00C17EA1" w:rsidRPr="00953692">
        <w:rPr>
          <w:rFonts w:eastAsia="Calibri" w:cs="Times New Roman"/>
          <w:sz w:val="24"/>
          <w:szCs w:val="24"/>
          <w:lang w:val="fr-FR"/>
        </w:rPr>
        <w:t xml:space="preserve"> </w:t>
      </w:r>
    </w:p>
    <w:p w14:paraId="1152203B" w14:textId="56B9E49A" w:rsidR="00BC0D8D" w:rsidRPr="00953692" w:rsidRDefault="00C16CFD" w:rsidP="00864BBF">
      <w:pPr>
        <w:spacing w:after="0" w:line="276" w:lineRule="auto"/>
        <w:ind w:firstLine="1134"/>
        <w:jc w:val="both"/>
        <w:rPr>
          <w:rFonts w:eastAsia="Calibri" w:cs="Times New Roman"/>
          <w:sz w:val="24"/>
          <w:szCs w:val="24"/>
          <w:lang w:val="fr-FR"/>
        </w:rPr>
      </w:pPr>
      <w:r w:rsidRPr="00953692">
        <w:rPr>
          <w:rFonts w:eastAsia="Calibri" w:cs="Times New Roman"/>
          <w:b/>
          <w:bCs/>
          <w:sz w:val="24"/>
          <w:szCs w:val="24"/>
          <w:lang w:val="fr-FR"/>
        </w:rPr>
        <w:t>1</w:t>
      </w:r>
      <w:r w:rsidR="0047240F" w:rsidRPr="00953692">
        <w:rPr>
          <w:rFonts w:eastAsia="Calibri" w:cs="Times New Roman"/>
          <w:b/>
          <w:bCs/>
          <w:sz w:val="24"/>
          <w:szCs w:val="24"/>
          <w:lang w:val="fr-FR"/>
        </w:rPr>
        <w:t>8</w:t>
      </w:r>
      <w:r w:rsidRPr="00953692">
        <w:rPr>
          <w:rFonts w:eastAsia="Calibri" w:cs="Times New Roman"/>
          <w:b/>
          <w:bCs/>
          <w:sz w:val="24"/>
          <w:szCs w:val="24"/>
          <w:lang w:val="fr-FR"/>
        </w:rPr>
        <w:t>.</w:t>
      </w:r>
      <w:r w:rsidRPr="00953692">
        <w:rPr>
          <w:rFonts w:eastAsia="Calibri" w:cs="Times New Roman"/>
          <w:sz w:val="24"/>
          <w:szCs w:val="24"/>
          <w:lang w:val="fr-FR"/>
        </w:rPr>
        <w:t xml:space="preserve"> </w:t>
      </w:r>
      <w:r w:rsidR="00A354D7" w:rsidRPr="00953692">
        <w:rPr>
          <w:rFonts w:eastAsia="Calibri" w:cs="Times New Roman"/>
          <w:sz w:val="24"/>
          <w:szCs w:val="24"/>
          <w:lang w:val="fr-FR"/>
        </w:rPr>
        <w:t xml:space="preserve">A cet effet, </w:t>
      </w:r>
      <w:r w:rsidR="00883670" w:rsidRPr="00953692">
        <w:rPr>
          <w:rFonts w:eastAsia="Calibri" w:cs="Times New Roman"/>
          <w:sz w:val="24"/>
          <w:szCs w:val="24"/>
          <w:lang w:val="fr"/>
        </w:rPr>
        <w:t>Isakov Vladimir Borisovitch</w:t>
      </w:r>
      <w:r w:rsidR="00883670" w:rsidRPr="00953692">
        <w:rPr>
          <w:rFonts w:eastAsia="Calibri" w:cs="Times New Roman"/>
          <w:sz w:val="24"/>
          <w:szCs w:val="24"/>
          <w:lang w:val="fr-FR"/>
        </w:rPr>
        <w:t xml:space="preserve"> </w:t>
      </w:r>
      <w:r w:rsidR="00A37F93" w:rsidRPr="00953692">
        <w:rPr>
          <w:rFonts w:eastAsia="Calibri" w:cs="Times New Roman"/>
          <w:sz w:val="24"/>
          <w:szCs w:val="24"/>
          <w:lang w:val="fr-FR"/>
        </w:rPr>
        <w:t xml:space="preserve">tranche </w:t>
      </w:r>
      <w:r w:rsidR="00272A25" w:rsidRPr="00953692">
        <w:rPr>
          <w:rFonts w:eastAsia="Calibri" w:cs="Times New Roman"/>
          <w:sz w:val="24"/>
          <w:szCs w:val="24"/>
          <w:lang w:val="fr-FR"/>
        </w:rPr>
        <w:t xml:space="preserve">de manière </w:t>
      </w:r>
      <w:r w:rsidR="00A37F93" w:rsidRPr="00953692">
        <w:rPr>
          <w:rFonts w:eastAsia="Calibri" w:cs="Times New Roman"/>
          <w:sz w:val="24"/>
          <w:szCs w:val="24"/>
          <w:lang w:val="fr-FR"/>
        </w:rPr>
        <w:t>aussi pertine</w:t>
      </w:r>
      <w:r w:rsidR="00272A25" w:rsidRPr="00953692">
        <w:rPr>
          <w:rFonts w:eastAsia="Calibri" w:cs="Times New Roman"/>
          <w:sz w:val="24"/>
          <w:szCs w:val="24"/>
          <w:lang w:val="fr-FR"/>
        </w:rPr>
        <w:t>nte</w:t>
      </w:r>
      <w:r w:rsidR="00A37F93" w:rsidRPr="00953692">
        <w:rPr>
          <w:rFonts w:eastAsia="Calibri" w:cs="Times New Roman"/>
          <w:sz w:val="24"/>
          <w:szCs w:val="24"/>
          <w:lang w:val="fr-FR"/>
        </w:rPr>
        <w:t xml:space="preserve"> qu’inquiétant</w:t>
      </w:r>
      <w:r w:rsidR="00272A25" w:rsidRPr="00953692">
        <w:rPr>
          <w:rFonts w:eastAsia="Calibri" w:cs="Times New Roman"/>
          <w:sz w:val="24"/>
          <w:szCs w:val="24"/>
          <w:lang w:val="fr-FR"/>
        </w:rPr>
        <w:t>e</w:t>
      </w:r>
      <w:r w:rsidR="00A37F93" w:rsidRPr="00953692">
        <w:rPr>
          <w:rFonts w:eastAsia="Calibri" w:cs="Times New Roman"/>
          <w:sz w:val="24"/>
          <w:szCs w:val="24"/>
          <w:lang w:val="fr-FR"/>
        </w:rPr>
        <w:t xml:space="preserve"> </w:t>
      </w:r>
      <w:r w:rsidR="00AB1BD9" w:rsidRPr="00953692">
        <w:rPr>
          <w:rFonts w:eastAsia="Calibri" w:cs="Times New Roman"/>
          <w:sz w:val="24"/>
          <w:szCs w:val="24"/>
          <w:lang w:val="fr-FR"/>
        </w:rPr>
        <w:t>affirmant que</w:t>
      </w:r>
      <w:r w:rsidR="00A354D7" w:rsidRPr="00953692">
        <w:rPr>
          <w:rFonts w:eastAsia="Calibri" w:cs="Times New Roman"/>
          <w:sz w:val="24"/>
          <w:szCs w:val="24"/>
          <w:lang w:val="fr-FR"/>
        </w:rPr>
        <w:t>,</w:t>
      </w:r>
      <w:r w:rsidR="00A37F93" w:rsidRPr="00953692">
        <w:rPr>
          <w:rFonts w:eastAsia="Calibri" w:cs="Times New Roman"/>
          <w:sz w:val="24"/>
          <w:szCs w:val="24"/>
          <w:lang w:val="fr-FR"/>
        </w:rPr>
        <w:t xml:space="preserve"> dans la théorie générale du délai en </w:t>
      </w:r>
      <w:r w:rsidR="00883670" w:rsidRPr="00953692">
        <w:rPr>
          <w:rFonts w:eastAsia="Calibri" w:cs="Times New Roman"/>
          <w:sz w:val="24"/>
          <w:szCs w:val="24"/>
          <w:lang w:val="fr-FR"/>
        </w:rPr>
        <w:t>droit</w:t>
      </w:r>
      <w:r w:rsidR="00A37F93" w:rsidRPr="00953692">
        <w:rPr>
          <w:rFonts w:eastAsia="Calibri" w:cs="Times New Roman"/>
          <w:sz w:val="24"/>
          <w:szCs w:val="24"/>
          <w:lang w:val="fr-FR"/>
        </w:rPr>
        <w:t>, un délai qui n’a pas de frontière n’en est pas un</w:t>
      </w:r>
      <w:r w:rsidR="00B04148" w:rsidRPr="00953692">
        <w:rPr>
          <w:rStyle w:val="Appelnotedebasdep"/>
          <w:rFonts w:eastAsia="Calibri" w:cs="Times New Roman"/>
          <w:sz w:val="24"/>
          <w:szCs w:val="24"/>
          <w:lang w:val="fr-FR"/>
        </w:rPr>
        <w:footnoteReference w:customMarkFollows="1" w:id="27"/>
        <w:t>26</w:t>
      </w:r>
      <w:r w:rsidR="00A37F93" w:rsidRPr="00953692">
        <w:rPr>
          <w:rFonts w:eastAsia="Calibri" w:cs="Times New Roman"/>
          <w:sz w:val="24"/>
          <w:szCs w:val="24"/>
          <w:lang w:val="fr-FR"/>
        </w:rPr>
        <w:t xml:space="preserve">. </w:t>
      </w:r>
      <w:r w:rsidR="008F3BDA" w:rsidRPr="00953692">
        <w:rPr>
          <w:rFonts w:eastAsia="Calibri" w:cs="Times New Roman"/>
          <w:sz w:val="24"/>
          <w:szCs w:val="24"/>
          <w:lang w:val="fr-FR"/>
        </w:rPr>
        <w:t xml:space="preserve">On peut bien comprendre les difficultés à la fois théoriques et pratiques </w:t>
      </w:r>
      <w:r w:rsidR="00B5726F" w:rsidRPr="00953692">
        <w:rPr>
          <w:rFonts w:eastAsia="Calibri" w:cs="Times New Roman"/>
          <w:sz w:val="24"/>
          <w:szCs w:val="24"/>
          <w:lang w:val="fr-FR"/>
        </w:rPr>
        <w:t>de cette notion</w:t>
      </w:r>
      <w:r w:rsidR="00394FB4" w:rsidRPr="00953692">
        <w:rPr>
          <w:rFonts w:eastAsia="Calibri" w:cs="Times New Roman"/>
          <w:sz w:val="24"/>
          <w:szCs w:val="24"/>
          <w:lang w:val="fr-FR"/>
        </w:rPr>
        <w:t xml:space="preserve"> que</w:t>
      </w:r>
      <w:r w:rsidR="00B5726F" w:rsidRPr="00953692">
        <w:rPr>
          <w:rFonts w:eastAsia="Calibri" w:cs="Times New Roman"/>
          <w:sz w:val="24"/>
          <w:szCs w:val="24"/>
          <w:lang w:val="fr-FR"/>
        </w:rPr>
        <w:t xml:space="preserve"> l</w:t>
      </w:r>
      <w:r w:rsidR="0003729D" w:rsidRPr="00953692">
        <w:rPr>
          <w:rFonts w:eastAsia="Calibri" w:cs="Times New Roman"/>
          <w:sz w:val="24"/>
          <w:szCs w:val="24"/>
          <w:lang w:val="fr-FR"/>
        </w:rPr>
        <w:t>a pratique des juridictions pénales internationales</w:t>
      </w:r>
      <w:r w:rsidR="00A354D7" w:rsidRPr="00953692">
        <w:rPr>
          <w:rFonts w:eastAsia="Calibri" w:cs="Times New Roman"/>
          <w:sz w:val="24"/>
          <w:szCs w:val="24"/>
          <w:lang w:val="fr-FR"/>
        </w:rPr>
        <w:t xml:space="preserve"> révèle</w:t>
      </w:r>
      <w:r w:rsidR="00B4480A" w:rsidRPr="00953692">
        <w:rPr>
          <w:rFonts w:eastAsia="Calibri" w:cs="Times New Roman"/>
          <w:sz w:val="24"/>
          <w:szCs w:val="24"/>
          <w:lang w:val="fr-FR"/>
        </w:rPr>
        <w:t xml:space="preserve"> la manière dont</w:t>
      </w:r>
      <w:r w:rsidR="0003729D" w:rsidRPr="00953692">
        <w:rPr>
          <w:rFonts w:eastAsia="Calibri" w:cs="Times New Roman"/>
          <w:sz w:val="24"/>
          <w:szCs w:val="24"/>
          <w:lang w:val="fr-FR"/>
        </w:rPr>
        <w:t xml:space="preserve"> chaque juge </w:t>
      </w:r>
      <w:r w:rsidR="00B4480A" w:rsidRPr="00953692">
        <w:rPr>
          <w:rFonts w:eastAsia="Calibri" w:cs="Times New Roman"/>
          <w:sz w:val="24"/>
          <w:szCs w:val="24"/>
          <w:lang w:val="fr-FR"/>
        </w:rPr>
        <w:t xml:space="preserve">l’en </w:t>
      </w:r>
      <w:r w:rsidR="00674AA9" w:rsidRPr="00953692">
        <w:rPr>
          <w:rFonts w:eastAsia="Calibri" w:cs="Times New Roman"/>
          <w:sz w:val="24"/>
          <w:szCs w:val="24"/>
          <w:lang w:val="fr-FR"/>
        </w:rPr>
        <w:t>perçoit</w:t>
      </w:r>
      <w:r w:rsidR="00A936FA" w:rsidRPr="00953692">
        <w:rPr>
          <w:rFonts w:eastAsia="Calibri" w:cs="Times New Roman"/>
          <w:sz w:val="24"/>
          <w:szCs w:val="24"/>
          <w:lang w:val="fr-FR"/>
        </w:rPr>
        <w:t>, en ce compris</w:t>
      </w:r>
      <w:r w:rsidR="00674AA9" w:rsidRPr="00953692">
        <w:rPr>
          <w:rFonts w:eastAsia="Calibri" w:cs="Times New Roman"/>
          <w:sz w:val="24"/>
          <w:szCs w:val="24"/>
          <w:lang w:val="fr-FR"/>
        </w:rPr>
        <w:t xml:space="preserve"> les critères établis par l</w:t>
      </w:r>
      <w:r w:rsidR="00146DB3" w:rsidRPr="00953692">
        <w:rPr>
          <w:rFonts w:eastAsia="Calibri" w:cs="Times New Roman"/>
          <w:sz w:val="24"/>
          <w:szCs w:val="24"/>
          <w:lang w:val="fr-FR"/>
        </w:rPr>
        <w:t>a</w:t>
      </w:r>
      <w:r w:rsidR="00674AA9" w:rsidRPr="00953692">
        <w:rPr>
          <w:rFonts w:eastAsia="Calibri" w:cs="Times New Roman"/>
          <w:sz w:val="24"/>
          <w:szCs w:val="24"/>
          <w:lang w:val="fr-FR"/>
        </w:rPr>
        <w:t xml:space="preserve"> jurisprudence</w:t>
      </w:r>
      <w:r w:rsidR="00146DB3" w:rsidRPr="00953692">
        <w:rPr>
          <w:rFonts w:eastAsia="Calibri" w:cs="Times New Roman"/>
          <w:sz w:val="24"/>
          <w:szCs w:val="24"/>
          <w:lang w:val="fr-FR"/>
        </w:rPr>
        <w:t xml:space="preserve"> internationale</w:t>
      </w:r>
      <w:r w:rsidR="00674AA9" w:rsidRPr="00953692">
        <w:rPr>
          <w:rFonts w:eastAsia="Calibri" w:cs="Times New Roman"/>
          <w:sz w:val="24"/>
          <w:szCs w:val="24"/>
          <w:lang w:val="fr-FR"/>
        </w:rPr>
        <w:t>.</w:t>
      </w:r>
    </w:p>
    <w:p w14:paraId="18C16624" w14:textId="7D4D0A50" w:rsidR="00B53855" w:rsidRPr="00953692" w:rsidRDefault="00C16CFD" w:rsidP="00864BBF">
      <w:pPr>
        <w:spacing w:after="0" w:line="276" w:lineRule="auto"/>
        <w:ind w:firstLine="1134"/>
        <w:jc w:val="both"/>
        <w:rPr>
          <w:rFonts w:eastAsia="Calibri" w:cs="Times New Roman"/>
          <w:sz w:val="24"/>
          <w:szCs w:val="24"/>
          <w:lang w:val="fr-FR"/>
        </w:rPr>
      </w:pPr>
      <w:r w:rsidRPr="00953692">
        <w:rPr>
          <w:rFonts w:eastAsia="Calibri" w:cs="Times New Roman"/>
          <w:b/>
          <w:bCs/>
          <w:sz w:val="24"/>
          <w:szCs w:val="24"/>
          <w:lang w:val="fr-FR"/>
        </w:rPr>
        <w:t>1</w:t>
      </w:r>
      <w:r w:rsidR="0047240F" w:rsidRPr="00953692">
        <w:rPr>
          <w:rFonts w:eastAsia="Calibri" w:cs="Times New Roman"/>
          <w:b/>
          <w:bCs/>
          <w:sz w:val="24"/>
          <w:szCs w:val="24"/>
          <w:lang w:val="fr-FR"/>
        </w:rPr>
        <w:t>9</w:t>
      </w:r>
      <w:r w:rsidR="00A71662" w:rsidRPr="00953692">
        <w:rPr>
          <w:rFonts w:eastAsia="Calibri" w:cs="Times New Roman"/>
          <w:b/>
          <w:bCs/>
          <w:sz w:val="24"/>
          <w:szCs w:val="24"/>
          <w:lang w:val="fr-FR"/>
        </w:rPr>
        <w:t>.</w:t>
      </w:r>
      <w:r w:rsidRPr="00953692">
        <w:rPr>
          <w:rFonts w:eastAsia="Calibri" w:cs="Times New Roman"/>
          <w:sz w:val="24"/>
          <w:szCs w:val="24"/>
          <w:lang w:val="fr-FR"/>
        </w:rPr>
        <w:t xml:space="preserve"> </w:t>
      </w:r>
      <w:r w:rsidR="00A71662" w:rsidRPr="00953692">
        <w:rPr>
          <w:rFonts w:eastAsia="Calibri" w:cs="Times New Roman"/>
          <w:sz w:val="24"/>
          <w:szCs w:val="24"/>
          <w:lang w:val="fr-FR"/>
        </w:rPr>
        <w:t>De son côté, l’accusé</w:t>
      </w:r>
      <w:r w:rsidR="00C17EA1" w:rsidRPr="00953692">
        <w:rPr>
          <w:rFonts w:eastAsia="Calibri" w:cs="Times New Roman"/>
          <w:sz w:val="24"/>
          <w:szCs w:val="24"/>
          <w:lang w:val="fr-FR"/>
        </w:rPr>
        <w:t xml:space="preserve"> n’en fait</w:t>
      </w:r>
      <w:r w:rsidR="00B644F5" w:rsidRPr="00953692">
        <w:rPr>
          <w:rFonts w:eastAsia="Calibri" w:cs="Times New Roman"/>
          <w:sz w:val="24"/>
          <w:szCs w:val="24"/>
          <w:lang w:val="fr-FR"/>
        </w:rPr>
        <w:t xml:space="preserve"> pas</w:t>
      </w:r>
      <w:r w:rsidR="00C17EA1" w:rsidRPr="00953692">
        <w:rPr>
          <w:rFonts w:eastAsia="Calibri" w:cs="Times New Roman"/>
          <w:sz w:val="24"/>
          <w:szCs w:val="24"/>
          <w:lang w:val="fr-FR"/>
        </w:rPr>
        <w:t xml:space="preserve"> exception. Il</w:t>
      </w:r>
      <w:r w:rsidR="00A71662" w:rsidRPr="00953692">
        <w:rPr>
          <w:rFonts w:eastAsia="Calibri" w:cs="Times New Roman"/>
          <w:sz w:val="24"/>
          <w:szCs w:val="24"/>
          <w:lang w:val="fr-FR"/>
        </w:rPr>
        <w:t xml:space="preserve"> </w:t>
      </w:r>
      <w:r w:rsidR="00EA622C" w:rsidRPr="00953692">
        <w:rPr>
          <w:rFonts w:eastAsia="Calibri" w:cs="Times New Roman"/>
          <w:sz w:val="24"/>
          <w:szCs w:val="24"/>
          <w:lang w:val="fr-FR"/>
        </w:rPr>
        <w:t>l’</w:t>
      </w:r>
      <w:r w:rsidR="00A71662" w:rsidRPr="00953692">
        <w:rPr>
          <w:rFonts w:eastAsia="Calibri" w:cs="Times New Roman"/>
          <w:sz w:val="24"/>
          <w:szCs w:val="24"/>
          <w:lang w:val="fr-FR"/>
        </w:rPr>
        <w:t xml:space="preserve">en perçoit aussi </w:t>
      </w:r>
      <w:r w:rsidR="00EC25A7" w:rsidRPr="00953692">
        <w:rPr>
          <w:rFonts w:eastAsia="Calibri" w:cs="Times New Roman"/>
          <w:sz w:val="24"/>
          <w:szCs w:val="24"/>
          <w:lang w:val="fr-FR"/>
        </w:rPr>
        <w:t>à</w:t>
      </w:r>
      <w:r w:rsidR="00A71662" w:rsidRPr="00953692">
        <w:rPr>
          <w:rFonts w:eastAsia="Calibri" w:cs="Times New Roman"/>
          <w:sz w:val="24"/>
          <w:szCs w:val="24"/>
          <w:lang w:val="fr-FR"/>
        </w:rPr>
        <w:t xml:space="preserve"> sa manière en fonction de ses propres intérêts, qui peuvent être identifiés</w:t>
      </w:r>
      <w:r w:rsidR="00C17EA1" w:rsidRPr="00953692">
        <w:rPr>
          <w:rFonts w:eastAsia="Calibri" w:cs="Times New Roman"/>
          <w:sz w:val="24"/>
          <w:szCs w:val="24"/>
          <w:lang w:val="fr-FR"/>
        </w:rPr>
        <w:t xml:space="preserve"> plutôt</w:t>
      </w:r>
      <w:r w:rsidR="00A71662" w:rsidRPr="00953692">
        <w:rPr>
          <w:rFonts w:eastAsia="Calibri" w:cs="Times New Roman"/>
          <w:sz w:val="24"/>
          <w:szCs w:val="24"/>
          <w:lang w:val="fr-FR"/>
        </w:rPr>
        <w:t xml:space="preserve"> ailleurs </w:t>
      </w:r>
      <w:r w:rsidR="00372D41" w:rsidRPr="00953692">
        <w:rPr>
          <w:rFonts w:eastAsia="Calibri" w:cs="Times New Roman"/>
          <w:sz w:val="24"/>
          <w:szCs w:val="24"/>
          <w:lang w:val="fr-FR"/>
        </w:rPr>
        <w:t>que dans le cadre strict du délai raisonnable</w:t>
      </w:r>
      <w:r w:rsidR="00EA622C" w:rsidRPr="00953692">
        <w:rPr>
          <w:rFonts w:eastAsia="Calibri" w:cs="Times New Roman"/>
          <w:sz w:val="24"/>
          <w:szCs w:val="24"/>
          <w:lang w:val="fr-FR"/>
        </w:rPr>
        <w:t xml:space="preserve"> de son procès</w:t>
      </w:r>
      <w:r w:rsidR="00372D41" w:rsidRPr="00953692">
        <w:rPr>
          <w:rFonts w:eastAsia="Calibri" w:cs="Times New Roman"/>
          <w:sz w:val="24"/>
          <w:szCs w:val="24"/>
          <w:lang w:val="fr-FR"/>
        </w:rPr>
        <w:t xml:space="preserve">. </w:t>
      </w:r>
      <w:r w:rsidR="00D53E46" w:rsidRPr="00953692">
        <w:rPr>
          <w:rFonts w:eastAsia="Calibri" w:cs="Times New Roman"/>
          <w:sz w:val="24"/>
          <w:szCs w:val="24"/>
          <w:lang w:val="fr-FR"/>
        </w:rPr>
        <w:t>Mais cela ne voudrait pas signifier que la durée du procès dépend de l’accusé ou de ce qu</w:t>
      </w:r>
      <w:r w:rsidR="004C72B5" w:rsidRPr="00953692">
        <w:rPr>
          <w:rFonts w:eastAsia="Calibri" w:cs="Times New Roman"/>
          <w:sz w:val="24"/>
          <w:szCs w:val="24"/>
          <w:lang w:val="fr-FR"/>
        </w:rPr>
        <w:t>e ce dernier</w:t>
      </w:r>
      <w:r w:rsidR="00D53E46" w:rsidRPr="00953692">
        <w:rPr>
          <w:rFonts w:eastAsia="Calibri" w:cs="Times New Roman"/>
          <w:sz w:val="24"/>
          <w:szCs w:val="24"/>
          <w:lang w:val="fr-FR"/>
        </w:rPr>
        <w:t xml:space="preserve"> en fera ; le délai raisonnable reste une norme impérative qui s’impose </w:t>
      </w:r>
      <w:r w:rsidR="00D53E46" w:rsidRPr="00953692">
        <w:rPr>
          <w:rFonts w:eastAsia="Calibri" w:cs="Times New Roman"/>
          <w:i/>
          <w:iCs/>
          <w:sz w:val="24"/>
          <w:szCs w:val="24"/>
          <w:lang w:val="fr-FR"/>
        </w:rPr>
        <w:t>erga omnes</w:t>
      </w:r>
      <w:r w:rsidR="00D53E46" w:rsidRPr="00953692">
        <w:rPr>
          <w:rFonts w:eastAsia="Calibri" w:cs="Times New Roman"/>
          <w:sz w:val="24"/>
          <w:szCs w:val="24"/>
          <w:lang w:val="fr-FR"/>
        </w:rPr>
        <w:t>, y compris à l’accusé</w:t>
      </w:r>
      <w:r w:rsidR="004C72B5" w:rsidRPr="00953692">
        <w:rPr>
          <w:rFonts w:eastAsia="Calibri" w:cs="Times New Roman"/>
          <w:sz w:val="24"/>
          <w:szCs w:val="24"/>
          <w:lang w:val="fr-FR"/>
        </w:rPr>
        <w:t xml:space="preserve"> lui-même</w:t>
      </w:r>
      <w:r w:rsidR="00D53E46" w:rsidRPr="00953692">
        <w:rPr>
          <w:rFonts w:eastAsia="Calibri" w:cs="Times New Roman"/>
          <w:sz w:val="24"/>
          <w:szCs w:val="24"/>
          <w:lang w:val="fr-FR"/>
        </w:rPr>
        <w:t>. Cependant, s</w:t>
      </w:r>
      <w:r w:rsidR="00947D5C" w:rsidRPr="00953692">
        <w:rPr>
          <w:rFonts w:eastAsia="Calibri" w:cs="Times New Roman"/>
          <w:sz w:val="24"/>
          <w:szCs w:val="24"/>
          <w:lang w:val="fr-FR"/>
        </w:rPr>
        <w:t xml:space="preserve">a perception nous intéresse </w:t>
      </w:r>
      <w:r w:rsidR="00294667" w:rsidRPr="00953692">
        <w:rPr>
          <w:rFonts w:eastAsia="Calibri" w:cs="Times New Roman"/>
          <w:sz w:val="24"/>
          <w:szCs w:val="24"/>
          <w:lang w:val="fr-FR"/>
        </w:rPr>
        <w:t>un peu</w:t>
      </w:r>
      <w:r w:rsidR="00947D5C" w:rsidRPr="00953692">
        <w:rPr>
          <w:rFonts w:eastAsia="Calibri" w:cs="Times New Roman"/>
          <w:sz w:val="24"/>
          <w:szCs w:val="24"/>
          <w:lang w:val="fr-FR"/>
        </w:rPr>
        <w:t xml:space="preserve"> plus</w:t>
      </w:r>
      <w:r w:rsidR="00284F32" w:rsidRPr="00953692">
        <w:rPr>
          <w:rFonts w:eastAsia="Calibri" w:cs="Times New Roman"/>
          <w:sz w:val="24"/>
          <w:szCs w:val="24"/>
          <w:lang w:val="fr-FR"/>
        </w:rPr>
        <w:t>,</w:t>
      </w:r>
      <w:r w:rsidR="00947D5C" w:rsidRPr="00953692">
        <w:rPr>
          <w:rFonts w:eastAsia="Calibri" w:cs="Times New Roman"/>
          <w:sz w:val="24"/>
          <w:szCs w:val="24"/>
          <w:lang w:val="fr-FR"/>
        </w:rPr>
        <w:t xml:space="preserve"> d’autant plus qu’il </w:t>
      </w:r>
      <w:r w:rsidR="00284F32" w:rsidRPr="00953692">
        <w:rPr>
          <w:rFonts w:eastAsia="Calibri" w:cs="Times New Roman"/>
          <w:sz w:val="24"/>
          <w:szCs w:val="24"/>
          <w:lang w:val="fr-FR"/>
        </w:rPr>
        <w:t>ap</w:t>
      </w:r>
      <w:r w:rsidR="00947D5C" w:rsidRPr="00953692">
        <w:rPr>
          <w:rFonts w:eastAsia="Calibri" w:cs="Times New Roman"/>
          <w:sz w:val="24"/>
          <w:szCs w:val="24"/>
          <w:lang w:val="fr-FR"/>
        </w:rPr>
        <w:t xml:space="preserve">parait ici </w:t>
      </w:r>
      <w:r w:rsidR="00284F32" w:rsidRPr="00953692">
        <w:rPr>
          <w:rFonts w:eastAsia="Calibri" w:cs="Times New Roman"/>
          <w:sz w:val="24"/>
          <w:szCs w:val="24"/>
          <w:lang w:val="fr-FR"/>
        </w:rPr>
        <w:t xml:space="preserve">comme étant le </w:t>
      </w:r>
      <w:r w:rsidR="00947D5C" w:rsidRPr="00953692">
        <w:rPr>
          <w:rFonts w:eastAsia="Calibri" w:cs="Times New Roman"/>
          <w:sz w:val="24"/>
          <w:szCs w:val="24"/>
          <w:lang w:val="fr-FR"/>
        </w:rPr>
        <w:t>seul bénéficiaire d</w:t>
      </w:r>
      <w:r w:rsidR="00735C7B" w:rsidRPr="00953692">
        <w:rPr>
          <w:rFonts w:eastAsia="Calibri" w:cs="Times New Roman"/>
          <w:sz w:val="24"/>
          <w:szCs w:val="24"/>
          <w:lang w:val="fr-FR"/>
        </w:rPr>
        <w:t>e ce</w:t>
      </w:r>
      <w:r w:rsidR="00947D5C" w:rsidRPr="00953692">
        <w:rPr>
          <w:rFonts w:eastAsia="Calibri" w:cs="Times New Roman"/>
          <w:sz w:val="24"/>
          <w:szCs w:val="24"/>
          <w:lang w:val="fr-FR"/>
        </w:rPr>
        <w:t xml:space="preserve"> </w:t>
      </w:r>
      <w:r w:rsidR="00947D5C" w:rsidRPr="00953692">
        <w:rPr>
          <w:rFonts w:eastAsia="Calibri" w:cs="Times New Roman"/>
          <w:i/>
          <w:iCs/>
          <w:sz w:val="24"/>
          <w:szCs w:val="24"/>
          <w:lang w:val="fr-FR"/>
        </w:rPr>
        <w:t>droit d’être jugé sans retard excessif</w:t>
      </w:r>
      <w:r w:rsidR="00D53E46" w:rsidRPr="00953692">
        <w:rPr>
          <w:rFonts w:eastAsia="Calibri" w:cs="Times New Roman"/>
          <w:sz w:val="24"/>
          <w:szCs w:val="24"/>
          <w:lang w:val="fr-FR"/>
        </w:rPr>
        <w:t>, précisément dans un procès pénal international</w:t>
      </w:r>
      <w:r w:rsidR="00947D5C" w:rsidRPr="00953692">
        <w:rPr>
          <w:rFonts w:eastAsia="Calibri" w:cs="Times New Roman"/>
          <w:sz w:val="24"/>
          <w:szCs w:val="24"/>
          <w:lang w:val="fr-FR"/>
        </w:rPr>
        <w:t>.</w:t>
      </w:r>
    </w:p>
    <w:p w14:paraId="4140B2C8" w14:textId="2EFB47FC" w:rsidR="00284F32" w:rsidRPr="00953692" w:rsidRDefault="0047240F" w:rsidP="00864BBF">
      <w:pPr>
        <w:spacing w:after="0" w:line="276" w:lineRule="auto"/>
        <w:ind w:firstLine="1134"/>
        <w:jc w:val="both"/>
        <w:rPr>
          <w:rFonts w:eastAsia="Calibri" w:cs="Times New Roman"/>
          <w:sz w:val="24"/>
          <w:szCs w:val="24"/>
          <w:lang w:val="fr-FR"/>
        </w:rPr>
      </w:pPr>
      <w:r w:rsidRPr="00953692">
        <w:rPr>
          <w:rFonts w:eastAsia="Calibri" w:cs="Times New Roman"/>
          <w:b/>
          <w:bCs/>
          <w:sz w:val="24"/>
          <w:szCs w:val="24"/>
          <w:lang w:val="fr-FR"/>
        </w:rPr>
        <w:lastRenderedPageBreak/>
        <w:t>20.</w:t>
      </w:r>
      <w:r w:rsidRPr="00953692">
        <w:rPr>
          <w:rFonts w:eastAsia="Calibri" w:cs="Times New Roman"/>
          <w:sz w:val="24"/>
          <w:szCs w:val="24"/>
          <w:lang w:val="fr-FR"/>
        </w:rPr>
        <w:t xml:space="preserve"> </w:t>
      </w:r>
      <w:r w:rsidR="00947D5C" w:rsidRPr="00953692">
        <w:rPr>
          <w:rFonts w:eastAsia="Calibri" w:cs="Times New Roman"/>
          <w:sz w:val="24"/>
          <w:szCs w:val="24"/>
          <w:lang w:val="fr-FR"/>
        </w:rPr>
        <w:t xml:space="preserve">En </w:t>
      </w:r>
      <w:r w:rsidR="00735C7B" w:rsidRPr="00953692">
        <w:rPr>
          <w:rFonts w:eastAsia="Calibri" w:cs="Times New Roman"/>
          <w:sz w:val="24"/>
          <w:szCs w:val="24"/>
          <w:lang w:val="fr-FR"/>
        </w:rPr>
        <w:t>même</w:t>
      </w:r>
      <w:r w:rsidR="00947D5C" w:rsidRPr="00953692">
        <w:rPr>
          <w:rFonts w:eastAsia="Calibri" w:cs="Times New Roman"/>
          <w:sz w:val="24"/>
          <w:szCs w:val="24"/>
          <w:lang w:val="fr-FR"/>
        </w:rPr>
        <w:t xml:space="preserve"> temps, i</w:t>
      </w:r>
      <w:r w:rsidR="00AB7EBB" w:rsidRPr="00953692">
        <w:rPr>
          <w:rFonts w:eastAsia="Calibri" w:cs="Times New Roman"/>
          <w:sz w:val="24"/>
          <w:szCs w:val="24"/>
          <w:lang w:val="fr-FR"/>
        </w:rPr>
        <w:t xml:space="preserve">l faut quand-même préciser, que </w:t>
      </w:r>
      <w:r w:rsidR="00735C7B" w:rsidRPr="00953692">
        <w:rPr>
          <w:rFonts w:eastAsia="Calibri" w:cs="Times New Roman"/>
          <w:sz w:val="24"/>
          <w:szCs w:val="24"/>
          <w:lang w:val="fr-FR"/>
        </w:rPr>
        <w:t xml:space="preserve">dans </w:t>
      </w:r>
      <w:r w:rsidR="00D53E46" w:rsidRPr="00953692">
        <w:rPr>
          <w:rFonts w:eastAsia="Calibri" w:cs="Times New Roman"/>
          <w:sz w:val="24"/>
          <w:szCs w:val="24"/>
          <w:lang w:val="fr-FR"/>
        </w:rPr>
        <w:t>ce type de</w:t>
      </w:r>
      <w:r w:rsidR="00735C7B" w:rsidRPr="00953692">
        <w:rPr>
          <w:rFonts w:eastAsia="Calibri" w:cs="Times New Roman"/>
          <w:sz w:val="24"/>
          <w:szCs w:val="24"/>
          <w:lang w:val="fr-FR"/>
        </w:rPr>
        <w:t xml:space="preserve"> procès pénal</w:t>
      </w:r>
      <w:r w:rsidR="00D53E46" w:rsidRPr="00953692">
        <w:rPr>
          <w:rFonts w:eastAsia="Calibri" w:cs="Times New Roman"/>
          <w:sz w:val="24"/>
          <w:szCs w:val="24"/>
          <w:lang w:val="fr-FR"/>
        </w:rPr>
        <w:t>,</w:t>
      </w:r>
      <w:r w:rsidR="00735C7B" w:rsidRPr="00953692">
        <w:rPr>
          <w:rFonts w:eastAsia="Calibri" w:cs="Times New Roman"/>
          <w:sz w:val="24"/>
          <w:szCs w:val="24"/>
          <w:lang w:val="fr-FR"/>
        </w:rPr>
        <w:t xml:space="preserve"> </w:t>
      </w:r>
      <w:r w:rsidR="00D53E46" w:rsidRPr="00953692">
        <w:rPr>
          <w:rFonts w:eastAsia="Calibri" w:cs="Times New Roman"/>
          <w:sz w:val="24"/>
          <w:szCs w:val="24"/>
          <w:lang w:val="fr-FR"/>
        </w:rPr>
        <w:t>le droit d’être jugé sans retard excessif</w:t>
      </w:r>
      <w:r w:rsidR="00372D41" w:rsidRPr="00953692">
        <w:rPr>
          <w:rFonts w:eastAsia="Calibri" w:cs="Times New Roman"/>
          <w:sz w:val="24"/>
          <w:szCs w:val="24"/>
          <w:lang w:val="fr-FR"/>
        </w:rPr>
        <w:t xml:space="preserve"> n’est pas </w:t>
      </w:r>
      <w:r w:rsidR="00947D5C" w:rsidRPr="00953692">
        <w:rPr>
          <w:rFonts w:eastAsia="Calibri" w:cs="Times New Roman"/>
          <w:sz w:val="24"/>
          <w:szCs w:val="24"/>
          <w:lang w:val="fr-FR"/>
        </w:rPr>
        <w:t xml:space="preserve">toujours </w:t>
      </w:r>
      <w:r w:rsidR="00372D41" w:rsidRPr="00953692">
        <w:rPr>
          <w:rFonts w:eastAsia="Calibri" w:cs="Times New Roman"/>
          <w:sz w:val="24"/>
          <w:szCs w:val="24"/>
          <w:lang w:val="fr-FR"/>
        </w:rPr>
        <w:t>le centre d</w:t>
      </w:r>
      <w:r w:rsidR="00947D5C" w:rsidRPr="00953692">
        <w:rPr>
          <w:rFonts w:eastAsia="Calibri" w:cs="Times New Roman"/>
          <w:sz w:val="24"/>
          <w:szCs w:val="24"/>
          <w:lang w:val="fr-FR"/>
        </w:rPr>
        <w:t xml:space="preserve">e ses </w:t>
      </w:r>
      <w:r w:rsidR="00372D41" w:rsidRPr="00953692">
        <w:rPr>
          <w:rFonts w:eastAsia="Calibri" w:cs="Times New Roman"/>
          <w:sz w:val="24"/>
          <w:szCs w:val="24"/>
          <w:lang w:val="fr-FR"/>
        </w:rPr>
        <w:t xml:space="preserve">intérêts ou de </w:t>
      </w:r>
      <w:r w:rsidR="00947D5C" w:rsidRPr="00953692">
        <w:rPr>
          <w:rFonts w:eastAsia="Calibri" w:cs="Times New Roman"/>
          <w:sz w:val="24"/>
          <w:szCs w:val="24"/>
          <w:lang w:val="fr-FR"/>
        </w:rPr>
        <w:t>s</w:t>
      </w:r>
      <w:r w:rsidR="00AB7EBB" w:rsidRPr="00953692">
        <w:rPr>
          <w:rFonts w:eastAsia="Calibri" w:cs="Times New Roman"/>
          <w:sz w:val="24"/>
          <w:szCs w:val="24"/>
          <w:lang w:val="fr-FR"/>
        </w:rPr>
        <w:t>a</w:t>
      </w:r>
      <w:r w:rsidR="00372D41" w:rsidRPr="00953692">
        <w:rPr>
          <w:rFonts w:eastAsia="Calibri" w:cs="Times New Roman"/>
          <w:sz w:val="24"/>
          <w:szCs w:val="24"/>
          <w:lang w:val="fr-FR"/>
        </w:rPr>
        <w:t xml:space="preserve"> stratégie de </w:t>
      </w:r>
      <w:r w:rsidR="00947D5C" w:rsidRPr="00953692">
        <w:rPr>
          <w:rFonts w:eastAsia="Calibri" w:cs="Times New Roman"/>
          <w:sz w:val="24"/>
          <w:szCs w:val="24"/>
          <w:lang w:val="fr-FR"/>
        </w:rPr>
        <w:t>d</w:t>
      </w:r>
      <w:r w:rsidR="00372D41" w:rsidRPr="00953692">
        <w:rPr>
          <w:rFonts w:eastAsia="Calibri" w:cs="Times New Roman"/>
          <w:sz w:val="24"/>
          <w:szCs w:val="24"/>
          <w:lang w:val="fr-FR"/>
        </w:rPr>
        <w:t>éfense</w:t>
      </w:r>
      <w:r w:rsidR="00D53E46" w:rsidRPr="00953692">
        <w:rPr>
          <w:rFonts w:eastAsia="Calibri" w:cs="Times New Roman"/>
          <w:sz w:val="24"/>
          <w:szCs w:val="24"/>
          <w:lang w:val="fr-FR"/>
        </w:rPr>
        <w:t>. En outre,</w:t>
      </w:r>
      <w:r w:rsidR="00150570" w:rsidRPr="00953692">
        <w:rPr>
          <w:rFonts w:eastAsia="Calibri" w:cs="Times New Roman"/>
          <w:sz w:val="24"/>
          <w:szCs w:val="24"/>
          <w:lang w:val="fr-FR"/>
        </w:rPr>
        <w:t xml:space="preserve"> </w:t>
      </w:r>
      <w:r w:rsidR="00947D5C" w:rsidRPr="00953692">
        <w:rPr>
          <w:rFonts w:eastAsia="Calibri" w:cs="Times New Roman"/>
          <w:sz w:val="24"/>
          <w:szCs w:val="24"/>
          <w:lang w:val="fr-FR"/>
        </w:rPr>
        <w:t>il n</w:t>
      </w:r>
      <w:r w:rsidR="00284F32" w:rsidRPr="00953692">
        <w:rPr>
          <w:rFonts w:eastAsia="Calibri" w:cs="Times New Roman"/>
          <w:sz w:val="24"/>
          <w:szCs w:val="24"/>
          <w:lang w:val="fr-FR"/>
        </w:rPr>
        <w:t>e s’agit</w:t>
      </w:r>
      <w:r w:rsidR="00947D5C" w:rsidRPr="00953692">
        <w:rPr>
          <w:rFonts w:eastAsia="Calibri" w:cs="Times New Roman"/>
          <w:sz w:val="24"/>
          <w:szCs w:val="24"/>
          <w:lang w:val="fr-FR"/>
        </w:rPr>
        <w:t xml:space="preserve"> pas non plus</w:t>
      </w:r>
      <w:r w:rsidR="00284F32" w:rsidRPr="00953692">
        <w:rPr>
          <w:rFonts w:eastAsia="Calibri" w:cs="Times New Roman"/>
          <w:sz w:val="24"/>
          <w:szCs w:val="24"/>
          <w:lang w:val="fr-FR"/>
        </w:rPr>
        <w:t xml:space="preserve"> de</w:t>
      </w:r>
      <w:r w:rsidR="00150570" w:rsidRPr="00953692">
        <w:rPr>
          <w:rFonts w:eastAsia="Calibri" w:cs="Times New Roman"/>
          <w:sz w:val="24"/>
          <w:szCs w:val="24"/>
          <w:lang w:val="fr-FR"/>
        </w:rPr>
        <w:t xml:space="preserve"> sa seule prérogative </w:t>
      </w:r>
      <w:r w:rsidR="00E20C30" w:rsidRPr="00953692">
        <w:rPr>
          <w:rFonts w:eastAsia="Calibri" w:cs="Times New Roman"/>
          <w:sz w:val="24"/>
          <w:szCs w:val="24"/>
          <w:lang w:val="fr-FR"/>
        </w:rPr>
        <w:t>se rapportant à la notion du temps</w:t>
      </w:r>
      <w:r w:rsidR="00284F32" w:rsidRPr="00953692">
        <w:rPr>
          <w:rFonts w:eastAsia="Calibri" w:cs="Times New Roman"/>
          <w:sz w:val="24"/>
          <w:szCs w:val="24"/>
          <w:lang w:val="fr-FR"/>
        </w:rPr>
        <w:t xml:space="preserve">, car </w:t>
      </w:r>
      <w:r w:rsidR="004C72B5" w:rsidRPr="00953692">
        <w:rPr>
          <w:rFonts w:eastAsia="Calibri" w:cs="Times New Roman"/>
          <w:sz w:val="24"/>
          <w:szCs w:val="24"/>
          <w:lang w:val="fr-FR"/>
        </w:rPr>
        <w:t>on</w:t>
      </w:r>
      <w:r w:rsidR="00284F32" w:rsidRPr="00953692">
        <w:rPr>
          <w:rFonts w:eastAsia="Calibri" w:cs="Times New Roman"/>
          <w:sz w:val="24"/>
          <w:szCs w:val="24"/>
          <w:lang w:val="fr-FR"/>
        </w:rPr>
        <w:t xml:space="preserve"> y</w:t>
      </w:r>
      <w:r w:rsidR="004C72B5" w:rsidRPr="00953692">
        <w:rPr>
          <w:rFonts w:eastAsia="Calibri" w:cs="Times New Roman"/>
          <w:sz w:val="24"/>
          <w:szCs w:val="24"/>
          <w:lang w:val="fr-FR"/>
        </w:rPr>
        <w:t xml:space="preserve"> trouve</w:t>
      </w:r>
      <w:r w:rsidR="00284F32" w:rsidRPr="00953692">
        <w:rPr>
          <w:rFonts w:eastAsia="Calibri" w:cs="Times New Roman"/>
          <w:sz w:val="24"/>
          <w:szCs w:val="24"/>
          <w:lang w:val="fr-FR"/>
        </w:rPr>
        <w:t xml:space="preserve"> tant d’autres que le fond de cette étude tente d’aborder suivant une méthode inductive</w:t>
      </w:r>
      <w:r w:rsidR="00D53E46" w:rsidRPr="00953692">
        <w:rPr>
          <w:rFonts w:eastAsia="Calibri" w:cs="Times New Roman"/>
          <w:sz w:val="24"/>
          <w:szCs w:val="24"/>
          <w:lang w:val="fr-FR"/>
        </w:rPr>
        <w:t xml:space="preserve"> afin de dégager les probabilités d’organiser un procès équitable et rapide à son égard</w:t>
      </w:r>
      <w:r w:rsidR="00E20C30" w:rsidRPr="00953692">
        <w:rPr>
          <w:rFonts w:eastAsia="Calibri" w:cs="Times New Roman"/>
          <w:sz w:val="24"/>
          <w:szCs w:val="24"/>
          <w:lang w:val="fr-FR"/>
        </w:rPr>
        <w:t>.</w:t>
      </w:r>
    </w:p>
    <w:p w14:paraId="03A66F2E" w14:textId="4024981D" w:rsidR="00712920" w:rsidRPr="00953692" w:rsidRDefault="0047240F" w:rsidP="00864BBF">
      <w:pPr>
        <w:spacing w:after="0" w:line="276" w:lineRule="auto"/>
        <w:ind w:firstLine="1134"/>
        <w:jc w:val="both"/>
        <w:rPr>
          <w:rFonts w:cs="Times New Roman"/>
          <w:sz w:val="24"/>
          <w:szCs w:val="24"/>
          <w:lang w:val="fr-FR"/>
        </w:rPr>
      </w:pPr>
      <w:r w:rsidRPr="00953692">
        <w:rPr>
          <w:rFonts w:eastAsia="Calibri" w:cs="Times New Roman"/>
          <w:b/>
          <w:bCs/>
          <w:sz w:val="24"/>
          <w:szCs w:val="24"/>
          <w:lang w:val="fr-FR"/>
        </w:rPr>
        <w:t>21</w:t>
      </w:r>
      <w:r w:rsidR="00735C7B" w:rsidRPr="00953692">
        <w:rPr>
          <w:rFonts w:eastAsia="Calibri" w:cs="Times New Roman"/>
          <w:b/>
          <w:bCs/>
          <w:sz w:val="24"/>
          <w:szCs w:val="24"/>
          <w:lang w:val="fr-FR"/>
        </w:rPr>
        <w:t>.</w:t>
      </w:r>
      <w:r w:rsidR="00735C7B" w:rsidRPr="00953692">
        <w:rPr>
          <w:rFonts w:eastAsia="Calibri" w:cs="Times New Roman"/>
          <w:sz w:val="24"/>
          <w:szCs w:val="24"/>
          <w:lang w:val="fr-FR"/>
        </w:rPr>
        <w:t xml:space="preserve"> En effe</w:t>
      </w:r>
      <w:r w:rsidR="00DB7368" w:rsidRPr="00953692">
        <w:rPr>
          <w:rFonts w:eastAsia="Calibri" w:cs="Times New Roman"/>
          <w:sz w:val="24"/>
          <w:szCs w:val="24"/>
          <w:lang w:val="fr-FR"/>
        </w:rPr>
        <w:t>t</w:t>
      </w:r>
      <w:r w:rsidR="00735C7B" w:rsidRPr="00953692">
        <w:rPr>
          <w:rFonts w:eastAsia="Calibri" w:cs="Times New Roman"/>
          <w:sz w:val="24"/>
          <w:szCs w:val="24"/>
          <w:lang w:val="fr-FR"/>
        </w:rPr>
        <w:t>, a</w:t>
      </w:r>
      <w:r w:rsidR="00E20C30" w:rsidRPr="00953692">
        <w:rPr>
          <w:rFonts w:eastAsia="Calibri" w:cs="Times New Roman"/>
          <w:sz w:val="24"/>
          <w:szCs w:val="24"/>
          <w:lang w:val="fr-FR"/>
        </w:rPr>
        <w:t>u milieu d’une multitude des droits</w:t>
      </w:r>
      <w:r w:rsidR="00E70DBF" w:rsidRPr="00953692">
        <w:rPr>
          <w:rFonts w:eastAsia="Calibri" w:cs="Times New Roman"/>
          <w:sz w:val="24"/>
          <w:szCs w:val="24"/>
          <w:lang w:val="fr-FR"/>
        </w:rPr>
        <w:t xml:space="preserve"> et obligations</w:t>
      </w:r>
      <w:r w:rsidR="00E20C30" w:rsidRPr="00953692">
        <w:rPr>
          <w:rFonts w:eastAsia="Calibri" w:cs="Times New Roman"/>
          <w:sz w:val="24"/>
          <w:szCs w:val="24"/>
          <w:lang w:val="fr-FR"/>
        </w:rPr>
        <w:t>, l’intérêt de tout accusé est de défendre sa cause</w:t>
      </w:r>
      <w:r w:rsidR="00B4480A" w:rsidRPr="00953692">
        <w:rPr>
          <w:rFonts w:eastAsia="Calibri" w:cs="Times New Roman"/>
          <w:sz w:val="24"/>
          <w:szCs w:val="24"/>
          <w:lang w:val="fr-FR"/>
        </w:rPr>
        <w:t xml:space="preserve"> quelle que soit la thèse qu’il choisit</w:t>
      </w:r>
      <w:r w:rsidR="00947D5C" w:rsidRPr="00953692">
        <w:rPr>
          <w:rFonts w:eastAsia="Calibri" w:cs="Times New Roman"/>
          <w:sz w:val="24"/>
          <w:szCs w:val="24"/>
          <w:lang w:val="fr-FR"/>
        </w:rPr>
        <w:t xml:space="preserve"> (coupable ou innocent)</w:t>
      </w:r>
      <w:r w:rsidR="00E20C30" w:rsidRPr="00953692">
        <w:rPr>
          <w:rFonts w:eastAsia="Calibri" w:cs="Times New Roman"/>
          <w:sz w:val="24"/>
          <w:szCs w:val="24"/>
          <w:lang w:val="fr-FR"/>
        </w:rPr>
        <w:t xml:space="preserve">. </w:t>
      </w:r>
      <w:r w:rsidR="00B4480A" w:rsidRPr="00953692">
        <w:rPr>
          <w:rFonts w:eastAsia="Calibri" w:cs="Times New Roman"/>
          <w:sz w:val="24"/>
          <w:szCs w:val="24"/>
          <w:lang w:val="fr-FR"/>
        </w:rPr>
        <w:t>A cet effet, s</w:t>
      </w:r>
      <w:r w:rsidR="00E20C30" w:rsidRPr="00953692">
        <w:rPr>
          <w:rFonts w:eastAsia="Calibri" w:cs="Times New Roman"/>
          <w:sz w:val="24"/>
          <w:szCs w:val="24"/>
          <w:lang w:val="fr-FR"/>
        </w:rPr>
        <w:t>i l’objet du délai raisonnable est donc d</w:t>
      </w:r>
      <w:r w:rsidR="00AB7EBB" w:rsidRPr="00953692">
        <w:rPr>
          <w:rFonts w:eastAsia="Calibri" w:cs="Times New Roman"/>
          <w:sz w:val="24"/>
          <w:szCs w:val="24"/>
          <w:lang w:val="fr-FR"/>
        </w:rPr>
        <w:t>e</w:t>
      </w:r>
      <w:r w:rsidR="00E20C30" w:rsidRPr="00953692">
        <w:rPr>
          <w:rFonts w:eastAsia="Calibri" w:cs="Times New Roman"/>
          <w:sz w:val="24"/>
          <w:szCs w:val="24"/>
          <w:lang w:val="fr-FR"/>
        </w:rPr>
        <w:t xml:space="preserve"> modérer</w:t>
      </w:r>
      <w:r w:rsidR="00D8140A" w:rsidRPr="00953692">
        <w:rPr>
          <w:rFonts w:eastAsia="Calibri" w:cs="Times New Roman"/>
          <w:sz w:val="24"/>
          <w:szCs w:val="24"/>
          <w:lang w:val="fr-FR"/>
        </w:rPr>
        <w:t xml:space="preserve"> ou de pondérer</w:t>
      </w:r>
      <w:r w:rsidR="00E20C30" w:rsidRPr="00953692">
        <w:rPr>
          <w:rFonts w:eastAsia="Calibri" w:cs="Times New Roman"/>
          <w:sz w:val="24"/>
          <w:szCs w:val="24"/>
          <w:lang w:val="fr-FR"/>
        </w:rPr>
        <w:t xml:space="preserve"> le temps qu’il en faut, l’on ne pourrait ignorer l’incidence que devrait</w:t>
      </w:r>
      <w:r w:rsidR="00AB7EBB" w:rsidRPr="00953692">
        <w:rPr>
          <w:rFonts w:eastAsia="Calibri" w:cs="Times New Roman"/>
          <w:sz w:val="24"/>
          <w:szCs w:val="24"/>
          <w:lang w:val="fr-FR"/>
        </w:rPr>
        <w:t xml:space="preserve"> </w:t>
      </w:r>
      <w:r w:rsidR="004C72B5" w:rsidRPr="00953692">
        <w:rPr>
          <w:rFonts w:eastAsia="Calibri" w:cs="Times New Roman"/>
          <w:sz w:val="24"/>
          <w:szCs w:val="24"/>
          <w:lang w:val="fr-FR"/>
        </w:rPr>
        <w:t>y</w:t>
      </w:r>
      <w:r w:rsidR="00E20C30" w:rsidRPr="00953692">
        <w:rPr>
          <w:rFonts w:eastAsia="Calibri" w:cs="Times New Roman"/>
          <w:sz w:val="24"/>
          <w:szCs w:val="24"/>
          <w:lang w:val="fr-FR"/>
        </w:rPr>
        <w:t xml:space="preserve"> avoir</w:t>
      </w:r>
      <w:r w:rsidR="00947D5C" w:rsidRPr="00953692">
        <w:rPr>
          <w:rFonts w:eastAsia="Calibri" w:cs="Times New Roman"/>
          <w:sz w:val="24"/>
          <w:szCs w:val="24"/>
          <w:lang w:val="fr-FR"/>
        </w:rPr>
        <w:t>, précisément,</w:t>
      </w:r>
      <w:r w:rsidR="00E20C30" w:rsidRPr="00953692">
        <w:rPr>
          <w:rFonts w:eastAsia="Calibri" w:cs="Times New Roman"/>
          <w:sz w:val="24"/>
          <w:szCs w:val="24"/>
          <w:lang w:val="fr-FR"/>
        </w:rPr>
        <w:t xml:space="preserve"> chacun de </w:t>
      </w:r>
      <w:r w:rsidR="00AB7EBB" w:rsidRPr="00953692">
        <w:rPr>
          <w:rFonts w:eastAsia="Calibri" w:cs="Times New Roman"/>
          <w:sz w:val="24"/>
          <w:szCs w:val="24"/>
          <w:lang w:val="fr-FR"/>
        </w:rPr>
        <w:t>s</w:t>
      </w:r>
      <w:r w:rsidR="00E20C30" w:rsidRPr="00953692">
        <w:rPr>
          <w:rFonts w:eastAsia="Calibri" w:cs="Times New Roman"/>
          <w:sz w:val="24"/>
          <w:szCs w:val="24"/>
          <w:lang w:val="fr-FR"/>
        </w:rPr>
        <w:t>es autres droits</w:t>
      </w:r>
      <w:r w:rsidR="00D8140A" w:rsidRPr="00953692">
        <w:rPr>
          <w:rFonts w:eastAsia="Calibri" w:cs="Times New Roman"/>
          <w:sz w:val="24"/>
          <w:szCs w:val="24"/>
          <w:lang w:val="fr-FR"/>
        </w:rPr>
        <w:t xml:space="preserve"> dont il doit s’en servir</w:t>
      </w:r>
      <w:r w:rsidR="00E20C30" w:rsidRPr="00953692">
        <w:rPr>
          <w:rFonts w:eastAsia="Calibri" w:cs="Times New Roman"/>
          <w:sz w:val="24"/>
          <w:szCs w:val="24"/>
          <w:lang w:val="fr-FR"/>
        </w:rPr>
        <w:t xml:space="preserve">. Car le délai raisonnable est un droit qui s’inscrit dans la durée </w:t>
      </w:r>
      <w:r w:rsidR="00AB7EBB" w:rsidRPr="00953692">
        <w:rPr>
          <w:rFonts w:eastAsia="Calibri" w:cs="Times New Roman"/>
          <w:sz w:val="24"/>
          <w:szCs w:val="24"/>
          <w:lang w:val="fr-FR"/>
        </w:rPr>
        <w:t>du procès</w:t>
      </w:r>
      <w:r w:rsidR="00EE2097" w:rsidRPr="00953692">
        <w:rPr>
          <w:rFonts w:eastAsia="Calibri" w:cs="Times New Roman"/>
          <w:sz w:val="24"/>
          <w:szCs w:val="24"/>
          <w:lang w:val="fr-FR"/>
        </w:rPr>
        <w:t xml:space="preserve"> et dépend</w:t>
      </w:r>
      <w:r w:rsidR="00AB7EBB" w:rsidRPr="00953692">
        <w:rPr>
          <w:rFonts w:eastAsia="Calibri" w:cs="Times New Roman"/>
          <w:sz w:val="24"/>
          <w:szCs w:val="24"/>
          <w:lang w:val="fr-FR"/>
        </w:rPr>
        <w:t xml:space="preserve"> </w:t>
      </w:r>
      <w:r w:rsidR="00A936FA" w:rsidRPr="00953692">
        <w:rPr>
          <w:rFonts w:eastAsia="Calibri" w:cs="Times New Roman"/>
          <w:sz w:val="24"/>
          <w:szCs w:val="24"/>
          <w:lang w:val="fr-FR"/>
        </w:rPr>
        <w:t>largement</w:t>
      </w:r>
      <w:r w:rsidR="00EE2097" w:rsidRPr="00953692">
        <w:rPr>
          <w:rFonts w:eastAsia="Calibri" w:cs="Times New Roman"/>
          <w:sz w:val="24"/>
          <w:szCs w:val="24"/>
          <w:lang w:val="fr-FR"/>
        </w:rPr>
        <w:t xml:space="preserve"> d</w:t>
      </w:r>
      <w:r w:rsidR="00EC25A7" w:rsidRPr="00953692">
        <w:rPr>
          <w:rFonts w:eastAsia="Calibri" w:cs="Times New Roman"/>
          <w:sz w:val="24"/>
          <w:szCs w:val="24"/>
          <w:lang w:val="fr-FR"/>
        </w:rPr>
        <w:t xml:space="preserve">e ces </w:t>
      </w:r>
      <w:r w:rsidR="00EE2097" w:rsidRPr="00953692">
        <w:rPr>
          <w:rFonts w:eastAsia="Calibri" w:cs="Times New Roman"/>
          <w:sz w:val="24"/>
          <w:szCs w:val="24"/>
          <w:lang w:val="fr-FR"/>
        </w:rPr>
        <w:t>autres droits de l’accusé.</w:t>
      </w:r>
      <w:r w:rsidR="00A936FA" w:rsidRPr="00953692">
        <w:rPr>
          <w:rFonts w:eastAsia="Calibri" w:cs="Times New Roman"/>
          <w:sz w:val="24"/>
          <w:szCs w:val="24"/>
          <w:lang w:val="fr-FR"/>
        </w:rPr>
        <w:t xml:space="preserve"> Cette</w:t>
      </w:r>
      <w:r w:rsidR="00EE2097" w:rsidRPr="00953692">
        <w:rPr>
          <w:rFonts w:eastAsia="Calibri" w:cs="Times New Roman"/>
          <w:sz w:val="24"/>
          <w:szCs w:val="24"/>
          <w:lang w:val="fr-FR"/>
        </w:rPr>
        <w:t xml:space="preserve"> dépendance s’explique par le fait que,</w:t>
      </w:r>
      <w:r w:rsidR="00712920" w:rsidRPr="00953692">
        <w:rPr>
          <w:rFonts w:eastAsia="Calibri" w:cs="Times New Roman"/>
          <w:sz w:val="24"/>
          <w:szCs w:val="24"/>
          <w:lang w:val="fr-FR"/>
        </w:rPr>
        <w:t xml:space="preserve"> </w:t>
      </w:r>
      <w:r w:rsidR="00D76C7C" w:rsidRPr="00953692">
        <w:rPr>
          <w:rFonts w:cs="Times New Roman"/>
          <w:sz w:val="24"/>
          <w:szCs w:val="24"/>
          <w:lang w:val="fr-FR"/>
        </w:rPr>
        <w:t>le délai raisonnable doit être invoqué à un stade</w:t>
      </w:r>
      <w:r w:rsidR="00712920" w:rsidRPr="00953692">
        <w:rPr>
          <w:rFonts w:cs="Times New Roman"/>
          <w:sz w:val="24"/>
          <w:szCs w:val="24"/>
          <w:lang w:val="fr-FR"/>
        </w:rPr>
        <w:t xml:space="preserve"> de la procédure</w:t>
      </w:r>
      <w:r w:rsidR="00D76C7C" w:rsidRPr="00953692">
        <w:rPr>
          <w:rFonts w:cs="Times New Roman"/>
          <w:sz w:val="24"/>
          <w:szCs w:val="24"/>
          <w:lang w:val="fr-FR"/>
        </w:rPr>
        <w:t xml:space="preserve"> </w:t>
      </w:r>
      <w:r w:rsidR="00256846" w:rsidRPr="00953692">
        <w:rPr>
          <w:rFonts w:cs="Times New Roman"/>
          <w:sz w:val="24"/>
          <w:szCs w:val="24"/>
          <w:lang w:val="fr-FR"/>
        </w:rPr>
        <w:t>beaucoup plus</w:t>
      </w:r>
      <w:r w:rsidR="00D76C7C" w:rsidRPr="00953692">
        <w:rPr>
          <w:rFonts w:cs="Times New Roman"/>
          <w:sz w:val="24"/>
          <w:szCs w:val="24"/>
          <w:lang w:val="fr-FR"/>
        </w:rPr>
        <w:t xml:space="preserve"> avancé</w:t>
      </w:r>
      <w:r w:rsidR="00735C7B" w:rsidRPr="00953692">
        <w:rPr>
          <w:rFonts w:cs="Times New Roman"/>
          <w:sz w:val="24"/>
          <w:szCs w:val="24"/>
          <w:lang w:val="fr-FR"/>
        </w:rPr>
        <w:t> ; il est</w:t>
      </w:r>
      <w:r w:rsidR="00DB7368" w:rsidRPr="00953692">
        <w:rPr>
          <w:rFonts w:cs="Times New Roman"/>
          <w:sz w:val="24"/>
          <w:szCs w:val="24"/>
          <w:lang w:val="fr-FR"/>
        </w:rPr>
        <w:t>,</w:t>
      </w:r>
      <w:r w:rsidR="00735C7B" w:rsidRPr="00953692">
        <w:rPr>
          <w:rFonts w:cs="Times New Roman"/>
          <w:sz w:val="24"/>
          <w:szCs w:val="24"/>
          <w:lang w:val="fr-FR"/>
        </w:rPr>
        <w:t xml:space="preserve"> par exemple</w:t>
      </w:r>
      <w:r w:rsidR="00DB7368" w:rsidRPr="00953692">
        <w:rPr>
          <w:rFonts w:cs="Times New Roman"/>
          <w:sz w:val="24"/>
          <w:szCs w:val="24"/>
          <w:lang w:val="fr-FR"/>
        </w:rPr>
        <w:t>,</w:t>
      </w:r>
      <w:r w:rsidR="00735C7B" w:rsidRPr="00953692">
        <w:rPr>
          <w:rFonts w:cs="Times New Roman"/>
          <w:sz w:val="24"/>
          <w:szCs w:val="24"/>
          <w:lang w:val="fr-FR"/>
        </w:rPr>
        <w:t xml:space="preserve"> incompréhensible de l’invoquer dès le début de la procédure. Par ailleurs,</w:t>
      </w:r>
      <w:r w:rsidR="00D76C7C" w:rsidRPr="00953692">
        <w:rPr>
          <w:rFonts w:cs="Times New Roman"/>
          <w:sz w:val="24"/>
          <w:szCs w:val="24"/>
          <w:lang w:val="fr-FR"/>
        </w:rPr>
        <w:t xml:space="preserve"> </w:t>
      </w:r>
      <w:r w:rsidR="00735C7B" w:rsidRPr="00953692">
        <w:rPr>
          <w:rFonts w:cs="Times New Roman"/>
          <w:sz w:val="24"/>
          <w:szCs w:val="24"/>
          <w:lang w:val="fr-FR"/>
        </w:rPr>
        <w:t>comme nous le verrons</w:t>
      </w:r>
      <w:r w:rsidR="00DB7368" w:rsidRPr="00953692">
        <w:rPr>
          <w:rFonts w:cs="Times New Roman"/>
          <w:sz w:val="24"/>
          <w:szCs w:val="24"/>
          <w:lang w:val="fr-FR"/>
        </w:rPr>
        <w:t xml:space="preserve"> plus loin</w:t>
      </w:r>
      <w:r w:rsidR="00735C7B" w:rsidRPr="00953692">
        <w:rPr>
          <w:rFonts w:cs="Times New Roman"/>
          <w:sz w:val="24"/>
          <w:szCs w:val="24"/>
          <w:lang w:val="fr-FR"/>
        </w:rPr>
        <w:t xml:space="preserve">, </w:t>
      </w:r>
      <w:r w:rsidR="00D76C7C" w:rsidRPr="00953692">
        <w:rPr>
          <w:rFonts w:cs="Times New Roman"/>
          <w:sz w:val="24"/>
          <w:szCs w:val="24"/>
          <w:lang w:val="fr-FR"/>
        </w:rPr>
        <w:t>les autres droits peuvent</w:t>
      </w:r>
      <w:r w:rsidR="00D5525B" w:rsidRPr="00953692">
        <w:rPr>
          <w:rFonts w:cs="Times New Roman"/>
          <w:sz w:val="24"/>
          <w:szCs w:val="24"/>
          <w:lang w:val="fr-FR"/>
        </w:rPr>
        <w:t xml:space="preserve"> ou doivent</w:t>
      </w:r>
      <w:r w:rsidR="00D76C7C" w:rsidRPr="00953692">
        <w:rPr>
          <w:rFonts w:cs="Times New Roman"/>
          <w:sz w:val="24"/>
          <w:szCs w:val="24"/>
          <w:lang w:val="fr-FR"/>
        </w:rPr>
        <w:t xml:space="preserve"> </w:t>
      </w:r>
      <w:r w:rsidR="00B4480A" w:rsidRPr="00953692">
        <w:rPr>
          <w:rFonts w:cs="Times New Roman"/>
          <w:sz w:val="24"/>
          <w:szCs w:val="24"/>
          <w:lang w:val="fr-FR"/>
        </w:rPr>
        <w:t>l’</w:t>
      </w:r>
      <w:r w:rsidR="00D76C7C" w:rsidRPr="00953692">
        <w:rPr>
          <w:rFonts w:cs="Times New Roman"/>
          <w:sz w:val="24"/>
          <w:szCs w:val="24"/>
          <w:lang w:val="fr-FR"/>
        </w:rPr>
        <w:t xml:space="preserve">être </w:t>
      </w:r>
      <w:r w:rsidR="00EC25A7" w:rsidRPr="00953692">
        <w:rPr>
          <w:rFonts w:cs="Times New Roman"/>
          <w:sz w:val="24"/>
          <w:szCs w:val="24"/>
          <w:lang w:val="fr-FR"/>
        </w:rPr>
        <w:t xml:space="preserve">respectivement </w:t>
      </w:r>
      <w:r w:rsidR="00D76C7C" w:rsidRPr="00953692">
        <w:rPr>
          <w:rFonts w:cs="Times New Roman"/>
          <w:sz w:val="24"/>
          <w:szCs w:val="24"/>
          <w:lang w:val="fr-FR"/>
        </w:rPr>
        <w:t xml:space="preserve">à </w:t>
      </w:r>
      <w:r w:rsidR="00EC25A7" w:rsidRPr="00953692">
        <w:rPr>
          <w:rFonts w:cs="Times New Roman"/>
          <w:sz w:val="24"/>
          <w:szCs w:val="24"/>
          <w:lang w:val="fr-FR"/>
        </w:rPr>
        <w:t>un moment très précis de la procédure</w:t>
      </w:r>
      <w:r w:rsidR="00D5525B" w:rsidRPr="00953692">
        <w:rPr>
          <w:rFonts w:cs="Times New Roman"/>
          <w:sz w:val="24"/>
          <w:szCs w:val="24"/>
          <w:lang w:val="fr-FR"/>
        </w:rPr>
        <w:t xml:space="preserve"> et parfois </w:t>
      </w:r>
      <w:r w:rsidR="00D5525B" w:rsidRPr="00953692">
        <w:rPr>
          <w:rFonts w:cs="Times New Roman"/>
          <w:i/>
          <w:iCs/>
          <w:sz w:val="24"/>
          <w:szCs w:val="24"/>
          <w:lang w:val="fr-FR"/>
        </w:rPr>
        <w:t>in limine litis</w:t>
      </w:r>
      <w:r w:rsidR="00D76C7C" w:rsidRPr="00953692">
        <w:rPr>
          <w:rFonts w:cs="Times New Roman"/>
          <w:sz w:val="24"/>
          <w:szCs w:val="24"/>
          <w:lang w:val="fr-FR"/>
        </w:rPr>
        <w:t xml:space="preserve">. </w:t>
      </w:r>
      <w:r w:rsidR="00735C7B" w:rsidRPr="00953692">
        <w:rPr>
          <w:rFonts w:cs="Times New Roman"/>
          <w:sz w:val="24"/>
          <w:szCs w:val="24"/>
          <w:lang w:val="fr-FR"/>
        </w:rPr>
        <w:t>L’idée qui ressort de cette dépendance, c’est que</w:t>
      </w:r>
      <w:r w:rsidR="00AB7EBB" w:rsidRPr="00953692">
        <w:rPr>
          <w:rFonts w:cs="Times New Roman"/>
          <w:sz w:val="24"/>
          <w:szCs w:val="24"/>
          <w:lang w:val="fr-FR"/>
        </w:rPr>
        <w:t xml:space="preserve"> l</w:t>
      </w:r>
      <w:r w:rsidR="00D76C7C" w:rsidRPr="00953692">
        <w:rPr>
          <w:rFonts w:cs="Times New Roman"/>
          <w:sz w:val="24"/>
          <w:szCs w:val="24"/>
          <w:lang w:val="fr-FR"/>
        </w:rPr>
        <w:t xml:space="preserve">e délai raisonnable </w:t>
      </w:r>
      <w:r w:rsidR="00B4480A" w:rsidRPr="00953692">
        <w:rPr>
          <w:rFonts w:cs="Times New Roman"/>
          <w:sz w:val="24"/>
          <w:szCs w:val="24"/>
          <w:lang w:val="fr-FR"/>
        </w:rPr>
        <w:t>devra</w:t>
      </w:r>
      <w:r w:rsidR="00D76C7C" w:rsidRPr="00953692">
        <w:rPr>
          <w:rFonts w:cs="Times New Roman"/>
          <w:sz w:val="24"/>
          <w:szCs w:val="24"/>
          <w:lang w:val="fr-FR"/>
        </w:rPr>
        <w:t xml:space="preserve"> </w:t>
      </w:r>
      <w:r w:rsidR="001905D1" w:rsidRPr="00953692">
        <w:rPr>
          <w:rFonts w:cs="Times New Roman"/>
          <w:sz w:val="24"/>
          <w:szCs w:val="24"/>
          <w:lang w:val="fr-FR"/>
        </w:rPr>
        <w:t xml:space="preserve">ou pourra </w:t>
      </w:r>
      <w:r w:rsidR="00D76C7C" w:rsidRPr="00953692">
        <w:rPr>
          <w:rFonts w:cs="Times New Roman"/>
          <w:sz w:val="24"/>
          <w:szCs w:val="24"/>
          <w:lang w:val="fr-FR"/>
        </w:rPr>
        <w:t>plus</w:t>
      </w:r>
      <w:r w:rsidR="00AB7EBB" w:rsidRPr="00953692">
        <w:rPr>
          <w:rFonts w:cs="Times New Roman"/>
          <w:sz w:val="24"/>
          <w:szCs w:val="24"/>
          <w:lang w:val="fr-FR"/>
        </w:rPr>
        <w:t xml:space="preserve"> </w:t>
      </w:r>
      <w:r w:rsidR="00D76C7C" w:rsidRPr="00953692">
        <w:rPr>
          <w:rFonts w:cs="Times New Roman"/>
          <w:sz w:val="24"/>
          <w:szCs w:val="24"/>
          <w:lang w:val="fr-FR"/>
        </w:rPr>
        <w:t xml:space="preserve">encaisser des coups </w:t>
      </w:r>
      <w:r w:rsidR="00735C7B" w:rsidRPr="00953692">
        <w:rPr>
          <w:rFonts w:cs="Times New Roman"/>
          <w:sz w:val="24"/>
          <w:szCs w:val="24"/>
          <w:lang w:val="fr-FR"/>
        </w:rPr>
        <w:t xml:space="preserve">de boutoir </w:t>
      </w:r>
      <w:r w:rsidR="00D76C7C" w:rsidRPr="00953692">
        <w:rPr>
          <w:rFonts w:cs="Times New Roman"/>
          <w:sz w:val="24"/>
          <w:szCs w:val="24"/>
          <w:lang w:val="fr-FR"/>
        </w:rPr>
        <w:t>venant de ces droits</w:t>
      </w:r>
      <w:r w:rsidR="00D5525B" w:rsidRPr="00953692">
        <w:rPr>
          <w:rFonts w:cs="Times New Roman"/>
          <w:sz w:val="24"/>
          <w:szCs w:val="24"/>
          <w:lang w:val="fr-FR"/>
        </w:rPr>
        <w:t xml:space="preserve"> </w:t>
      </w:r>
      <w:r w:rsidR="00712920" w:rsidRPr="00953692">
        <w:rPr>
          <w:rFonts w:cs="Times New Roman"/>
          <w:sz w:val="24"/>
          <w:szCs w:val="24"/>
          <w:lang w:val="fr-FR"/>
        </w:rPr>
        <w:t>ou bénéficier</w:t>
      </w:r>
      <w:r w:rsidR="00AB7EBB" w:rsidRPr="00953692">
        <w:rPr>
          <w:rFonts w:cs="Times New Roman"/>
          <w:sz w:val="24"/>
          <w:szCs w:val="24"/>
          <w:lang w:val="fr-FR"/>
        </w:rPr>
        <w:t xml:space="preserve"> tout de même</w:t>
      </w:r>
      <w:r w:rsidR="00735C7B" w:rsidRPr="00953692">
        <w:rPr>
          <w:rFonts w:cs="Times New Roman"/>
          <w:sz w:val="24"/>
          <w:szCs w:val="24"/>
          <w:lang w:val="fr-FR"/>
        </w:rPr>
        <w:t xml:space="preserve"> d’un certain coup de pouce</w:t>
      </w:r>
      <w:r w:rsidR="00D5525B" w:rsidRPr="00953692">
        <w:rPr>
          <w:rFonts w:cs="Times New Roman"/>
          <w:sz w:val="24"/>
          <w:szCs w:val="24"/>
          <w:lang w:val="fr-FR"/>
        </w:rPr>
        <w:t>.</w:t>
      </w:r>
    </w:p>
    <w:p w14:paraId="0A7C43A0" w14:textId="7E10A081" w:rsidR="00EF5A6F" w:rsidRPr="00953692" w:rsidRDefault="0047240F"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22</w:t>
      </w:r>
      <w:r w:rsidR="00712920" w:rsidRPr="00953692">
        <w:rPr>
          <w:rFonts w:cs="Times New Roman"/>
          <w:b/>
          <w:bCs/>
          <w:sz w:val="24"/>
          <w:szCs w:val="24"/>
          <w:lang w:val="fr-FR"/>
        </w:rPr>
        <w:t>.</w:t>
      </w:r>
      <w:r w:rsidR="00C16CFD" w:rsidRPr="00953692">
        <w:rPr>
          <w:rFonts w:cs="Times New Roman"/>
          <w:sz w:val="24"/>
          <w:szCs w:val="24"/>
          <w:lang w:val="fr-FR"/>
        </w:rPr>
        <w:t xml:space="preserve"> </w:t>
      </w:r>
      <w:r w:rsidR="00875CE0" w:rsidRPr="00953692">
        <w:rPr>
          <w:rFonts w:cs="Times New Roman"/>
          <w:sz w:val="24"/>
          <w:szCs w:val="24"/>
          <w:lang w:val="fr-FR"/>
        </w:rPr>
        <w:t xml:space="preserve">Dans le premier cas, sous </w:t>
      </w:r>
      <w:r w:rsidR="00A936FA" w:rsidRPr="00953692">
        <w:rPr>
          <w:rFonts w:cs="Times New Roman"/>
          <w:sz w:val="24"/>
          <w:szCs w:val="24"/>
          <w:lang w:val="fr-FR"/>
        </w:rPr>
        <w:t>c</w:t>
      </w:r>
      <w:r w:rsidR="00875CE0" w:rsidRPr="00953692">
        <w:rPr>
          <w:rFonts w:cs="Times New Roman"/>
          <w:sz w:val="24"/>
          <w:szCs w:val="24"/>
          <w:lang w:val="fr-FR"/>
        </w:rPr>
        <w:t xml:space="preserve">e </w:t>
      </w:r>
      <w:r w:rsidR="00A50E09" w:rsidRPr="00953692">
        <w:rPr>
          <w:rFonts w:cs="Times New Roman"/>
          <w:sz w:val="24"/>
          <w:szCs w:val="24"/>
          <w:lang w:val="fr-FR"/>
        </w:rPr>
        <w:t>prisme</w:t>
      </w:r>
      <w:r w:rsidR="00A936FA" w:rsidRPr="00953692">
        <w:rPr>
          <w:rFonts w:cs="Times New Roman"/>
          <w:sz w:val="24"/>
          <w:szCs w:val="24"/>
          <w:lang w:val="fr-FR"/>
        </w:rPr>
        <w:t xml:space="preserve"> positif</w:t>
      </w:r>
      <w:r w:rsidR="00A50E09" w:rsidRPr="00953692">
        <w:rPr>
          <w:rFonts w:cs="Times New Roman"/>
          <w:sz w:val="24"/>
          <w:szCs w:val="24"/>
          <w:lang w:val="fr-FR"/>
        </w:rPr>
        <w:t xml:space="preserve"> </w:t>
      </w:r>
      <w:r w:rsidR="00875CE0" w:rsidRPr="00953692">
        <w:rPr>
          <w:rFonts w:cs="Times New Roman"/>
          <w:sz w:val="24"/>
          <w:szCs w:val="24"/>
          <w:lang w:val="fr-FR"/>
        </w:rPr>
        <w:t>du procès équitable</w:t>
      </w:r>
      <w:r w:rsidR="00DB7368" w:rsidRPr="00953692">
        <w:rPr>
          <w:rFonts w:cs="Times New Roman"/>
          <w:sz w:val="24"/>
          <w:szCs w:val="24"/>
          <w:lang w:val="fr-FR"/>
        </w:rPr>
        <w:t xml:space="preserve"> et rapide</w:t>
      </w:r>
      <w:r w:rsidR="00875CE0" w:rsidRPr="00953692">
        <w:rPr>
          <w:rFonts w:cs="Times New Roman"/>
          <w:sz w:val="24"/>
          <w:szCs w:val="24"/>
          <w:lang w:val="fr-FR"/>
        </w:rPr>
        <w:t xml:space="preserve">, le besoin d’être jugé dans un délai raisonnable </w:t>
      </w:r>
      <w:r w:rsidR="000F42B4" w:rsidRPr="00953692">
        <w:rPr>
          <w:rFonts w:cs="Times New Roman"/>
          <w:sz w:val="24"/>
          <w:szCs w:val="24"/>
          <w:lang w:val="fr-FR"/>
        </w:rPr>
        <w:t>entrerait</w:t>
      </w:r>
      <w:r w:rsidR="00875CE0" w:rsidRPr="00953692">
        <w:rPr>
          <w:rFonts w:cs="Times New Roman"/>
          <w:sz w:val="24"/>
          <w:szCs w:val="24"/>
          <w:lang w:val="fr-FR"/>
        </w:rPr>
        <w:t xml:space="preserve"> en concurrence avec d’autres droits</w:t>
      </w:r>
      <w:r w:rsidR="001E6C78" w:rsidRPr="00953692">
        <w:rPr>
          <w:rFonts w:cs="Times New Roman"/>
          <w:sz w:val="24"/>
          <w:szCs w:val="24"/>
          <w:lang w:val="fr-FR"/>
        </w:rPr>
        <w:t xml:space="preserve">, </w:t>
      </w:r>
      <w:r w:rsidR="00A936FA" w:rsidRPr="00953692">
        <w:rPr>
          <w:rFonts w:cs="Times New Roman"/>
          <w:sz w:val="24"/>
          <w:szCs w:val="24"/>
          <w:lang w:val="fr-FR"/>
        </w:rPr>
        <w:t>‘’</w:t>
      </w:r>
      <w:r w:rsidR="001E6C78" w:rsidRPr="00953692">
        <w:rPr>
          <w:rFonts w:cs="Times New Roman"/>
          <w:sz w:val="24"/>
          <w:szCs w:val="24"/>
          <w:lang w:val="fr-FR"/>
        </w:rPr>
        <w:t xml:space="preserve">en raison du choix de la mise en œuvre de l’un ou </w:t>
      </w:r>
      <w:r w:rsidR="00CB2DCD" w:rsidRPr="00953692">
        <w:rPr>
          <w:rFonts w:cs="Times New Roman"/>
          <w:sz w:val="24"/>
          <w:szCs w:val="24"/>
          <w:lang w:val="fr-FR"/>
        </w:rPr>
        <w:t xml:space="preserve">de </w:t>
      </w:r>
      <w:r w:rsidR="001E6C78" w:rsidRPr="00953692">
        <w:rPr>
          <w:rFonts w:cs="Times New Roman"/>
          <w:sz w:val="24"/>
          <w:szCs w:val="24"/>
          <w:lang w:val="fr-FR"/>
        </w:rPr>
        <w:t>l’autre qu</w:t>
      </w:r>
      <w:r w:rsidR="00AB7EBB" w:rsidRPr="00953692">
        <w:rPr>
          <w:rFonts w:cs="Times New Roman"/>
          <w:sz w:val="24"/>
          <w:szCs w:val="24"/>
          <w:lang w:val="fr-FR"/>
        </w:rPr>
        <w:t>e l’accusé</w:t>
      </w:r>
      <w:r w:rsidR="001E6C78" w:rsidRPr="00953692">
        <w:rPr>
          <w:rFonts w:cs="Times New Roman"/>
          <w:sz w:val="24"/>
          <w:szCs w:val="24"/>
          <w:lang w:val="fr-FR"/>
        </w:rPr>
        <w:t xml:space="preserve"> devra </w:t>
      </w:r>
      <w:r w:rsidR="004107F3" w:rsidRPr="00953692">
        <w:rPr>
          <w:rFonts w:cs="Times New Roman"/>
          <w:sz w:val="24"/>
          <w:szCs w:val="24"/>
          <w:lang w:val="fr-FR"/>
        </w:rPr>
        <w:t>opérer</w:t>
      </w:r>
      <w:r w:rsidR="001E6C78" w:rsidRPr="00953692">
        <w:rPr>
          <w:rFonts w:cs="Times New Roman"/>
          <w:sz w:val="24"/>
          <w:szCs w:val="24"/>
          <w:lang w:val="fr-FR"/>
        </w:rPr>
        <w:t xml:space="preserve"> prioritairement ou alternativement</w:t>
      </w:r>
      <w:r w:rsidR="00A936FA" w:rsidRPr="00953692">
        <w:rPr>
          <w:rFonts w:cs="Times New Roman"/>
          <w:sz w:val="24"/>
          <w:szCs w:val="24"/>
          <w:lang w:val="fr-FR"/>
        </w:rPr>
        <w:t>’’</w:t>
      </w:r>
      <w:r w:rsidR="001E6C78" w:rsidRPr="00953692">
        <w:rPr>
          <w:rFonts w:cs="Times New Roman"/>
          <w:sz w:val="24"/>
          <w:szCs w:val="24"/>
          <w:lang w:val="fr-FR"/>
        </w:rPr>
        <w:t xml:space="preserve">. </w:t>
      </w:r>
      <w:r w:rsidR="004107F3" w:rsidRPr="00953692">
        <w:rPr>
          <w:rFonts w:cs="Times New Roman"/>
          <w:sz w:val="24"/>
          <w:szCs w:val="24"/>
          <w:lang w:val="fr-FR"/>
        </w:rPr>
        <w:t>Il ne s’agira non seulement du choix</w:t>
      </w:r>
      <w:r w:rsidR="00AB7EBB" w:rsidRPr="00953692">
        <w:rPr>
          <w:rFonts w:cs="Times New Roman"/>
          <w:sz w:val="24"/>
          <w:szCs w:val="24"/>
          <w:lang w:val="fr-FR"/>
        </w:rPr>
        <w:t>,</w:t>
      </w:r>
      <w:r w:rsidR="004107F3" w:rsidRPr="00953692">
        <w:rPr>
          <w:rFonts w:cs="Times New Roman"/>
          <w:sz w:val="24"/>
          <w:szCs w:val="24"/>
          <w:lang w:val="fr-FR"/>
        </w:rPr>
        <w:t xml:space="preserve"> mais</w:t>
      </w:r>
      <w:r w:rsidR="00DB7368" w:rsidRPr="00953692">
        <w:rPr>
          <w:rFonts w:cs="Times New Roman"/>
          <w:sz w:val="24"/>
          <w:szCs w:val="24"/>
          <w:lang w:val="fr-FR"/>
        </w:rPr>
        <w:t xml:space="preserve"> aussi</w:t>
      </w:r>
      <w:r w:rsidR="004107F3" w:rsidRPr="00953692">
        <w:rPr>
          <w:rFonts w:cs="Times New Roman"/>
          <w:sz w:val="24"/>
          <w:szCs w:val="24"/>
          <w:lang w:val="fr-FR"/>
        </w:rPr>
        <w:t xml:space="preserve"> d’une impériosité, puisque l’accusé ne pourrait</w:t>
      </w:r>
      <w:r w:rsidR="00AB7EBB" w:rsidRPr="00953692">
        <w:rPr>
          <w:rFonts w:cs="Times New Roman"/>
          <w:sz w:val="24"/>
          <w:szCs w:val="24"/>
          <w:lang w:val="fr-FR"/>
        </w:rPr>
        <w:t xml:space="preserve"> pas</w:t>
      </w:r>
      <w:r w:rsidR="004107F3" w:rsidRPr="00953692">
        <w:rPr>
          <w:rFonts w:cs="Times New Roman"/>
          <w:sz w:val="24"/>
          <w:szCs w:val="24"/>
          <w:lang w:val="fr-FR"/>
        </w:rPr>
        <w:t xml:space="preserve"> </w:t>
      </w:r>
      <w:r w:rsidR="00D26DD0" w:rsidRPr="00953692">
        <w:rPr>
          <w:rFonts w:cs="Times New Roman"/>
          <w:sz w:val="24"/>
          <w:szCs w:val="24"/>
          <w:lang w:val="fr-FR"/>
        </w:rPr>
        <w:t xml:space="preserve">affronter le </w:t>
      </w:r>
      <w:r w:rsidR="00361B88" w:rsidRPr="00953692">
        <w:rPr>
          <w:rFonts w:cs="Times New Roman"/>
          <w:sz w:val="24"/>
          <w:szCs w:val="24"/>
          <w:lang w:val="fr-FR"/>
        </w:rPr>
        <w:t>P</w:t>
      </w:r>
      <w:r w:rsidR="00D26DD0" w:rsidRPr="00953692">
        <w:rPr>
          <w:rFonts w:cs="Times New Roman"/>
          <w:sz w:val="24"/>
          <w:szCs w:val="24"/>
          <w:lang w:val="fr-FR"/>
        </w:rPr>
        <w:t>rocureur dans ses accusations</w:t>
      </w:r>
      <w:r w:rsidR="00A936FA" w:rsidRPr="00953692">
        <w:rPr>
          <w:rFonts w:cs="Times New Roman"/>
          <w:sz w:val="24"/>
          <w:szCs w:val="24"/>
          <w:lang w:val="fr-FR"/>
        </w:rPr>
        <w:t xml:space="preserve">, </w:t>
      </w:r>
      <w:r w:rsidR="00E02FD2" w:rsidRPr="00953692">
        <w:rPr>
          <w:rFonts w:cs="Times New Roman"/>
          <w:sz w:val="24"/>
          <w:szCs w:val="24"/>
          <w:lang w:val="fr-FR"/>
        </w:rPr>
        <w:t>notamment</w:t>
      </w:r>
      <w:r w:rsidR="00A936FA" w:rsidRPr="00953692">
        <w:rPr>
          <w:rFonts w:cs="Times New Roman"/>
          <w:sz w:val="24"/>
          <w:szCs w:val="24"/>
          <w:lang w:val="fr-FR"/>
        </w:rPr>
        <w:t>,</w:t>
      </w:r>
      <w:r w:rsidR="00D26DD0" w:rsidRPr="00953692">
        <w:rPr>
          <w:rFonts w:cs="Times New Roman"/>
          <w:sz w:val="24"/>
          <w:szCs w:val="24"/>
          <w:lang w:val="fr-FR"/>
        </w:rPr>
        <w:t xml:space="preserve"> sans qu’il</w:t>
      </w:r>
      <w:r w:rsidR="003510CD" w:rsidRPr="00953692">
        <w:rPr>
          <w:rFonts w:cs="Times New Roman"/>
          <w:sz w:val="24"/>
          <w:szCs w:val="24"/>
          <w:lang w:val="fr-FR"/>
        </w:rPr>
        <w:t xml:space="preserve"> ne</w:t>
      </w:r>
      <w:r w:rsidR="00D26DD0" w:rsidRPr="00953692">
        <w:rPr>
          <w:rFonts w:cs="Times New Roman"/>
          <w:sz w:val="24"/>
          <w:szCs w:val="24"/>
          <w:lang w:val="fr-FR"/>
        </w:rPr>
        <w:t xml:space="preserve"> dispose du temps nécessaire à la préparation de sa défense.</w:t>
      </w:r>
      <w:r w:rsidR="003510CD" w:rsidRPr="00953692">
        <w:rPr>
          <w:rFonts w:cs="Times New Roman"/>
          <w:sz w:val="24"/>
          <w:szCs w:val="24"/>
          <w:lang w:val="fr-FR"/>
        </w:rPr>
        <w:t xml:space="preserve"> Le respect de ce droit</w:t>
      </w:r>
      <w:r w:rsidR="00CB2DCD" w:rsidRPr="00953692">
        <w:rPr>
          <w:rFonts w:cs="Times New Roman"/>
          <w:sz w:val="24"/>
          <w:szCs w:val="24"/>
          <w:lang w:val="fr-FR"/>
        </w:rPr>
        <w:t>, par exemple,</w:t>
      </w:r>
      <w:r w:rsidR="003510CD" w:rsidRPr="00953692">
        <w:rPr>
          <w:rFonts w:cs="Times New Roman"/>
          <w:sz w:val="24"/>
          <w:szCs w:val="24"/>
          <w:lang w:val="fr-FR"/>
        </w:rPr>
        <w:t xml:space="preserve"> lui est d’une absoluité </w:t>
      </w:r>
      <w:r w:rsidR="00AB7EBB" w:rsidRPr="00953692">
        <w:rPr>
          <w:rFonts w:cs="Times New Roman"/>
          <w:sz w:val="24"/>
          <w:szCs w:val="24"/>
          <w:lang w:val="fr-FR"/>
        </w:rPr>
        <w:t>inéluctable</w:t>
      </w:r>
      <w:r w:rsidR="003510CD" w:rsidRPr="00953692">
        <w:rPr>
          <w:rFonts w:cs="Times New Roman"/>
          <w:sz w:val="24"/>
          <w:szCs w:val="24"/>
          <w:lang w:val="fr-FR"/>
        </w:rPr>
        <w:t xml:space="preserve">, car ceci cristallise le caractère équitable du procès à son égard. </w:t>
      </w:r>
    </w:p>
    <w:p w14:paraId="0B750449" w14:textId="5E338B21" w:rsidR="00D213C0" w:rsidRPr="00953692" w:rsidRDefault="0047240F"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23.</w:t>
      </w:r>
      <w:r w:rsidRPr="00953692">
        <w:rPr>
          <w:rFonts w:cs="Times New Roman"/>
          <w:sz w:val="24"/>
          <w:szCs w:val="24"/>
          <w:lang w:val="fr-FR"/>
        </w:rPr>
        <w:t xml:space="preserve"> </w:t>
      </w:r>
      <w:r w:rsidR="003510CD" w:rsidRPr="00953692">
        <w:rPr>
          <w:rFonts w:cs="Times New Roman"/>
          <w:sz w:val="24"/>
          <w:szCs w:val="24"/>
          <w:lang w:val="fr-FR"/>
        </w:rPr>
        <w:t>Ce droit,</w:t>
      </w:r>
      <w:r w:rsidR="00D213C0" w:rsidRPr="00953692">
        <w:rPr>
          <w:rFonts w:cs="Times New Roman"/>
          <w:sz w:val="24"/>
          <w:szCs w:val="24"/>
          <w:lang w:val="fr-FR"/>
        </w:rPr>
        <w:t xml:space="preserve"> tout comme le droit d’exiger une communication des pièces ou encore celui de former un recours</w:t>
      </w:r>
      <w:r w:rsidRPr="00953692">
        <w:rPr>
          <w:rFonts w:cs="Times New Roman"/>
          <w:sz w:val="24"/>
          <w:szCs w:val="24"/>
          <w:lang w:val="fr-FR"/>
        </w:rPr>
        <w:t>,</w:t>
      </w:r>
      <w:r w:rsidR="003510CD" w:rsidRPr="00953692">
        <w:rPr>
          <w:rFonts w:cs="Times New Roman"/>
          <w:sz w:val="24"/>
          <w:szCs w:val="24"/>
          <w:lang w:val="fr-FR"/>
        </w:rPr>
        <w:t xml:space="preserve"> </w:t>
      </w:r>
      <w:r w:rsidR="00D213C0" w:rsidRPr="00953692">
        <w:rPr>
          <w:rFonts w:cs="Times New Roman"/>
          <w:sz w:val="24"/>
          <w:szCs w:val="24"/>
          <w:lang w:val="fr-FR"/>
        </w:rPr>
        <w:t>sont</w:t>
      </w:r>
      <w:r w:rsidR="003510CD" w:rsidRPr="00953692">
        <w:rPr>
          <w:rFonts w:cs="Times New Roman"/>
          <w:sz w:val="24"/>
          <w:szCs w:val="24"/>
          <w:lang w:val="fr-FR"/>
        </w:rPr>
        <w:t xml:space="preserve"> aussi à inscrire </w:t>
      </w:r>
      <w:r w:rsidRPr="00953692">
        <w:rPr>
          <w:rFonts w:cs="Times New Roman"/>
          <w:sz w:val="24"/>
          <w:szCs w:val="24"/>
          <w:lang w:val="fr-FR"/>
        </w:rPr>
        <w:t xml:space="preserve">tous </w:t>
      </w:r>
      <w:r w:rsidR="003510CD" w:rsidRPr="00953692">
        <w:rPr>
          <w:rFonts w:cs="Times New Roman"/>
          <w:sz w:val="24"/>
          <w:szCs w:val="24"/>
          <w:lang w:val="fr-FR"/>
        </w:rPr>
        <w:t>dans le temps</w:t>
      </w:r>
      <w:r w:rsidRPr="00953692">
        <w:rPr>
          <w:rFonts w:cs="Times New Roman"/>
          <w:sz w:val="24"/>
          <w:szCs w:val="24"/>
          <w:lang w:val="fr-FR"/>
        </w:rPr>
        <w:t xml:space="preserve"> (la temporalité)</w:t>
      </w:r>
      <w:r w:rsidR="003510CD" w:rsidRPr="00953692">
        <w:rPr>
          <w:rFonts w:cs="Times New Roman"/>
          <w:sz w:val="24"/>
          <w:szCs w:val="24"/>
          <w:lang w:val="fr-FR"/>
        </w:rPr>
        <w:t xml:space="preserve">, </w:t>
      </w:r>
      <w:r w:rsidR="00AB7EBB" w:rsidRPr="00953692">
        <w:rPr>
          <w:rFonts w:cs="Times New Roman"/>
          <w:sz w:val="24"/>
          <w:szCs w:val="24"/>
          <w:lang w:val="fr-FR"/>
        </w:rPr>
        <w:t xml:space="preserve">mais plus précisément </w:t>
      </w:r>
      <w:r w:rsidR="003510CD" w:rsidRPr="00953692">
        <w:rPr>
          <w:rFonts w:cs="Times New Roman"/>
          <w:sz w:val="24"/>
          <w:szCs w:val="24"/>
          <w:lang w:val="fr-FR"/>
        </w:rPr>
        <w:t>dans l’intermittence</w:t>
      </w:r>
      <w:r w:rsidR="00CB2DCD" w:rsidRPr="00953692">
        <w:rPr>
          <w:rFonts w:cs="Times New Roman"/>
          <w:sz w:val="24"/>
          <w:szCs w:val="24"/>
          <w:lang w:val="fr-FR"/>
        </w:rPr>
        <w:t xml:space="preserve"> du procès ; c’est-à-dire, un procès discontinu</w:t>
      </w:r>
      <w:r w:rsidR="00B74E9C" w:rsidRPr="00953692">
        <w:rPr>
          <w:rFonts w:cs="Times New Roman"/>
          <w:sz w:val="24"/>
          <w:szCs w:val="24"/>
          <w:lang w:val="fr-FR"/>
        </w:rPr>
        <w:t>. Ils</w:t>
      </w:r>
      <w:r w:rsidR="00D213C0" w:rsidRPr="00953692">
        <w:rPr>
          <w:rFonts w:cs="Times New Roman"/>
          <w:sz w:val="24"/>
          <w:szCs w:val="24"/>
          <w:lang w:val="fr-FR"/>
        </w:rPr>
        <w:t xml:space="preserve"> sont</w:t>
      </w:r>
      <w:r w:rsidR="00D834AF" w:rsidRPr="00953692">
        <w:rPr>
          <w:rFonts w:cs="Times New Roman"/>
          <w:sz w:val="24"/>
          <w:szCs w:val="24"/>
          <w:lang w:val="fr-FR"/>
        </w:rPr>
        <w:t xml:space="preserve"> pratiquement</w:t>
      </w:r>
      <w:r w:rsidR="003510CD" w:rsidRPr="00953692">
        <w:rPr>
          <w:rFonts w:cs="Times New Roman"/>
          <w:sz w:val="24"/>
          <w:szCs w:val="24"/>
          <w:lang w:val="fr-FR"/>
        </w:rPr>
        <w:t xml:space="preserve"> </w:t>
      </w:r>
      <w:r w:rsidR="00D213C0" w:rsidRPr="00953692">
        <w:rPr>
          <w:rFonts w:cs="Times New Roman"/>
          <w:sz w:val="24"/>
          <w:szCs w:val="24"/>
          <w:lang w:val="fr-FR"/>
        </w:rPr>
        <w:t xml:space="preserve">conditionnés à la progressivité du procès. Ainsi, </w:t>
      </w:r>
      <w:r w:rsidR="00AB7EBB" w:rsidRPr="00953692">
        <w:rPr>
          <w:rFonts w:cs="Times New Roman"/>
          <w:sz w:val="24"/>
          <w:szCs w:val="24"/>
          <w:lang w:val="fr-FR"/>
        </w:rPr>
        <w:t>il en résulterait des</w:t>
      </w:r>
      <w:r w:rsidR="00D213C0" w:rsidRPr="00953692">
        <w:rPr>
          <w:rFonts w:cs="Times New Roman"/>
          <w:sz w:val="24"/>
          <w:szCs w:val="24"/>
          <w:lang w:val="fr-FR"/>
        </w:rPr>
        <w:t xml:space="preserve"> pause</w:t>
      </w:r>
      <w:r w:rsidR="00AB7EBB" w:rsidRPr="00953692">
        <w:rPr>
          <w:rFonts w:cs="Times New Roman"/>
          <w:sz w:val="24"/>
          <w:szCs w:val="24"/>
          <w:lang w:val="fr-FR"/>
        </w:rPr>
        <w:t>s, entassements</w:t>
      </w:r>
      <w:r w:rsidR="00773C15" w:rsidRPr="00953692">
        <w:rPr>
          <w:rFonts w:cs="Times New Roman"/>
          <w:sz w:val="24"/>
          <w:szCs w:val="24"/>
          <w:lang w:val="fr-FR"/>
        </w:rPr>
        <w:t xml:space="preserve"> d’actions</w:t>
      </w:r>
      <w:r w:rsidR="00AB7EBB" w:rsidRPr="00953692">
        <w:rPr>
          <w:rFonts w:cs="Times New Roman"/>
          <w:sz w:val="24"/>
          <w:szCs w:val="24"/>
          <w:lang w:val="fr-FR"/>
        </w:rPr>
        <w:t xml:space="preserve"> ou</w:t>
      </w:r>
      <w:r w:rsidR="00D213C0" w:rsidRPr="00953692">
        <w:rPr>
          <w:rFonts w:cs="Times New Roman"/>
          <w:sz w:val="24"/>
          <w:szCs w:val="24"/>
          <w:lang w:val="fr-FR"/>
        </w:rPr>
        <w:t xml:space="preserve"> suspension</w:t>
      </w:r>
      <w:r w:rsidR="00AB7EBB" w:rsidRPr="00953692">
        <w:rPr>
          <w:rFonts w:cs="Times New Roman"/>
          <w:sz w:val="24"/>
          <w:szCs w:val="24"/>
          <w:lang w:val="fr-FR"/>
        </w:rPr>
        <w:t xml:space="preserve"> d’audience, qui constitueront </w:t>
      </w:r>
      <w:r w:rsidR="00D834AF" w:rsidRPr="00953692">
        <w:rPr>
          <w:rFonts w:cs="Times New Roman"/>
          <w:i/>
          <w:iCs/>
          <w:sz w:val="24"/>
          <w:szCs w:val="24"/>
          <w:lang w:val="fr-FR"/>
        </w:rPr>
        <w:t>in fine</w:t>
      </w:r>
      <w:r w:rsidR="00D213C0" w:rsidRPr="00953692">
        <w:rPr>
          <w:rFonts w:cs="Times New Roman"/>
          <w:sz w:val="24"/>
          <w:szCs w:val="24"/>
          <w:lang w:val="fr-FR"/>
        </w:rPr>
        <w:t xml:space="preserve"> </w:t>
      </w:r>
      <w:r w:rsidR="00CB2DCD" w:rsidRPr="00953692">
        <w:rPr>
          <w:rFonts w:cs="Times New Roman"/>
          <w:sz w:val="24"/>
          <w:szCs w:val="24"/>
          <w:lang w:val="fr-FR"/>
        </w:rPr>
        <w:t>ce</w:t>
      </w:r>
      <w:r w:rsidR="00D213C0" w:rsidRPr="00953692">
        <w:rPr>
          <w:rFonts w:cs="Times New Roman"/>
          <w:sz w:val="24"/>
          <w:szCs w:val="24"/>
          <w:lang w:val="fr-FR"/>
        </w:rPr>
        <w:t xml:space="preserve"> coup</w:t>
      </w:r>
      <w:r w:rsidR="00361B88" w:rsidRPr="00953692">
        <w:rPr>
          <w:rFonts w:cs="Times New Roman"/>
          <w:sz w:val="24"/>
          <w:szCs w:val="24"/>
          <w:lang w:val="fr-FR"/>
        </w:rPr>
        <w:t xml:space="preserve"> de boutoir</w:t>
      </w:r>
      <w:r w:rsidR="00D213C0" w:rsidRPr="00953692">
        <w:rPr>
          <w:rFonts w:cs="Times New Roman"/>
          <w:sz w:val="24"/>
          <w:szCs w:val="24"/>
          <w:lang w:val="fr-FR"/>
        </w:rPr>
        <w:t xml:space="preserve"> </w:t>
      </w:r>
      <w:r w:rsidR="00CB2DCD" w:rsidRPr="00953692">
        <w:rPr>
          <w:rFonts w:cs="Times New Roman"/>
          <w:sz w:val="24"/>
          <w:szCs w:val="24"/>
          <w:lang w:val="fr-FR"/>
        </w:rPr>
        <w:t xml:space="preserve">qui sera </w:t>
      </w:r>
      <w:r w:rsidR="00D213C0" w:rsidRPr="00953692">
        <w:rPr>
          <w:rFonts w:cs="Times New Roman"/>
          <w:sz w:val="24"/>
          <w:szCs w:val="24"/>
          <w:lang w:val="fr-FR"/>
        </w:rPr>
        <w:t xml:space="preserve">porté </w:t>
      </w:r>
      <w:r w:rsidR="000F42B4" w:rsidRPr="00953692">
        <w:rPr>
          <w:rFonts w:cs="Times New Roman"/>
          <w:sz w:val="24"/>
          <w:szCs w:val="24"/>
          <w:lang w:val="fr-FR"/>
        </w:rPr>
        <w:t xml:space="preserve">remarquablement </w:t>
      </w:r>
      <w:r w:rsidR="00D213C0" w:rsidRPr="00953692">
        <w:rPr>
          <w:rFonts w:cs="Times New Roman"/>
          <w:sz w:val="24"/>
          <w:szCs w:val="24"/>
          <w:lang w:val="fr-FR"/>
        </w:rPr>
        <w:t>au délai raisonnable. On y voit en fait une forme de conflictualité que nous aborderons dans la seconde partie de notre étude.</w:t>
      </w:r>
    </w:p>
    <w:p w14:paraId="6BF9FC05" w14:textId="77777777" w:rsidR="0047240F" w:rsidRPr="00953692" w:rsidRDefault="0047240F"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24</w:t>
      </w:r>
      <w:r w:rsidR="00D213C0" w:rsidRPr="00953692">
        <w:rPr>
          <w:rFonts w:cs="Times New Roman"/>
          <w:b/>
          <w:bCs/>
          <w:sz w:val="24"/>
          <w:szCs w:val="24"/>
          <w:lang w:val="fr-FR"/>
        </w:rPr>
        <w:t>.</w:t>
      </w:r>
      <w:r w:rsidR="008472E5" w:rsidRPr="00953692">
        <w:rPr>
          <w:rFonts w:cs="Times New Roman"/>
          <w:b/>
          <w:bCs/>
          <w:sz w:val="24"/>
          <w:szCs w:val="24"/>
          <w:lang w:val="fr-FR"/>
        </w:rPr>
        <w:t xml:space="preserve"> </w:t>
      </w:r>
      <w:r w:rsidR="00D500A7" w:rsidRPr="00953692">
        <w:rPr>
          <w:rFonts w:cs="Times New Roman"/>
          <w:sz w:val="24"/>
          <w:szCs w:val="24"/>
          <w:lang w:val="fr-FR"/>
        </w:rPr>
        <w:t>Dans le second cas</w:t>
      </w:r>
      <w:r w:rsidR="00AE6C26" w:rsidRPr="00953692">
        <w:rPr>
          <w:rFonts w:cs="Times New Roman"/>
          <w:sz w:val="24"/>
          <w:szCs w:val="24"/>
          <w:lang w:val="fr-FR"/>
        </w:rPr>
        <w:t>,</w:t>
      </w:r>
      <w:r w:rsidR="00D500A7" w:rsidRPr="00953692">
        <w:rPr>
          <w:rFonts w:cs="Times New Roman"/>
          <w:sz w:val="24"/>
          <w:szCs w:val="24"/>
          <w:lang w:val="fr-FR"/>
        </w:rPr>
        <w:t xml:space="preserve"> en revanche, le délai raisonnable se trouve apriori renforcé par d’autres droits s’inscrivant cette fois-là dans une temporalité beaucoup plus courte des actions des sujets actifs de la procédure</w:t>
      </w:r>
      <w:r w:rsidR="008519D0" w:rsidRPr="00953692">
        <w:rPr>
          <w:rFonts w:cs="Times New Roman"/>
          <w:sz w:val="24"/>
          <w:szCs w:val="24"/>
          <w:lang w:val="fr-FR"/>
        </w:rPr>
        <w:t xml:space="preserve"> </w:t>
      </w:r>
      <w:r w:rsidR="00AE6C26" w:rsidRPr="00953692">
        <w:rPr>
          <w:rFonts w:cs="Times New Roman"/>
          <w:sz w:val="24"/>
          <w:szCs w:val="24"/>
          <w:lang w:val="fr-FR"/>
        </w:rPr>
        <w:t xml:space="preserve">pénale </w:t>
      </w:r>
      <w:r w:rsidR="008519D0" w:rsidRPr="00953692">
        <w:rPr>
          <w:rFonts w:cs="Times New Roman"/>
          <w:sz w:val="24"/>
          <w:szCs w:val="24"/>
          <w:lang w:val="fr-FR"/>
        </w:rPr>
        <w:t>internationale</w:t>
      </w:r>
      <w:r w:rsidR="00CB2DCD" w:rsidRPr="00953692">
        <w:rPr>
          <w:rFonts w:cs="Times New Roman"/>
          <w:sz w:val="24"/>
          <w:szCs w:val="24"/>
          <w:lang w:val="fr-FR"/>
        </w:rPr>
        <w:t>, notamment le procureur et le juge</w:t>
      </w:r>
      <w:r w:rsidR="00D500A7" w:rsidRPr="00953692">
        <w:rPr>
          <w:rFonts w:cs="Times New Roman"/>
          <w:sz w:val="24"/>
          <w:szCs w:val="24"/>
          <w:lang w:val="fr-FR"/>
        </w:rPr>
        <w:t xml:space="preserve">. </w:t>
      </w:r>
      <w:r w:rsidR="00CB2DCD" w:rsidRPr="00953692">
        <w:rPr>
          <w:rFonts w:cs="Times New Roman"/>
          <w:sz w:val="24"/>
          <w:szCs w:val="24"/>
          <w:lang w:val="fr-FR"/>
        </w:rPr>
        <w:t>Par exemple</w:t>
      </w:r>
      <w:r w:rsidR="0085158E" w:rsidRPr="00953692">
        <w:rPr>
          <w:rFonts w:cs="Times New Roman"/>
          <w:sz w:val="24"/>
          <w:szCs w:val="24"/>
          <w:lang w:val="fr-FR"/>
        </w:rPr>
        <w:t xml:space="preserve">, le droit d’être informé dans le plus court délai, le droit d’être inculpé dans le délai ou encore le droit à une comparution immédiate constitueront en réalité </w:t>
      </w:r>
      <w:r w:rsidR="00CB2DCD" w:rsidRPr="00953692">
        <w:rPr>
          <w:rFonts w:cs="Times New Roman"/>
          <w:sz w:val="24"/>
          <w:szCs w:val="24"/>
          <w:lang w:val="fr-FR"/>
        </w:rPr>
        <w:t>ce</w:t>
      </w:r>
      <w:r w:rsidR="00D213C0" w:rsidRPr="00953692">
        <w:rPr>
          <w:rFonts w:cs="Times New Roman"/>
          <w:sz w:val="24"/>
          <w:szCs w:val="24"/>
          <w:lang w:val="fr-FR"/>
        </w:rPr>
        <w:t xml:space="preserve"> </w:t>
      </w:r>
      <w:r w:rsidR="0085158E" w:rsidRPr="00953692">
        <w:rPr>
          <w:rFonts w:cs="Times New Roman"/>
          <w:sz w:val="24"/>
          <w:szCs w:val="24"/>
          <w:lang w:val="fr-FR"/>
        </w:rPr>
        <w:t xml:space="preserve">véritable coup de pouce </w:t>
      </w:r>
      <w:r w:rsidR="00682C67" w:rsidRPr="00953692">
        <w:rPr>
          <w:rFonts w:cs="Times New Roman"/>
          <w:sz w:val="24"/>
          <w:szCs w:val="24"/>
          <w:lang w:val="fr-FR"/>
        </w:rPr>
        <w:t xml:space="preserve">généralement </w:t>
      </w:r>
      <w:r w:rsidR="0085158E" w:rsidRPr="00953692">
        <w:rPr>
          <w:rFonts w:cs="Times New Roman"/>
          <w:sz w:val="24"/>
          <w:szCs w:val="24"/>
          <w:lang w:val="fr-FR"/>
        </w:rPr>
        <w:t>pour la rapidité du procès, à laquelle le délai raisonnable s’a</w:t>
      </w:r>
      <w:r w:rsidR="009B486D" w:rsidRPr="00953692">
        <w:rPr>
          <w:rFonts w:cs="Times New Roman"/>
          <w:sz w:val="24"/>
          <w:szCs w:val="24"/>
          <w:lang w:val="fr-FR"/>
        </w:rPr>
        <w:t>ssocie</w:t>
      </w:r>
      <w:r w:rsidR="00682C67" w:rsidRPr="00953692">
        <w:rPr>
          <w:rFonts w:cs="Times New Roman"/>
          <w:sz w:val="24"/>
          <w:szCs w:val="24"/>
          <w:lang w:val="fr-FR"/>
        </w:rPr>
        <w:t xml:space="preserve"> indubitablement</w:t>
      </w:r>
      <w:r w:rsidR="0085158E" w:rsidRPr="00953692">
        <w:rPr>
          <w:rFonts w:cs="Times New Roman"/>
          <w:sz w:val="24"/>
          <w:szCs w:val="24"/>
          <w:lang w:val="fr-FR"/>
        </w:rPr>
        <w:t xml:space="preserve">. En outre, </w:t>
      </w:r>
      <w:r w:rsidR="00682C67" w:rsidRPr="00953692">
        <w:rPr>
          <w:rFonts w:cs="Times New Roman"/>
          <w:sz w:val="24"/>
          <w:szCs w:val="24"/>
          <w:lang w:val="fr-FR"/>
        </w:rPr>
        <w:t xml:space="preserve">l’accusé possède un certain nombre des droits, dont l’exercice </w:t>
      </w:r>
      <w:r w:rsidR="00CB7083" w:rsidRPr="00953692">
        <w:rPr>
          <w:rFonts w:cs="Times New Roman"/>
          <w:sz w:val="24"/>
          <w:szCs w:val="24"/>
          <w:lang w:val="fr-FR"/>
        </w:rPr>
        <w:t xml:space="preserve">facultatif (volontiers) </w:t>
      </w:r>
      <w:r w:rsidR="00682C67" w:rsidRPr="00953692">
        <w:rPr>
          <w:rFonts w:cs="Times New Roman"/>
          <w:sz w:val="24"/>
          <w:szCs w:val="24"/>
          <w:lang w:val="fr-FR"/>
        </w:rPr>
        <w:t xml:space="preserve">est susceptible </w:t>
      </w:r>
      <w:r w:rsidR="0085158E" w:rsidRPr="00953692">
        <w:rPr>
          <w:rFonts w:cs="Times New Roman"/>
          <w:sz w:val="24"/>
          <w:szCs w:val="24"/>
          <w:lang w:val="fr-FR"/>
        </w:rPr>
        <w:t>d’écou</w:t>
      </w:r>
      <w:r w:rsidR="00AE6C26" w:rsidRPr="00953692">
        <w:rPr>
          <w:rFonts w:cs="Times New Roman"/>
          <w:sz w:val="24"/>
          <w:szCs w:val="24"/>
          <w:lang w:val="fr-FR"/>
        </w:rPr>
        <w:t>r</w:t>
      </w:r>
      <w:r w:rsidR="0085158E" w:rsidRPr="00953692">
        <w:rPr>
          <w:rFonts w:cs="Times New Roman"/>
          <w:sz w:val="24"/>
          <w:szCs w:val="24"/>
          <w:lang w:val="fr-FR"/>
        </w:rPr>
        <w:t>ter</w:t>
      </w:r>
      <w:r w:rsidR="00682C67" w:rsidRPr="00953692">
        <w:rPr>
          <w:rFonts w:cs="Times New Roman"/>
          <w:sz w:val="24"/>
          <w:szCs w:val="24"/>
          <w:lang w:val="fr-FR"/>
        </w:rPr>
        <w:t xml:space="preserve"> ou </w:t>
      </w:r>
      <w:r w:rsidR="00682C67" w:rsidRPr="00953692">
        <w:rPr>
          <w:rFonts w:cs="Times New Roman"/>
          <w:sz w:val="24"/>
          <w:szCs w:val="24"/>
          <w:lang w:val="fr-FR"/>
        </w:rPr>
        <w:lastRenderedPageBreak/>
        <w:t>d’accélérer</w:t>
      </w:r>
      <w:r w:rsidR="0085158E" w:rsidRPr="00953692">
        <w:rPr>
          <w:rFonts w:cs="Times New Roman"/>
          <w:sz w:val="24"/>
          <w:szCs w:val="24"/>
          <w:lang w:val="fr-FR"/>
        </w:rPr>
        <w:t xml:space="preserve"> le procès</w:t>
      </w:r>
      <w:r w:rsidR="00682C67" w:rsidRPr="00953692">
        <w:rPr>
          <w:rFonts w:cs="Times New Roman"/>
          <w:sz w:val="24"/>
          <w:szCs w:val="24"/>
          <w:lang w:val="fr-FR"/>
        </w:rPr>
        <w:t>.</w:t>
      </w:r>
      <w:r w:rsidR="0085158E" w:rsidRPr="00953692">
        <w:rPr>
          <w:rFonts w:cs="Times New Roman"/>
          <w:sz w:val="24"/>
          <w:szCs w:val="24"/>
          <w:lang w:val="fr-FR"/>
        </w:rPr>
        <w:t xml:space="preserve"> </w:t>
      </w:r>
      <w:r w:rsidR="00682C67" w:rsidRPr="00953692">
        <w:rPr>
          <w:rFonts w:cs="Times New Roman"/>
          <w:sz w:val="24"/>
          <w:szCs w:val="24"/>
          <w:lang w:val="fr-FR"/>
        </w:rPr>
        <w:t xml:space="preserve">Il </w:t>
      </w:r>
      <w:r w:rsidR="00CB2DCD" w:rsidRPr="00953692">
        <w:rPr>
          <w:rFonts w:cs="Times New Roman"/>
          <w:sz w:val="24"/>
          <w:szCs w:val="24"/>
          <w:lang w:val="fr-FR"/>
        </w:rPr>
        <w:t xml:space="preserve">en est </w:t>
      </w:r>
      <w:r w:rsidR="00682C67" w:rsidRPr="00953692">
        <w:rPr>
          <w:rFonts w:cs="Times New Roman"/>
          <w:sz w:val="24"/>
          <w:szCs w:val="24"/>
          <w:lang w:val="fr-FR"/>
        </w:rPr>
        <w:t>particulièrement du droit de</w:t>
      </w:r>
      <w:r w:rsidR="0085158E" w:rsidRPr="00953692">
        <w:rPr>
          <w:rFonts w:cs="Times New Roman"/>
          <w:sz w:val="24"/>
          <w:szCs w:val="24"/>
          <w:lang w:val="fr-FR"/>
        </w:rPr>
        <w:t xml:space="preserve"> plaid</w:t>
      </w:r>
      <w:r w:rsidR="00682C67" w:rsidRPr="00953692">
        <w:rPr>
          <w:rFonts w:cs="Times New Roman"/>
          <w:sz w:val="24"/>
          <w:szCs w:val="24"/>
          <w:lang w:val="fr-FR"/>
        </w:rPr>
        <w:t>er</w:t>
      </w:r>
      <w:r w:rsidR="0085158E" w:rsidRPr="00953692">
        <w:rPr>
          <w:rFonts w:cs="Times New Roman"/>
          <w:sz w:val="24"/>
          <w:szCs w:val="24"/>
          <w:lang w:val="fr-FR"/>
        </w:rPr>
        <w:t xml:space="preserve"> coupable</w:t>
      </w:r>
      <w:r w:rsidR="00682C67" w:rsidRPr="00953692">
        <w:rPr>
          <w:rFonts w:cs="Times New Roman"/>
          <w:sz w:val="24"/>
          <w:szCs w:val="24"/>
          <w:lang w:val="fr-FR"/>
        </w:rPr>
        <w:t xml:space="preserve"> et,</w:t>
      </w:r>
      <w:r w:rsidR="0085158E" w:rsidRPr="00953692">
        <w:rPr>
          <w:rFonts w:cs="Times New Roman"/>
          <w:sz w:val="24"/>
          <w:szCs w:val="24"/>
          <w:lang w:val="fr-FR"/>
        </w:rPr>
        <w:t xml:space="preserve"> dans une certaine mesure</w:t>
      </w:r>
      <w:r w:rsidR="00682C67" w:rsidRPr="00953692">
        <w:rPr>
          <w:rFonts w:cs="Times New Roman"/>
          <w:sz w:val="24"/>
          <w:szCs w:val="24"/>
          <w:lang w:val="fr-FR"/>
        </w:rPr>
        <w:t>,</w:t>
      </w:r>
      <w:r w:rsidR="0085158E" w:rsidRPr="00953692">
        <w:rPr>
          <w:rFonts w:cs="Times New Roman"/>
          <w:sz w:val="24"/>
          <w:szCs w:val="24"/>
          <w:lang w:val="fr-FR"/>
        </w:rPr>
        <w:t xml:space="preserve"> </w:t>
      </w:r>
      <w:r w:rsidR="00682C67" w:rsidRPr="00953692">
        <w:rPr>
          <w:rFonts w:cs="Times New Roman"/>
          <w:sz w:val="24"/>
          <w:szCs w:val="24"/>
          <w:lang w:val="fr-FR"/>
        </w:rPr>
        <w:t>le droit de</w:t>
      </w:r>
      <w:r w:rsidR="0085158E" w:rsidRPr="00953692">
        <w:rPr>
          <w:rFonts w:cs="Times New Roman"/>
          <w:sz w:val="24"/>
          <w:szCs w:val="24"/>
          <w:lang w:val="fr-FR"/>
        </w:rPr>
        <w:t xml:space="preserve"> particip</w:t>
      </w:r>
      <w:r w:rsidR="00682C67" w:rsidRPr="00953692">
        <w:rPr>
          <w:rFonts w:cs="Times New Roman"/>
          <w:sz w:val="24"/>
          <w:szCs w:val="24"/>
          <w:lang w:val="fr-FR"/>
        </w:rPr>
        <w:t>er activement</w:t>
      </w:r>
      <w:r w:rsidR="0085158E" w:rsidRPr="00953692">
        <w:rPr>
          <w:rFonts w:cs="Times New Roman"/>
          <w:sz w:val="24"/>
          <w:szCs w:val="24"/>
          <w:lang w:val="fr-FR"/>
        </w:rPr>
        <w:t xml:space="preserve"> à l’aboutissement de son procès. </w:t>
      </w:r>
    </w:p>
    <w:p w14:paraId="21515631" w14:textId="712FA554" w:rsidR="00D359DA" w:rsidRPr="00953692" w:rsidRDefault="0047240F"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25.</w:t>
      </w:r>
      <w:r w:rsidRPr="00953692">
        <w:rPr>
          <w:rFonts w:cs="Times New Roman"/>
          <w:sz w:val="24"/>
          <w:szCs w:val="24"/>
          <w:lang w:val="fr-FR"/>
        </w:rPr>
        <w:t xml:space="preserve"> </w:t>
      </w:r>
      <w:r w:rsidR="00516C95" w:rsidRPr="00953692">
        <w:rPr>
          <w:rFonts w:cs="Times New Roman"/>
          <w:sz w:val="24"/>
          <w:szCs w:val="24"/>
          <w:lang w:val="fr-FR"/>
        </w:rPr>
        <w:t>Dans tous les cas, le délai raisonnable en tire</w:t>
      </w:r>
      <w:r w:rsidR="00682C67" w:rsidRPr="00953692">
        <w:rPr>
          <w:rFonts w:cs="Times New Roman"/>
          <w:sz w:val="24"/>
          <w:szCs w:val="24"/>
          <w:lang w:val="fr-FR"/>
        </w:rPr>
        <w:t xml:space="preserve"> immanquablement</w:t>
      </w:r>
      <w:r w:rsidR="00516C95" w:rsidRPr="00953692">
        <w:rPr>
          <w:rFonts w:cs="Times New Roman"/>
          <w:sz w:val="24"/>
          <w:szCs w:val="24"/>
          <w:lang w:val="fr-FR"/>
        </w:rPr>
        <w:t xml:space="preserve"> profit </w:t>
      </w:r>
      <w:r w:rsidR="00D834AF" w:rsidRPr="00953692">
        <w:rPr>
          <w:rFonts w:cs="Times New Roman"/>
          <w:sz w:val="24"/>
          <w:szCs w:val="24"/>
          <w:lang w:val="fr-FR"/>
        </w:rPr>
        <w:t>à travers une forme de</w:t>
      </w:r>
      <w:r w:rsidR="00AE6C26" w:rsidRPr="00953692">
        <w:rPr>
          <w:rFonts w:cs="Times New Roman"/>
          <w:sz w:val="24"/>
          <w:szCs w:val="24"/>
          <w:lang w:val="fr-FR"/>
        </w:rPr>
        <w:t xml:space="preserve"> </w:t>
      </w:r>
      <w:r w:rsidR="00516C95" w:rsidRPr="00953692">
        <w:rPr>
          <w:rFonts w:cs="Times New Roman"/>
          <w:sz w:val="24"/>
          <w:szCs w:val="24"/>
          <w:lang w:val="fr-FR"/>
        </w:rPr>
        <w:t>complémentarité qu</w:t>
      </w:r>
      <w:r w:rsidR="00682C67" w:rsidRPr="00953692">
        <w:rPr>
          <w:rFonts w:cs="Times New Roman"/>
          <w:sz w:val="24"/>
          <w:szCs w:val="24"/>
          <w:lang w:val="fr-FR"/>
        </w:rPr>
        <w:t xml:space="preserve">i </w:t>
      </w:r>
      <w:r w:rsidR="00AE6C26" w:rsidRPr="00953692">
        <w:rPr>
          <w:rFonts w:cs="Times New Roman"/>
          <w:sz w:val="24"/>
          <w:szCs w:val="24"/>
          <w:lang w:val="fr-FR"/>
        </w:rPr>
        <w:t>va s’établir dans ces rapports</w:t>
      </w:r>
      <w:r w:rsidR="00C77F83" w:rsidRPr="00953692">
        <w:rPr>
          <w:rFonts w:cs="Times New Roman"/>
          <w:sz w:val="24"/>
          <w:szCs w:val="24"/>
          <w:lang w:val="fr-FR"/>
        </w:rPr>
        <w:t xml:space="preserve"> temporels</w:t>
      </w:r>
      <w:r w:rsidR="00CB2DCD" w:rsidRPr="00953692">
        <w:rPr>
          <w:rFonts w:cs="Times New Roman"/>
          <w:sz w:val="24"/>
          <w:szCs w:val="24"/>
          <w:lang w:val="fr-FR"/>
        </w:rPr>
        <w:t xml:space="preserve"> qui les unissent</w:t>
      </w:r>
      <w:r w:rsidR="00AE6C26" w:rsidRPr="00953692">
        <w:rPr>
          <w:rFonts w:cs="Times New Roman"/>
          <w:sz w:val="24"/>
          <w:szCs w:val="24"/>
          <w:lang w:val="fr-FR"/>
        </w:rPr>
        <w:t xml:space="preserve">, et ce </w:t>
      </w:r>
      <w:r w:rsidR="00682C67" w:rsidRPr="00953692">
        <w:rPr>
          <w:rFonts w:cs="Times New Roman"/>
          <w:sz w:val="24"/>
          <w:szCs w:val="24"/>
          <w:lang w:val="fr-FR"/>
        </w:rPr>
        <w:t xml:space="preserve">sera </w:t>
      </w:r>
      <w:r w:rsidR="00AE6C26" w:rsidRPr="00953692">
        <w:rPr>
          <w:rFonts w:cs="Times New Roman"/>
          <w:sz w:val="24"/>
          <w:szCs w:val="24"/>
          <w:lang w:val="fr-FR"/>
        </w:rPr>
        <w:t>l’objet de</w:t>
      </w:r>
      <w:r w:rsidR="00516C95" w:rsidRPr="00953692">
        <w:rPr>
          <w:rFonts w:cs="Times New Roman"/>
          <w:sz w:val="24"/>
          <w:szCs w:val="24"/>
          <w:lang w:val="fr-FR"/>
        </w:rPr>
        <w:t xml:space="preserve"> la première partie de </w:t>
      </w:r>
      <w:r w:rsidR="00AE6C26" w:rsidRPr="00953692">
        <w:rPr>
          <w:rFonts w:cs="Times New Roman"/>
          <w:sz w:val="24"/>
          <w:szCs w:val="24"/>
          <w:lang w:val="fr-FR"/>
        </w:rPr>
        <w:t>cette</w:t>
      </w:r>
      <w:r w:rsidR="00516C95" w:rsidRPr="00953692">
        <w:rPr>
          <w:rFonts w:cs="Times New Roman"/>
          <w:sz w:val="24"/>
          <w:szCs w:val="24"/>
          <w:lang w:val="fr-FR"/>
        </w:rPr>
        <w:t xml:space="preserve"> étude.</w:t>
      </w:r>
    </w:p>
    <w:p w14:paraId="73BD41EA" w14:textId="77777777" w:rsidR="00EF5A6F" w:rsidRPr="00953692" w:rsidRDefault="00EF5A6F" w:rsidP="00864BBF">
      <w:pPr>
        <w:spacing w:after="0" w:line="276" w:lineRule="auto"/>
        <w:jc w:val="center"/>
        <w:rPr>
          <w:rFonts w:cs="Times New Roman"/>
          <w:b/>
          <w:bCs/>
          <w:sz w:val="24"/>
          <w:szCs w:val="24"/>
          <w:shd w:val="clear" w:color="auto" w:fill="FFFFFF"/>
          <w:lang w:val="fr-FR"/>
        </w:rPr>
      </w:pPr>
    </w:p>
    <w:p w14:paraId="069C09A7"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r w:rsidRPr="00953692">
        <w:rPr>
          <w:rFonts w:cs="Times New Roman"/>
          <w:b/>
          <w:bCs/>
          <w:sz w:val="24"/>
          <w:szCs w:val="24"/>
          <w:shd w:val="clear" w:color="auto" w:fill="FFFFFF"/>
          <w:lang w:val="fr-FR"/>
        </w:rPr>
        <w:tab/>
      </w:r>
    </w:p>
    <w:p w14:paraId="2937FAE3"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2223455A"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2CFF3CA0"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7706B35B"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5A378B55"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4C40A206"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6E66DDAB"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31F13EF9"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00F9AE14"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3177BF4C"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4D0343DE"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3257D731"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3A4EA2EF"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64E0A809"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77594340"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622A8DD7"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5BC8D563"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521315C6"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7C418073"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5CF17D19"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7020E492"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11BF23BD"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3BE2F590"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7354ED51"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42AF77C5" w14:textId="77777777" w:rsidR="00B53855"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p>
    <w:p w14:paraId="5495BCEC" w14:textId="77777777" w:rsidR="00AB1BD9" w:rsidRPr="00953692" w:rsidRDefault="00B53855" w:rsidP="00864BBF">
      <w:pPr>
        <w:tabs>
          <w:tab w:val="left" w:pos="2431"/>
          <w:tab w:val="center" w:pos="4252"/>
        </w:tabs>
        <w:spacing w:after="0" w:line="276" w:lineRule="auto"/>
        <w:rPr>
          <w:rFonts w:cs="Times New Roman"/>
          <w:b/>
          <w:bCs/>
          <w:sz w:val="24"/>
          <w:szCs w:val="24"/>
          <w:shd w:val="clear" w:color="auto" w:fill="FFFFFF"/>
          <w:lang w:val="fr-FR"/>
        </w:rPr>
      </w:pPr>
      <w:r w:rsidRPr="00953692">
        <w:rPr>
          <w:rFonts w:cs="Times New Roman"/>
          <w:b/>
          <w:bCs/>
          <w:sz w:val="24"/>
          <w:szCs w:val="24"/>
          <w:shd w:val="clear" w:color="auto" w:fill="FFFFFF"/>
          <w:lang w:val="fr-FR"/>
        </w:rPr>
        <w:tab/>
      </w:r>
    </w:p>
    <w:p w14:paraId="5E24A4F3" w14:textId="77777777" w:rsidR="00AB1BD9" w:rsidRPr="00953692" w:rsidRDefault="00AB1BD9" w:rsidP="00864BBF">
      <w:pPr>
        <w:tabs>
          <w:tab w:val="left" w:pos="2431"/>
          <w:tab w:val="center" w:pos="4252"/>
        </w:tabs>
        <w:spacing w:after="0" w:line="276" w:lineRule="auto"/>
        <w:rPr>
          <w:rFonts w:cs="Times New Roman"/>
          <w:b/>
          <w:bCs/>
          <w:sz w:val="24"/>
          <w:szCs w:val="24"/>
          <w:shd w:val="clear" w:color="auto" w:fill="FFFFFF"/>
          <w:lang w:val="fr-FR"/>
        </w:rPr>
      </w:pPr>
    </w:p>
    <w:p w14:paraId="243796E9" w14:textId="77777777" w:rsidR="00AB1BD9" w:rsidRPr="00953692" w:rsidRDefault="00AB1BD9" w:rsidP="00864BBF">
      <w:pPr>
        <w:tabs>
          <w:tab w:val="left" w:pos="2431"/>
          <w:tab w:val="center" w:pos="4252"/>
        </w:tabs>
        <w:spacing w:after="0" w:line="276" w:lineRule="auto"/>
        <w:rPr>
          <w:rFonts w:cs="Times New Roman"/>
          <w:b/>
          <w:bCs/>
          <w:sz w:val="24"/>
          <w:szCs w:val="24"/>
          <w:shd w:val="clear" w:color="auto" w:fill="FFFFFF"/>
          <w:lang w:val="fr-FR"/>
        </w:rPr>
      </w:pPr>
    </w:p>
    <w:p w14:paraId="20634843" w14:textId="77777777" w:rsidR="007C3ED4" w:rsidRPr="00953692" w:rsidRDefault="007C3ED4" w:rsidP="00864BBF">
      <w:pPr>
        <w:tabs>
          <w:tab w:val="left" w:pos="2431"/>
          <w:tab w:val="center" w:pos="4252"/>
        </w:tabs>
        <w:spacing w:after="0" w:line="276" w:lineRule="auto"/>
        <w:rPr>
          <w:rFonts w:cs="Times New Roman"/>
          <w:b/>
          <w:bCs/>
          <w:sz w:val="24"/>
          <w:szCs w:val="24"/>
          <w:shd w:val="clear" w:color="auto" w:fill="FFFFFF"/>
          <w:lang w:val="fr-FR"/>
        </w:rPr>
      </w:pPr>
    </w:p>
    <w:p w14:paraId="7473320C" w14:textId="77777777" w:rsidR="00AB1BD9" w:rsidRPr="00953692" w:rsidRDefault="00AB1BD9" w:rsidP="00864BBF">
      <w:pPr>
        <w:tabs>
          <w:tab w:val="left" w:pos="2431"/>
          <w:tab w:val="center" w:pos="4252"/>
        </w:tabs>
        <w:spacing w:after="0" w:line="276" w:lineRule="auto"/>
        <w:rPr>
          <w:rFonts w:cs="Times New Roman"/>
          <w:b/>
          <w:bCs/>
          <w:sz w:val="24"/>
          <w:szCs w:val="24"/>
          <w:shd w:val="clear" w:color="auto" w:fill="FFFFFF"/>
          <w:lang w:val="fr-FR"/>
        </w:rPr>
      </w:pPr>
    </w:p>
    <w:p w14:paraId="44710C03" w14:textId="77777777" w:rsidR="0047240F" w:rsidRPr="00953692" w:rsidRDefault="0047240F" w:rsidP="00864BBF">
      <w:pPr>
        <w:tabs>
          <w:tab w:val="left" w:pos="2431"/>
          <w:tab w:val="center" w:pos="4252"/>
        </w:tabs>
        <w:spacing w:after="0" w:line="276" w:lineRule="auto"/>
        <w:rPr>
          <w:rFonts w:cs="Times New Roman"/>
          <w:b/>
          <w:bCs/>
          <w:sz w:val="24"/>
          <w:szCs w:val="24"/>
          <w:shd w:val="clear" w:color="auto" w:fill="FFFFFF"/>
          <w:lang w:val="fr-FR"/>
        </w:rPr>
      </w:pPr>
    </w:p>
    <w:p w14:paraId="4FE49414" w14:textId="77777777" w:rsidR="001D3EF9" w:rsidRPr="00953692" w:rsidRDefault="001D3EF9" w:rsidP="00864BBF">
      <w:pPr>
        <w:tabs>
          <w:tab w:val="left" w:pos="2431"/>
          <w:tab w:val="center" w:pos="4252"/>
        </w:tabs>
        <w:spacing w:after="0" w:line="276" w:lineRule="auto"/>
        <w:rPr>
          <w:rFonts w:cs="Times New Roman"/>
          <w:b/>
          <w:bCs/>
          <w:sz w:val="24"/>
          <w:szCs w:val="24"/>
          <w:shd w:val="clear" w:color="auto" w:fill="FFFFFF"/>
          <w:lang w:val="fr-FR"/>
        </w:rPr>
      </w:pPr>
    </w:p>
    <w:p w14:paraId="49083985" w14:textId="77777777" w:rsidR="00712005" w:rsidRPr="00953692" w:rsidRDefault="00712005" w:rsidP="00864BBF">
      <w:pPr>
        <w:tabs>
          <w:tab w:val="left" w:pos="2431"/>
          <w:tab w:val="center" w:pos="4252"/>
        </w:tabs>
        <w:spacing w:after="0" w:line="276" w:lineRule="auto"/>
        <w:rPr>
          <w:rFonts w:cs="Times New Roman"/>
          <w:b/>
          <w:bCs/>
          <w:sz w:val="24"/>
          <w:szCs w:val="24"/>
          <w:shd w:val="clear" w:color="auto" w:fill="FFFFFF"/>
          <w:lang w:val="fr-FR"/>
        </w:rPr>
      </w:pPr>
    </w:p>
    <w:p w14:paraId="595E5465" w14:textId="725F80AD" w:rsidR="00B41672" w:rsidRPr="00D14A9B" w:rsidRDefault="00D14A9B" w:rsidP="007C3ED4">
      <w:pPr>
        <w:pStyle w:val="Titre1"/>
        <w:spacing w:before="0"/>
        <w:jc w:val="center"/>
        <w:rPr>
          <w:rFonts w:ascii="Times New Roman" w:hAnsi="Times New Roman"/>
          <w:b/>
          <w:bCs/>
          <w:color w:val="auto"/>
          <w:szCs w:val="32"/>
          <w:shd w:val="clear" w:color="auto" w:fill="FFFFFF"/>
          <w:lang w:val="fr-FR"/>
        </w:rPr>
      </w:pPr>
      <w:bookmarkStart w:id="5" w:name="_Toc195179402"/>
      <w:r w:rsidRPr="00D14A9B">
        <w:rPr>
          <w:rFonts w:ascii="Times New Roman" w:hAnsi="Times New Roman"/>
          <w:b/>
          <w:bCs/>
          <w:color w:val="auto"/>
          <w:szCs w:val="32"/>
          <w:shd w:val="clear" w:color="auto" w:fill="FFFFFF"/>
          <w:lang w:val="fr-FR"/>
        </w:rPr>
        <w:lastRenderedPageBreak/>
        <w:t>Première partie</w:t>
      </w:r>
      <w:bookmarkEnd w:id="5"/>
    </w:p>
    <w:p w14:paraId="7F6CB2EE" w14:textId="164C9715" w:rsidR="007F0EC3" w:rsidRPr="00D14A9B" w:rsidRDefault="009A1220" w:rsidP="007C3ED4">
      <w:pPr>
        <w:pStyle w:val="Titre1"/>
        <w:spacing w:before="0"/>
        <w:jc w:val="center"/>
        <w:rPr>
          <w:rFonts w:ascii="Times New Roman" w:hAnsi="Times New Roman"/>
          <w:b/>
          <w:bCs/>
          <w:color w:val="auto"/>
          <w:szCs w:val="32"/>
          <w:shd w:val="clear" w:color="auto" w:fill="FFFFFF"/>
          <w:lang w:val="fr-FR"/>
        </w:rPr>
      </w:pPr>
      <w:bookmarkStart w:id="6" w:name="_Toc195179403"/>
      <w:r w:rsidRPr="00D14A9B">
        <w:rPr>
          <w:rFonts w:ascii="Times New Roman" w:hAnsi="Times New Roman"/>
          <w:b/>
          <w:bCs/>
          <w:color w:val="auto"/>
          <w:szCs w:val="32"/>
          <w:shd w:val="clear" w:color="auto" w:fill="FFFFFF"/>
          <w:lang w:val="fr-FR"/>
        </w:rPr>
        <w:t>Des rapports</w:t>
      </w:r>
      <w:r w:rsidR="007F0EC3" w:rsidRPr="00D14A9B">
        <w:rPr>
          <w:rFonts w:ascii="Times New Roman" w:hAnsi="Times New Roman"/>
          <w:b/>
          <w:bCs/>
          <w:color w:val="auto"/>
          <w:szCs w:val="32"/>
          <w:shd w:val="clear" w:color="auto" w:fill="FFFFFF"/>
          <w:lang w:val="fr-FR"/>
        </w:rPr>
        <w:t xml:space="preserve"> </w:t>
      </w:r>
      <w:r w:rsidRPr="00D14A9B">
        <w:rPr>
          <w:rFonts w:ascii="Times New Roman" w:hAnsi="Times New Roman"/>
          <w:b/>
          <w:bCs/>
          <w:color w:val="auto"/>
          <w:szCs w:val="32"/>
          <w:shd w:val="clear" w:color="auto" w:fill="FFFFFF"/>
          <w:lang w:val="fr-FR"/>
        </w:rPr>
        <w:t xml:space="preserve">de complémentarité </w:t>
      </w:r>
      <w:r w:rsidR="007F0EC3" w:rsidRPr="00D14A9B">
        <w:rPr>
          <w:rFonts w:ascii="Times New Roman" w:hAnsi="Times New Roman"/>
          <w:b/>
          <w:bCs/>
          <w:color w:val="auto"/>
          <w:szCs w:val="32"/>
          <w:shd w:val="clear" w:color="auto" w:fill="FFFFFF"/>
          <w:lang w:val="fr-FR"/>
        </w:rPr>
        <w:t>:</w:t>
      </w:r>
      <w:bookmarkEnd w:id="6"/>
    </w:p>
    <w:p w14:paraId="5C4A1C30" w14:textId="721CC7CA" w:rsidR="007F0EC3" w:rsidRPr="00953692" w:rsidRDefault="007F0EC3" w:rsidP="00864BBF">
      <w:pPr>
        <w:spacing w:after="0" w:line="276" w:lineRule="auto"/>
        <w:jc w:val="center"/>
        <w:rPr>
          <w:rFonts w:cs="Times New Roman"/>
          <w:i/>
          <w:iCs/>
          <w:sz w:val="24"/>
          <w:szCs w:val="24"/>
          <w:shd w:val="clear" w:color="auto" w:fill="FFFFFF"/>
          <w:lang w:val="fr-FR"/>
        </w:rPr>
      </w:pPr>
      <w:r w:rsidRPr="00953692">
        <w:rPr>
          <w:rFonts w:cs="Times New Roman"/>
          <w:i/>
          <w:iCs/>
          <w:sz w:val="24"/>
          <w:szCs w:val="24"/>
          <w:shd w:val="clear" w:color="auto" w:fill="FFFFFF"/>
          <w:lang w:val="fr-FR"/>
        </w:rPr>
        <w:t>Le délai raisonnable apriori renforcé</w:t>
      </w:r>
      <w:r w:rsidR="006B5A35" w:rsidRPr="00953692">
        <w:rPr>
          <w:rFonts w:cs="Times New Roman"/>
          <w:i/>
          <w:iCs/>
          <w:sz w:val="24"/>
          <w:szCs w:val="24"/>
          <w:shd w:val="clear" w:color="auto" w:fill="FFFFFF"/>
          <w:lang w:val="fr-FR"/>
        </w:rPr>
        <w:t xml:space="preserve"> par la mise en œuvre d</w:t>
      </w:r>
      <w:r w:rsidR="00F80A2A" w:rsidRPr="00953692">
        <w:rPr>
          <w:rFonts w:cs="Times New Roman"/>
          <w:i/>
          <w:iCs/>
          <w:sz w:val="24"/>
          <w:szCs w:val="24"/>
          <w:shd w:val="clear" w:color="auto" w:fill="FFFFFF"/>
          <w:lang w:val="fr-FR"/>
        </w:rPr>
        <w:t xml:space="preserve">es </w:t>
      </w:r>
      <w:r w:rsidR="006B5A35" w:rsidRPr="00953692">
        <w:rPr>
          <w:rFonts w:cs="Times New Roman"/>
          <w:i/>
          <w:iCs/>
          <w:sz w:val="24"/>
          <w:szCs w:val="24"/>
          <w:shd w:val="clear" w:color="auto" w:fill="FFFFFF"/>
          <w:lang w:val="fr-FR"/>
        </w:rPr>
        <w:t>autres droits de l’accusé</w:t>
      </w:r>
    </w:p>
    <w:p w14:paraId="1C440E85" w14:textId="77777777" w:rsidR="00443253" w:rsidRPr="00953692" w:rsidRDefault="00443253" w:rsidP="00864BBF">
      <w:pPr>
        <w:spacing w:line="276" w:lineRule="auto"/>
        <w:rPr>
          <w:rFonts w:eastAsia="Calibri" w:cs="Times New Roman"/>
          <w:sz w:val="24"/>
          <w:szCs w:val="24"/>
          <w:lang w:val="fr-FR"/>
        </w:rPr>
      </w:pPr>
    </w:p>
    <w:p w14:paraId="4203DDBC" w14:textId="35775F43" w:rsidR="007F0EC3" w:rsidRPr="00953692" w:rsidRDefault="00864BBF"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26</w:t>
      </w:r>
      <w:r w:rsidR="007F0EC3" w:rsidRPr="00953692">
        <w:rPr>
          <w:rFonts w:cs="Times New Roman"/>
          <w:b/>
          <w:bCs/>
          <w:sz w:val="24"/>
          <w:szCs w:val="24"/>
          <w:shd w:val="clear" w:color="auto" w:fill="FFFFFF"/>
          <w:lang w:val="fr-FR"/>
        </w:rPr>
        <w:t>.</w:t>
      </w:r>
      <w:r w:rsidR="007F0EC3" w:rsidRPr="00953692">
        <w:rPr>
          <w:rFonts w:cs="Times New Roman"/>
          <w:sz w:val="24"/>
          <w:szCs w:val="24"/>
          <w:shd w:val="clear" w:color="auto" w:fill="FFFFFF"/>
          <w:lang w:val="fr-FR"/>
        </w:rPr>
        <w:t xml:space="preserve"> Si l’enjeu du droit d’être jugé dans un délai raisonnable réside fondamentalement dans la célérité de la procédure pénale comme le note pertinemment </w:t>
      </w:r>
      <w:r w:rsidR="00643E06" w:rsidRPr="00953692">
        <w:rPr>
          <w:rFonts w:cs="Times New Roman"/>
          <w:sz w:val="24"/>
          <w:szCs w:val="24"/>
          <w:shd w:val="clear" w:color="auto" w:fill="FFFFFF"/>
          <w:lang w:val="fr-FR"/>
        </w:rPr>
        <w:t>le professeur</w:t>
      </w:r>
      <w:r w:rsidR="007F0EC3" w:rsidRPr="00953692">
        <w:rPr>
          <w:rFonts w:cs="Times New Roman"/>
          <w:sz w:val="24"/>
          <w:szCs w:val="24"/>
          <w:shd w:val="clear" w:color="auto" w:fill="FFFFFF"/>
          <w:lang w:val="fr-FR"/>
        </w:rPr>
        <w:t xml:space="preserve"> Wane</w:t>
      </w:r>
      <w:r w:rsidR="00643E06" w:rsidRPr="00953692">
        <w:rPr>
          <w:rFonts w:cs="Times New Roman"/>
          <w:sz w:val="24"/>
          <w:szCs w:val="24"/>
          <w:shd w:val="clear" w:color="auto" w:fill="FFFFFF"/>
          <w:lang w:val="fr-FR"/>
        </w:rPr>
        <w:t xml:space="preserve"> dans son </w:t>
      </w:r>
      <w:r w:rsidR="00CC7236" w:rsidRPr="00953692">
        <w:rPr>
          <w:rFonts w:cs="Times New Roman"/>
          <w:sz w:val="24"/>
          <w:szCs w:val="24"/>
          <w:shd w:val="clear" w:color="auto" w:fill="FFFFFF"/>
          <w:lang w:val="fr-FR"/>
        </w:rPr>
        <w:t>manuel</w:t>
      </w:r>
      <w:r w:rsidR="00643E06" w:rsidRPr="00953692">
        <w:rPr>
          <w:rFonts w:cs="Times New Roman"/>
          <w:sz w:val="24"/>
          <w:szCs w:val="24"/>
          <w:shd w:val="clear" w:color="auto" w:fill="FFFFFF"/>
          <w:lang w:val="fr-FR"/>
        </w:rPr>
        <w:t xml:space="preserve"> de procédure pénale</w:t>
      </w:r>
      <w:r w:rsidR="007F0EC3" w:rsidRPr="00953692">
        <w:rPr>
          <w:rStyle w:val="Appelnotedebasdep"/>
          <w:rFonts w:cs="Times New Roman"/>
          <w:sz w:val="24"/>
          <w:szCs w:val="24"/>
          <w:shd w:val="clear" w:color="auto" w:fill="FFFFFF"/>
          <w:lang w:val="fr-FR"/>
        </w:rPr>
        <w:footnoteReference w:customMarkFollows="1" w:id="28"/>
        <w:t>13</w:t>
      </w:r>
      <w:r w:rsidR="007F0EC3" w:rsidRPr="00953692">
        <w:rPr>
          <w:rFonts w:cs="Times New Roman"/>
          <w:sz w:val="24"/>
          <w:szCs w:val="24"/>
          <w:shd w:val="clear" w:color="auto" w:fill="FFFFFF"/>
          <w:lang w:val="fr-FR"/>
        </w:rPr>
        <w:t xml:space="preserve">, sa mise en œuvre dépendra notamment d’un certain nombre des droits procéduraux, reconnus à la personne mise en cause, étant donné que le déroulement d’une procédure pénale commence avant tout par l’observation d’un certain nombre des droits qui en facilitent la rapidité. Disons que dès le moment où le procureur décide de mettre en cause un individu à l’issue de son examen préliminaire ou de son enquête, apparait un certain nombre des droits qu’il lui faut </w:t>
      </w:r>
      <w:r w:rsidR="00A97D89" w:rsidRPr="00953692">
        <w:rPr>
          <w:rFonts w:cs="Times New Roman"/>
          <w:sz w:val="24"/>
          <w:szCs w:val="24"/>
          <w:shd w:val="clear" w:color="auto" w:fill="FFFFFF"/>
          <w:lang w:val="fr-FR"/>
        </w:rPr>
        <w:t>immanquablement</w:t>
      </w:r>
      <w:r w:rsidR="007F0EC3" w:rsidRPr="00953692">
        <w:rPr>
          <w:rFonts w:cs="Times New Roman"/>
          <w:sz w:val="24"/>
          <w:szCs w:val="24"/>
          <w:shd w:val="clear" w:color="auto" w:fill="FFFFFF"/>
          <w:lang w:val="fr-FR"/>
        </w:rPr>
        <w:t xml:space="preserve"> respecter afin de garantir le caractère équitable </w:t>
      </w:r>
      <w:r w:rsidR="000036B7" w:rsidRPr="00953692">
        <w:rPr>
          <w:rFonts w:cs="Times New Roman"/>
          <w:sz w:val="24"/>
          <w:szCs w:val="24"/>
          <w:shd w:val="clear" w:color="auto" w:fill="FFFFFF"/>
          <w:lang w:val="fr-FR"/>
        </w:rPr>
        <w:t xml:space="preserve">et rapide </w:t>
      </w:r>
      <w:r w:rsidR="007F0EC3" w:rsidRPr="00953692">
        <w:rPr>
          <w:rFonts w:cs="Times New Roman"/>
          <w:sz w:val="24"/>
          <w:szCs w:val="24"/>
          <w:shd w:val="clear" w:color="auto" w:fill="FFFFFF"/>
          <w:lang w:val="fr-FR"/>
        </w:rPr>
        <w:t>du procès. La particularité des droits intéress</w:t>
      </w:r>
      <w:r w:rsidR="00CC7236" w:rsidRPr="00953692">
        <w:rPr>
          <w:rFonts w:cs="Times New Roman"/>
          <w:sz w:val="24"/>
          <w:szCs w:val="24"/>
          <w:shd w:val="clear" w:color="auto" w:fill="FFFFFF"/>
          <w:lang w:val="fr-FR"/>
        </w:rPr>
        <w:t>ant</w:t>
      </w:r>
      <w:r w:rsidR="007F0EC3" w:rsidRPr="00953692">
        <w:rPr>
          <w:rFonts w:cs="Times New Roman"/>
          <w:sz w:val="24"/>
          <w:szCs w:val="24"/>
          <w:shd w:val="clear" w:color="auto" w:fill="FFFFFF"/>
          <w:lang w:val="fr-FR"/>
        </w:rPr>
        <w:t xml:space="preserve"> </w:t>
      </w:r>
      <w:r w:rsidR="00A97D89" w:rsidRPr="00953692">
        <w:rPr>
          <w:rFonts w:cs="Times New Roman"/>
          <w:sz w:val="24"/>
          <w:szCs w:val="24"/>
          <w:shd w:val="clear" w:color="auto" w:fill="FFFFFF"/>
          <w:lang w:val="fr-FR"/>
        </w:rPr>
        <w:t>cette étude</w:t>
      </w:r>
      <w:r w:rsidR="009D6C08" w:rsidRPr="00953692">
        <w:rPr>
          <w:rFonts w:cs="Times New Roman"/>
          <w:sz w:val="24"/>
          <w:szCs w:val="24"/>
          <w:shd w:val="clear" w:color="auto" w:fill="FFFFFF"/>
          <w:lang w:val="fr-FR"/>
        </w:rPr>
        <w:t>, c’</w:t>
      </w:r>
      <w:r w:rsidR="007F0EC3" w:rsidRPr="00953692">
        <w:rPr>
          <w:rFonts w:cs="Times New Roman"/>
          <w:sz w:val="24"/>
          <w:szCs w:val="24"/>
          <w:shd w:val="clear" w:color="auto" w:fill="FFFFFF"/>
          <w:lang w:val="fr-FR"/>
        </w:rPr>
        <w:t xml:space="preserve">est en </w:t>
      </w:r>
      <w:r w:rsidR="00A97D89" w:rsidRPr="00953692">
        <w:rPr>
          <w:rFonts w:cs="Times New Roman"/>
          <w:sz w:val="24"/>
          <w:szCs w:val="24"/>
          <w:shd w:val="clear" w:color="auto" w:fill="FFFFFF"/>
          <w:lang w:val="fr-FR"/>
        </w:rPr>
        <w:t>effet</w:t>
      </w:r>
      <w:r w:rsidR="007F0EC3" w:rsidRPr="00953692">
        <w:rPr>
          <w:rFonts w:cs="Times New Roman"/>
          <w:sz w:val="24"/>
          <w:szCs w:val="24"/>
          <w:shd w:val="clear" w:color="auto" w:fill="FFFFFF"/>
          <w:lang w:val="fr-FR"/>
        </w:rPr>
        <w:t xml:space="preserve"> </w:t>
      </w:r>
      <w:r w:rsidR="00CC7236" w:rsidRPr="00953692">
        <w:rPr>
          <w:rFonts w:cs="Times New Roman"/>
          <w:sz w:val="24"/>
          <w:szCs w:val="24"/>
          <w:shd w:val="clear" w:color="auto" w:fill="FFFFFF"/>
          <w:lang w:val="fr-FR"/>
        </w:rPr>
        <w:t>ce</w:t>
      </w:r>
      <w:r w:rsidR="007F0EC3" w:rsidRPr="00953692">
        <w:rPr>
          <w:rFonts w:cs="Times New Roman"/>
          <w:sz w:val="24"/>
          <w:szCs w:val="24"/>
          <w:shd w:val="clear" w:color="auto" w:fill="FFFFFF"/>
          <w:lang w:val="fr-FR"/>
        </w:rPr>
        <w:t xml:space="preserve"> rapport avec le temps ou la gestion de ceci par les organes judiciaires</w:t>
      </w:r>
      <w:r w:rsidR="00A97D89" w:rsidRPr="00953692">
        <w:rPr>
          <w:rFonts w:cs="Times New Roman"/>
          <w:sz w:val="24"/>
          <w:szCs w:val="24"/>
          <w:shd w:val="clear" w:color="auto" w:fill="FFFFFF"/>
          <w:lang w:val="fr-FR"/>
        </w:rPr>
        <w:t>, qui devront</w:t>
      </w:r>
      <w:r w:rsidR="007F0EC3" w:rsidRPr="00953692">
        <w:rPr>
          <w:rFonts w:cs="Times New Roman"/>
          <w:sz w:val="24"/>
          <w:szCs w:val="24"/>
          <w:shd w:val="clear" w:color="auto" w:fill="FFFFFF"/>
          <w:lang w:val="fr-FR"/>
        </w:rPr>
        <w:t xml:space="preserve"> non seulement en respecter</w:t>
      </w:r>
      <w:r w:rsidR="00CC7236" w:rsidRPr="00953692">
        <w:rPr>
          <w:rFonts w:cs="Times New Roman"/>
          <w:sz w:val="24"/>
          <w:szCs w:val="24"/>
          <w:shd w:val="clear" w:color="auto" w:fill="FFFFFF"/>
          <w:lang w:val="fr-FR"/>
        </w:rPr>
        <w:t xml:space="preserve"> </w:t>
      </w:r>
      <w:r w:rsidR="009D6C08" w:rsidRPr="00953692">
        <w:rPr>
          <w:rFonts w:cs="Times New Roman"/>
          <w:sz w:val="24"/>
          <w:szCs w:val="24"/>
          <w:shd w:val="clear" w:color="auto" w:fill="FFFFFF"/>
          <w:lang w:val="fr-FR"/>
        </w:rPr>
        <w:t>le</w:t>
      </w:r>
      <w:r w:rsidR="00CC7236" w:rsidRPr="00953692">
        <w:rPr>
          <w:rFonts w:cs="Times New Roman"/>
          <w:sz w:val="24"/>
          <w:szCs w:val="24"/>
          <w:shd w:val="clear" w:color="auto" w:fill="FFFFFF"/>
          <w:lang w:val="fr-FR"/>
        </w:rPr>
        <w:t xml:space="preserve"> fond</w:t>
      </w:r>
      <w:r w:rsidR="007F0EC3" w:rsidRPr="00953692">
        <w:rPr>
          <w:rFonts w:cs="Times New Roman"/>
          <w:sz w:val="24"/>
          <w:szCs w:val="24"/>
          <w:shd w:val="clear" w:color="auto" w:fill="FFFFFF"/>
          <w:lang w:val="fr-FR"/>
        </w:rPr>
        <w:t>, mais aussi agir à temps ou dans le délai prévu</w:t>
      </w:r>
      <w:r w:rsidR="009D6C08" w:rsidRPr="00953692">
        <w:rPr>
          <w:rFonts w:cs="Times New Roman"/>
          <w:sz w:val="24"/>
          <w:szCs w:val="24"/>
          <w:shd w:val="clear" w:color="auto" w:fill="FFFFFF"/>
          <w:lang w:val="fr-FR"/>
        </w:rPr>
        <w:t xml:space="preserve">, </w:t>
      </w:r>
      <w:r w:rsidR="007F0EC3" w:rsidRPr="00953692">
        <w:rPr>
          <w:rFonts w:cs="Times New Roman"/>
          <w:sz w:val="24"/>
          <w:szCs w:val="24"/>
          <w:shd w:val="clear" w:color="auto" w:fill="FFFFFF"/>
          <w:lang w:val="fr-FR"/>
        </w:rPr>
        <w:t>évit</w:t>
      </w:r>
      <w:r w:rsidR="009D6C08" w:rsidRPr="00953692">
        <w:rPr>
          <w:rFonts w:cs="Times New Roman"/>
          <w:sz w:val="24"/>
          <w:szCs w:val="24"/>
          <w:shd w:val="clear" w:color="auto" w:fill="FFFFFF"/>
          <w:lang w:val="fr-FR"/>
        </w:rPr>
        <w:t>ant ainsi</w:t>
      </w:r>
      <w:r w:rsidR="007F0EC3" w:rsidRPr="00953692">
        <w:rPr>
          <w:rFonts w:cs="Times New Roman"/>
          <w:sz w:val="24"/>
          <w:szCs w:val="24"/>
          <w:shd w:val="clear" w:color="auto" w:fill="FFFFFF"/>
          <w:lang w:val="fr-FR"/>
        </w:rPr>
        <w:t xml:space="preserve"> tout éventuel préjudice à l’accusé</w:t>
      </w:r>
      <w:r w:rsidR="009D6C08" w:rsidRPr="00953692">
        <w:rPr>
          <w:rFonts w:cs="Times New Roman"/>
          <w:sz w:val="24"/>
          <w:szCs w:val="24"/>
          <w:shd w:val="clear" w:color="auto" w:fill="FFFFFF"/>
          <w:lang w:val="fr-FR"/>
        </w:rPr>
        <w:t xml:space="preserve"> susceptible d’impacter son droit à un délai raisonnable</w:t>
      </w:r>
      <w:r w:rsidR="007F0EC3" w:rsidRPr="00953692">
        <w:rPr>
          <w:rFonts w:cs="Times New Roman"/>
          <w:sz w:val="24"/>
          <w:szCs w:val="24"/>
          <w:shd w:val="clear" w:color="auto" w:fill="FFFFFF"/>
          <w:lang w:val="fr-FR"/>
        </w:rPr>
        <w:t xml:space="preserve">. </w:t>
      </w:r>
    </w:p>
    <w:p w14:paraId="1EBAA9A2" w14:textId="2CB94AF7" w:rsidR="007F0EC3" w:rsidRPr="00953692" w:rsidRDefault="00864BBF"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27</w:t>
      </w:r>
      <w:r w:rsidR="007F0EC3" w:rsidRPr="00953692">
        <w:rPr>
          <w:rFonts w:cs="Times New Roman"/>
          <w:b/>
          <w:bCs/>
          <w:sz w:val="24"/>
          <w:szCs w:val="24"/>
          <w:shd w:val="clear" w:color="auto" w:fill="FFFFFF"/>
          <w:lang w:val="fr-FR"/>
        </w:rPr>
        <w:t>.</w:t>
      </w:r>
      <w:r w:rsidR="007F0EC3" w:rsidRPr="00953692">
        <w:rPr>
          <w:rFonts w:cs="Times New Roman"/>
          <w:sz w:val="24"/>
          <w:szCs w:val="24"/>
          <w:shd w:val="clear" w:color="auto" w:fill="FFFFFF"/>
          <w:lang w:val="fr-FR"/>
        </w:rPr>
        <w:t xml:space="preserve"> En effet, d’une part, la mise en œuvre de certains de ces droits s’inscrit strictement dans une temporalité très courte de la procédure pénale internationale, car ils visent à protéger l'individu dès le début de cette procédure contre les pouvoirs exorbitants de la justice</w:t>
      </w:r>
      <w:r w:rsidR="002D6C00" w:rsidRPr="00953692">
        <w:rPr>
          <w:rFonts w:cs="Times New Roman"/>
          <w:sz w:val="24"/>
          <w:szCs w:val="24"/>
          <w:shd w:val="clear" w:color="auto" w:fill="FFFFFF"/>
          <w:lang w:val="fr-FR"/>
        </w:rPr>
        <w:t xml:space="preserve"> pénale internationale</w:t>
      </w:r>
      <w:r w:rsidR="007F0EC3" w:rsidRPr="00953692">
        <w:rPr>
          <w:rFonts w:cs="Times New Roman"/>
          <w:sz w:val="24"/>
          <w:szCs w:val="24"/>
          <w:shd w:val="clear" w:color="auto" w:fill="FFFFFF"/>
          <w:lang w:val="fr-FR"/>
        </w:rPr>
        <w:t xml:space="preserve">. </w:t>
      </w:r>
      <w:r w:rsidR="002D6C00" w:rsidRPr="00953692">
        <w:rPr>
          <w:rFonts w:cs="Times New Roman"/>
          <w:sz w:val="24"/>
          <w:szCs w:val="24"/>
          <w:shd w:val="clear" w:color="auto" w:fill="FFFFFF"/>
          <w:lang w:val="fr-FR"/>
        </w:rPr>
        <w:t>Il va sans dire que c</w:t>
      </w:r>
      <w:r w:rsidR="007F0EC3" w:rsidRPr="00953692">
        <w:rPr>
          <w:rFonts w:cs="Times New Roman"/>
          <w:sz w:val="24"/>
          <w:szCs w:val="24"/>
          <w:shd w:val="clear" w:color="auto" w:fill="FFFFFF"/>
          <w:lang w:val="fr-FR"/>
        </w:rPr>
        <w:t>es pouvoirs d’arrêter, de détenir et d’inculper que le procureur exerce dans un premier temps en sa qualité d’organe judiciaire chargé de</w:t>
      </w:r>
      <w:r w:rsidR="00BC1336" w:rsidRPr="00953692">
        <w:rPr>
          <w:rFonts w:cs="Times New Roman"/>
          <w:sz w:val="24"/>
          <w:szCs w:val="24"/>
          <w:shd w:val="clear" w:color="auto" w:fill="FFFFFF"/>
          <w:lang w:val="fr-FR"/>
        </w:rPr>
        <w:t>s</w:t>
      </w:r>
      <w:r w:rsidR="007F0EC3" w:rsidRPr="00953692">
        <w:rPr>
          <w:rFonts w:cs="Times New Roman"/>
          <w:sz w:val="24"/>
          <w:szCs w:val="24"/>
          <w:shd w:val="clear" w:color="auto" w:fill="FFFFFF"/>
          <w:lang w:val="fr-FR"/>
        </w:rPr>
        <w:t xml:space="preserve"> poursuites, sont à la fois légitimes et attentatoires des droits fondamentaux d’un individu jouissant </w:t>
      </w:r>
      <w:r w:rsidR="00820B01" w:rsidRPr="00953692">
        <w:rPr>
          <w:rFonts w:cs="Times New Roman"/>
          <w:sz w:val="24"/>
          <w:szCs w:val="24"/>
          <w:shd w:val="clear" w:color="auto" w:fill="FFFFFF"/>
          <w:lang w:val="fr-FR"/>
        </w:rPr>
        <w:t xml:space="preserve">encore </w:t>
      </w:r>
      <w:r w:rsidR="007F0EC3" w:rsidRPr="00953692">
        <w:rPr>
          <w:rFonts w:cs="Times New Roman"/>
          <w:sz w:val="24"/>
          <w:szCs w:val="24"/>
          <w:shd w:val="clear" w:color="auto" w:fill="FFFFFF"/>
          <w:lang w:val="fr-FR"/>
        </w:rPr>
        <w:t xml:space="preserve">de </w:t>
      </w:r>
      <w:r w:rsidR="000036B7" w:rsidRPr="00953692">
        <w:rPr>
          <w:rFonts w:cs="Times New Roman"/>
          <w:sz w:val="24"/>
          <w:szCs w:val="24"/>
          <w:shd w:val="clear" w:color="auto" w:fill="FFFFFF"/>
          <w:lang w:val="fr-FR"/>
        </w:rPr>
        <w:t>s</w:t>
      </w:r>
      <w:r w:rsidR="007F0EC3" w:rsidRPr="00953692">
        <w:rPr>
          <w:rFonts w:cs="Times New Roman"/>
          <w:sz w:val="24"/>
          <w:szCs w:val="24"/>
          <w:shd w:val="clear" w:color="auto" w:fill="FFFFFF"/>
          <w:lang w:val="fr-FR"/>
        </w:rPr>
        <w:t>a présomption d’innocence. Nous verrons dans les lignes qui suivent que, misant sur le temps de leur réalisation</w:t>
      </w:r>
      <w:r w:rsidR="00820B01" w:rsidRPr="00953692">
        <w:rPr>
          <w:rFonts w:cs="Times New Roman"/>
          <w:sz w:val="24"/>
          <w:szCs w:val="24"/>
          <w:shd w:val="clear" w:color="auto" w:fill="FFFFFF"/>
          <w:lang w:val="fr-FR"/>
        </w:rPr>
        <w:t xml:space="preserve"> respective</w:t>
      </w:r>
      <w:r w:rsidR="007F0EC3" w:rsidRPr="00953692">
        <w:rPr>
          <w:rFonts w:cs="Times New Roman"/>
          <w:sz w:val="24"/>
          <w:szCs w:val="24"/>
          <w:shd w:val="clear" w:color="auto" w:fill="FFFFFF"/>
          <w:lang w:val="fr-FR"/>
        </w:rPr>
        <w:t xml:space="preserve">, ces droits procéduraux tentent d’en atténuer l’effet violateur et de rassurer l’accusé à travers essentiellement leur temporalité, c’est-à-dire, le délai exigé </w:t>
      </w:r>
      <w:r w:rsidR="00DF2968" w:rsidRPr="00953692">
        <w:rPr>
          <w:rFonts w:cs="Times New Roman"/>
          <w:sz w:val="24"/>
          <w:szCs w:val="24"/>
          <w:shd w:val="clear" w:color="auto" w:fill="FFFFFF"/>
          <w:lang w:val="fr-FR"/>
        </w:rPr>
        <w:t>pour</w:t>
      </w:r>
      <w:r w:rsidR="007F0EC3" w:rsidRPr="00953692">
        <w:rPr>
          <w:rFonts w:cs="Times New Roman"/>
          <w:sz w:val="24"/>
          <w:szCs w:val="24"/>
          <w:shd w:val="clear" w:color="auto" w:fill="FFFFFF"/>
          <w:lang w:val="fr-FR"/>
        </w:rPr>
        <w:t xml:space="preserve"> leur </w:t>
      </w:r>
      <w:r w:rsidR="00A01103" w:rsidRPr="00953692">
        <w:rPr>
          <w:rFonts w:cs="Times New Roman"/>
          <w:sz w:val="24"/>
          <w:szCs w:val="24"/>
          <w:shd w:val="clear" w:color="auto" w:fill="FFFFFF"/>
          <w:lang w:val="fr-FR"/>
        </w:rPr>
        <w:t>application</w:t>
      </w:r>
      <w:r w:rsidR="007F0EC3" w:rsidRPr="00953692">
        <w:rPr>
          <w:rFonts w:cs="Times New Roman"/>
          <w:sz w:val="24"/>
          <w:szCs w:val="24"/>
          <w:shd w:val="clear" w:color="auto" w:fill="FFFFFF"/>
          <w:lang w:val="fr-FR"/>
        </w:rPr>
        <w:t xml:space="preserve"> respective. D’autre part, il existe d’autres droits dont la réalisation rentre plutôt dans une temporalité judiciaire normale, sans un quelconque empressement</w:t>
      </w:r>
      <w:r w:rsidR="00820B01" w:rsidRPr="00953692">
        <w:rPr>
          <w:rFonts w:cs="Times New Roman"/>
          <w:sz w:val="24"/>
          <w:szCs w:val="24"/>
          <w:shd w:val="clear" w:color="auto" w:fill="FFFFFF"/>
          <w:lang w:val="fr-FR"/>
        </w:rPr>
        <w:t xml:space="preserve"> temporel ; et</w:t>
      </w:r>
      <w:r w:rsidR="007F0EC3" w:rsidRPr="00953692">
        <w:rPr>
          <w:rFonts w:cs="Times New Roman"/>
          <w:sz w:val="24"/>
          <w:szCs w:val="24"/>
          <w:shd w:val="clear" w:color="auto" w:fill="FFFFFF"/>
          <w:lang w:val="fr-FR"/>
        </w:rPr>
        <w:t xml:space="preserve"> dépend</w:t>
      </w:r>
      <w:r w:rsidR="00A01103" w:rsidRPr="00953692">
        <w:rPr>
          <w:rFonts w:cs="Times New Roman"/>
          <w:sz w:val="24"/>
          <w:szCs w:val="24"/>
          <w:shd w:val="clear" w:color="auto" w:fill="FFFFFF"/>
          <w:lang w:val="fr-FR"/>
        </w:rPr>
        <w:t>ant</w:t>
      </w:r>
      <w:r w:rsidR="007F0EC3" w:rsidRPr="00953692">
        <w:rPr>
          <w:rFonts w:cs="Times New Roman"/>
          <w:sz w:val="24"/>
          <w:szCs w:val="24"/>
          <w:shd w:val="clear" w:color="auto" w:fill="FFFFFF"/>
          <w:lang w:val="fr-FR"/>
        </w:rPr>
        <w:t xml:space="preserve">, contrairement à la première catégorie, de la volonté </w:t>
      </w:r>
      <w:r w:rsidR="00A01103" w:rsidRPr="00953692">
        <w:rPr>
          <w:rFonts w:cs="Times New Roman"/>
          <w:sz w:val="24"/>
          <w:szCs w:val="24"/>
          <w:shd w:val="clear" w:color="auto" w:fill="FFFFFF"/>
          <w:lang w:val="fr-FR"/>
        </w:rPr>
        <w:t xml:space="preserve">mais </w:t>
      </w:r>
      <w:r w:rsidR="0080296C" w:rsidRPr="00953692">
        <w:rPr>
          <w:rFonts w:cs="Times New Roman"/>
          <w:sz w:val="24"/>
          <w:szCs w:val="24"/>
          <w:shd w:val="clear" w:color="auto" w:fill="FFFFFF"/>
          <w:lang w:val="fr-FR"/>
        </w:rPr>
        <w:t xml:space="preserve">parfois </w:t>
      </w:r>
      <w:r w:rsidR="006055E1" w:rsidRPr="00953692">
        <w:rPr>
          <w:rFonts w:cs="Times New Roman"/>
          <w:sz w:val="24"/>
          <w:szCs w:val="24"/>
          <w:shd w:val="clear" w:color="auto" w:fill="FFFFFF"/>
          <w:lang w:val="fr-FR"/>
        </w:rPr>
        <w:t xml:space="preserve">aussi </w:t>
      </w:r>
      <w:r w:rsidR="007F0EC3" w:rsidRPr="00953692">
        <w:rPr>
          <w:rFonts w:cs="Times New Roman"/>
          <w:sz w:val="24"/>
          <w:szCs w:val="24"/>
          <w:shd w:val="clear" w:color="auto" w:fill="FFFFFF"/>
          <w:lang w:val="fr-FR"/>
        </w:rPr>
        <w:t xml:space="preserve">de l’attitude </w:t>
      </w:r>
      <w:r w:rsidR="0080296C" w:rsidRPr="00953692">
        <w:rPr>
          <w:rFonts w:cs="Times New Roman"/>
          <w:sz w:val="24"/>
          <w:szCs w:val="24"/>
          <w:shd w:val="clear" w:color="auto" w:fill="FFFFFF"/>
          <w:lang w:val="fr-FR"/>
        </w:rPr>
        <w:t xml:space="preserve">incontrôlable </w:t>
      </w:r>
      <w:r w:rsidR="007F0EC3" w:rsidRPr="00953692">
        <w:rPr>
          <w:rFonts w:cs="Times New Roman"/>
          <w:sz w:val="24"/>
          <w:szCs w:val="24"/>
          <w:shd w:val="clear" w:color="auto" w:fill="FFFFFF"/>
          <w:lang w:val="fr-FR"/>
        </w:rPr>
        <w:t>de l’accusé lui-même</w:t>
      </w:r>
      <w:r w:rsidR="006055E1" w:rsidRPr="00953692">
        <w:rPr>
          <w:rFonts w:cs="Times New Roman"/>
          <w:sz w:val="24"/>
          <w:szCs w:val="24"/>
          <w:shd w:val="clear" w:color="auto" w:fill="FFFFFF"/>
          <w:lang w:val="fr-FR"/>
        </w:rPr>
        <w:t xml:space="preserve"> durant le procès</w:t>
      </w:r>
      <w:r w:rsidR="007F0EC3" w:rsidRPr="00953692">
        <w:rPr>
          <w:rFonts w:cs="Times New Roman"/>
          <w:sz w:val="24"/>
          <w:szCs w:val="24"/>
          <w:shd w:val="clear" w:color="auto" w:fill="FFFFFF"/>
          <w:lang w:val="fr-FR"/>
        </w:rPr>
        <w:t>.</w:t>
      </w:r>
    </w:p>
    <w:p w14:paraId="11AF3AE6" w14:textId="746F539F" w:rsidR="00B53855" w:rsidRPr="00953692" w:rsidRDefault="00864BBF"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28.</w:t>
      </w:r>
      <w:r w:rsidR="007F0EC3" w:rsidRPr="00953692">
        <w:rPr>
          <w:rFonts w:cs="Times New Roman"/>
          <w:sz w:val="24"/>
          <w:szCs w:val="24"/>
          <w:shd w:val="clear" w:color="auto" w:fill="FFFFFF"/>
          <w:lang w:val="fr-FR"/>
        </w:rPr>
        <w:t xml:space="preserve"> Ainsi, pour mieux distinguer leurs effets respectifs sur le délai raisonnable, </w:t>
      </w:r>
      <w:r w:rsidR="00B12596" w:rsidRPr="00953692">
        <w:rPr>
          <w:rFonts w:cs="Times New Roman"/>
          <w:sz w:val="24"/>
          <w:szCs w:val="24"/>
          <w:shd w:val="clear" w:color="auto" w:fill="FFFFFF"/>
          <w:lang w:val="fr-FR"/>
        </w:rPr>
        <w:t>on</w:t>
      </w:r>
      <w:r w:rsidR="007F0EC3" w:rsidRPr="00953692">
        <w:rPr>
          <w:rFonts w:cs="Times New Roman"/>
          <w:sz w:val="24"/>
          <w:szCs w:val="24"/>
          <w:shd w:val="clear" w:color="auto" w:fill="FFFFFF"/>
          <w:lang w:val="fr-FR"/>
        </w:rPr>
        <w:t xml:space="preserve"> en viendra à une catégorisation binaire, selon qu’il s’agit des droits indé</w:t>
      </w:r>
      <w:r w:rsidR="00820B01" w:rsidRPr="00953692">
        <w:rPr>
          <w:rFonts w:cs="Times New Roman"/>
          <w:sz w:val="24"/>
          <w:szCs w:val="24"/>
          <w:shd w:val="clear" w:color="auto" w:fill="FFFFFF"/>
          <w:lang w:val="fr-FR"/>
        </w:rPr>
        <w:t>r</w:t>
      </w:r>
      <w:r w:rsidR="007F0EC3" w:rsidRPr="00953692">
        <w:rPr>
          <w:rFonts w:cs="Times New Roman"/>
          <w:sz w:val="24"/>
          <w:szCs w:val="24"/>
          <w:shd w:val="clear" w:color="auto" w:fill="FFFFFF"/>
          <w:lang w:val="fr-FR"/>
        </w:rPr>
        <w:t>ogeables (Chapitre</w:t>
      </w:r>
      <w:r w:rsidRPr="00953692">
        <w:rPr>
          <w:rFonts w:cs="Times New Roman"/>
          <w:sz w:val="24"/>
          <w:szCs w:val="24"/>
          <w:shd w:val="clear" w:color="auto" w:fill="FFFFFF"/>
          <w:lang w:val="fr-FR"/>
        </w:rPr>
        <w:t xml:space="preserve"> I</w:t>
      </w:r>
      <w:r w:rsidR="007F0EC3" w:rsidRPr="00953692">
        <w:rPr>
          <w:rFonts w:cs="Times New Roman"/>
          <w:sz w:val="24"/>
          <w:szCs w:val="24"/>
          <w:shd w:val="clear" w:color="auto" w:fill="FFFFFF"/>
          <w:lang w:val="fr-FR"/>
        </w:rPr>
        <w:t xml:space="preserve">), et de ceux dérogeables (Chapitre </w:t>
      </w:r>
      <w:r w:rsidRPr="00953692">
        <w:rPr>
          <w:rFonts w:cs="Times New Roman"/>
          <w:sz w:val="24"/>
          <w:szCs w:val="24"/>
          <w:shd w:val="clear" w:color="auto" w:fill="FFFFFF"/>
          <w:lang w:val="fr-FR"/>
        </w:rPr>
        <w:t>II</w:t>
      </w:r>
      <w:r w:rsidR="007F0EC3" w:rsidRPr="00953692">
        <w:rPr>
          <w:rFonts w:cs="Times New Roman"/>
          <w:sz w:val="24"/>
          <w:szCs w:val="24"/>
          <w:shd w:val="clear" w:color="auto" w:fill="FFFFFF"/>
          <w:lang w:val="fr-FR"/>
        </w:rPr>
        <w:t>)</w:t>
      </w:r>
      <w:r w:rsidR="004472F1" w:rsidRPr="00953692">
        <w:rPr>
          <w:rFonts w:cs="Times New Roman"/>
          <w:sz w:val="24"/>
          <w:szCs w:val="24"/>
          <w:shd w:val="clear" w:color="auto" w:fill="FFFFFF"/>
          <w:lang w:val="fr-FR"/>
        </w:rPr>
        <w:t xml:space="preserve"> de la personne mise en cause</w:t>
      </w:r>
      <w:r w:rsidR="007F0EC3" w:rsidRPr="00953692">
        <w:rPr>
          <w:rFonts w:cs="Times New Roman"/>
          <w:sz w:val="24"/>
          <w:szCs w:val="24"/>
          <w:shd w:val="clear" w:color="auto" w:fill="FFFFFF"/>
          <w:lang w:val="fr-FR"/>
        </w:rPr>
        <w:t xml:space="preserve">. Ces deux chapitres permettront de saisir la complémentarité </w:t>
      </w:r>
      <w:r w:rsidR="00B24745" w:rsidRPr="00953692">
        <w:rPr>
          <w:rFonts w:cs="Times New Roman"/>
          <w:sz w:val="24"/>
          <w:szCs w:val="24"/>
          <w:shd w:val="clear" w:color="auto" w:fill="FFFFFF"/>
          <w:lang w:val="fr-FR"/>
        </w:rPr>
        <w:t xml:space="preserve">directement </w:t>
      </w:r>
      <w:r w:rsidR="007F0EC3" w:rsidRPr="00953692">
        <w:rPr>
          <w:rFonts w:cs="Times New Roman"/>
          <w:sz w:val="24"/>
          <w:szCs w:val="24"/>
          <w:shd w:val="clear" w:color="auto" w:fill="FFFFFF"/>
          <w:lang w:val="fr-FR"/>
        </w:rPr>
        <w:t>résultant de l’observation de ces droits ou de certains d’entre eux</w:t>
      </w:r>
      <w:r w:rsidR="0080296C" w:rsidRPr="00953692">
        <w:rPr>
          <w:rFonts w:cs="Times New Roman"/>
          <w:sz w:val="24"/>
          <w:szCs w:val="24"/>
          <w:shd w:val="clear" w:color="auto" w:fill="FFFFFF"/>
          <w:lang w:val="fr-FR"/>
        </w:rPr>
        <w:t>, qui</w:t>
      </w:r>
      <w:r w:rsidR="007F0EC3" w:rsidRPr="00953692">
        <w:rPr>
          <w:rFonts w:cs="Times New Roman"/>
          <w:sz w:val="24"/>
          <w:szCs w:val="24"/>
          <w:shd w:val="clear" w:color="auto" w:fill="FFFFFF"/>
          <w:lang w:val="fr-FR"/>
        </w:rPr>
        <w:t xml:space="preserve"> ouvrent pratiquement</w:t>
      </w:r>
      <w:r w:rsidR="0080296C" w:rsidRPr="00953692">
        <w:rPr>
          <w:rFonts w:cs="Times New Roman"/>
          <w:sz w:val="24"/>
          <w:szCs w:val="24"/>
          <w:shd w:val="clear" w:color="auto" w:fill="FFFFFF"/>
          <w:lang w:val="fr-FR"/>
        </w:rPr>
        <w:t xml:space="preserve"> à l’accusé</w:t>
      </w:r>
      <w:r w:rsidR="007F0EC3" w:rsidRPr="00953692">
        <w:rPr>
          <w:rFonts w:cs="Times New Roman"/>
          <w:sz w:val="24"/>
          <w:szCs w:val="24"/>
          <w:shd w:val="clear" w:color="auto" w:fill="FFFFFF"/>
          <w:lang w:val="fr-FR"/>
        </w:rPr>
        <w:t xml:space="preserve"> </w:t>
      </w:r>
      <w:r w:rsidR="0080296C" w:rsidRPr="00953692">
        <w:rPr>
          <w:rFonts w:cs="Times New Roman"/>
          <w:sz w:val="24"/>
          <w:szCs w:val="24"/>
          <w:shd w:val="clear" w:color="auto" w:fill="FFFFFF"/>
          <w:lang w:val="fr-FR"/>
        </w:rPr>
        <w:t>cette</w:t>
      </w:r>
      <w:r w:rsidR="007F0EC3" w:rsidRPr="00953692">
        <w:rPr>
          <w:rFonts w:cs="Times New Roman"/>
          <w:sz w:val="24"/>
          <w:szCs w:val="24"/>
          <w:shd w:val="clear" w:color="auto" w:fill="FFFFFF"/>
          <w:lang w:val="fr-FR"/>
        </w:rPr>
        <w:t xml:space="preserve"> voie </w:t>
      </w:r>
      <w:r w:rsidR="0080296C" w:rsidRPr="00953692">
        <w:rPr>
          <w:rFonts w:cs="Times New Roman"/>
          <w:sz w:val="24"/>
          <w:szCs w:val="24"/>
          <w:shd w:val="clear" w:color="auto" w:fill="FFFFFF"/>
          <w:lang w:val="fr-FR"/>
        </w:rPr>
        <w:t xml:space="preserve">menant </w:t>
      </w:r>
      <w:r w:rsidR="007F0EC3" w:rsidRPr="00953692">
        <w:rPr>
          <w:rFonts w:cs="Times New Roman"/>
          <w:sz w:val="24"/>
          <w:szCs w:val="24"/>
          <w:shd w:val="clear" w:color="auto" w:fill="FFFFFF"/>
          <w:lang w:val="fr-FR"/>
        </w:rPr>
        <w:t>à un procès rapide</w:t>
      </w:r>
      <w:r w:rsidR="00A01103" w:rsidRPr="00953692">
        <w:rPr>
          <w:rFonts w:cs="Times New Roman"/>
          <w:sz w:val="24"/>
          <w:szCs w:val="24"/>
          <w:shd w:val="clear" w:color="auto" w:fill="FFFFFF"/>
          <w:lang w:val="fr-FR"/>
        </w:rPr>
        <w:t xml:space="preserve"> ou</w:t>
      </w:r>
      <w:r w:rsidR="007F0EC3" w:rsidRPr="00953692">
        <w:rPr>
          <w:rFonts w:cs="Times New Roman"/>
          <w:sz w:val="24"/>
          <w:szCs w:val="24"/>
          <w:shd w:val="clear" w:color="auto" w:fill="FFFFFF"/>
          <w:lang w:val="fr-FR"/>
        </w:rPr>
        <w:t xml:space="preserve"> d</w:t>
      </w:r>
      <w:r w:rsidR="00A01103" w:rsidRPr="00953692">
        <w:rPr>
          <w:rFonts w:cs="Times New Roman"/>
          <w:sz w:val="24"/>
          <w:szCs w:val="24"/>
          <w:shd w:val="clear" w:color="auto" w:fill="FFFFFF"/>
          <w:lang w:val="fr-FR"/>
        </w:rPr>
        <w:t>ans un</w:t>
      </w:r>
      <w:r w:rsidR="007F0EC3" w:rsidRPr="00953692">
        <w:rPr>
          <w:rFonts w:cs="Times New Roman"/>
          <w:sz w:val="24"/>
          <w:szCs w:val="24"/>
          <w:shd w:val="clear" w:color="auto" w:fill="FFFFFF"/>
          <w:lang w:val="fr-FR"/>
        </w:rPr>
        <w:t xml:space="preserve"> délai raisonnable. </w:t>
      </w:r>
    </w:p>
    <w:p w14:paraId="03197E8C" w14:textId="5BB59EEC" w:rsidR="00DE71B2" w:rsidRPr="00953692" w:rsidRDefault="00864BBF" w:rsidP="00864BBF">
      <w:pPr>
        <w:spacing w:after="0" w:line="276" w:lineRule="auto"/>
        <w:ind w:firstLine="1134"/>
        <w:jc w:val="both"/>
        <w:rPr>
          <w:rFonts w:eastAsia="Calibri" w:cs="Times New Roman"/>
          <w:sz w:val="24"/>
          <w:szCs w:val="24"/>
          <w:lang w:val="fr-FR"/>
        </w:rPr>
      </w:pPr>
      <w:r w:rsidRPr="00953692">
        <w:rPr>
          <w:rFonts w:cs="Times New Roman"/>
          <w:b/>
          <w:bCs/>
          <w:sz w:val="24"/>
          <w:szCs w:val="24"/>
          <w:shd w:val="clear" w:color="auto" w:fill="FFFFFF"/>
          <w:lang w:val="fr-FR"/>
        </w:rPr>
        <w:t>29.</w:t>
      </w:r>
      <w:r w:rsidRPr="00953692">
        <w:rPr>
          <w:rFonts w:cs="Times New Roman"/>
          <w:sz w:val="24"/>
          <w:szCs w:val="24"/>
          <w:shd w:val="clear" w:color="auto" w:fill="FFFFFF"/>
          <w:lang w:val="fr-FR"/>
        </w:rPr>
        <w:t xml:space="preserve"> </w:t>
      </w:r>
      <w:r w:rsidR="00820B01" w:rsidRPr="00953692">
        <w:rPr>
          <w:rFonts w:cs="Times New Roman"/>
          <w:sz w:val="24"/>
          <w:szCs w:val="24"/>
          <w:shd w:val="clear" w:color="auto" w:fill="FFFFFF"/>
          <w:lang w:val="fr-FR"/>
        </w:rPr>
        <w:t xml:space="preserve">La complémentarité qui en découle </w:t>
      </w:r>
      <w:r w:rsidR="00B24745" w:rsidRPr="00953692">
        <w:rPr>
          <w:rFonts w:cs="Times New Roman"/>
          <w:sz w:val="24"/>
          <w:szCs w:val="24"/>
          <w:shd w:val="clear" w:color="auto" w:fill="FFFFFF"/>
          <w:lang w:val="fr-FR"/>
        </w:rPr>
        <w:t>présuppose</w:t>
      </w:r>
      <w:r w:rsidR="007F0EC3" w:rsidRPr="00953692">
        <w:rPr>
          <w:rFonts w:cs="Times New Roman"/>
          <w:sz w:val="24"/>
          <w:szCs w:val="24"/>
          <w:shd w:val="clear" w:color="auto" w:fill="FFFFFF"/>
          <w:lang w:val="fr-FR"/>
        </w:rPr>
        <w:t xml:space="preserve"> que l’observation stricte ou minimale de ces droits privera l’accusé, en principe, </w:t>
      </w:r>
      <w:r w:rsidR="00A01103" w:rsidRPr="00953692">
        <w:rPr>
          <w:rFonts w:cs="Times New Roman"/>
          <w:sz w:val="24"/>
          <w:szCs w:val="24"/>
          <w:shd w:val="clear" w:color="auto" w:fill="FFFFFF"/>
          <w:lang w:val="fr-FR"/>
        </w:rPr>
        <w:t>d</w:t>
      </w:r>
      <w:r w:rsidR="007F0EC3" w:rsidRPr="00953692">
        <w:rPr>
          <w:rFonts w:cs="Times New Roman"/>
          <w:sz w:val="24"/>
          <w:szCs w:val="24"/>
          <w:shd w:val="clear" w:color="auto" w:fill="FFFFFF"/>
          <w:lang w:val="fr-FR"/>
        </w:rPr>
        <w:t xml:space="preserve">es moyens d’invoquer la </w:t>
      </w:r>
      <w:r w:rsidR="007F0EC3" w:rsidRPr="00953692">
        <w:rPr>
          <w:rFonts w:cs="Times New Roman"/>
          <w:sz w:val="24"/>
          <w:szCs w:val="24"/>
          <w:shd w:val="clear" w:color="auto" w:fill="FFFFFF"/>
          <w:lang w:val="fr-FR"/>
        </w:rPr>
        <w:lastRenderedPageBreak/>
        <w:t>violation de son droit à un délai raisonnable. Car, la pratique des juridictions pénales internationales montre que, c’est de l’inobservation de ces droits qu</w:t>
      </w:r>
      <w:r w:rsidR="00820B01" w:rsidRPr="00953692">
        <w:rPr>
          <w:rFonts w:cs="Times New Roman"/>
          <w:sz w:val="24"/>
          <w:szCs w:val="24"/>
          <w:shd w:val="clear" w:color="auto" w:fill="FFFFFF"/>
          <w:lang w:val="fr-FR"/>
        </w:rPr>
        <w:t>e</w:t>
      </w:r>
      <w:r w:rsidR="007F0EC3" w:rsidRPr="00953692">
        <w:rPr>
          <w:rFonts w:cs="Times New Roman"/>
          <w:sz w:val="24"/>
          <w:szCs w:val="24"/>
          <w:shd w:val="clear" w:color="auto" w:fill="FFFFFF"/>
          <w:lang w:val="fr-FR"/>
        </w:rPr>
        <w:t xml:space="preserve"> </w:t>
      </w:r>
      <w:r w:rsidR="00820B01" w:rsidRPr="00953692">
        <w:rPr>
          <w:rFonts w:cs="Times New Roman"/>
          <w:sz w:val="24"/>
          <w:szCs w:val="24"/>
          <w:shd w:val="clear" w:color="auto" w:fill="FFFFFF"/>
          <w:lang w:val="fr-FR"/>
        </w:rPr>
        <w:t>résultent</w:t>
      </w:r>
      <w:r w:rsidR="007F0EC3" w:rsidRPr="00953692">
        <w:rPr>
          <w:rFonts w:cs="Times New Roman"/>
          <w:sz w:val="24"/>
          <w:szCs w:val="24"/>
          <w:shd w:val="clear" w:color="auto" w:fill="FFFFFF"/>
          <w:lang w:val="fr-FR"/>
        </w:rPr>
        <w:t xml:space="preserve"> des retards, </w:t>
      </w:r>
      <w:r w:rsidR="00820B01" w:rsidRPr="00953692">
        <w:rPr>
          <w:rFonts w:cs="Times New Roman"/>
          <w:sz w:val="24"/>
          <w:szCs w:val="24"/>
          <w:shd w:val="clear" w:color="auto" w:fill="FFFFFF"/>
          <w:lang w:val="fr-FR"/>
        </w:rPr>
        <w:t>dans lesquels</w:t>
      </w:r>
      <w:r w:rsidR="007F0EC3" w:rsidRPr="00953692">
        <w:rPr>
          <w:rFonts w:cs="Times New Roman"/>
          <w:sz w:val="24"/>
          <w:szCs w:val="24"/>
          <w:shd w:val="clear" w:color="auto" w:fill="FFFFFF"/>
          <w:lang w:val="fr-FR"/>
        </w:rPr>
        <w:t xml:space="preserve"> l’accusé puise le fondement de sa prétention selon laquelle</w:t>
      </w:r>
      <w:r w:rsidR="009A7818" w:rsidRPr="00953692">
        <w:rPr>
          <w:rFonts w:cs="Times New Roman"/>
          <w:sz w:val="24"/>
          <w:szCs w:val="24"/>
          <w:shd w:val="clear" w:color="auto" w:fill="FFFFFF"/>
          <w:lang w:val="fr-FR"/>
        </w:rPr>
        <w:t>,</w:t>
      </w:r>
      <w:r w:rsidR="007F0EC3" w:rsidRPr="00953692">
        <w:rPr>
          <w:rFonts w:cs="Times New Roman"/>
          <w:sz w:val="24"/>
          <w:szCs w:val="24"/>
          <w:shd w:val="clear" w:color="auto" w:fill="FFFFFF"/>
          <w:lang w:val="fr-FR"/>
        </w:rPr>
        <w:t xml:space="preserve"> son droit d’être jugé sans retard excessif </w:t>
      </w:r>
      <w:r w:rsidR="00B805A0" w:rsidRPr="00953692">
        <w:rPr>
          <w:rFonts w:cs="Times New Roman"/>
          <w:sz w:val="24"/>
          <w:szCs w:val="24"/>
          <w:shd w:val="clear" w:color="auto" w:fill="FFFFFF"/>
          <w:lang w:val="fr-FR"/>
        </w:rPr>
        <w:t>aurait été</w:t>
      </w:r>
      <w:r w:rsidR="007F0EC3" w:rsidRPr="00953692">
        <w:rPr>
          <w:rFonts w:cs="Times New Roman"/>
          <w:sz w:val="24"/>
          <w:szCs w:val="24"/>
          <w:shd w:val="clear" w:color="auto" w:fill="FFFFFF"/>
          <w:lang w:val="fr-FR"/>
        </w:rPr>
        <w:t xml:space="preserve"> violée</w:t>
      </w:r>
      <w:r w:rsidR="00A01103" w:rsidRPr="00953692">
        <w:rPr>
          <w:rFonts w:cs="Times New Roman"/>
          <w:sz w:val="24"/>
          <w:szCs w:val="24"/>
          <w:shd w:val="clear" w:color="auto" w:fill="FFFFFF"/>
          <w:lang w:val="fr-FR"/>
        </w:rPr>
        <w:t xml:space="preserve"> par les organes judiciaires</w:t>
      </w:r>
      <w:r w:rsidR="007F0EC3" w:rsidRPr="00953692">
        <w:rPr>
          <w:rFonts w:cs="Times New Roman"/>
          <w:sz w:val="24"/>
          <w:szCs w:val="24"/>
          <w:shd w:val="clear" w:color="auto" w:fill="FFFFFF"/>
          <w:lang w:val="fr-FR"/>
        </w:rPr>
        <w:t>.</w:t>
      </w:r>
      <w:bookmarkStart w:id="7" w:name="_Hlk110198118"/>
    </w:p>
    <w:p w14:paraId="6208CCDD" w14:textId="77777777" w:rsidR="006B7CB1" w:rsidRPr="00953692" w:rsidRDefault="006B7CB1" w:rsidP="00864BBF">
      <w:pPr>
        <w:spacing w:line="276" w:lineRule="auto"/>
        <w:ind w:left="1134"/>
        <w:jc w:val="both"/>
        <w:rPr>
          <w:rFonts w:cs="Times New Roman"/>
          <w:b/>
          <w:bCs/>
          <w:sz w:val="24"/>
          <w:szCs w:val="24"/>
          <w:shd w:val="clear" w:color="auto" w:fill="FFFFFF"/>
          <w:lang w:val="fr-FR"/>
        </w:rPr>
      </w:pPr>
    </w:p>
    <w:p w14:paraId="7A4C7375" w14:textId="77777777" w:rsidR="006B7CB1" w:rsidRPr="00953692" w:rsidRDefault="006B7CB1" w:rsidP="00864BBF">
      <w:pPr>
        <w:spacing w:line="276" w:lineRule="auto"/>
        <w:ind w:left="1134"/>
        <w:jc w:val="both"/>
        <w:rPr>
          <w:rFonts w:cs="Times New Roman"/>
          <w:b/>
          <w:bCs/>
          <w:sz w:val="24"/>
          <w:szCs w:val="24"/>
          <w:shd w:val="clear" w:color="auto" w:fill="FFFFFF"/>
          <w:lang w:val="fr-FR"/>
        </w:rPr>
      </w:pPr>
    </w:p>
    <w:p w14:paraId="3E7425EC" w14:textId="77777777" w:rsidR="006B7CB1" w:rsidRPr="00953692" w:rsidRDefault="006B7CB1" w:rsidP="00864BBF">
      <w:pPr>
        <w:spacing w:line="276" w:lineRule="auto"/>
        <w:ind w:left="1134"/>
        <w:jc w:val="both"/>
        <w:rPr>
          <w:rFonts w:cs="Times New Roman"/>
          <w:b/>
          <w:bCs/>
          <w:sz w:val="24"/>
          <w:szCs w:val="24"/>
          <w:shd w:val="clear" w:color="auto" w:fill="FFFFFF"/>
          <w:lang w:val="fr-FR"/>
        </w:rPr>
      </w:pPr>
    </w:p>
    <w:p w14:paraId="063C0D9F" w14:textId="77777777" w:rsidR="006B7CB1" w:rsidRPr="00953692" w:rsidRDefault="006B7CB1" w:rsidP="00864BBF">
      <w:pPr>
        <w:spacing w:line="276" w:lineRule="auto"/>
        <w:ind w:left="1134"/>
        <w:jc w:val="both"/>
        <w:rPr>
          <w:rFonts w:cs="Times New Roman"/>
          <w:b/>
          <w:bCs/>
          <w:sz w:val="24"/>
          <w:szCs w:val="24"/>
          <w:shd w:val="clear" w:color="auto" w:fill="FFFFFF"/>
          <w:lang w:val="fr-FR"/>
        </w:rPr>
      </w:pPr>
    </w:p>
    <w:p w14:paraId="537CFACD" w14:textId="77777777" w:rsidR="006B7CB1" w:rsidRPr="00953692" w:rsidRDefault="006B7CB1" w:rsidP="00864BBF">
      <w:pPr>
        <w:spacing w:line="276" w:lineRule="auto"/>
        <w:ind w:left="1134"/>
        <w:jc w:val="both"/>
        <w:rPr>
          <w:rFonts w:cs="Times New Roman"/>
          <w:b/>
          <w:bCs/>
          <w:sz w:val="24"/>
          <w:szCs w:val="24"/>
          <w:shd w:val="clear" w:color="auto" w:fill="FFFFFF"/>
          <w:lang w:val="fr-FR"/>
        </w:rPr>
      </w:pPr>
    </w:p>
    <w:p w14:paraId="4C619F2B" w14:textId="77777777" w:rsidR="006B7CB1" w:rsidRPr="00953692" w:rsidRDefault="006B7CB1" w:rsidP="00864BBF">
      <w:pPr>
        <w:spacing w:line="276" w:lineRule="auto"/>
        <w:ind w:left="1134"/>
        <w:jc w:val="both"/>
        <w:rPr>
          <w:rFonts w:cs="Times New Roman"/>
          <w:b/>
          <w:bCs/>
          <w:sz w:val="24"/>
          <w:szCs w:val="24"/>
          <w:shd w:val="clear" w:color="auto" w:fill="FFFFFF"/>
          <w:lang w:val="fr-FR"/>
        </w:rPr>
      </w:pPr>
    </w:p>
    <w:p w14:paraId="7CE0B8CA" w14:textId="77777777" w:rsidR="006B7CB1" w:rsidRPr="00953692" w:rsidRDefault="006B7CB1" w:rsidP="00864BBF">
      <w:pPr>
        <w:spacing w:line="276" w:lineRule="auto"/>
        <w:ind w:left="1134"/>
        <w:jc w:val="both"/>
        <w:rPr>
          <w:rFonts w:cs="Times New Roman"/>
          <w:b/>
          <w:bCs/>
          <w:sz w:val="24"/>
          <w:szCs w:val="24"/>
          <w:shd w:val="clear" w:color="auto" w:fill="FFFFFF"/>
          <w:lang w:val="fr-FR"/>
        </w:rPr>
      </w:pPr>
    </w:p>
    <w:p w14:paraId="23FFC29E" w14:textId="77777777" w:rsidR="006B7CB1" w:rsidRPr="00953692" w:rsidRDefault="006B7CB1" w:rsidP="00864BBF">
      <w:pPr>
        <w:spacing w:line="276" w:lineRule="auto"/>
        <w:ind w:left="1134"/>
        <w:jc w:val="both"/>
        <w:rPr>
          <w:rFonts w:cs="Times New Roman"/>
          <w:b/>
          <w:bCs/>
          <w:sz w:val="24"/>
          <w:szCs w:val="24"/>
          <w:shd w:val="clear" w:color="auto" w:fill="FFFFFF"/>
          <w:lang w:val="fr-FR"/>
        </w:rPr>
      </w:pPr>
    </w:p>
    <w:p w14:paraId="35B6869F" w14:textId="77777777" w:rsidR="006B7CB1" w:rsidRPr="00953692" w:rsidRDefault="006B7CB1" w:rsidP="00864BBF">
      <w:pPr>
        <w:spacing w:line="276" w:lineRule="auto"/>
        <w:ind w:left="1134"/>
        <w:jc w:val="both"/>
        <w:rPr>
          <w:rFonts w:cs="Times New Roman"/>
          <w:b/>
          <w:bCs/>
          <w:sz w:val="24"/>
          <w:szCs w:val="24"/>
          <w:shd w:val="clear" w:color="auto" w:fill="FFFFFF"/>
          <w:lang w:val="fr-FR"/>
        </w:rPr>
      </w:pPr>
    </w:p>
    <w:p w14:paraId="4D11FAC5" w14:textId="77777777" w:rsidR="006B7CB1" w:rsidRPr="00953692" w:rsidRDefault="006B7CB1" w:rsidP="00864BBF">
      <w:pPr>
        <w:spacing w:line="276" w:lineRule="auto"/>
        <w:ind w:left="1134"/>
        <w:jc w:val="both"/>
        <w:rPr>
          <w:rFonts w:cs="Times New Roman"/>
          <w:b/>
          <w:bCs/>
          <w:sz w:val="24"/>
          <w:szCs w:val="24"/>
          <w:shd w:val="clear" w:color="auto" w:fill="FFFFFF"/>
          <w:lang w:val="fr-FR"/>
        </w:rPr>
      </w:pPr>
    </w:p>
    <w:p w14:paraId="5B2A78FA" w14:textId="77777777" w:rsidR="00A432AC" w:rsidRPr="00953692" w:rsidRDefault="00A432AC" w:rsidP="00864BBF">
      <w:pPr>
        <w:spacing w:line="276" w:lineRule="auto"/>
        <w:jc w:val="both"/>
        <w:rPr>
          <w:rFonts w:cs="Times New Roman"/>
          <w:b/>
          <w:bCs/>
          <w:sz w:val="24"/>
          <w:szCs w:val="24"/>
          <w:shd w:val="clear" w:color="auto" w:fill="FFFFFF"/>
          <w:lang w:val="fr-FR"/>
        </w:rPr>
      </w:pPr>
    </w:p>
    <w:p w14:paraId="351E17DC" w14:textId="77777777" w:rsidR="00D845D2" w:rsidRPr="00953692" w:rsidRDefault="00D845D2" w:rsidP="00864BBF">
      <w:pPr>
        <w:spacing w:line="276" w:lineRule="auto"/>
        <w:jc w:val="both"/>
        <w:rPr>
          <w:rFonts w:cs="Times New Roman"/>
          <w:b/>
          <w:bCs/>
          <w:sz w:val="24"/>
          <w:szCs w:val="24"/>
          <w:shd w:val="clear" w:color="auto" w:fill="FFFFFF"/>
          <w:lang w:val="fr-FR"/>
        </w:rPr>
      </w:pPr>
    </w:p>
    <w:p w14:paraId="5B107DC7" w14:textId="77777777" w:rsidR="00E02FD2" w:rsidRPr="00953692" w:rsidRDefault="00E02FD2" w:rsidP="00864BBF">
      <w:pPr>
        <w:spacing w:line="276" w:lineRule="auto"/>
        <w:ind w:left="1134"/>
        <w:jc w:val="both"/>
        <w:rPr>
          <w:rFonts w:cs="Times New Roman"/>
          <w:b/>
          <w:bCs/>
          <w:sz w:val="24"/>
          <w:szCs w:val="24"/>
          <w:shd w:val="clear" w:color="auto" w:fill="FFFFFF"/>
          <w:lang w:val="fr-FR"/>
        </w:rPr>
      </w:pPr>
    </w:p>
    <w:p w14:paraId="42DED6C7" w14:textId="77777777" w:rsidR="00E02FD2" w:rsidRPr="00953692" w:rsidRDefault="00E02FD2" w:rsidP="00864BBF">
      <w:pPr>
        <w:spacing w:line="276" w:lineRule="auto"/>
        <w:ind w:left="1134"/>
        <w:jc w:val="both"/>
        <w:rPr>
          <w:rFonts w:cs="Times New Roman"/>
          <w:b/>
          <w:bCs/>
          <w:sz w:val="24"/>
          <w:szCs w:val="24"/>
          <w:shd w:val="clear" w:color="auto" w:fill="FFFFFF"/>
          <w:lang w:val="fr-FR"/>
        </w:rPr>
      </w:pPr>
    </w:p>
    <w:p w14:paraId="7BB2C72E" w14:textId="77777777" w:rsidR="00E02FD2" w:rsidRPr="00953692" w:rsidRDefault="00E02FD2" w:rsidP="00864BBF">
      <w:pPr>
        <w:spacing w:line="276" w:lineRule="auto"/>
        <w:ind w:left="1134"/>
        <w:jc w:val="both"/>
        <w:rPr>
          <w:rFonts w:cs="Times New Roman"/>
          <w:b/>
          <w:bCs/>
          <w:sz w:val="24"/>
          <w:szCs w:val="24"/>
          <w:shd w:val="clear" w:color="auto" w:fill="FFFFFF"/>
          <w:lang w:val="fr-FR"/>
        </w:rPr>
      </w:pPr>
    </w:p>
    <w:p w14:paraId="77F013C1" w14:textId="77777777" w:rsidR="00E02FD2" w:rsidRPr="00953692" w:rsidRDefault="00E02FD2" w:rsidP="00864BBF">
      <w:pPr>
        <w:spacing w:line="276" w:lineRule="auto"/>
        <w:ind w:left="1134"/>
        <w:jc w:val="both"/>
        <w:rPr>
          <w:rFonts w:cs="Times New Roman"/>
          <w:b/>
          <w:bCs/>
          <w:sz w:val="24"/>
          <w:szCs w:val="24"/>
          <w:shd w:val="clear" w:color="auto" w:fill="FFFFFF"/>
          <w:lang w:val="fr-FR"/>
        </w:rPr>
      </w:pPr>
    </w:p>
    <w:p w14:paraId="4968B62B" w14:textId="77777777" w:rsidR="00E02FD2" w:rsidRPr="00953692" w:rsidRDefault="00E02FD2" w:rsidP="00864BBF">
      <w:pPr>
        <w:spacing w:line="276" w:lineRule="auto"/>
        <w:ind w:left="1134"/>
        <w:jc w:val="both"/>
        <w:rPr>
          <w:rFonts w:cs="Times New Roman"/>
          <w:b/>
          <w:bCs/>
          <w:sz w:val="24"/>
          <w:szCs w:val="24"/>
          <w:shd w:val="clear" w:color="auto" w:fill="FFFFFF"/>
          <w:lang w:val="fr-FR"/>
        </w:rPr>
      </w:pPr>
    </w:p>
    <w:p w14:paraId="0B95317F" w14:textId="77777777" w:rsidR="00E02FD2" w:rsidRPr="00953692" w:rsidRDefault="00E02FD2" w:rsidP="00864BBF">
      <w:pPr>
        <w:spacing w:line="276" w:lineRule="auto"/>
        <w:ind w:left="1134"/>
        <w:jc w:val="both"/>
        <w:rPr>
          <w:rFonts w:cs="Times New Roman"/>
          <w:b/>
          <w:bCs/>
          <w:sz w:val="24"/>
          <w:szCs w:val="24"/>
          <w:shd w:val="clear" w:color="auto" w:fill="FFFFFF"/>
          <w:lang w:val="fr-FR"/>
        </w:rPr>
      </w:pPr>
    </w:p>
    <w:p w14:paraId="79AF0A55" w14:textId="77777777" w:rsidR="00E02FD2" w:rsidRPr="00953692" w:rsidRDefault="00E02FD2" w:rsidP="00864BBF">
      <w:pPr>
        <w:spacing w:line="276" w:lineRule="auto"/>
        <w:ind w:left="1134"/>
        <w:jc w:val="both"/>
        <w:rPr>
          <w:rFonts w:cs="Times New Roman"/>
          <w:b/>
          <w:bCs/>
          <w:sz w:val="24"/>
          <w:szCs w:val="24"/>
          <w:shd w:val="clear" w:color="auto" w:fill="FFFFFF"/>
          <w:lang w:val="fr-FR"/>
        </w:rPr>
      </w:pPr>
    </w:p>
    <w:p w14:paraId="7CDEA1B0" w14:textId="77777777" w:rsidR="00E02FD2" w:rsidRPr="00953692" w:rsidRDefault="00E02FD2" w:rsidP="00864BBF">
      <w:pPr>
        <w:spacing w:line="276" w:lineRule="auto"/>
        <w:ind w:left="1134"/>
        <w:jc w:val="both"/>
        <w:rPr>
          <w:rFonts w:cs="Times New Roman"/>
          <w:b/>
          <w:bCs/>
          <w:sz w:val="24"/>
          <w:szCs w:val="24"/>
          <w:shd w:val="clear" w:color="auto" w:fill="FFFFFF"/>
          <w:lang w:val="fr-FR"/>
        </w:rPr>
      </w:pPr>
    </w:p>
    <w:p w14:paraId="5649AB69" w14:textId="77777777" w:rsidR="00E02FD2" w:rsidRPr="00953692" w:rsidRDefault="00E02FD2" w:rsidP="00864BBF">
      <w:pPr>
        <w:spacing w:line="276" w:lineRule="auto"/>
        <w:ind w:left="1134"/>
        <w:jc w:val="both"/>
        <w:rPr>
          <w:rFonts w:cs="Times New Roman"/>
          <w:b/>
          <w:bCs/>
          <w:sz w:val="24"/>
          <w:szCs w:val="24"/>
          <w:shd w:val="clear" w:color="auto" w:fill="FFFFFF"/>
          <w:lang w:val="fr-FR"/>
        </w:rPr>
      </w:pPr>
    </w:p>
    <w:p w14:paraId="21DA00C9" w14:textId="77777777" w:rsidR="003564AA" w:rsidRPr="00953692" w:rsidRDefault="003564AA" w:rsidP="00864BBF">
      <w:pPr>
        <w:spacing w:line="276" w:lineRule="auto"/>
        <w:ind w:left="1134"/>
        <w:jc w:val="both"/>
        <w:rPr>
          <w:rFonts w:cs="Times New Roman"/>
          <w:b/>
          <w:bCs/>
          <w:sz w:val="24"/>
          <w:szCs w:val="24"/>
          <w:shd w:val="clear" w:color="auto" w:fill="FFFFFF"/>
          <w:lang w:val="fr-FR"/>
        </w:rPr>
      </w:pPr>
    </w:p>
    <w:p w14:paraId="5F87AFD1" w14:textId="77777777" w:rsidR="003564AA" w:rsidRPr="00953692" w:rsidRDefault="003564AA" w:rsidP="00864BBF">
      <w:pPr>
        <w:spacing w:line="276" w:lineRule="auto"/>
        <w:ind w:left="1134"/>
        <w:jc w:val="both"/>
        <w:rPr>
          <w:rFonts w:cs="Times New Roman"/>
          <w:b/>
          <w:bCs/>
          <w:sz w:val="24"/>
          <w:szCs w:val="24"/>
          <w:shd w:val="clear" w:color="auto" w:fill="FFFFFF"/>
          <w:lang w:val="fr-FR"/>
        </w:rPr>
      </w:pPr>
    </w:p>
    <w:p w14:paraId="1D7A3D4B" w14:textId="77777777" w:rsidR="009A7818" w:rsidRPr="00953692" w:rsidRDefault="009A7818" w:rsidP="00864BBF">
      <w:pPr>
        <w:spacing w:line="276" w:lineRule="auto"/>
        <w:ind w:left="1134"/>
        <w:jc w:val="both"/>
        <w:rPr>
          <w:rFonts w:cs="Times New Roman"/>
          <w:b/>
          <w:bCs/>
          <w:sz w:val="24"/>
          <w:szCs w:val="24"/>
          <w:shd w:val="clear" w:color="auto" w:fill="FFFFFF"/>
          <w:lang w:val="fr-FR"/>
        </w:rPr>
      </w:pPr>
    </w:p>
    <w:p w14:paraId="51CCB419" w14:textId="77777777" w:rsidR="007C3ED4" w:rsidRPr="00953692" w:rsidRDefault="007C3ED4" w:rsidP="00864BBF">
      <w:pPr>
        <w:spacing w:line="276" w:lineRule="auto"/>
        <w:ind w:left="1134"/>
        <w:jc w:val="both"/>
        <w:rPr>
          <w:rFonts w:cs="Times New Roman"/>
          <w:sz w:val="24"/>
          <w:szCs w:val="24"/>
          <w:shd w:val="clear" w:color="auto" w:fill="FFFFFF"/>
          <w:lang w:val="fr-FR"/>
        </w:rPr>
      </w:pPr>
    </w:p>
    <w:p w14:paraId="2CD32CB1" w14:textId="3AB387BD" w:rsidR="007C3ED4" w:rsidRPr="00953692" w:rsidRDefault="007C3ED4" w:rsidP="007C3ED4">
      <w:pPr>
        <w:spacing w:line="276" w:lineRule="auto"/>
        <w:ind w:left="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lastRenderedPageBreak/>
        <w:t>Premier chapitre. Des droits indérogeables de la personne mise en cause concourant à l’applicabilité du délai raisonnable :</w:t>
      </w:r>
      <w:r w:rsidRPr="00953692">
        <w:rPr>
          <w:rFonts w:cs="Times New Roman"/>
          <w:sz w:val="24"/>
          <w:szCs w:val="24"/>
          <w:shd w:val="clear" w:color="auto" w:fill="FFFFFF"/>
          <w:lang w:val="fr-FR"/>
        </w:rPr>
        <w:t xml:space="preserve"> </w:t>
      </w:r>
      <w:r w:rsidRPr="00953692">
        <w:rPr>
          <w:rFonts w:cs="Times New Roman"/>
          <w:i/>
          <w:iCs/>
          <w:sz w:val="24"/>
          <w:szCs w:val="24"/>
          <w:shd w:val="clear" w:color="auto" w:fill="FFFFFF"/>
          <w:lang w:val="fr-FR"/>
        </w:rPr>
        <w:t>ces</w:t>
      </w:r>
      <w:r w:rsidRPr="00953692">
        <w:rPr>
          <w:rFonts w:cs="Times New Roman"/>
          <w:sz w:val="24"/>
          <w:szCs w:val="24"/>
          <w:shd w:val="clear" w:color="auto" w:fill="FFFFFF"/>
          <w:lang w:val="fr-FR"/>
        </w:rPr>
        <w:t xml:space="preserve"> </w:t>
      </w:r>
      <w:r w:rsidRPr="00953692">
        <w:rPr>
          <w:rFonts w:cs="Times New Roman"/>
          <w:i/>
          <w:iCs/>
          <w:sz w:val="24"/>
          <w:szCs w:val="24"/>
          <w:shd w:val="clear" w:color="auto" w:fill="FFFFFF"/>
          <w:lang w:val="fr-FR"/>
        </w:rPr>
        <w:t>obligations incombant aux organes judiciaires d’agir dans le délai</w:t>
      </w:r>
    </w:p>
    <w:p w14:paraId="6F761C07" w14:textId="77777777" w:rsidR="00B30136" w:rsidRPr="00953692" w:rsidRDefault="00B30136" w:rsidP="00B30136">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30</w:t>
      </w:r>
      <w:r w:rsidR="00351770" w:rsidRPr="00953692">
        <w:rPr>
          <w:rFonts w:cs="Times New Roman"/>
          <w:b/>
          <w:bCs/>
          <w:sz w:val="24"/>
          <w:szCs w:val="24"/>
          <w:shd w:val="clear" w:color="auto" w:fill="FFFFFF"/>
          <w:lang w:val="fr-FR"/>
        </w:rPr>
        <w:t>.</w:t>
      </w:r>
      <w:r w:rsidR="00351770" w:rsidRPr="00953692">
        <w:rPr>
          <w:rFonts w:cs="Times New Roman"/>
          <w:sz w:val="24"/>
          <w:szCs w:val="24"/>
          <w:shd w:val="clear" w:color="auto" w:fill="FFFFFF"/>
          <w:lang w:val="fr-FR"/>
        </w:rPr>
        <w:t xml:space="preserve"> Précisons tout d’abord que</w:t>
      </w:r>
      <w:r w:rsidR="00C44B99" w:rsidRPr="00953692">
        <w:rPr>
          <w:rFonts w:cs="Times New Roman"/>
          <w:sz w:val="24"/>
          <w:szCs w:val="24"/>
          <w:shd w:val="clear" w:color="auto" w:fill="FFFFFF"/>
          <w:lang w:val="fr-FR"/>
        </w:rPr>
        <w:t>,</w:t>
      </w:r>
      <w:r w:rsidR="00351770" w:rsidRPr="00953692">
        <w:rPr>
          <w:rFonts w:cs="Times New Roman"/>
          <w:sz w:val="24"/>
          <w:szCs w:val="24"/>
          <w:shd w:val="clear" w:color="auto" w:fill="FFFFFF"/>
          <w:lang w:val="fr-FR"/>
        </w:rPr>
        <w:t xml:space="preserve"> l</w:t>
      </w:r>
      <w:r w:rsidR="00382BE0" w:rsidRPr="00953692">
        <w:rPr>
          <w:rFonts w:cs="Times New Roman"/>
          <w:sz w:val="24"/>
          <w:szCs w:val="24"/>
          <w:shd w:val="clear" w:color="auto" w:fill="FFFFFF"/>
          <w:lang w:val="fr-FR"/>
        </w:rPr>
        <w:t>’</w:t>
      </w:r>
      <w:r w:rsidR="00351770" w:rsidRPr="00953692">
        <w:rPr>
          <w:rFonts w:cs="Times New Roman"/>
          <w:sz w:val="24"/>
          <w:szCs w:val="24"/>
          <w:shd w:val="clear" w:color="auto" w:fill="FFFFFF"/>
          <w:lang w:val="fr-FR"/>
        </w:rPr>
        <w:t>indérogeab</w:t>
      </w:r>
      <w:r w:rsidR="00382BE0" w:rsidRPr="00953692">
        <w:rPr>
          <w:rFonts w:cs="Times New Roman"/>
          <w:sz w:val="24"/>
          <w:szCs w:val="24"/>
          <w:shd w:val="clear" w:color="auto" w:fill="FFFFFF"/>
          <w:lang w:val="fr-FR"/>
        </w:rPr>
        <w:t>ilité</w:t>
      </w:r>
      <w:r w:rsidR="00351770" w:rsidRPr="00953692">
        <w:rPr>
          <w:rFonts w:cs="Times New Roman"/>
          <w:sz w:val="24"/>
          <w:szCs w:val="24"/>
          <w:shd w:val="clear" w:color="auto" w:fill="FFFFFF"/>
          <w:lang w:val="fr-FR"/>
        </w:rPr>
        <w:t xml:space="preserve"> de ces droits</w:t>
      </w:r>
      <w:r w:rsidR="00382BE0" w:rsidRPr="00953692">
        <w:rPr>
          <w:rFonts w:cs="Times New Roman"/>
          <w:sz w:val="24"/>
          <w:szCs w:val="24"/>
          <w:shd w:val="clear" w:color="auto" w:fill="FFFFFF"/>
          <w:lang w:val="fr-FR"/>
        </w:rPr>
        <w:t xml:space="preserve"> de l’accusé</w:t>
      </w:r>
      <w:r w:rsidR="00351770" w:rsidRPr="00953692">
        <w:rPr>
          <w:rFonts w:cs="Times New Roman"/>
          <w:sz w:val="24"/>
          <w:szCs w:val="24"/>
          <w:shd w:val="clear" w:color="auto" w:fill="FFFFFF"/>
          <w:lang w:val="fr-FR"/>
        </w:rPr>
        <w:t xml:space="preserve"> s’explique par le fait qu’il s’agit en r</w:t>
      </w:r>
      <w:r w:rsidR="00CE41FE" w:rsidRPr="00953692">
        <w:rPr>
          <w:rFonts w:cs="Times New Roman"/>
          <w:sz w:val="24"/>
          <w:szCs w:val="24"/>
          <w:shd w:val="clear" w:color="auto" w:fill="FFFFFF"/>
          <w:lang w:val="fr-FR"/>
        </w:rPr>
        <w:t>evanche</w:t>
      </w:r>
      <w:r w:rsidR="00351770" w:rsidRPr="00953692">
        <w:rPr>
          <w:rFonts w:cs="Times New Roman"/>
          <w:sz w:val="24"/>
          <w:szCs w:val="24"/>
          <w:shd w:val="clear" w:color="auto" w:fill="FFFFFF"/>
          <w:lang w:val="fr-FR"/>
        </w:rPr>
        <w:t xml:space="preserve"> des obligations incombant aux organes judiciaires auxquelles </w:t>
      </w:r>
      <w:r w:rsidR="00382BE0" w:rsidRPr="00953692">
        <w:rPr>
          <w:rFonts w:cs="Times New Roman"/>
          <w:sz w:val="24"/>
          <w:szCs w:val="24"/>
          <w:shd w:val="clear" w:color="auto" w:fill="FFFFFF"/>
          <w:lang w:val="fr-FR"/>
        </w:rPr>
        <w:t>ceux-ci</w:t>
      </w:r>
      <w:r w:rsidR="00351770" w:rsidRPr="00953692">
        <w:rPr>
          <w:rFonts w:cs="Times New Roman"/>
          <w:sz w:val="24"/>
          <w:szCs w:val="24"/>
          <w:shd w:val="clear" w:color="auto" w:fill="FFFFFF"/>
          <w:lang w:val="fr-FR"/>
        </w:rPr>
        <w:t xml:space="preserve"> ne peuvent y déroger sans porter </w:t>
      </w:r>
      <w:r w:rsidR="00351770" w:rsidRPr="00953692">
        <w:rPr>
          <w:rFonts w:cs="Times New Roman"/>
          <w:i/>
          <w:iCs/>
          <w:sz w:val="24"/>
          <w:szCs w:val="24"/>
          <w:shd w:val="clear" w:color="auto" w:fill="FFFFFF"/>
          <w:lang w:val="fr-FR"/>
        </w:rPr>
        <w:t xml:space="preserve">ipso </w:t>
      </w:r>
      <w:r w:rsidR="00382BE0" w:rsidRPr="00953692">
        <w:rPr>
          <w:rFonts w:cs="Times New Roman"/>
          <w:i/>
          <w:iCs/>
          <w:sz w:val="24"/>
          <w:szCs w:val="24"/>
          <w:shd w:val="clear" w:color="auto" w:fill="FFFFFF"/>
          <w:lang w:val="fr-FR"/>
        </w:rPr>
        <w:t>jure</w:t>
      </w:r>
      <w:r w:rsidR="00351770" w:rsidRPr="00953692">
        <w:rPr>
          <w:rFonts w:cs="Times New Roman"/>
          <w:sz w:val="24"/>
          <w:szCs w:val="24"/>
          <w:shd w:val="clear" w:color="auto" w:fill="FFFFFF"/>
          <w:lang w:val="fr-FR"/>
        </w:rPr>
        <w:t xml:space="preserve"> préjudice à la personne mise en cause. </w:t>
      </w:r>
      <w:r w:rsidR="00992094" w:rsidRPr="00953692">
        <w:rPr>
          <w:rFonts w:cs="Times New Roman"/>
          <w:sz w:val="24"/>
          <w:szCs w:val="24"/>
          <w:shd w:val="clear" w:color="auto" w:fill="FFFFFF"/>
          <w:lang w:val="fr-FR"/>
        </w:rPr>
        <w:t xml:space="preserve">Il est vrai que dans la théorie générale de la procédure pénale, </w:t>
      </w:r>
      <w:r w:rsidR="00992094" w:rsidRPr="00953692">
        <w:rPr>
          <w:rFonts w:cs="Times New Roman"/>
          <w:i/>
          <w:iCs/>
          <w:sz w:val="24"/>
          <w:szCs w:val="24"/>
          <w:shd w:val="clear" w:color="auto" w:fill="FFFFFF"/>
          <w:lang w:val="fr-FR"/>
        </w:rPr>
        <w:t>l</w:t>
      </w:r>
      <w:r w:rsidR="00351770" w:rsidRPr="00953692">
        <w:rPr>
          <w:rFonts w:cs="Times New Roman"/>
          <w:i/>
          <w:iCs/>
          <w:sz w:val="24"/>
          <w:szCs w:val="24"/>
          <w:shd w:val="clear" w:color="auto" w:fill="FFFFFF"/>
          <w:lang w:val="fr-FR"/>
        </w:rPr>
        <w:t>a mise en cause suppose</w:t>
      </w:r>
      <w:r w:rsidR="00382BE0" w:rsidRPr="00953692">
        <w:rPr>
          <w:rFonts w:cs="Times New Roman"/>
          <w:i/>
          <w:iCs/>
          <w:sz w:val="24"/>
          <w:szCs w:val="24"/>
          <w:shd w:val="clear" w:color="auto" w:fill="FFFFFF"/>
          <w:lang w:val="fr-FR"/>
        </w:rPr>
        <w:t>,</w:t>
      </w:r>
      <w:r w:rsidR="00351770" w:rsidRPr="00953692">
        <w:rPr>
          <w:rFonts w:cs="Times New Roman"/>
          <w:i/>
          <w:iCs/>
          <w:sz w:val="24"/>
          <w:szCs w:val="24"/>
          <w:shd w:val="clear" w:color="auto" w:fill="FFFFFF"/>
          <w:lang w:val="fr-FR"/>
        </w:rPr>
        <w:t xml:space="preserve"> </w:t>
      </w:r>
      <w:r w:rsidR="00CE41FE" w:rsidRPr="00953692">
        <w:rPr>
          <w:rFonts w:cs="Times New Roman"/>
          <w:i/>
          <w:iCs/>
          <w:sz w:val="24"/>
          <w:szCs w:val="24"/>
          <w:shd w:val="clear" w:color="auto" w:fill="FFFFFF"/>
          <w:lang w:val="fr-FR"/>
        </w:rPr>
        <w:t>sensu lato</w:t>
      </w:r>
      <w:r w:rsidR="00382BE0" w:rsidRPr="00953692">
        <w:rPr>
          <w:rFonts w:cs="Times New Roman"/>
          <w:i/>
          <w:iCs/>
          <w:sz w:val="24"/>
          <w:szCs w:val="24"/>
          <w:shd w:val="clear" w:color="auto" w:fill="FFFFFF"/>
          <w:lang w:val="fr-FR"/>
        </w:rPr>
        <w:t>,</w:t>
      </w:r>
      <w:r w:rsidR="00CE41FE" w:rsidRPr="00953692">
        <w:rPr>
          <w:rFonts w:cs="Times New Roman"/>
          <w:i/>
          <w:iCs/>
          <w:sz w:val="24"/>
          <w:szCs w:val="24"/>
          <w:shd w:val="clear" w:color="auto" w:fill="FFFFFF"/>
          <w:lang w:val="fr-FR"/>
        </w:rPr>
        <w:t xml:space="preserve"> </w:t>
      </w:r>
      <w:r w:rsidR="00351770" w:rsidRPr="00953692">
        <w:rPr>
          <w:rFonts w:cs="Times New Roman"/>
          <w:i/>
          <w:iCs/>
          <w:sz w:val="24"/>
          <w:szCs w:val="24"/>
          <w:shd w:val="clear" w:color="auto" w:fill="FFFFFF"/>
          <w:lang w:val="fr-FR"/>
        </w:rPr>
        <w:t xml:space="preserve">que le </w:t>
      </w:r>
      <w:r w:rsidR="00CE41FE" w:rsidRPr="00953692">
        <w:rPr>
          <w:rFonts w:cs="Times New Roman"/>
          <w:i/>
          <w:iCs/>
          <w:sz w:val="24"/>
          <w:szCs w:val="24"/>
          <w:shd w:val="clear" w:color="auto" w:fill="FFFFFF"/>
          <w:lang w:val="fr-FR"/>
        </w:rPr>
        <w:t>P</w:t>
      </w:r>
      <w:r w:rsidR="00351770" w:rsidRPr="00953692">
        <w:rPr>
          <w:rFonts w:cs="Times New Roman"/>
          <w:i/>
          <w:iCs/>
          <w:sz w:val="24"/>
          <w:szCs w:val="24"/>
          <w:shd w:val="clear" w:color="auto" w:fill="FFFFFF"/>
          <w:lang w:val="fr-FR"/>
        </w:rPr>
        <w:t xml:space="preserve">rocureur reproche </w:t>
      </w:r>
      <w:r w:rsidR="00C15712" w:rsidRPr="00953692">
        <w:rPr>
          <w:rFonts w:cs="Times New Roman"/>
          <w:i/>
          <w:iCs/>
          <w:sz w:val="24"/>
          <w:szCs w:val="24"/>
          <w:shd w:val="clear" w:color="auto" w:fill="FFFFFF"/>
          <w:lang w:val="fr-FR"/>
        </w:rPr>
        <w:t xml:space="preserve">finalement </w:t>
      </w:r>
      <w:r w:rsidR="00351770" w:rsidRPr="00953692">
        <w:rPr>
          <w:rFonts w:cs="Times New Roman"/>
          <w:i/>
          <w:iCs/>
          <w:sz w:val="24"/>
          <w:szCs w:val="24"/>
          <w:shd w:val="clear" w:color="auto" w:fill="FFFFFF"/>
          <w:lang w:val="fr-FR"/>
        </w:rPr>
        <w:t>à un individu déterminé, identifié et</w:t>
      </w:r>
      <w:r w:rsidR="00382BE0" w:rsidRPr="00953692">
        <w:rPr>
          <w:rFonts w:cs="Times New Roman"/>
          <w:i/>
          <w:iCs/>
          <w:sz w:val="24"/>
          <w:szCs w:val="24"/>
          <w:shd w:val="clear" w:color="auto" w:fill="FFFFFF"/>
          <w:lang w:val="fr-FR"/>
        </w:rPr>
        <w:t>,</w:t>
      </w:r>
      <w:r w:rsidR="00351770" w:rsidRPr="00953692">
        <w:rPr>
          <w:rFonts w:cs="Times New Roman"/>
          <w:i/>
          <w:iCs/>
          <w:sz w:val="24"/>
          <w:szCs w:val="24"/>
          <w:shd w:val="clear" w:color="auto" w:fill="FFFFFF"/>
          <w:lang w:val="fr-FR"/>
        </w:rPr>
        <w:t xml:space="preserve"> dans la plupart des cas devant les juridictions pénales internationales, arrêté, un certain nombre des faits criminels relevant de la compétence du tribunal auquel il est rattaché</w:t>
      </w:r>
      <w:r w:rsidR="00351770" w:rsidRPr="00953692">
        <w:rPr>
          <w:rFonts w:cs="Times New Roman"/>
          <w:sz w:val="24"/>
          <w:szCs w:val="24"/>
          <w:shd w:val="clear" w:color="auto" w:fill="FFFFFF"/>
          <w:lang w:val="fr-FR"/>
        </w:rPr>
        <w:t xml:space="preserve">. Dans ce cas, trois obligations distinctes basées toutes sur le temps devront être observées. La première obligation est celle d’informer dans le plus court délai (section 1). La deuxième est celle adressée à la fois au </w:t>
      </w:r>
      <w:r w:rsidR="00DF2968" w:rsidRPr="00953692">
        <w:rPr>
          <w:rFonts w:cs="Times New Roman"/>
          <w:sz w:val="24"/>
          <w:szCs w:val="24"/>
          <w:shd w:val="clear" w:color="auto" w:fill="FFFFFF"/>
          <w:lang w:val="fr-FR"/>
        </w:rPr>
        <w:t>P</w:t>
      </w:r>
      <w:r w:rsidR="00351770" w:rsidRPr="00953692">
        <w:rPr>
          <w:rFonts w:cs="Times New Roman"/>
          <w:sz w:val="24"/>
          <w:szCs w:val="24"/>
          <w:shd w:val="clear" w:color="auto" w:fill="FFFFFF"/>
          <w:lang w:val="fr-FR"/>
        </w:rPr>
        <w:t xml:space="preserve">rocureur et à </w:t>
      </w:r>
      <w:r w:rsidR="00DF2968" w:rsidRPr="00953692">
        <w:rPr>
          <w:rFonts w:cs="Times New Roman"/>
          <w:sz w:val="24"/>
          <w:szCs w:val="24"/>
          <w:shd w:val="clear" w:color="auto" w:fill="FFFFFF"/>
          <w:lang w:val="fr-FR"/>
        </w:rPr>
        <w:t xml:space="preserve">l’organe </w:t>
      </w:r>
      <w:r w:rsidR="00351770" w:rsidRPr="00953692">
        <w:rPr>
          <w:rFonts w:cs="Times New Roman"/>
          <w:sz w:val="24"/>
          <w:szCs w:val="24"/>
          <w:shd w:val="clear" w:color="auto" w:fill="FFFFFF"/>
          <w:lang w:val="fr-FR"/>
        </w:rPr>
        <w:t>juridictionnel d</w:t>
      </w:r>
      <w:r w:rsidR="00DF2968" w:rsidRPr="00953692">
        <w:rPr>
          <w:rFonts w:cs="Times New Roman"/>
          <w:sz w:val="24"/>
          <w:szCs w:val="24"/>
          <w:shd w:val="clear" w:color="auto" w:fill="FFFFFF"/>
          <w:lang w:val="fr-FR"/>
        </w:rPr>
        <w:t>e pourvoir à</w:t>
      </w:r>
      <w:r w:rsidR="00351770" w:rsidRPr="00953692">
        <w:rPr>
          <w:rFonts w:cs="Times New Roman"/>
          <w:sz w:val="24"/>
          <w:szCs w:val="24"/>
          <w:shd w:val="clear" w:color="auto" w:fill="FFFFFF"/>
          <w:lang w:val="fr-FR"/>
        </w:rPr>
        <w:t xml:space="preserve"> la comparution </w:t>
      </w:r>
      <w:r w:rsidR="00DF2968" w:rsidRPr="00953692">
        <w:rPr>
          <w:rFonts w:cs="Times New Roman"/>
          <w:sz w:val="24"/>
          <w:szCs w:val="24"/>
          <w:shd w:val="clear" w:color="auto" w:fill="FFFFFF"/>
          <w:lang w:val="fr-FR"/>
        </w:rPr>
        <w:t>‘’</w:t>
      </w:r>
      <w:r w:rsidR="00351770" w:rsidRPr="00953692">
        <w:rPr>
          <w:rFonts w:cs="Times New Roman"/>
          <w:sz w:val="24"/>
          <w:szCs w:val="24"/>
          <w:shd w:val="clear" w:color="auto" w:fill="FFFFFF"/>
          <w:lang w:val="fr-FR"/>
        </w:rPr>
        <w:t>initiale immédiate</w:t>
      </w:r>
      <w:r w:rsidR="00DF2968" w:rsidRPr="00953692">
        <w:rPr>
          <w:rFonts w:cs="Times New Roman"/>
          <w:sz w:val="24"/>
          <w:szCs w:val="24"/>
          <w:shd w:val="clear" w:color="auto" w:fill="FFFFFF"/>
          <w:lang w:val="fr-FR"/>
        </w:rPr>
        <w:t>’’</w:t>
      </w:r>
      <w:r w:rsidR="00351770" w:rsidRPr="00953692">
        <w:rPr>
          <w:rFonts w:cs="Times New Roman"/>
          <w:sz w:val="24"/>
          <w:szCs w:val="24"/>
          <w:shd w:val="clear" w:color="auto" w:fill="FFFFFF"/>
          <w:lang w:val="fr-FR"/>
        </w:rPr>
        <w:t xml:space="preserve"> du suspect (section 2). Et enfin, la troisième, se rapportant au suspect </w:t>
      </w:r>
      <w:r w:rsidR="00DF2968" w:rsidRPr="00953692">
        <w:rPr>
          <w:rFonts w:cs="Times New Roman"/>
          <w:sz w:val="24"/>
          <w:szCs w:val="24"/>
          <w:shd w:val="clear" w:color="auto" w:fill="FFFFFF"/>
          <w:lang w:val="fr-FR"/>
        </w:rPr>
        <w:t>en état d’arrestation</w:t>
      </w:r>
      <w:r w:rsidR="00351770" w:rsidRPr="00953692">
        <w:rPr>
          <w:rFonts w:cs="Times New Roman"/>
          <w:sz w:val="24"/>
          <w:szCs w:val="24"/>
          <w:shd w:val="clear" w:color="auto" w:fill="FFFFFF"/>
          <w:lang w:val="fr-FR"/>
        </w:rPr>
        <w:t xml:space="preserve">, vise une inculpation dans le délai (section 3). </w:t>
      </w:r>
    </w:p>
    <w:p w14:paraId="3F71EAAE" w14:textId="5E95A3FE" w:rsidR="007C3ED4" w:rsidRPr="00953692" w:rsidRDefault="00B30136" w:rsidP="002328A8">
      <w:pPr>
        <w:spacing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31</w:t>
      </w:r>
      <w:r w:rsidR="003E694E" w:rsidRPr="00953692">
        <w:rPr>
          <w:rFonts w:cs="Times New Roman"/>
          <w:b/>
          <w:bCs/>
          <w:sz w:val="24"/>
          <w:szCs w:val="24"/>
          <w:shd w:val="clear" w:color="auto" w:fill="FFFFFF"/>
          <w:lang w:val="fr-FR"/>
        </w:rPr>
        <w:t>.</w:t>
      </w:r>
      <w:r w:rsidR="003E694E" w:rsidRPr="00953692">
        <w:rPr>
          <w:rFonts w:cs="Times New Roman"/>
          <w:sz w:val="24"/>
          <w:szCs w:val="24"/>
          <w:shd w:val="clear" w:color="auto" w:fill="FFFFFF"/>
          <w:lang w:val="fr-FR"/>
        </w:rPr>
        <w:t xml:space="preserve"> </w:t>
      </w:r>
      <w:r w:rsidR="00DF2968" w:rsidRPr="00953692">
        <w:rPr>
          <w:rFonts w:cs="Times New Roman"/>
          <w:sz w:val="24"/>
          <w:szCs w:val="24"/>
          <w:shd w:val="clear" w:color="auto" w:fill="FFFFFF"/>
          <w:lang w:val="fr-FR"/>
        </w:rPr>
        <w:t>Observons</w:t>
      </w:r>
      <w:r w:rsidR="001C64AF" w:rsidRPr="00953692">
        <w:rPr>
          <w:rFonts w:cs="Times New Roman"/>
          <w:sz w:val="24"/>
          <w:szCs w:val="24"/>
          <w:shd w:val="clear" w:color="auto" w:fill="FFFFFF"/>
          <w:lang w:val="fr-FR"/>
        </w:rPr>
        <w:t>,</w:t>
      </w:r>
      <w:r w:rsidR="00DF2968" w:rsidRPr="00953692">
        <w:rPr>
          <w:rFonts w:cs="Times New Roman"/>
          <w:sz w:val="24"/>
          <w:szCs w:val="24"/>
          <w:shd w:val="clear" w:color="auto" w:fill="FFFFFF"/>
          <w:lang w:val="fr-FR"/>
        </w:rPr>
        <w:t xml:space="preserve"> traits caractéristiques</w:t>
      </w:r>
      <w:r w:rsidR="001C64AF" w:rsidRPr="00953692">
        <w:rPr>
          <w:rFonts w:cs="Times New Roman"/>
          <w:sz w:val="24"/>
          <w:szCs w:val="24"/>
          <w:shd w:val="clear" w:color="auto" w:fill="FFFFFF"/>
          <w:lang w:val="fr-FR"/>
        </w:rPr>
        <w:t>,</w:t>
      </w:r>
      <w:r w:rsidR="00DF2968" w:rsidRPr="00953692">
        <w:rPr>
          <w:rFonts w:cs="Times New Roman"/>
          <w:sz w:val="24"/>
          <w:szCs w:val="24"/>
          <w:shd w:val="clear" w:color="auto" w:fill="FFFFFF"/>
          <w:lang w:val="fr-FR"/>
        </w:rPr>
        <w:t xml:space="preserve"> </w:t>
      </w:r>
      <w:r w:rsidR="009C2B3D" w:rsidRPr="00953692">
        <w:rPr>
          <w:rFonts w:cs="Times New Roman"/>
          <w:sz w:val="24"/>
          <w:szCs w:val="24"/>
          <w:shd w:val="clear" w:color="auto" w:fill="FFFFFF"/>
          <w:lang w:val="fr-FR"/>
        </w:rPr>
        <w:t>outre le fait que ces droits/obligations imposent une temporalité évidente,</w:t>
      </w:r>
      <w:r w:rsidR="00DF2968" w:rsidRPr="00953692">
        <w:rPr>
          <w:rFonts w:cs="Times New Roman"/>
          <w:sz w:val="24"/>
          <w:szCs w:val="24"/>
          <w:shd w:val="clear" w:color="auto" w:fill="FFFFFF"/>
          <w:lang w:val="fr-FR"/>
        </w:rPr>
        <w:t xml:space="preserve"> c</w:t>
      </w:r>
      <w:r w:rsidR="00351770" w:rsidRPr="00953692">
        <w:rPr>
          <w:rFonts w:cs="Times New Roman"/>
          <w:sz w:val="24"/>
          <w:szCs w:val="24"/>
          <w:shd w:val="clear" w:color="auto" w:fill="FFFFFF"/>
          <w:lang w:val="fr-FR"/>
        </w:rPr>
        <w:t xml:space="preserve">e sectionnement </w:t>
      </w:r>
      <w:r w:rsidR="009C2B3D" w:rsidRPr="00953692">
        <w:rPr>
          <w:rFonts w:cs="Times New Roman"/>
          <w:sz w:val="24"/>
          <w:szCs w:val="24"/>
          <w:shd w:val="clear" w:color="auto" w:fill="FFFFFF"/>
          <w:lang w:val="fr-FR"/>
        </w:rPr>
        <w:t>proposé</w:t>
      </w:r>
      <w:r w:rsidR="001C64AF" w:rsidRPr="00953692">
        <w:rPr>
          <w:rFonts w:cs="Times New Roman"/>
          <w:sz w:val="24"/>
          <w:szCs w:val="24"/>
          <w:shd w:val="clear" w:color="auto" w:fill="FFFFFF"/>
          <w:lang w:val="fr-FR"/>
        </w:rPr>
        <w:t xml:space="preserve"> dans le cadre de ce premier chapitre</w:t>
      </w:r>
      <w:r w:rsidR="009C2B3D" w:rsidRPr="00953692">
        <w:rPr>
          <w:rFonts w:cs="Times New Roman"/>
          <w:sz w:val="24"/>
          <w:szCs w:val="24"/>
          <w:shd w:val="clear" w:color="auto" w:fill="FFFFFF"/>
          <w:lang w:val="fr-FR"/>
        </w:rPr>
        <w:t xml:space="preserve"> correspond à la progressivité du procès pénal (international).</w:t>
      </w:r>
      <w:r w:rsidR="00351770" w:rsidRPr="00953692">
        <w:rPr>
          <w:rFonts w:cs="Times New Roman"/>
          <w:sz w:val="24"/>
          <w:szCs w:val="24"/>
          <w:shd w:val="clear" w:color="auto" w:fill="FFFFFF"/>
          <w:lang w:val="fr-FR"/>
        </w:rPr>
        <w:t xml:space="preserve"> </w:t>
      </w:r>
      <w:r w:rsidR="009C2B3D" w:rsidRPr="00953692">
        <w:rPr>
          <w:rFonts w:cs="Times New Roman"/>
          <w:sz w:val="24"/>
          <w:szCs w:val="24"/>
          <w:shd w:val="clear" w:color="auto" w:fill="FFFFFF"/>
          <w:lang w:val="fr-FR"/>
        </w:rPr>
        <w:t>En réalité,</w:t>
      </w:r>
      <w:r w:rsidR="00351770" w:rsidRPr="00953692">
        <w:rPr>
          <w:rFonts w:cs="Times New Roman"/>
          <w:sz w:val="24"/>
          <w:szCs w:val="24"/>
          <w:shd w:val="clear" w:color="auto" w:fill="FFFFFF"/>
          <w:lang w:val="fr-FR"/>
        </w:rPr>
        <w:t xml:space="preserve"> ces droits</w:t>
      </w:r>
      <w:r w:rsidR="00675737" w:rsidRPr="00953692">
        <w:rPr>
          <w:rFonts w:cs="Times New Roman"/>
          <w:sz w:val="24"/>
          <w:szCs w:val="24"/>
          <w:shd w:val="clear" w:color="auto" w:fill="FFFFFF"/>
          <w:lang w:val="fr-FR"/>
        </w:rPr>
        <w:t>,</w:t>
      </w:r>
      <w:r w:rsidR="00351770" w:rsidRPr="00953692">
        <w:rPr>
          <w:rFonts w:cs="Times New Roman"/>
          <w:sz w:val="24"/>
          <w:szCs w:val="24"/>
          <w:shd w:val="clear" w:color="auto" w:fill="FFFFFF"/>
          <w:lang w:val="fr-FR"/>
        </w:rPr>
        <w:t xml:space="preserve"> pour l’accusé et</w:t>
      </w:r>
      <w:r w:rsidR="00351770" w:rsidRPr="00953692">
        <w:rPr>
          <w:rStyle w:val="grammar"/>
          <w:rFonts w:cs="Times New Roman"/>
          <w:sz w:val="24"/>
          <w:szCs w:val="24"/>
          <w:lang w:val="fr-FR"/>
        </w:rPr>
        <w:t xml:space="preserve"> </w:t>
      </w:r>
      <w:r w:rsidR="001915BE" w:rsidRPr="00953692">
        <w:rPr>
          <w:rStyle w:val="grammar"/>
          <w:rFonts w:cs="Times New Roman"/>
          <w:sz w:val="24"/>
          <w:szCs w:val="24"/>
          <w:lang w:val="fr-FR"/>
        </w:rPr>
        <w:t xml:space="preserve">ces </w:t>
      </w:r>
      <w:r w:rsidR="00351770" w:rsidRPr="00953692">
        <w:rPr>
          <w:rStyle w:val="grammar"/>
          <w:rFonts w:cs="Times New Roman"/>
          <w:sz w:val="24"/>
          <w:szCs w:val="24"/>
          <w:lang w:val="fr-FR"/>
        </w:rPr>
        <w:t>obligations</w:t>
      </w:r>
      <w:r w:rsidR="00351770" w:rsidRPr="00953692">
        <w:rPr>
          <w:rFonts w:cs="Times New Roman"/>
          <w:sz w:val="24"/>
          <w:szCs w:val="24"/>
          <w:shd w:val="clear" w:color="auto" w:fill="FFFFFF"/>
          <w:lang w:val="fr-FR"/>
        </w:rPr>
        <w:t xml:space="preserve"> pour les organes judiciaires</w:t>
      </w:r>
      <w:r w:rsidR="002B5367" w:rsidRPr="00953692">
        <w:rPr>
          <w:rStyle w:val="Appelnotedebasdep"/>
          <w:rFonts w:cs="Times New Roman"/>
          <w:sz w:val="24"/>
          <w:szCs w:val="24"/>
          <w:shd w:val="clear" w:color="auto" w:fill="FFFFFF"/>
          <w:lang w:val="fr-FR"/>
        </w:rPr>
        <w:footnoteReference w:customMarkFollows="1" w:id="29"/>
        <w:t>13</w:t>
      </w:r>
      <w:r w:rsidR="00675737" w:rsidRPr="00953692">
        <w:rPr>
          <w:rFonts w:cs="Times New Roman"/>
          <w:sz w:val="24"/>
          <w:szCs w:val="24"/>
          <w:shd w:val="clear" w:color="auto" w:fill="FFFFFF"/>
          <w:lang w:val="fr-FR"/>
        </w:rPr>
        <w:t>,</w:t>
      </w:r>
      <w:r w:rsidR="00351770" w:rsidRPr="00953692">
        <w:rPr>
          <w:rFonts w:cs="Times New Roman"/>
          <w:sz w:val="24"/>
          <w:szCs w:val="24"/>
          <w:shd w:val="clear" w:color="auto" w:fill="FFFFFF"/>
          <w:lang w:val="fr-FR"/>
        </w:rPr>
        <w:t xml:space="preserve"> se succèdent</w:t>
      </w:r>
      <w:r w:rsidR="00675737" w:rsidRPr="00953692">
        <w:rPr>
          <w:rFonts w:cs="Times New Roman"/>
          <w:sz w:val="24"/>
          <w:szCs w:val="24"/>
          <w:shd w:val="clear" w:color="auto" w:fill="FFFFFF"/>
          <w:lang w:val="fr-FR"/>
        </w:rPr>
        <w:t xml:space="preserve"> et</w:t>
      </w:r>
      <w:r w:rsidR="00351770" w:rsidRPr="00953692">
        <w:rPr>
          <w:rFonts w:cs="Times New Roman"/>
          <w:sz w:val="24"/>
          <w:szCs w:val="24"/>
          <w:shd w:val="clear" w:color="auto" w:fill="FFFFFF"/>
          <w:lang w:val="fr-FR"/>
        </w:rPr>
        <w:t xml:space="preserve"> s’observ</w:t>
      </w:r>
      <w:r w:rsidR="00675737" w:rsidRPr="00953692">
        <w:rPr>
          <w:rFonts w:cs="Times New Roman"/>
          <w:sz w:val="24"/>
          <w:szCs w:val="24"/>
          <w:shd w:val="clear" w:color="auto" w:fill="FFFFFF"/>
          <w:lang w:val="fr-FR"/>
        </w:rPr>
        <w:t>e</w:t>
      </w:r>
      <w:r w:rsidR="00351770" w:rsidRPr="00953692">
        <w:rPr>
          <w:rFonts w:cs="Times New Roman"/>
          <w:sz w:val="24"/>
          <w:szCs w:val="24"/>
          <w:shd w:val="clear" w:color="auto" w:fill="FFFFFF"/>
          <w:lang w:val="fr-FR"/>
        </w:rPr>
        <w:t xml:space="preserve">nt </w:t>
      </w:r>
      <w:r w:rsidR="00DF2968" w:rsidRPr="00953692">
        <w:rPr>
          <w:rFonts w:cs="Times New Roman"/>
          <w:sz w:val="24"/>
          <w:szCs w:val="24"/>
          <w:shd w:val="clear" w:color="auto" w:fill="FFFFFF"/>
          <w:lang w:val="fr-FR"/>
        </w:rPr>
        <w:t xml:space="preserve">progressivement </w:t>
      </w:r>
      <w:r w:rsidR="00351770" w:rsidRPr="00953692">
        <w:rPr>
          <w:rFonts w:cs="Times New Roman"/>
          <w:sz w:val="24"/>
          <w:szCs w:val="24"/>
          <w:shd w:val="clear" w:color="auto" w:fill="FFFFFF"/>
          <w:lang w:val="fr-FR"/>
        </w:rPr>
        <w:t>l’un</w:t>
      </w:r>
      <w:r w:rsidR="001915BE" w:rsidRPr="00953692">
        <w:rPr>
          <w:rFonts w:cs="Times New Roman"/>
          <w:sz w:val="24"/>
          <w:szCs w:val="24"/>
          <w:shd w:val="clear" w:color="auto" w:fill="FFFFFF"/>
          <w:lang w:val="fr-FR"/>
        </w:rPr>
        <w:t>(e)</w:t>
      </w:r>
      <w:r w:rsidR="00351770" w:rsidRPr="00953692">
        <w:rPr>
          <w:rFonts w:cs="Times New Roman"/>
          <w:sz w:val="24"/>
          <w:szCs w:val="24"/>
          <w:shd w:val="clear" w:color="auto" w:fill="FFFFFF"/>
          <w:lang w:val="fr-FR"/>
        </w:rPr>
        <w:t xml:space="preserve"> après l’autre. C’est ainsi que chacun de </w:t>
      </w:r>
      <w:r w:rsidR="00B805A0" w:rsidRPr="00953692">
        <w:rPr>
          <w:rFonts w:cs="Times New Roman"/>
          <w:sz w:val="24"/>
          <w:szCs w:val="24"/>
          <w:shd w:val="clear" w:color="auto" w:fill="FFFFFF"/>
          <w:lang w:val="fr-FR"/>
        </w:rPr>
        <w:t>c</w:t>
      </w:r>
      <w:r w:rsidR="00351770" w:rsidRPr="00953692">
        <w:rPr>
          <w:rFonts w:cs="Times New Roman"/>
          <w:sz w:val="24"/>
          <w:szCs w:val="24"/>
          <w:shd w:val="clear" w:color="auto" w:fill="FFFFFF"/>
          <w:lang w:val="fr-FR"/>
        </w:rPr>
        <w:t xml:space="preserve">es droits sera </w:t>
      </w:r>
      <w:r w:rsidR="00C15712" w:rsidRPr="00953692">
        <w:rPr>
          <w:rFonts w:cs="Times New Roman"/>
          <w:sz w:val="24"/>
          <w:szCs w:val="24"/>
          <w:shd w:val="clear" w:color="auto" w:fill="FFFFFF"/>
          <w:lang w:val="fr-FR"/>
        </w:rPr>
        <w:t xml:space="preserve">aussi </w:t>
      </w:r>
      <w:r w:rsidR="00351770" w:rsidRPr="00953692">
        <w:rPr>
          <w:rFonts w:cs="Times New Roman"/>
          <w:sz w:val="24"/>
          <w:szCs w:val="24"/>
          <w:shd w:val="clear" w:color="auto" w:fill="FFFFFF"/>
          <w:lang w:val="fr-FR"/>
        </w:rPr>
        <w:t>considéré graduellement dans cette étude comme un pas</w:t>
      </w:r>
      <w:r w:rsidR="009C2B3D" w:rsidRPr="00953692">
        <w:rPr>
          <w:rFonts w:cs="Times New Roman"/>
          <w:sz w:val="24"/>
          <w:szCs w:val="24"/>
          <w:shd w:val="clear" w:color="auto" w:fill="FFFFFF"/>
          <w:lang w:val="fr-FR"/>
        </w:rPr>
        <w:t>, une marche</w:t>
      </w:r>
      <w:r w:rsidR="00351770" w:rsidRPr="00953692">
        <w:rPr>
          <w:rFonts w:cs="Times New Roman"/>
          <w:sz w:val="24"/>
          <w:szCs w:val="24"/>
          <w:shd w:val="clear" w:color="auto" w:fill="FFFFFF"/>
          <w:lang w:val="fr-FR"/>
        </w:rPr>
        <w:t xml:space="preserve"> menant </w:t>
      </w:r>
      <w:r w:rsidR="009C2B3D" w:rsidRPr="00953692">
        <w:rPr>
          <w:rFonts w:cs="Times New Roman"/>
          <w:sz w:val="24"/>
          <w:szCs w:val="24"/>
          <w:shd w:val="clear" w:color="auto" w:fill="FFFFFF"/>
          <w:lang w:val="fr-FR"/>
        </w:rPr>
        <w:t>à</w:t>
      </w:r>
      <w:r w:rsidR="00351770" w:rsidRPr="00953692">
        <w:rPr>
          <w:rFonts w:cs="Times New Roman"/>
          <w:sz w:val="24"/>
          <w:szCs w:val="24"/>
          <w:shd w:val="clear" w:color="auto" w:fill="FFFFFF"/>
          <w:lang w:val="fr-FR"/>
        </w:rPr>
        <w:t xml:space="preserve"> la tenue du procès </w:t>
      </w:r>
      <w:r w:rsidR="00DF2968" w:rsidRPr="00953692">
        <w:rPr>
          <w:rFonts w:cs="Times New Roman"/>
          <w:sz w:val="24"/>
          <w:szCs w:val="24"/>
          <w:shd w:val="clear" w:color="auto" w:fill="FFFFFF"/>
          <w:lang w:val="fr-FR"/>
        </w:rPr>
        <w:t xml:space="preserve">pénal international </w:t>
      </w:r>
      <w:r w:rsidR="008B52B9" w:rsidRPr="00953692">
        <w:rPr>
          <w:rFonts w:cs="Times New Roman"/>
          <w:sz w:val="24"/>
          <w:szCs w:val="24"/>
          <w:shd w:val="clear" w:color="auto" w:fill="FFFFFF"/>
          <w:lang w:val="fr-FR"/>
        </w:rPr>
        <w:t xml:space="preserve">équitable et rapide ou </w:t>
      </w:r>
      <w:r w:rsidR="00351770" w:rsidRPr="00953692">
        <w:rPr>
          <w:rFonts w:cs="Times New Roman"/>
          <w:sz w:val="24"/>
          <w:szCs w:val="24"/>
          <w:shd w:val="clear" w:color="auto" w:fill="FFFFFF"/>
          <w:lang w:val="fr-FR"/>
        </w:rPr>
        <w:t>dans un délai raisonnable</w:t>
      </w:r>
      <w:r w:rsidR="009C2B3D" w:rsidRPr="00953692">
        <w:rPr>
          <w:rFonts w:cs="Times New Roman"/>
          <w:sz w:val="24"/>
          <w:szCs w:val="24"/>
          <w:shd w:val="clear" w:color="auto" w:fill="FFFFFF"/>
          <w:lang w:val="fr-FR"/>
        </w:rPr>
        <w:t>, notamment à l’égard de l’accusé</w:t>
      </w:r>
      <w:r w:rsidR="00351770" w:rsidRPr="00953692">
        <w:rPr>
          <w:rFonts w:cs="Times New Roman"/>
          <w:sz w:val="24"/>
          <w:szCs w:val="24"/>
          <w:shd w:val="clear" w:color="auto" w:fill="FFFFFF"/>
          <w:lang w:val="fr-FR"/>
        </w:rPr>
        <w:t xml:space="preserve">. </w:t>
      </w:r>
    </w:p>
    <w:p w14:paraId="15A1D1D8" w14:textId="1D83890F" w:rsidR="009E5D3B" w:rsidRPr="00ED789C" w:rsidRDefault="00351770" w:rsidP="002328A8">
      <w:pPr>
        <w:pStyle w:val="Titre2"/>
        <w:spacing w:after="160"/>
        <w:ind w:left="1134"/>
        <w:rPr>
          <w:rFonts w:ascii="Times New Roman" w:hAnsi="Times New Roman" w:cs="Times New Roman"/>
          <w:b/>
          <w:bCs/>
          <w:color w:val="auto"/>
          <w:sz w:val="24"/>
          <w:szCs w:val="24"/>
          <w:shd w:val="clear" w:color="auto" w:fill="FFFFFF"/>
          <w:lang w:val="fr-FR"/>
        </w:rPr>
      </w:pPr>
      <w:bookmarkStart w:id="8" w:name="_Toc195179404"/>
      <w:r w:rsidRPr="00ED789C">
        <w:rPr>
          <w:rFonts w:ascii="Times New Roman" w:hAnsi="Times New Roman" w:cs="Times New Roman"/>
          <w:b/>
          <w:bCs/>
          <w:color w:val="auto"/>
          <w:sz w:val="24"/>
          <w:szCs w:val="24"/>
          <w:shd w:val="clear" w:color="auto" w:fill="FFFFFF"/>
          <w:lang w:val="fr-FR"/>
        </w:rPr>
        <w:t>Section 01. Le droit d’être informé dans le plus court délai, un premier pas vers un</w:t>
      </w:r>
      <w:r w:rsidRPr="00ED789C">
        <w:rPr>
          <w:rStyle w:val="grammar"/>
          <w:rFonts w:ascii="Times New Roman" w:hAnsi="Times New Roman" w:cs="Times New Roman"/>
          <w:b/>
          <w:bCs/>
          <w:color w:val="auto"/>
          <w:sz w:val="24"/>
          <w:szCs w:val="24"/>
          <w:lang w:val="fr-FR"/>
        </w:rPr>
        <w:t xml:space="preserve"> </w:t>
      </w:r>
      <w:r w:rsidRPr="00ED789C">
        <w:rPr>
          <w:rFonts w:ascii="Times New Roman" w:hAnsi="Times New Roman" w:cs="Times New Roman"/>
          <w:b/>
          <w:bCs/>
          <w:color w:val="auto"/>
          <w:sz w:val="24"/>
          <w:szCs w:val="24"/>
          <w:shd w:val="clear" w:color="auto" w:fill="FFFFFF"/>
          <w:lang w:val="fr-FR"/>
        </w:rPr>
        <w:t>procès pénal international dans un délai raisonnable</w:t>
      </w:r>
      <w:bookmarkEnd w:id="8"/>
    </w:p>
    <w:p w14:paraId="3E2D4EC7" w14:textId="60AB77A9" w:rsidR="009E5D3B" w:rsidRPr="00953692" w:rsidRDefault="00B30136" w:rsidP="00D14A9B">
      <w:pPr>
        <w:spacing w:after="24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32</w:t>
      </w:r>
      <w:r w:rsidR="00351770" w:rsidRPr="00953692">
        <w:rPr>
          <w:rFonts w:cs="Times New Roman"/>
          <w:b/>
          <w:bCs/>
          <w:sz w:val="24"/>
          <w:szCs w:val="24"/>
          <w:shd w:val="clear" w:color="auto" w:fill="FFFFFF"/>
          <w:lang w:val="fr-FR"/>
        </w:rPr>
        <w:t>.</w:t>
      </w:r>
      <w:r w:rsidR="00351770" w:rsidRPr="00953692">
        <w:rPr>
          <w:rFonts w:cs="Times New Roman"/>
          <w:sz w:val="24"/>
          <w:szCs w:val="24"/>
          <w:shd w:val="clear" w:color="auto" w:fill="FFFFFF"/>
          <w:lang w:val="fr-FR"/>
        </w:rPr>
        <w:t xml:space="preserve"> Comme l’indique sa formulation, le droit d’être informé dans le plus court délai ouvre la voie à la célérité de la procédure. Le</w:t>
      </w:r>
      <w:r w:rsidR="00675737" w:rsidRPr="00953692">
        <w:rPr>
          <w:rFonts w:cs="Times New Roman"/>
          <w:sz w:val="24"/>
          <w:szCs w:val="24"/>
          <w:shd w:val="clear" w:color="auto" w:fill="FFFFFF"/>
          <w:lang w:val="fr-FR"/>
        </w:rPr>
        <w:t>s organes judiciaires, notamment</w:t>
      </w:r>
      <w:r w:rsidR="00351770" w:rsidRPr="00953692">
        <w:rPr>
          <w:rFonts w:cs="Times New Roman"/>
          <w:sz w:val="24"/>
          <w:szCs w:val="24"/>
          <w:shd w:val="clear" w:color="auto" w:fill="FFFFFF"/>
          <w:lang w:val="fr-FR"/>
        </w:rPr>
        <w:t xml:space="preserve"> procureur devra agir vite, dans un délai plus court</w:t>
      </w:r>
      <w:r w:rsidR="00D87206" w:rsidRPr="00953692">
        <w:rPr>
          <w:rFonts w:cs="Times New Roman"/>
          <w:sz w:val="24"/>
          <w:szCs w:val="24"/>
          <w:shd w:val="clear" w:color="auto" w:fill="FFFFFF"/>
          <w:lang w:val="fr-FR"/>
        </w:rPr>
        <w:t xml:space="preserve"> en mettant à la disposition de l’accusé les informations qu’ils disposent à son encontre</w:t>
      </w:r>
      <w:r w:rsidR="00351770" w:rsidRPr="00953692">
        <w:rPr>
          <w:rFonts w:cs="Times New Roman"/>
          <w:sz w:val="24"/>
          <w:szCs w:val="24"/>
          <w:shd w:val="clear" w:color="auto" w:fill="FFFFFF"/>
          <w:lang w:val="fr-FR"/>
        </w:rPr>
        <w:t>. Mais</w:t>
      </w:r>
      <w:r w:rsidR="00430D1B" w:rsidRPr="00953692">
        <w:rPr>
          <w:rFonts w:cs="Times New Roman"/>
          <w:sz w:val="24"/>
          <w:szCs w:val="24"/>
          <w:shd w:val="clear" w:color="auto" w:fill="FFFFFF"/>
          <w:lang w:val="fr-FR"/>
        </w:rPr>
        <w:t xml:space="preserve"> </w:t>
      </w:r>
      <w:r w:rsidR="00D87206" w:rsidRPr="00953692">
        <w:rPr>
          <w:rFonts w:cs="Times New Roman"/>
          <w:sz w:val="24"/>
          <w:szCs w:val="24"/>
          <w:shd w:val="clear" w:color="auto" w:fill="FFFFFF"/>
          <w:lang w:val="fr-FR"/>
        </w:rPr>
        <w:t>la</w:t>
      </w:r>
      <w:r w:rsidR="00430D1B" w:rsidRPr="00953692">
        <w:rPr>
          <w:rFonts w:cs="Times New Roman"/>
          <w:sz w:val="24"/>
          <w:szCs w:val="24"/>
          <w:shd w:val="clear" w:color="auto" w:fill="FFFFFF"/>
          <w:lang w:val="fr-FR"/>
        </w:rPr>
        <w:t xml:space="preserve"> pratique</w:t>
      </w:r>
      <w:r w:rsidR="00D87206" w:rsidRPr="00953692">
        <w:rPr>
          <w:rFonts w:cs="Times New Roman"/>
          <w:sz w:val="24"/>
          <w:szCs w:val="24"/>
          <w:shd w:val="clear" w:color="auto" w:fill="FFFFFF"/>
          <w:lang w:val="fr-FR"/>
        </w:rPr>
        <w:t xml:space="preserve"> des juridictions pénales internationales montre</w:t>
      </w:r>
      <w:r w:rsidR="00351770" w:rsidRPr="00953692">
        <w:rPr>
          <w:rFonts w:cs="Times New Roman"/>
          <w:sz w:val="24"/>
          <w:szCs w:val="24"/>
          <w:shd w:val="clear" w:color="auto" w:fill="FFFFFF"/>
          <w:lang w:val="fr-FR"/>
        </w:rPr>
        <w:t xml:space="preserve"> </w:t>
      </w:r>
      <w:r w:rsidR="00D87206" w:rsidRPr="00953692">
        <w:rPr>
          <w:rFonts w:cs="Times New Roman"/>
          <w:sz w:val="24"/>
          <w:szCs w:val="24"/>
          <w:shd w:val="clear" w:color="auto" w:fill="FFFFFF"/>
          <w:lang w:val="fr-FR"/>
        </w:rPr>
        <w:t>qu’</w:t>
      </w:r>
      <w:r w:rsidR="00351770" w:rsidRPr="00953692">
        <w:rPr>
          <w:rFonts w:cs="Times New Roman"/>
          <w:sz w:val="24"/>
          <w:szCs w:val="24"/>
          <w:shd w:val="clear" w:color="auto" w:fill="FFFFFF"/>
          <w:lang w:val="fr-FR"/>
        </w:rPr>
        <w:t xml:space="preserve">une telle formulation laisse toujours perplexe en ce qui concerne </w:t>
      </w:r>
      <w:r w:rsidR="00D87206" w:rsidRPr="00953692">
        <w:rPr>
          <w:rFonts w:cs="Times New Roman"/>
          <w:sz w:val="24"/>
          <w:szCs w:val="24"/>
          <w:shd w:val="clear" w:color="auto" w:fill="FFFFFF"/>
          <w:lang w:val="fr-FR"/>
        </w:rPr>
        <w:t>l’</w:t>
      </w:r>
      <w:r w:rsidR="00351770" w:rsidRPr="00953692">
        <w:rPr>
          <w:rFonts w:cs="Times New Roman"/>
          <w:sz w:val="24"/>
          <w:szCs w:val="24"/>
          <w:shd w:val="clear" w:color="auto" w:fill="FFFFFF"/>
          <w:lang w:val="fr-FR"/>
        </w:rPr>
        <w:t>applicabilité</w:t>
      </w:r>
      <w:r w:rsidR="00D87206" w:rsidRPr="00953692">
        <w:rPr>
          <w:rFonts w:cs="Times New Roman"/>
          <w:sz w:val="24"/>
          <w:szCs w:val="24"/>
          <w:shd w:val="clear" w:color="auto" w:fill="FFFFFF"/>
          <w:lang w:val="fr-FR"/>
        </w:rPr>
        <w:t xml:space="preserve"> (ou application) de cette norme</w:t>
      </w:r>
      <w:r w:rsidR="00430D1B" w:rsidRPr="00953692">
        <w:rPr>
          <w:rFonts w:cs="Times New Roman"/>
          <w:sz w:val="24"/>
          <w:szCs w:val="24"/>
          <w:shd w:val="clear" w:color="auto" w:fill="FFFFFF"/>
          <w:lang w:val="fr-FR"/>
        </w:rPr>
        <w:t>, parlant précisément de sa temporalité</w:t>
      </w:r>
      <w:r w:rsidR="00351770" w:rsidRPr="00953692">
        <w:rPr>
          <w:rFonts w:cs="Times New Roman"/>
          <w:sz w:val="24"/>
          <w:szCs w:val="24"/>
          <w:shd w:val="clear" w:color="auto" w:fill="FFFFFF"/>
          <w:lang w:val="fr-FR"/>
        </w:rPr>
        <w:t xml:space="preserve">. C’est ainsi que pour mieux saisir son implication sur le délai raisonnable (paragraphe 2), il sera important d’en planter le décor à travers des considérations </w:t>
      </w:r>
      <w:r w:rsidR="00351770" w:rsidRPr="00953692">
        <w:rPr>
          <w:rFonts w:cs="Times New Roman"/>
          <w:sz w:val="24"/>
          <w:szCs w:val="24"/>
          <w:shd w:val="clear" w:color="auto" w:fill="FFFFFF"/>
          <w:lang w:val="fr-FR"/>
        </w:rPr>
        <w:lastRenderedPageBreak/>
        <w:t xml:space="preserve">générales, particulièrement en droit international pénal et en droit international des droits de l’homme (paragraphe 1). </w:t>
      </w:r>
    </w:p>
    <w:p w14:paraId="7BFC16B2" w14:textId="388DAD04" w:rsidR="009E5D3B" w:rsidRPr="00D14A9B" w:rsidRDefault="00ED789C" w:rsidP="009E5D3B">
      <w:pPr>
        <w:spacing w:line="276" w:lineRule="auto"/>
        <w:ind w:left="1134"/>
        <w:jc w:val="both"/>
        <w:rPr>
          <w:rFonts w:cs="Times New Roman"/>
          <w:sz w:val="24"/>
          <w:szCs w:val="24"/>
          <w:shd w:val="clear" w:color="auto" w:fill="FFFFFF"/>
          <w:lang w:val="fr-FR"/>
        </w:rPr>
      </w:pPr>
      <w:r>
        <w:rPr>
          <w:rFonts w:cs="Times New Roman"/>
          <w:sz w:val="24"/>
          <w:szCs w:val="24"/>
          <w:shd w:val="clear" w:color="auto" w:fill="FFFFFF"/>
          <w:lang w:val="fr-FR"/>
        </w:rPr>
        <w:t>Paragraphe 1. Considérations générales</w:t>
      </w:r>
    </w:p>
    <w:p w14:paraId="1C8E8CF2" w14:textId="16E5326D" w:rsidR="006268F8" w:rsidRPr="00953692" w:rsidRDefault="00B30136" w:rsidP="00864BBF">
      <w:pPr>
        <w:spacing w:before="24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33</w:t>
      </w:r>
      <w:r w:rsidR="00351770" w:rsidRPr="00953692">
        <w:rPr>
          <w:rFonts w:cs="Times New Roman"/>
          <w:b/>
          <w:bCs/>
          <w:sz w:val="24"/>
          <w:szCs w:val="24"/>
          <w:shd w:val="clear" w:color="auto" w:fill="FFFFFF"/>
          <w:lang w:val="fr-FR"/>
        </w:rPr>
        <w:t>.</w:t>
      </w:r>
      <w:r w:rsidR="00351770" w:rsidRPr="00953692">
        <w:rPr>
          <w:rFonts w:cs="Times New Roman"/>
          <w:sz w:val="24"/>
          <w:szCs w:val="24"/>
          <w:shd w:val="clear" w:color="auto" w:fill="FFFFFF"/>
          <w:lang w:val="fr-FR"/>
        </w:rPr>
        <w:t xml:space="preserve"> Le droit d’être informé dans le plus court délai de la nature des faits et </w:t>
      </w:r>
      <w:r w:rsidR="00351770" w:rsidRPr="00953692">
        <w:rPr>
          <w:rStyle w:val="grammar"/>
          <w:rFonts w:cs="Times New Roman"/>
          <w:sz w:val="24"/>
          <w:szCs w:val="24"/>
          <w:lang w:val="fr-FR"/>
        </w:rPr>
        <w:t>des accusations</w:t>
      </w:r>
      <w:r w:rsidR="00351770" w:rsidRPr="00953692">
        <w:rPr>
          <w:rFonts w:cs="Times New Roman"/>
          <w:sz w:val="24"/>
          <w:szCs w:val="24"/>
          <w:shd w:val="clear" w:color="auto" w:fill="FFFFFF"/>
          <w:lang w:val="fr-FR"/>
        </w:rPr>
        <w:t xml:space="preserve"> </w:t>
      </w:r>
      <w:r w:rsidR="00421188" w:rsidRPr="00953692">
        <w:rPr>
          <w:rFonts w:cs="Times New Roman"/>
          <w:sz w:val="24"/>
          <w:szCs w:val="24"/>
          <w:shd w:val="clear" w:color="auto" w:fill="FFFFFF"/>
          <w:lang w:val="fr-FR"/>
        </w:rPr>
        <w:t xml:space="preserve">portées contre une personne mise en cause </w:t>
      </w:r>
      <w:r w:rsidR="00351770" w:rsidRPr="00953692">
        <w:rPr>
          <w:rFonts w:cs="Times New Roman"/>
          <w:sz w:val="24"/>
          <w:szCs w:val="24"/>
          <w:shd w:val="clear" w:color="auto" w:fill="FFFFFF"/>
          <w:lang w:val="fr-FR"/>
        </w:rPr>
        <w:t>est parfois difficile à cerner eu égard à sa progressivité. Pour tenter de le faire, il est nécessaire d</w:t>
      </w:r>
      <w:r w:rsidR="004B6FD8" w:rsidRPr="00953692">
        <w:rPr>
          <w:rFonts w:cs="Times New Roman"/>
          <w:sz w:val="24"/>
          <w:szCs w:val="24"/>
          <w:shd w:val="clear" w:color="auto" w:fill="FFFFFF"/>
          <w:lang w:val="fr-FR"/>
        </w:rPr>
        <w:t>’</w:t>
      </w:r>
      <w:r w:rsidR="00351770" w:rsidRPr="00953692">
        <w:rPr>
          <w:rFonts w:cs="Times New Roman"/>
          <w:sz w:val="24"/>
          <w:szCs w:val="24"/>
          <w:shd w:val="clear" w:color="auto" w:fill="FFFFFF"/>
          <w:lang w:val="fr-FR"/>
        </w:rPr>
        <w:t>e</w:t>
      </w:r>
      <w:r w:rsidR="004B6FD8" w:rsidRPr="00953692">
        <w:rPr>
          <w:rFonts w:cs="Times New Roman"/>
          <w:sz w:val="24"/>
          <w:szCs w:val="24"/>
          <w:shd w:val="clear" w:color="auto" w:fill="FFFFFF"/>
          <w:lang w:val="fr-FR"/>
        </w:rPr>
        <w:t>n</w:t>
      </w:r>
      <w:r w:rsidR="00351770" w:rsidRPr="00953692">
        <w:rPr>
          <w:rFonts w:cs="Times New Roman"/>
          <w:sz w:val="24"/>
          <w:szCs w:val="24"/>
          <w:shd w:val="clear" w:color="auto" w:fill="FFFFFF"/>
          <w:lang w:val="fr-FR"/>
        </w:rPr>
        <w:t xml:space="preserve"> préciser les modalités de réalisation, plus exactement en procédure pénale internationale (B). Mais avant d’en arriver là, il est </w:t>
      </w:r>
      <w:r w:rsidR="004B6FD8" w:rsidRPr="00953692">
        <w:rPr>
          <w:rFonts w:cs="Times New Roman"/>
          <w:sz w:val="24"/>
          <w:szCs w:val="24"/>
          <w:shd w:val="clear" w:color="auto" w:fill="FFFFFF"/>
          <w:lang w:val="fr-FR"/>
        </w:rPr>
        <w:t>évident</w:t>
      </w:r>
      <w:r w:rsidR="00351770" w:rsidRPr="00953692">
        <w:rPr>
          <w:rFonts w:cs="Times New Roman"/>
          <w:sz w:val="24"/>
          <w:szCs w:val="24"/>
          <w:shd w:val="clear" w:color="auto" w:fill="FFFFFF"/>
          <w:lang w:val="fr-FR"/>
        </w:rPr>
        <w:t xml:space="preserve"> </w:t>
      </w:r>
      <w:r w:rsidR="00351770" w:rsidRPr="00953692">
        <w:rPr>
          <w:rStyle w:val="grammar"/>
          <w:rFonts w:cs="Times New Roman"/>
          <w:sz w:val="24"/>
          <w:szCs w:val="24"/>
          <w:lang w:val="fr-FR"/>
        </w:rPr>
        <w:t>d'aborder</w:t>
      </w:r>
      <w:r w:rsidR="00351770" w:rsidRPr="00953692">
        <w:rPr>
          <w:rFonts w:cs="Times New Roman"/>
          <w:sz w:val="24"/>
          <w:szCs w:val="24"/>
          <w:shd w:val="clear" w:color="auto" w:fill="FFFFFF"/>
          <w:lang w:val="fr-FR"/>
        </w:rPr>
        <w:t xml:space="preserve"> brièvement ses sources et son étendue</w:t>
      </w:r>
      <w:r w:rsidR="005743A4" w:rsidRPr="00953692">
        <w:rPr>
          <w:rFonts w:cs="Times New Roman"/>
          <w:sz w:val="24"/>
          <w:szCs w:val="24"/>
          <w:shd w:val="clear" w:color="auto" w:fill="FFFFFF"/>
          <w:lang w:val="fr-FR"/>
        </w:rPr>
        <w:t xml:space="preserve"> en procédure pénale</w:t>
      </w:r>
      <w:r w:rsidR="00351770" w:rsidRPr="00953692">
        <w:rPr>
          <w:rFonts w:cs="Times New Roman"/>
          <w:sz w:val="24"/>
          <w:szCs w:val="24"/>
          <w:shd w:val="clear" w:color="auto" w:fill="FFFFFF"/>
          <w:lang w:val="fr-FR"/>
        </w:rPr>
        <w:t xml:space="preserve"> (A).</w:t>
      </w:r>
      <w:bookmarkStart w:id="9" w:name="_Hlk97729512"/>
      <w:bookmarkEnd w:id="7"/>
    </w:p>
    <w:p w14:paraId="4A157FF3" w14:textId="61B42272" w:rsidR="006268F8" w:rsidRPr="00D14A9B" w:rsidRDefault="00A936CA" w:rsidP="009E5D3B">
      <w:pPr>
        <w:pStyle w:val="Paragraphedeliste"/>
        <w:numPr>
          <w:ilvl w:val="0"/>
          <w:numId w:val="11"/>
        </w:numPr>
        <w:spacing w:before="240" w:line="276" w:lineRule="auto"/>
        <w:jc w:val="both"/>
        <w:outlineLvl w:val="2"/>
        <w:rPr>
          <w:rFonts w:eastAsia="Calibri" w:cs="Times New Roman"/>
          <w:bCs/>
          <w:sz w:val="24"/>
          <w:szCs w:val="24"/>
          <w:lang w:val="fr-FR"/>
        </w:rPr>
      </w:pPr>
      <w:bookmarkStart w:id="10" w:name="_Toc195179405"/>
      <w:bookmarkStart w:id="11" w:name="_Hlk139360792"/>
      <w:r w:rsidRPr="00D14A9B">
        <w:rPr>
          <w:rFonts w:cs="Times New Roman"/>
          <w:bCs/>
          <w:i/>
          <w:iCs/>
          <w:sz w:val="24"/>
          <w:szCs w:val="24"/>
          <w:lang w:val="fr-FR"/>
        </w:rPr>
        <w:t>Sources et é</w:t>
      </w:r>
      <w:r w:rsidR="00731990" w:rsidRPr="00D14A9B">
        <w:rPr>
          <w:rFonts w:cs="Times New Roman"/>
          <w:bCs/>
          <w:i/>
          <w:iCs/>
          <w:sz w:val="24"/>
          <w:szCs w:val="24"/>
          <w:lang w:val="fr-FR"/>
        </w:rPr>
        <w:t>tendue d</w:t>
      </w:r>
      <w:r w:rsidR="00E37A32" w:rsidRPr="00D14A9B">
        <w:rPr>
          <w:rFonts w:cs="Times New Roman"/>
          <w:bCs/>
          <w:i/>
          <w:iCs/>
          <w:sz w:val="24"/>
          <w:szCs w:val="24"/>
          <w:lang w:val="fr-FR"/>
        </w:rPr>
        <w:t>u droit d’</w:t>
      </w:r>
      <w:r w:rsidR="00F35B73" w:rsidRPr="00D14A9B">
        <w:rPr>
          <w:rFonts w:cs="Times New Roman"/>
          <w:bCs/>
          <w:i/>
          <w:iCs/>
          <w:sz w:val="24"/>
          <w:szCs w:val="24"/>
          <w:lang w:val="fr-FR"/>
        </w:rPr>
        <w:t>être</w:t>
      </w:r>
      <w:r w:rsidR="00E37A32" w:rsidRPr="00D14A9B">
        <w:rPr>
          <w:rFonts w:cs="Times New Roman"/>
          <w:bCs/>
          <w:i/>
          <w:iCs/>
          <w:sz w:val="24"/>
          <w:szCs w:val="24"/>
          <w:lang w:val="fr-FR"/>
        </w:rPr>
        <w:t xml:space="preserve"> informé dans le plus court délai</w:t>
      </w:r>
      <w:bookmarkEnd w:id="10"/>
    </w:p>
    <w:bookmarkEnd w:id="11"/>
    <w:p w14:paraId="2B70DC08" w14:textId="62190723" w:rsidR="00C97ECE" w:rsidRPr="00953692" w:rsidRDefault="00B30136" w:rsidP="00864BBF">
      <w:pPr>
        <w:spacing w:before="240" w:line="276" w:lineRule="auto"/>
        <w:ind w:firstLine="1134"/>
        <w:jc w:val="both"/>
        <w:rPr>
          <w:rFonts w:cs="Times New Roman"/>
          <w:sz w:val="24"/>
          <w:szCs w:val="24"/>
          <w:lang w:val="fr-FR"/>
        </w:rPr>
      </w:pPr>
      <w:r w:rsidRPr="00953692">
        <w:rPr>
          <w:rFonts w:cs="Times New Roman"/>
          <w:b/>
          <w:bCs/>
          <w:sz w:val="24"/>
          <w:szCs w:val="24"/>
          <w:lang w:val="fr-FR"/>
        </w:rPr>
        <w:t>34</w:t>
      </w:r>
      <w:r w:rsidR="00A9016A" w:rsidRPr="00953692">
        <w:rPr>
          <w:rFonts w:cs="Times New Roman"/>
          <w:b/>
          <w:bCs/>
          <w:sz w:val="24"/>
          <w:szCs w:val="24"/>
          <w:lang w:val="fr-FR"/>
        </w:rPr>
        <w:t>.</w:t>
      </w:r>
      <w:r w:rsidR="00A9016A" w:rsidRPr="00953692">
        <w:rPr>
          <w:rFonts w:cs="Times New Roman"/>
          <w:sz w:val="24"/>
          <w:szCs w:val="24"/>
          <w:lang w:val="fr-FR"/>
        </w:rPr>
        <w:t xml:space="preserve"> </w:t>
      </w:r>
      <w:r w:rsidR="003A502B" w:rsidRPr="00953692">
        <w:rPr>
          <w:rFonts w:cs="Times New Roman"/>
          <w:sz w:val="24"/>
          <w:szCs w:val="24"/>
          <w:lang w:val="fr-FR"/>
        </w:rPr>
        <w:t>Le droit d’</w:t>
      </w:r>
      <w:r w:rsidR="008C1247" w:rsidRPr="00953692">
        <w:rPr>
          <w:rFonts w:cs="Times New Roman"/>
          <w:sz w:val="24"/>
          <w:szCs w:val="24"/>
          <w:lang w:val="fr-FR"/>
        </w:rPr>
        <w:t>être</w:t>
      </w:r>
      <w:r w:rsidR="003A502B" w:rsidRPr="00953692">
        <w:rPr>
          <w:rFonts w:cs="Times New Roman"/>
          <w:sz w:val="24"/>
          <w:szCs w:val="24"/>
          <w:lang w:val="fr-FR"/>
        </w:rPr>
        <w:t xml:space="preserve"> informé</w:t>
      </w:r>
      <w:r w:rsidR="008C1247" w:rsidRPr="00953692">
        <w:rPr>
          <w:rFonts w:cs="Times New Roman"/>
          <w:sz w:val="24"/>
          <w:szCs w:val="24"/>
          <w:lang w:val="fr-FR"/>
        </w:rPr>
        <w:t xml:space="preserve"> dans </w:t>
      </w:r>
      <w:r w:rsidR="00300C12" w:rsidRPr="00953692">
        <w:rPr>
          <w:rFonts w:cs="Times New Roman"/>
          <w:sz w:val="24"/>
          <w:szCs w:val="24"/>
          <w:lang w:val="fr-FR"/>
        </w:rPr>
        <w:t>le plus court délai est à retrouver dans l</w:t>
      </w:r>
      <w:r w:rsidR="00571875" w:rsidRPr="00953692">
        <w:rPr>
          <w:rFonts w:cs="Times New Roman"/>
          <w:sz w:val="24"/>
          <w:szCs w:val="24"/>
          <w:lang w:val="fr-FR"/>
        </w:rPr>
        <w:t>a plupart d</w:t>
      </w:r>
      <w:r w:rsidR="00300C12" w:rsidRPr="00953692">
        <w:rPr>
          <w:rFonts w:cs="Times New Roman"/>
          <w:sz w:val="24"/>
          <w:szCs w:val="24"/>
          <w:lang w:val="fr-FR"/>
        </w:rPr>
        <w:t>es textes généraux consacr</w:t>
      </w:r>
      <w:r w:rsidR="00963AF6" w:rsidRPr="00953692">
        <w:rPr>
          <w:rFonts w:cs="Times New Roman"/>
          <w:sz w:val="24"/>
          <w:szCs w:val="24"/>
          <w:lang w:val="fr-FR"/>
        </w:rPr>
        <w:t>a</w:t>
      </w:r>
      <w:r w:rsidR="00300C12" w:rsidRPr="00953692">
        <w:rPr>
          <w:rFonts w:cs="Times New Roman"/>
          <w:sz w:val="24"/>
          <w:szCs w:val="24"/>
          <w:lang w:val="fr-FR"/>
        </w:rPr>
        <w:t xml:space="preserve">nt </w:t>
      </w:r>
      <w:r w:rsidR="00571875" w:rsidRPr="00953692">
        <w:rPr>
          <w:rFonts w:cs="Times New Roman"/>
          <w:sz w:val="24"/>
          <w:szCs w:val="24"/>
          <w:lang w:val="fr-FR"/>
        </w:rPr>
        <w:t>au niveau international</w:t>
      </w:r>
      <w:r w:rsidR="00300C12" w:rsidRPr="00953692">
        <w:rPr>
          <w:rFonts w:cs="Times New Roman"/>
          <w:sz w:val="24"/>
          <w:szCs w:val="24"/>
          <w:lang w:val="fr-FR"/>
        </w:rPr>
        <w:t xml:space="preserve"> les droits de l’homme</w:t>
      </w:r>
      <w:r w:rsidR="00571875" w:rsidRPr="00953692">
        <w:rPr>
          <w:rFonts w:cs="Times New Roman"/>
          <w:sz w:val="24"/>
          <w:szCs w:val="24"/>
          <w:lang w:val="fr-FR"/>
        </w:rPr>
        <w:t xml:space="preserve"> garantis à</w:t>
      </w:r>
      <w:r w:rsidR="00300C12" w:rsidRPr="00953692">
        <w:rPr>
          <w:rFonts w:cs="Times New Roman"/>
          <w:sz w:val="24"/>
          <w:szCs w:val="24"/>
          <w:lang w:val="fr-FR"/>
        </w:rPr>
        <w:t xml:space="preserve"> la personne mise en cause dans une affaire pénale. </w:t>
      </w:r>
      <w:r w:rsidR="00571875" w:rsidRPr="00953692">
        <w:rPr>
          <w:rFonts w:cs="Times New Roman"/>
          <w:sz w:val="24"/>
          <w:szCs w:val="24"/>
          <w:lang w:val="fr-FR"/>
        </w:rPr>
        <w:t>Nous aborderons principalement le Pacte international des droits civils et politiques en raison de son universalité et de s</w:t>
      </w:r>
      <w:r w:rsidR="002F48D8" w:rsidRPr="00953692">
        <w:rPr>
          <w:rFonts w:cs="Times New Roman"/>
          <w:sz w:val="24"/>
          <w:szCs w:val="24"/>
          <w:lang w:val="fr-FR"/>
        </w:rPr>
        <w:t>a force juridique</w:t>
      </w:r>
      <w:r w:rsidR="00571875" w:rsidRPr="00953692">
        <w:rPr>
          <w:rFonts w:cs="Times New Roman"/>
          <w:sz w:val="24"/>
          <w:szCs w:val="24"/>
          <w:lang w:val="fr-FR"/>
        </w:rPr>
        <w:t xml:space="preserve"> (1). </w:t>
      </w:r>
      <w:r w:rsidR="00300C12" w:rsidRPr="00953692">
        <w:rPr>
          <w:rFonts w:cs="Times New Roman"/>
          <w:sz w:val="24"/>
          <w:szCs w:val="24"/>
          <w:lang w:val="fr-FR"/>
        </w:rPr>
        <w:t>Si ce texte peut s’appliquer, dans une certaine mesure</w:t>
      </w:r>
      <w:r w:rsidR="00571875" w:rsidRPr="00953692">
        <w:rPr>
          <w:rFonts w:cs="Times New Roman"/>
          <w:sz w:val="24"/>
          <w:szCs w:val="24"/>
          <w:lang w:val="fr-FR"/>
        </w:rPr>
        <w:t>,</w:t>
      </w:r>
      <w:r w:rsidR="00300C12" w:rsidRPr="00953692">
        <w:rPr>
          <w:rFonts w:cs="Times New Roman"/>
          <w:sz w:val="24"/>
          <w:szCs w:val="24"/>
          <w:lang w:val="fr-FR"/>
        </w:rPr>
        <w:t xml:space="preserve"> aux juridictions pénales internationales, </w:t>
      </w:r>
      <w:r w:rsidR="0073383D" w:rsidRPr="00953692">
        <w:rPr>
          <w:rFonts w:cs="Times New Roman"/>
          <w:sz w:val="24"/>
          <w:szCs w:val="24"/>
          <w:lang w:val="fr-FR"/>
        </w:rPr>
        <w:t>il sied de préciser</w:t>
      </w:r>
      <w:r w:rsidR="000E751A" w:rsidRPr="00953692">
        <w:rPr>
          <w:rFonts w:cs="Times New Roman"/>
          <w:sz w:val="24"/>
          <w:szCs w:val="24"/>
          <w:lang w:val="fr-FR"/>
        </w:rPr>
        <w:t>,</w:t>
      </w:r>
      <w:r w:rsidR="0073383D" w:rsidRPr="00953692">
        <w:rPr>
          <w:rFonts w:cs="Times New Roman"/>
          <w:sz w:val="24"/>
          <w:szCs w:val="24"/>
          <w:lang w:val="fr-FR"/>
        </w:rPr>
        <w:t xml:space="preserve"> </w:t>
      </w:r>
      <w:r w:rsidR="00571875" w:rsidRPr="00953692">
        <w:rPr>
          <w:rFonts w:cs="Times New Roman"/>
          <w:sz w:val="24"/>
          <w:szCs w:val="24"/>
          <w:lang w:val="fr-FR"/>
        </w:rPr>
        <w:t xml:space="preserve">par ailleurs, </w:t>
      </w:r>
      <w:r w:rsidR="0073383D" w:rsidRPr="00953692">
        <w:rPr>
          <w:rFonts w:cs="Times New Roman"/>
          <w:sz w:val="24"/>
          <w:szCs w:val="24"/>
          <w:lang w:val="fr-FR"/>
        </w:rPr>
        <w:t xml:space="preserve">que celles-ci </w:t>
      </w:r>
      <w:r w:rsidR="00F4703D" w:rsidRPr="00953692">
        <w:rPr>
          <w:rFonts w:cs="Times New Roman"/>
          <w:sz w:val="24"/>
          <w:szCs w:val="24"/>
          <w:lang w:val="fr-FR"/>
        </w:rPr>
        <w:t xml:space="preserve">appliquent en premier lieu leurs propres actes constitutifs, </w:t>
      </w:r>
      <w:r w:rsidR="00571875" w:rsidRPr="00953692">
        <w:rPr>
          <w:rFonts w:cs="Times New Roman"/>
          <w:sz w:val="24"/>
          <w:szCs w:val="24"/>
          <w:lang w:val="fr-FR"/>
        </w:rPr>
        <w:t xml:space="preserve">qui </w:t>
      </w:r>
      <w:r w:rsidR="00F4703D" w:rsidRPr="00953692">
        <w:rPr>
          <w:rFonts w:cs="Times New Roman"/>
          <w:sz w:val="24"/>
          <w:szCs w:val="24"/>
          <w:lang w:val="fr-FR"/>
        </w:rPr>
        <w:t>repren</w:t>
      </w:r>
      <w:r w:rsidR="00571875" w:rsidRPr="00953692">
        <w:rPr>
          <w:rFonts w:cs="Times New Roman"/>
          <w:sz w:val="24"/>
          <w:szCs w:val="24"/>
          <w:lang w:val="fr-FR"/>
        </w:rPr>
        <w:t>ne</w:t>
      </w:r>
      <w:r w:rsidR="00F4703D" w:rsidRPr="00953692">
        <w:rPr>
          <w:rFonts w:cs="Times New Roman"/>
          <w:sz w:val="24"/>
          <w:szCs w:val="24"/>
          <w:lang w:val="fr-FR"/>
        </w:rPr>
        <w:t xml:space="preserve">nt </w:t>
      </w:r>
      <w:r w:rsidR="00571875" w:rsidRPr="00953692">
        <w:rPr>
          <w:rFonts w:cs="Times New Roman"/>
          <w:sz w:val="24"/>
          <w:szCs w:val="24"/>
          <w:lang w:val="fr-FR"/>
        </w:rPr>
        <w:t xml:space="preserve">tous </w:t>
      </w:r>
      <w:r w:rsidR="00F4703D" w:rsidRPr="00953692">
        <w:rPr>
          <w:rFonts w:cs="Times New Roman"/>
          <w:sz w:val="24"/>
          <w:szCs w:val="24"/>
          <w:lang w:val="fr-FR"/>
        </w:rPr>
        <w:t>évidem</w:t>
      </w:r>
      <w:r w:rsidR="00A9016A" w:rsidRPr="00953692">
        <w:rPr>
          <w:rFonts w:cs="Times New Roman"/>
          <w:sz w:val="24"/>
          <w:szCs w:val="24"/>
          <w:lang w:val="fr-FR"/>
        </w:rPr>
        <w:t>ment cette prérogative (2).</w:t>
      </w:r>
    </w:p>
    <w:p w14:paraId="53387588" w14:textId="0519A033" w:rsidR="008F1340" w:rsidRPr="00D14A9B" w:rsidRDefault="008F1340" w:rsidP="004D61B4">
      <w:pPr>
        <w:pStyle w:val="Paragraphedeliste"/>
        <w:numPr>
          <w:ilvl w:val="0"/>
          <w:numId w:val="10"/>
        </w:numPr>
        <w:spacing w:line="276" w:lineRule="auto"/>
        <w:jc w:val="both"/>
        <w:outlineLvl w:val="2"/>
        <w:rPr>
          <w:rFonts w:cs="Times New Roman"/>
          <w:bCs/>
          <w:i/>
          <w:iCs/>
          <w:sz w:val="24"/>
          <w:szCs w:val="24"/>
          <w:lang w:val="fr-FR"/>
        </w:rPr>
      </w:pPr>
      <w:bookmarkStart w:id="12" w:name="_Toc195179406"/>
      <w:bookmarkStart w:id="13" w:name="_Hlk148809684"/>
      <w:r w:rsidRPr="00D14A9B">
        <w:rPr>
          <w:rFonts w:cs="Times New Roman"/>
          <w:bCs/>
          <w:i/>
          <w:iCs/>
          <w:sz w:val="24"/>
          <w:szCs w:val="24"/>
          <w:lang w:val="fr-FR"/>
        </w:rPr>
        <w:t xml:space="preserve">Le droit d’être informé </w:t>
      </w:r>
      <w:r w:rsidR="00D74DE6" w:rsidRPr="00D14A9B">
        <w:rPr>
          <w:rFonts w:cs="Times New Roman"/>
          <w:bCs/>
          <w:i/>
          <w:iCs/>
          <w:sz w:val="24"/>
          <w:szCs w:val="24"/>
          <w:lang w:val="fr-FR"/>
        </w:rPr>
        <w:t xml:space="preserve">dans le plus court délai, </w:t>
      </w:r>
      <w:r w:rsidRPr="00D14A9B">
        <w:rPr>
          <w:rFonts w:cs="Times New Roman"/>
          <w:bCs/>
          <w:i/>
          <w:iCs/>
          <w:sz w:val="24"/>
          <w:szCs w:val="24"/>
          <w:lang w:val="fr-FR"/>
        </w:rPr>
        <w:t>dans les textes</w:t>
      </w:r>
      <w:r w:rsidR="00FE7A8C" w:rsidRPr="00D14A9B">
        <w:rPr>
          <w:rFonts w:cs="Times New Roman"/>
          <w:bCs/>
          <w:i/>
          <w:iCs/>
          <w:sz w:val="24"/>
          <w:szCs w:val="24"/>
          <w:lang w:val="fr-FR"/>
        </w:rPr>
        <w:t xml:space="preserve"> juridiques</w:t>
      </w:r>
      <w:r w:rsidRPr="00D14A9B">
        <w:rPr>
          <w:rFonts w:cs="Times New Roman"/>
          <w:bCs/>
          <w:i/>
          <w:iCs/>
          <w:sz w:val="24"/>
          <w:szCs w:val="24"/>
          <w:lang w:val="fr-FR"/>
        </w:rPr>
        <w:t xml:space="preserve"> </w:t>
      </w:r>
      <w:r w:rsidR="0006498F" w:rsidRPr="00D14A9B">
        <w:rPr>
          <w:rFonts w:cs="Times New Roman"/>
          <w:bCs/>
          <w:i/>
          <w:iCs/>
          <w:sz w:val="24"/>
          <w:szCs w:val="24"/>
          <w:lang w:val="fr-FR"/>
        </w:rPr>
        <w:t>internationaux relatifs aux droits de l’homme</w:t>
      </w:r>
      <w:bookmarkEnd w:id="12"/>
    </w:p>
    <w:bookmarkEnd w:id="13"/>
    <w:p w14:paraId="38C3BA91" w14:textId="0C5526DA" w:rsidR="00625DDD" w:rsidRPr="00953692" w:rsidRDefault="00B30136"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35</w:t>
      </w:r>
      <w:r w:rsidR="001B7049" w:rsidRPr="00953692">
        <w:rPr>
          <w:rFonts w:cs="Times New Roman"/>
          <w:b/>
          <w:bCs/>
          <w:sz w:val="24"/>
          <w:szCs w:val="24"/>
          <w:lang w:val="fr-FR"/>
        </w:rPr>
        <w:t>.</w:t>
      </w:r>
      <w:r w:rsidR="001B7049" w:rsidRPr="00953692">
        <w:rPr>
          <w:rFonts w:cs="Times New Roman"/>
          <w:sz w:val="24"/>
          <w:szCs w:val="24"/>
          <w:lang w:val="fr-FR"/>
        </w:rPr>
        <w:t xml:space="preserve"> </w:t>
      </w:r>
      <w:r w:rsidR="00F45016" w:rsidRPr="00953692">
        <w:rPr>
          <w:rFonts w:cs="Times New Roman"/>
          <w:sz w:val="24"/>
          <w:szCs w:val="24"/>
          <w:lang w:val="fr-FR"/>
        </w:rPr>
        <w:t xml:space="preserve">En droit international </w:t>
      </w:r>
      <w:r w:rsidR="00B805A0" w:rsidRPr="00953692">
        <w:rPr>
          <w:rFonts w:cs="Times New Roman"/>
          <w:sz w:val="24"/>
          <w:szCs w:val="24"/>
          <w:lang w:val="fr-FR"/>
        </w:rPr>
        <w:t>des droits de l’homme</w:t>
      </w:r>
      <w:r w:rsidR="00F45016" w:rsidRPr="00953692">
        <w:rPr>
          <w:rFonts w:cs="Times New Roman"/>
          <w:sz w:val="24"/>
          <w:szCs w:val="24"/>
          <w:lang w:val="fr-FR"/>
        </w:rPr>
        <w:t xml:space="preserve">, ce droit </w:t>
      </w:r>
      <w:r w:rsidR="009C26A8" w:rsidRPr="00953692">
        <w:rPr>
          <w:rFonts w:cs="Times New Roman"/>
          <w:sz w:val="24"/>
          <w:szCs w:val="24"/>
          <w:lang w:val="fr-FR"/>
        </w:rPr>
        <w:t xml:space="preserve">à l’information </w:t>
      </w:r>
      <w:r w:rsidR="00F45016" w:rsidRPr="00953692">
        <w:rPr>
          <w:rFonts w:cs="Times New Roman"/>
          <w:sz w:val="24"/>
          <w:szCs w:val="24"/>
          <w:lang w:val="fr-FR"/>
        </w:rPr>
        <w:t xml:space="preserve">est à retrouver </w:t>
      </w:r>
      <w:r w:rsidR="009C26A8" w:rsidRPr="00953692">
        <w:rPr>
          <w:rFonts w:cs="Times New Roman"/>
          <w:sz w:val="24"/>
          <w:szCs w:val="24"/>
          <w:lang w:val="fr-FR"/>
        </w:rPr>
        <w:t>essentiellement</w:t>
      </w:r>
      <w:r w:rsidR="00F45016" w:rsidRPr="00953692">
        <w:rPr>
          <w:rFonts w:cs="Times New Roman"/>
          <w:sz w:val="24"/>
          <w:szCs w:val="24"/>
          <w:lang w:val="fr-FR"/>
        </w:rPr>
        <w:t xml:space="preserve"> dans le Pacte international des droits civils et politiques de 1966 qui </w:t>
      </w:r>
      <w:r w:rsidR="009C26A8" w:rsidRPr="00953692">
        <w:rPr>
          <w:rFonts w:cs="Times New Roman"/>
          <w:sz w:val="24"/>
          <w:szCs w:val="24"/>
          <w:lang w:val="fr-FR"/>
        </w:rPr>
        <w:t>le prévoit</w:t>
      </w:r>
      <w:r w:rsidR="00F45016" w:rsidRPr="00953692">
        <w:rPr>
          <w:rFonts w:cs="Times New Roman"/>
          <w:sz w:val="24"/>
          <w:szCs w:val="24"/>
          <w:lang w:val="fr-FR"/>
        </w:rPr>
        <w:t xml:space="preserve"> </w:t>
      </w:r>
      <w:r w:rsidR="009C26A8" w:rsidRPr="00953692">
        <w:rPr>
          <w:rFonts w:cs="Times New Roman"/>
          <w:sz w:val="24"/>
          <w:szCs w:val="24"/>
          <w:lang w:val="fr-FR"/>
        </w:rPr>
        <w:t>en effet pour la première fois</w:t>
      </w:r>
      <w:r w:rsidR="00E64EFC" w:rsidRPr="00953692">
        <w:rPr>
          <w:rFonts w:cs="Times New Roman"/>
          <w:sz w:val="24"/>
          <w:szCs w:val="24"/>
          <w:lang w:val="fr-FR"/>
        </w:rPr>
        <w:t>, après l’esquisse que l’on peut attribuer au statut du TMI de Nuremberg</w:t>
      </w:r>
      <w:r w:rsidR="007277EE" w:rsidRPr="00953692">
        <w:rPr>
          <w:rFonts w:cs="Times New Roman"/>
          <w:sz w:val="24"/>
          <w:szCs w:val="24"/>
          <w:lang w:val="fr-FR"/>
        </w:rPr>
        <w:t>. D’abord</w:t>
      </w:r>
      <w:r w:rsidR="000E751A" w:rsidRPr="00953692">
        <w:rPr>
          <w:rFonts w:cs="Times New Roman"/>
          <w:sz w:val="24"/>
          <w:szCs w:val="24"/>
          <w:lang w:val="fr-FR"/>
        </w:rPr>
        <w:t>,</w:t>
      </w:r>
      <w:r w:rsidR="007277EE" w:rsidRPr="00953692">
        <w:rPr>
          <w:rFonts w:cs="Times New Roman"/>
          <w:sz w:val="24"/>
          <w:szCs w:val="24"/>
          <w:lang w:val="fr-FR"/>
        </w:rPr>
        <w:t xml:space="preserve"> en son article 9, évoquant </w:t>
      </w:r>
      <w:r w:rsidR="007277EE" w:rsidRPr="00953692">
        <w:rPr>
          <w:rFonts w:cs="Times New Roman"/>
          <w:i/>
          <w:iCs/>
          <w:sz w:val="24"/>
          <w:szCs w:val="24"/>
          <w:lang w:val="fr-FR"/>
        </w:rPr>
        <w:t>la garantie du droit à la liberté individuelle</w:t>
      </w:r>
      <w:r w:rsidR="007277EE" w:rsidRPr="00953692">
        <w:rPr>
          <w:rFonts w:cs="Times New Roman"/>
          <w:sz w:val="24"/>
          <w:szCs w:val="24"/>
          <w:lang w:val="fr-FR"/>
        </w:rPr>
        <w:t xml:space="preserve">, ce texte </w:t>
      </w:r>
      <w:r w:rsidR="009C26A8" w:rsidRPr="00953692">
        <w:rPr>
          <w:rFonts w:cs="Times New Roman"/>
          <w:sz w:val="24"/>
          <w:szCs w:val="24"/>
          <w:lang w:val="fr-FR"/>
        </w:rPr>
        <w:t xml:space="preserve">international </w:t>
      </w:r>
      <w:r w:rsidR="007277EE" w:rsidRPr="00953692">
        <w:rPr>
          <w:rFonts w:cs="Times New Roman"/>
          <w:sz w:val="24"/>
          <w:szCs w:val="24"/>
          <w:lang w:val="fr-FR"/>
        </w:rPr>
        <w:t>prévoit qu’en cas d’arrestation, la personne arrêtée soit informée</w:t>
      </w:r>
      <w:r w:rsidR="007277EE" w:rsidRPr="00953692">
        <w:rPr>
          <w:rFonts w:cs="Times New Roman"/>
          <w:spacing w:val="4"/>
          <w:sz w:val="24"/>
          <w:szCs w:val="24"/>
          <w:lang w:val="fr-FR"/>
        </w:rPr>
        <w:t xml:space="preserve">, </w:t>
      </w:r>
      <w:r w:rsidR="007277EE" w:rsidRPr="00953692">
        <w:rPr>
          <w:rFonts w:cs="Times New Roman"/>
          <w:i/>
          <w:iCs/>
          <w:spacing w:val="4"/>
          <w:sz w:val="24"/>
          <w:szCs w:val="24"/>
          <w:lang w:val="fr-FR"/>
        </w:rPr>
        <w:t>au moment de son arrestation, des raisons de cette arrestation</w:t>
      </w:r>
      <w:r w:rsidR="000E751A" w:rsidRPr="00953692">
        <w:rPr>
          <w:rFonts w:cs="Times New Roman"/>
          <w:i/>
          <w:iCs/>
          <w:spacing w:val="4"/>
          <w:sz w:val="24"/>
          <w:szCs w:val="24"/>
          <w:lang w:val="fr-FR"/>
        </w:rPr>
        <w:t>,</w:t>
      </w:r>
      <w:r w:rsidR="007277EE" w:rsidRPr="00953692">
        <w:rPr>
          <w:rFonts w:cs="Times New Roman"/>
          <w:i/>
          <w:iCs/>
          <w:spacing w:val="4"/>
          <w:sz w:val="24"/>
          <w:szCs w:val="24"/>
          <w:lang w:val="fr-FR"/>
        </w:rPr>
        <w:t xml:space="preserve"> et recevra notification, dans le plus court délai, de toute accusation portée contre lui</w:t>
      </w:r>
      <w:r w:rsidR="007277EE" w:rsidRPr="00953692">
        <w:rPr>
          <w:rFonts w:cs="Times New Roman"/>
          <w:spacing w:val="4"/>
          <w:sz w:val="24"/>
          <w:szCs w:val="24"/>
          <w:lang w:val="fr-FR"/>
        </w:rPr>
        <w:t xml:space="preserve">. </w:t>
      </w:r>
      <w:r w:rsidR="00237780" w:rsidRPr="00953692">
        <w:rPr>
          <w:rFonts w:cs="Times New Roman"/>
          <w:spacing w:val="4"/>
          <w:sz w:val="24"/>
          <w:szCs w:val="24"/>
          <w:lang w:val="fr-FR"/>
        </w:rPr>
        <w:t>La lecture minutieuse de cette disposition permet de distinguer</w:t>
      </w:r>
      <w:r w:rsidR="00963AF6" w:rsidRPr="00953692">
        <w:rPr>
          <w:rFonts w:cs="Times New Roman"/>
          <w:spacing w:val="4"/>
          <w:sz w:val="24"/>
          <w:szCs w:val="24"/>
          <w:lang w:val="fr-FR"/>
        </w:rPr>
        <w:t xml:space="preserve"> déjà</w:t>
      </w:r>
      <w:r w:rsidR="00237780" w:rsidRPr="00953692">
        <w:rPr>
          <w:rFonts w:cs="Times New Roman"/>
          <w:spacing w:val="4"/>
          <w:sz w:val="24"/>
          <w:szCs w:val="24"/>
          <w:lang w:val="fr-FR"/>
        </w:rPr>
        <w:t xml:space="preserve"> deux </w:t>
      </w:r>
      <w:r w:rsidR="009C26A8" w:rsidRPr="00953692">
        <w:rPr>
          <w:rFonts w:cs="Times New Roman"/>
          <w:spacing w:val="4"/>
          <w:sz w:val="24"/>
          <w:szCs w:val="24"/>
          <w:lang w:val="fr-FR"/>
        </w:rPr>
        <w:t>cas de figures</w:t>
      </w:r>
      <w:r w:rsidR="00237780" w:rsidRPr="00953692">
        <w:rPr>
          <w:rFonts w:cs="Times New Roman"/>
          <w:spacing w:val="4"/>
          <w:sz w:val="24"/>
          <w:szCs w:val="24"/>
          <w:lang w:val="fr-FR"/>
        </w:rPr>
        <w:t xml:space="preserve">, au cours desquels le droit d’être informé est réalisé. </w:t>
      </w:r>
    </w:p>
    <w:p w14:paraId="5AF823F3" w14:textId="15FAFC96" w:rsidR="00E422AB" w:rsidRPr="00953692" w:rsidRDefault="00B30136" w:rsidP="00864BBF">
      <w:pPr>
        <w:spacing w:after="0" w:line="276" w:lineRule="auto"/>
        <w:ind w:firstLine="1134"/>
        <w:jc w:val="both"/>
        <w:rPr>
          <w:rFonts w:cs="Times New Roman"/>
          <w:sz w:val="24"/>
          <w:szCs w:val="24"/>
          <w:shd w:val="clear" w:color="auto" w:fill="FFFFFF"/>
          <w:lang w:val="fr-FR"/>
        </w:rPr>
      </w:pPr>
      <w:r w:rsidRPr="00953692">
        <w:rPr>
          <w:rFonts w:cs="Times New Roman"/>
          <w:b/>
          <w:bCs/>
          <w:spacing w:val="4"/>
          <w:sz w:val="24"/>
          <w:szCs w:val="24"/>
          <w:lang w:val="fr-FR"/>
        </w:rPr>
        <w:t>36</w:t>
      </w:r>
      <w:r w:rsidR="00204232" w:rsidRPr="00953692">
        <w:rPr>
          <w:rFonts w:cs="Times New Roman"/>
          <w:b/>
          <w:bCs/>
          <w:spacing w:val="4"/>
          <w:sz w:val="24"/>
          <w:szCs w:val="24"/>
          <w:lang w:val="fr-FR"/>
        </w:rPr>
        <w:t>.</w:t>
      </w:r>
      <w:r w:rsidR="00204232" w:rsidRPr="00953692">
        <w:rPr>
          <w:rFonts w:cs="Times New Roman"/>
          <w:spacing w:val="4"/>
          <w:sz w:val="24"/>
          <w:szCs w:val="24"/>
          <w:lang w:val="fr-FR"/>
        </w:rPr>
        <w:t xml:space="preserve"> </w:t>
      </w:r>
      <w:r w:rsidR="00237780" w:rsidRPr="00953692">
        <w:rPr>
          <w:rFonts w:cs="Times New Roman"/>
          <w:spacing w:val="4"/>
          <w:sz w:val="24"/>
          <w:szCs w:val="24"/>
          <w:lang w:val="fr-FR"/>
        </w:rPr>
        <w:t>D’une part, au moment de l’arrestation, l’individu concerné devra en être notifiée. C’est-à-dire que les agents porteurs d’un mandat d’arrêt devront l</w:t>
      </w:r>
      <w:r w:rsidR="00840D46" w:rsidRPr="00953692">
        <w:rPr>
          <w:rFonts w:cs="Times New Roman"/>
          <w:spacing w:val="4"/>
          <w:sz w:val="24"/>
          <w:szCs w:val="24"/>
          <w:lang w:val="fr-FR"/>
        </w:rPr>
        <w:t>’</w:t>
      </w:r>
      <w:r w:rsidR="00237780" w:rsidRPr="00953692">
        <w:rPr>
          <w:rFonts w:cs="Times New Roman"/>
          <w:spacing w:val="4"/>
          <w:sz w:val="24"/>
          <w:szCs w:val="24"/>
          <w:lang w:val="fr-FR"/>
        </w:rPr>
        <w:t xml:space="preserve">informer des raisons de son arrestation. Selon la lettre et l’esprit de cet article, le but est d’éviter tout arbitraire, car le fait d’arrêter un individu sans </w:t>
      </w:r>
      <w:r w:rsidR="00204232" w:rsidRPr="00953692">
        <w:rPr>
          <w:rFonts w:cs="Times New Roman"/>
          <w:spacing w:val="4"/>
          <w:sz w:val="24"/>
          <w:szCs w:val="24"/>
          <w:lang w:val="fr-FR"/>
        </w:rPr>
        <w:t xml:space="preserve">lui dire </w:t>
      </w:r>
      <w:r w:rsidR="00237780" w:rsidRPr="00953692">
        <w:rPr>
          <w:rFonts w:cs="Times New Roman"/>
          <w:spacing w:val="4"/>
          <w:sz w:val="24"/>
          <w:szCs w:val="24"/>
          <w:lang w:val="fr-FR"/>
        </w:rPr>
        <w:t>qu’il est en état d’arrestation</w:t>
      </w:r>
      <w:r w:rsidR="00840D46" w:rsidRPr="00953692">
        <w:rPr>
          <w:rFonts w:cs="Times New Roman"/>
          <w:spacing w:val="4"/>
          <w:sz w:val="24"/>
          <w:szCs w:val="24"/>
          <w:lang w:val="fr-FR"/>
        </w:rPr>
        <w:t xml:space="preserve"> conformément à la loi</w:t>
      </w:r>
      <w:r w:rsidR="00237780" w:rsidRPr="00953692">
        <w:rPr>
          <w:rFonts w:cs="Times New Roman"/>
          <w:spacing w:val="4"/>
          <w:sz w:val="24"/>
          <w:szCs w:val="24"/>
          <w:lang w:val="fr-FR"/>
        </w:rPr>
        <w:t xml:space="preserve"> peut bien s’apparenter à un rapt.</w:t>
      </w:r>
      <w:r w:rsidR="00625DDD" w:rsidRPr="00953692">
        <w:rPr>
          <w:rFonts w:cs="Times New Roman"/>
          <w:spacing w:val="4"/>
          <w:sz w:val="24"/>
          <w:szCs w:val="24"/>
          <w:lang w:val="fr-FR"/>
        </w:rPr>
        <w:t xml:space="preserve"> </w:t>
      </w:r>
      <w:r w:rsidR="000355B0" w:rsidRPr="00953692">
        <w:rPr>
          <w:rFonts w:cs="Times New Roman"/>
          <w:sz w:val="24"/>
          <w:szCs w:val="24"/>
          <w:shd w:val="clear" w:color="auto" w:fill="FFFFFF"/>
          <w:lang w:val="fr-FR"/>
        </w:rPr>
        <w:t xml:space="preserve">Comme le note Svezhintsev Evgueni Ivanovitch, « en procédure pénale (russe), le droit à l'information a une interprétation spécifique et est présenté au sens large sous la forme du principe de </w:t>
      </w:r>
      <w:r w:rsidR="000355B0" w:rsidRPr="00953692">
        <w:rPr>
          <w:rFonts w:cs="Times New Roman"/>
          <w:sz w:val="24"/>
          <w:szCs w:val="24"/>
          <w:shd w:val="clear" w:color="auto" w:fill="FFFFFF"/>
          <w:lang w:val="fr-FR"/>
        </w:rPr>
        <w:lastRenderedPageBreak/>
        <w:t>transparence »</w:t>
      </w:r>
      <w:r w:rsidR="000355B0" w:rsidRPr="00953692">
        <w:rPr>
          <w:rStyle w:val="Appelnotedebasdep"/>
          <w:rFonts w:cs="Times New Roman"/>
          <w:sz w:val="24"/>
          <w:szCs w:val="24"/>
          <w:shd w:val="clear" w:color="auto" w:fill="FFFFFF"/>
          <w:lang w:val="fr-FR"/>
        </w:rPr>
        <w:footnoteReference w:customMarkFollows="1" w:id="30"/>
        <w:t>14</w:t>
      </w:r>
      <w:r w:rsidR="000355B0" w:rsidRPr="00953692">
        <w:rPr>
          <w:rFonts w:cs="Times New Roman"/>
          <w:sz w:val="24"/>
          <w:szCs w:val="24"/>
          <w:shd w:val="clear" w:color="auto" w:fill="FFFFFF"/>
          <w:lang w:val="fr-FR"/>
        </w:rPr>
        <w:t xml:space="preserve">. La justice pénale tient à rassurer qu’elle ne repose pas sur l’arbitraire, mais plutôt sur des faits qui sont prévus par la loi. C’est le sens fondamental à donner à ce droit. </w:t>
      </w:r>
    </w:p>
    <w:p w14:paraId="659E1CEA" w14:textId="1EFA52E7" w:rsidR="000355B0" w:rsidRPr="00953692" w:rsidRDefault="00B30136"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37.</w:t>
      </w:r>
      <w:r w:rsidRPr="00953692">
        <w:rPr>
          <w:rFonts w:cs="Times New Roman"/>
          <w:sz w:val="24"/>
          <w:szCs w:val="24"/>
          <w:shd w:val="clear" w:color="auto" w:fill="FFFFFF"/>
          <w:lang w:val="fr-FR"/>
        </w:rPr>
        <w:t xml:space="preserve"> </w:t>
      </w:r>
      <w:r w:rsidR="000355B0" w:rsidRPr="00953692">
        <w:rPr>
          <w:rFonts w:cs="Times New Roman"/>
          <w:sz w:val="24"/>
          <w:szCs w:val="24"/>
          <w:shd w:val="clear" w:color="auto" w:fill="FFFFFF"/>
          <w:lang w:val="fr-FR"/>
        </w:rPr>
        <w:t>La personne mise en cause devra connaitre les faits et la qualification retenus contre elle. En réalité, cette exigence tend à faire prévaloir le principe de la légalité des délits, qui « sous-tend l’ensemble du droit pénal, notamment la procédure pénale »</w:t>
      </w:r>
      <w:r w:rsidR="000355B0" w:rsidRPr="00953692">
        <w:rPr>
          <w:rStyle w:val="Appelnotedebasdep"/>
          <w:rFonts w:cs="Times New Roman"/>
          <w:sz w:val="24"/>
          <w:szCs w:val="24"/>
          <w:shd w:val="clear" w:color="auto" w:fill="FFFFFF"/>
          <w:lang w:val="fr-FR"/>
        </w:rPr>
        <w:footnoteReference w:customMarkFollows="1" w:id="31"/>
        <w:t>14</w:t>
      </w:r>
      <w:r w:rsidR="000355B0" w:rsidRPr="00953692">
        <w:rPr>
          <w:rFonts w:cs="Times New Roman"/>
          <w:sz w:val="24"/>
          <w:szCs w:val="24"/>
          <w:shd w:val="clear" w:color="auto" w:fill="FFFFFF"/>
          <w:lang w:val="fr-FR"/>
        </w:rPr>
        <w:t>, car nullum judicium sine lege</w:t>
      </w:r>
      <w:r w:rsidR="000355B0" w:rsidRPr="00953692">
        <w:rPr>
          <w:rStyle w:val="Appelnotedebasdep"/>
          <w:rFonts w:cs="Times New Roman"/>
          <w:sz w:val="24"/>
          <w:szCs w:val="24"/>
          <w:shd w:val="clear" w:color="auto" w:fill="FFFFFF"/>
          <w:lang w:val="fr-FR"/>
        </w:rPr>
        <w:footnoteReference w:customMarkFollows="1" w:id="32"/>
        <w:t>15</w:t>
      </w:r>
      <w:r w:rsidR="000355B0" w:rsidRPr="00953692">
        <w:rPr>
          <w:rFonts w:cs="Times New Roman"/>
          <w:sz w:val="24"/>
          <w:szCs w:val="24"/>
          <w:shd w:val="clear" w:color="auto" w:fill="FFFFFF"/>
          <w:lang w:val="fr-FR"/>
        </w:rPr>
        <w:t xml:space="preserve">. Ainsi, l’observation d’un tel droit projette globalement, dès le départ, l’image d’une procédure régulière, équilibrée, non forcenée ou revancharde, et donc celle d’un procès équitable et </w:t>
      </w:r>
      <w:r w:rsidR="00963AF6" w:rsidRPr="00953692">
        <w:rPr>
          <w:rFonts w:cs="Times New Roman"/>
          <w:sz w:val="24"/>
          <w:szCs w:val="24"/>
          <w:shd w:val="clear" w:color="auto" w:fill="FFFFFF"/>
          <w:lang w:val="fr-FR"/>
        </w:rPr>
        <w:t>aussi</w:t>
      </w:r>
      <w:r w:rsidR="000355B0" w:rsidRPr="00953692">
        <w:rPr>
          <w:rFonts w:cs="Times New Roman"/>
          <w:sz w:val="24"/>
          <w:szCs w:val="24"/>
          <w:shd w:val="clear" w:color="auto" w:fill="FFFFFF"/>
          <w:lang w:val="fr-FR"/>
        </w:rPr>
        <w:t xml:space="preserve"> rapide.</w:t>
      </w:r>
    </w:p>
    <w:p w14:paraId="3E2D9D60" w14:textId="174BD6C0" w:rsidR="004650CE" w:rsidRPr="00953692" w:rsidRDefault="00B30136" w:rsidP="00864BBF">
      <w:pPr>
        <w:spacing w:after="0" w:line="276" w:lineRule="auto"/>
        <w:ind w:firstLine="1134"/>
        <w:jc w:val="both"/>
        <w:rPr>
          <w:rFonts w:cs="Times New Roman"/>
          <w:spacing w:val="4"/>
          <w:sz w:val="24"/>
          <w:szCs w:val="24"/>
          <w:lang w:val="fr-FR"/>
        </w:rPr>
      </w:pPr>
      <w:r w:rsidRPr="00953692">
        <w:rPr>
          <w:rFonts w:cs="Times New Roman"/>
          <w:b/>
          <w:bCs/>
          <w:spacing w:val="4"/>
          <w:sz w:val="24"/>
          <w:szCs w:val="24"/>
          <w:lang w:val="fr-FR"/>
        </w:rPr>
        <w:t>3</w:t>
      </w:r>
      <w:r w:rsidR="00963AF6" w:rsidRPr="00953692">
        <w:rPr>
          <w:rFonts w:cs="Times New Roman"/>
          <w:b/>
          <w:bCs/>
          <w:spacing w:val="4"/>
          <w:sz w:val="24"/>
          <w:szCs w:val="24"/>
          <w:lang w:val="fr-FR"/>
        </w:rPr>
        <w:t>8.</w:t>
      </w:r>
      <w:r w:rsidR="00963AF6" w:rsidRPr="00953692">
        <w:rPr>
          <w:rFonts w:cs="Times New Roman"/>
          <w:spacing w:val="4"/>
          <w:sz w:val="24"/>
          <w:szCs w:val="24"/>
          <w:lang w:val="fr-FR"/>
        </w:rPr>
        <w:t xml:space="preserve"> </w:t>
      </w:r>
      <w:r w:rsidR="00625DDD" w:rsidRPr="00953692">
        <w:rPr>
          <w:rFonts w:cs="Times New Roman"/>
          <w:spacing w:val="4"/>
          <w:sz w:val="24"/>
          <w:szCs w:val="24"/>
          <w:lang w:val="fr-FR"/>
        </w:rPr>
        <w:t xml:space="preserve">D’autre part, en état d’arrestation, la personne concernée devra recevoir dans le plus court délai notification de toute accusation portée contre elle. </w:t>
      </w:r>
      <w:r w:rsidR="000E751A" w:rsidRPr="00953692">
        <w:rPr>
          <w:rStyle w:val="grammar"/>
          <w:rFonts w:cs="Times New Roman"/>
          <w:sz w:val="24"/>
          <w:szCs w:val="24"/>
          <w:lang w:val="fr-FR"/>
        </w:rPr>
        <w:t>À</w:t>
      </w:r>
      <w:r w:rsidR="000E751A" w:rsidRPr="00953692">
        <w:rPr>
          <w:rFonts w:cs="Times New Roman"/>
          <w:sz w:val="24"/>
          <w:szCs w:val="24"/>
          <w:shd w:val="clear" w:color="auto" w:fill="FFFFFF"/>
          <w:lang w:val="fr-FR"/>
        </w:rPr>
        <w:t xml:space="preserve"> la différence</w:t>
      </w:r>
      <w:r w:rsidR="000E751A" w:rsidRPr="00953692">
        <w:rPr>
          <w:rFonts w:ascii="Tahoma" w:hAnsi="Tahoma" w:cs="Tahoma"/>
          <w:sz w:val="24"/>
          <w:szCs w:val="24"/>
          <w:shd w:val="clear" w:color="auto" w:fill="FFFFFF"/>
          <w:lang w:val="fr-FR"/>
        </w:rPr>
        <w:t xml:space="preserve"> </w:t>
      </w:r>
      <w:r w:rsidR="00625DDD" w:rsidRPr="00953692">
        <w:rPr>
          <w:rFonts w:cs="Times New Roman"/>
          <w:spacing w:val="4"/>
          <w:sz w:val="24"/>
          <w:szCs w:val="24"/>
          <w:lang w:val="fr-FR"/>
        </w:rPr>
        <w:t xml:space="preserve">des raisons d’arrestation dont l’information peut être beaucoup moins précise, ici l’individu arrêté </w:t>
      </w:r>
      <w:r w:rsidR="009C26A8" w:rsidRPr="00953692">
        <w:rPr>
          <w:rFonts w:cs="Times New Roman"/>
          <w:spacing w:val="4"/>
          <w:sz w:val="24"/>
          <w:szCs w:val="24"/>
          <w:lang w:val="fr-FR"/>
        </w:rPr>
        <w:t xml:space="preserve">devra savoir </w:t>
      </w:r>
      <w:r w:rsidR="00625DDD" w:rsidRPr="00953692">
        <w:rPr>
          <w:rFonts w:cs="Times New Roman"/>
          <w:spacing w:val="4"/>
          <w:sz w:val="24"/>
          <w:szCs w:val="24"/>
          <w:lang w:val="fr-FR"/>
        </w:rPr>
        <w:t xml:space="preserve">de quoi est-il accusé, notamment le crime ou les chefs d’accusation qui lui sont reprochés. </w:t>
      </w:r>
      <w:r w:rsidR="00D900DC" w:rsidRPr="00953692">
        <w:rPr>
          <w:rFonts w:cs="Times New Roman"/>
          <w:spacing w:val="4"/>
          <w:sz w:val="24"/>
          <w:szCs w:val="24"/>
          <w:lang w:val="fr-FR"/>
        </w:rPr>
        <w:t xml:space="preserve">Il s’ouvre </w:t>
      </w:r>
      <w:r w:rsidR="00204232" w:rsidRPr="00953692">
        <w:rPr>
          <w:rFonts w:cs="Times New Roman"/>
          <w:spacing w:val="4"/>
          <w:sz w:val="24"/>
          <w:szCs w:val="24"/>
          <w:lang w:val="fr-FR"/>
        </w:rPr>
        <w:t>indubitablement</w:t>
      </w:r>
      <w:r w:rsidR="001915BE" w:rsidRPr="00953692">
        <w:rPr>
          <w:rFonts w:cs="Times New Roman"/>
          <w:spacing w:val="4"/>
          <w:sz w:val="24"/>
          <w:szCs w:val="24"/>
          <w:lang w:val="fr-FR"/>
        </w:rPr>
        <w:t>,</w:t>
      </w:r>
      <w:r w:rsidR="00204232" w:rsidRPr="00953692">
        <w:rPr>
          <w:rFonts w:cs="Times New Roman"/>
          <w:spacing w:val="4"/>
          <w:sz w:val="24"/>
          <w:szCs w:val="24"/>
          <w:lang w:val="fr-FR"/>
        </w:rPr>
        <w:t xml:space="preserve"> </w:t>
      </w:r>
      <w:r w:rsidR="00731990" w:rsidRPr="00953692">
        <w:rPr>
          <w:rFonts w:cs="Times New Roman"/>
          <w:spacing w:val="4"/>
          <w:sz w:val="24"/>
          <w:szCs w:val="24"/>
          <w:lang w:val="fr-FR"/>
        </w:rPr>
        <w:t>à partir de ce moment</w:t>
      </w:r>
      <w:r w:rsidR="001915BE" w:rsidRPr="00953692">
        <w:rPr>
          <w:rFonts w:cs="Times New Roman"/>
          <w:spacing w:val="4"/>
          <w:sz w:val="24"/>
          <w:szCs w:val="24"/>
          <w:lang w:val="fr-FR"/>
        </w:rPr>
        <w:t>,</w:t>
      </w:r>
      <w:r w:rsidR="00D900DC" w:rsidRPr="00953692">
        <w:rPr>
          <w:rFonts w:cs="Times New Roman"/>
          <w:spacing w:val="4"/>
          <w:sz w:val="24"/>
          <w:szCs w:val="24"/>
          <w:lang w:val="fr-FR"/>
        </w:rPr>
        <w:t xml:space="preserve"> la porte de ce qu’on appelle les droits de la défense</w:t>
      </w:r>
      <w:r w:rsidR="00204232" w:rsidRPr="00953692">
        <w:rPr>
          <w:rFonts w:cs="Times New Roman"/>
          <w:spacing w:val="4"/>
          <w:sz w:val="24"/>
          <w:szCs w:val="24"/>
          <w:lang w:val="fr-FR"/>
        </w:rPr>
        <w:t>.</w:t>
      </w:r>
      <w:r w:rsidR="00D900DC" w:rsidRPr="00953692">
        <w:rPr>
          <w:rFonts w:cs="Times New Roman"/>
          <w:spacing w:val="4"/>
          <w:sz w:val="24"/>
          <w:szCs w:val="24"/>
          <w:lang w:val="fr-FR"/>
        </w:rPr>
        <w:t xml:space="preserve"> </w:t>
      </w:r>
      <w:r w:rsidR="00204232" w:rsidRPr="00953692">
        <w:rPr>
          <w:rFonts w:cs="Times New Roman"/>
          <w:spacing w:val="4"/>
          <w:sz w:val="24"/>
          <w:szCs w:val="24"/>
          <w:lang w:val="fr-FR"/>
        </w:rPr>
        <w:t>Puisqu’en</w:t>
      </w:r>
      <w:r w:rsidR="00D900DC" w:rsidRPr="00953692">
        <w:rPr>
          <w:rFonts w:cs="Times New Roman"/>
          <w:spacing w:val="4"/>
          <w:sz w:val="24"/>
          <w:szCs w:val="24"/>
          <w:lang w:val="fr-FR"/>
        </w:rPr>
        <w:t xml:space="preserve"> effet, ayant pris connaissance de l’accusation porté</w:t>
      </w:r>
      <w:r w:rsidR="000E751A" w:rsidRPr="00953692">
        <w:rPr>
          <w:rFonts w:cs="Times New Roman"/>
          <w:spacing w:val="4"/>
          <w:sz w:val="24"/>
          <w:szCs w:val="24"/>
          <w:lang w:val="fr-FR"/>
        </w:rPr>
        <w:t>e</w:t>
      </w:r>
      <w:r w:rsidR="00D900DC" w:rsidRPr="00953692">
        <w:rPr>
          <w:rFonts w:cs="Times New Roman"/>
          <w:spacing w:val="4"/>
          <w:sz w:val="24"/>
          <w:szCs w:val="24"/>
          <w:lang w:val="fr-FR"/>
        </w:rPr>
        <w:t xml:space="preserve"> contre lui, l’individu arrêté peut en contester la véracité et exiger sa libération</w:t>
      </w:r>
      <w:r w:rsidR="00E96F7C" w:rsidRPr="00953692">
        <w:rPr>
          <w:rFonts w:cs="Times New Roman"/>
          <w:spacing w:val="4"/>
          <w:sz w:val="24"/>
          <w:szCs w:val="24"/>
          <w:lang w:val="fr-FR"/>
        </w:rPr>
        <w:t>,</w:t>
      </w:r>
      <w:r w:rsidR="00D900DC" w:rsidRPr="00953692">
        <w:rPr>
          <w:rFonts w:cs="Times New Roman"/>
          <w:spacing w:val="4"/>
          <w:sz w:val="24"/>
          <w:szCs w:val="24"/>
          <w:lang w:val="fr-FR"/>
        </w:rPr>
        <w:t xml:space="preserve"> ou le cas </w:t>
      </w:r>
      <w:r w:rsidR="00E96F7C" w:rsidRPr="00953692">
        <w:rPr>
          <w:rFonts w:cs="Times New Roman"/>
          <w:spacing w:val="4"/>
          <w:sz w:val="24"/>
          <w:szCs w:val="24"/>
          <w:lang w:val="fr-FR"/>
        </w:rPr>
        <w:t>échéant passer</w:t>
      </w:r>
      <w:r w:rsidR="00963AF6" w:rsidRPr="00953692">
        <w:rPr>
          <w:rFonts w:cs="Times New Roman"/>
          <w:spacing w:val="4"/>
          <w:sz w:val="24"/>
          <w:szCs w:val="24"/>
          <w:lang w:val="fr-FR"/>
        </w:rPr>
        <w:t xml:space="preserve"> totalement ou partiellement</w:t>
      </w:r>
      <w:r w:rsidR="00E96F7C" w:rsidRPr="00953692">
        <w:rPr>
          <w:rFonts w:cs="Times New Roman"/>
          <w:spacing w:val="4"/>
          <w:sz w:val="24"/>
          <w:szCs w:val="24"/>
          <w:lang w:val="fr-FR"/>
        </w:rPr>
        <w:t xml:space="preserve"> aux aveux.</w:t>
      </w:r>
    </w:p>
    <w:p w14:paraId="1AE72F51" w14:textId="15BEDA0D" w:rsidR="00D369AC" w:rsidRPr="00953692" w:rsidRDefault="00B30136" w:rsidP="00864BBF">
      <w:pPr>
        <w:spacing w:after="0" w:line="276" w:lineRule="auto"/>
        <w:ind w:firstLine="1134"/>
        <w:jc w:val="both"/>
        <w:rPr>
          <w:rFonts w:cs="Times New Roman"/>
          <w:spacing w:val="4"/>
          <w:sz w:val="24"/>
          <w:szCs w:val="24"/>
          <w:lang w:val="fr-FR"/>
        </w:rPr>
      </w:pPr>
      <w:r w:rsidRPr="00953692">
        <w:rPr>
          <w:rFonts w:cs="Times New Roman"/>
          <w:b/>
          <w:bCs/>
          <w:spacing w:val="4"/>
          <w:sz w:val="24"/>
          <w:szCs w:val="24"/>
          <w:lang w:val="fr-FR"/>
        </w:rPr>
        <w:t>3</w:t>
      </w:r>
      <w:r w:rsidR="00963AF6" w:rsidRPr="00953692">
        <w:rPr>
          <w:rFonts w:cs="Times New Roman"/>
          <w:b/>
          <w:bCs/>
          <w:spacing w:val="4"/>
          <w:sz w:val="24"/>
          <w:szCs w:val="24"/>
          <w:lang w:val="fr-FR"/>
        </w:rPr>
        <w:t>9.</w:t>
      </w:r>
      <w:r w:rsidR="00963AF6" w:rsidRPr="00953692">
        <w:rPr>
          <w:rFonts w:cs="Times New Roman"/>
          <w:spacing w:val="4"/>
          <w:sz w:val="24"/>
          <w:szCs w:val="24"/>
          <w:lang w:val="fr-FR"/>
        </w:rPr>
        <w:t xml:space="preserve"> </w:t>
      </w:r>
      <w:r w:rsidR="00C83A5C" w:rsidRPr="00953692">
        <w:rPr>
          <w:rFonts w:cs="Times New Roman"/>
          <w:spacing w:val="4"/>
          <w:sz w:val="24"/>
          <w:szCs w:val="24"/>
          <w:lang w:val="fr-FR"/>
        </w:rPr>
        <w:t xml:space="preserve">Précisions que la contestation de la véracité des faits ne signifie pas </w:t>
      </w:r>
      <w:r w:rsidR="00870E5A" w:rsidRPr="00953692">
        <w:rPr>
          <w:rFonts w:cs="Times New Roman"/>
          <w:spacing w:val="4"/>
          <w:sz w:val="24"/>
          <w:szCs w:val="24"/>
          <w:lang w:val="fr-FR"/>
        </w:rPr>
        <w:t>e</w:t>
      </w:r>
      <w:r w:rsidR="00C83A5C" w:rsidRPr="00953692">
        <w:rPr>
          <w:rFonts w:cs="Times New Roman"/>
          <w:spacing w:val="4"/>
          <w:sz w:val="24"/>
          <w:szCs w:val="24"/>
          <w:lang w:val="fr-FR"/>
        </w:rPr>
        <w:t xml:space="preserve">n obtenir d’ores et déjà un jugement d’acquittement. A ce </w:t>
      </w:r>
      <w:r w:rsidR="00AA3A51" w:rsidRPr="00953692">
        <w:rPr>
          <w:rFonts w:cs="Times New Roman"/>
          <w:spacing w:val="4"/>
          <w:sz w:val="24"/>
          <w:szCs w:val="24"/>
          <w:lang w:val="fr-FR"/>
        </w:rPr>
        <w:t>sta</w:t>
      </w:r>
      <w:r w:rsidR="00D82311" w:rsidRPr="00953692">
        <w:rPr>
          <w:rFonts w:cs="Times New Roman"/>
          <w:spacing w:val="4"/>
          <w:sz w:val="24"/>
          <w:szCs w:val="24"/>
          <w:lang w:val="fr-FR"/>
        </w:rPr>
        <w:t>de</w:t>
      </w:r>
      <w:r w:rsidR="00C83A5C" w:rsidRPr="00953692">
        <w:rPr>
          <w:rFonts w:cs="Times New Roman"/>
          <w:spacing w:val="4"/>
          <w:sz w:val="24"/>
          <w:szCs w:val="24"/>
          <w:lang w:val="fr-FR"/>
        </w:rPr>
        <w:t xml:space="preserve"> de la procédure, le </w:t>
      </w:r>
      <w:r w:rsidR="00D82311" w:rsidRPr="00953692">
        <w:rPr>
          <w:rFonts w:cs="Times New Roman"/>
          <w:spacing w:val="4"/>
          <w:sz w:val="24"/>
          <w:szCs w:val="24"/>
          <w:lang w:val="fr-FR"/>
        </w:rPr>
        <w:t>procureur</w:t>
      </w:r>
      <w:r w:rsidR="00C83A5C" w:rsidRPr="00953692">
        <w:rPr>
          <w:rFonts w:cs="Times New Roman"/>
          <w:spacing w:val="4"/>
          <w:sz w:val="24"/>
          <w:szCs w:val="24"/>
          <w:lang w:val="fr-FR"/>
        </w:rPr>
        <w:t xml:space="preserve"> tente de </w:t>
      </w:r>
      <w:r w:rsidR="00D82311" w:rsidRPr="00953692">
        <w:rPr>
          <w:rFonts w:cs="Times New Roman"/>
          <w:spacing w:val="4"/>
          <w:sz w:val="24"/>
          <w:szCs w:val="24"/>
          <w:lang w:val="fr-FR"/>
        </w:rPr>
        <w:t>rassembler les éléments de preuves y compris les arguments de l’accusé. Ainsi donc, cette contestation faite par la personne arrêtée sera, dans un premier temps, destinée à convaincre le procureur de son innocence afin qu’il le décharge de tout soupçon pesant sur elle.</w:t>
      </w:r>
      <w:r w:rsidR="00956041" w:rsidRPr="00953692">
        <w:rPr>
          <w:rFonts w:cs="Times New Roman"/>
          <w:spacing w:val="4"/>
          <w:sz w:val="24"/>
          <w:szCs w:val="24"/>
          <w:lang w:val="fr-FR"/>
        </w:rPr>
        <w:t xml:space="preserve"> Il est important de garder à l’esprit le fait que le procureur moderne poursuit également à décharge et à ce titre, les moyens de défense qui s’offrent au suspect permettent dans une certaine mesure de déterminer exactement la suite de la procédure…</w:t>
      </w:r>
    </w:p>
    <w:p w14:paraId="339FFC95" w14:textId="37BBCFE1" w:rsidR="00A432AC" w:rsidRPr="00953692" w:rsidRDefault="00B30136" w:rsidP="00864BBF">
      <w:pPr>
        <w:spacing w:after="0" w:line="276" w:lineRule="auto"/>
        <w:ind w:firstLine="1134"/>
        <w:jc w:val="both"/>
        <w:rPr>
          <w:sz w:val="24"/>
          <w:szCs w:val="24"/>
          <w:lang w:val="fr-FR"/>
        </w:rPr>
      </w:pPr>
      <w:r w:rsidRPr="00953692">
        <w:rPr>
          <w:rFonts w:cs="Times New Roman"/>
          <w:b/>
          <w:bCs/>
          <w:spacing w:val="4"/>
          <w:sz w:val="24"/>
          <w:szCs w:val="24"/>
          <w:lang w:val="fr-FR"/>
        </w:rPr>
        <w:t>40</w:t>
      </w:r>
      <w:r w:rsidR="00A75D89" w:rsidRPr="00953692">
        <w:rPr>
          <w:rFonts w:cs="Times New Roman"/>
          <w:b/>
          <w:bCs/>
          <w:spacing w:val="4"/>
          <w:sz w:val="24"/>
          <w:szCs w:val="24"/>
          <w:lang w:val="fr-FR"/>
        </w:rPr>
        <w:t>.</w:t>
      </w:r>
      <w:r w:rsidR="00A75D89" w:rsidRPr="00953692">
        <w:rPr>
          <w:rFonts w:cs="Times New Roman"/>
          <w:spacing w:val="4"/>
          <w:sz w:val="24"/>
          <w:szCs w:val="24"/>
          <w:lang w:val="fr-FR"/>
        </w:rPr>
        <w:t xml:space="preserve"> </w:t>
      </w:r>
      <w:r w:rsidR="00510ED5" w:rsidRPr="00953692">
        <w:rPr>
          <w:rFonts w:cs="Times New Roman"/>
          <w:spacing w:val="4"/>
          <w:sz w:val="24"/>
          <w:szCs w:val="24"/>
          <w:lang w:val="fr-FR"/>
        </w:rPr>
        <w:t>C’est d’ailleurs dans ce sens qu’il est bien possible de relier cette prérogative à une autre, à savoir « le</w:t>
      </w:r>
      <w:r w:rsidR="00510ED5" w:rsidRPr="00953692">
        <w:rPr>
          <w:sz w:val="24"/>
          <w:szCs w:val="24"/>
          <w:lang w:val="fr-FR"/>
        </w:rPr>
        <w:t xml:space="preserve"> droit à un délai suffisant pour la préparation de sa défense »</w:t>
      </w:r>
      <w:r w:rsidR="00D4220A" w:rsidRPr="00953692">
        <w:rPr>
          <w:rStyle w:val="Appelnotedebasdep"/>
          <w:sz w:val="24"/>
          <w:szCs w:val="24"/>
          <w:lang w:val="fr-FR"/>
        </w:rPr>
        <w:footnoteReference w:customMarkFollows="1" w:id="33"/>
        <w:t>16</w:t>
      </w:r>
      <w:r w:rsidR="00F74755" w:rsidRPr="00953692">
        <w:rPr>
          <w:sz w:val="24"/>
          <w:szCs w:val="24"/>
          <w:lang w:val="fr-FR"/>
        </w:rPr>
        <w:t xml:space="preserve"> que nous verrons un peu plus loin.</w:t>
      </w:r>
      <w:r w:rsidR="00532115" w:rsidRPr="00953692">
        <w:rPr>
          <w:sz w:val="24"/>
          <w:szCs w:val="24"/>
          <w:lang w:val="fr-FR"/>
        </w:rPr>
        <w:t xml:space="preserve"> La Cour européenne des droits de l’homme a maintes fois établi un lien entre ces droits</w:t>
      </w:r>
      <w:r w:rsidR="00CF0D03" w:rsidRPr="00953692">
        <w:rPr>
          <w:rStyle w:val="Appelnotedebasdep"/>
          <w:sz w:val="24"/>
          <w:szCs w:val="24"/>
          <w:lang w:val="fr-FR"/>
        </w:rPr>
        <w:footnoteReference w:customMarkFollows="1" w:id="34"/>
        <w:t>17</w:t>
      </w:r>
      <w:r w:rsidR="004840C5" w:rsidRPr="00953692">
        <w:rPr>
          <w:sz w:val="24"/>
          <w:szCs w:val="24"/>
          <w:lang w:val="fr-FR"/>
        </w:rPr>
        <w:t xml:space="preserve">. Cependant, ce lien est simplement </w:t>
      </w:r>
      <w:r w:rsidR="004840C5" w:rsidRPr="00953692">
        <w:rPr>
          <w:sz w:val="24"/>
          <w:szCs w:val="24"/>
          <w:lang w:val="fr-FR"/>
        </w:rPr>
        <w:lastRenderedPageBreak/>
        <w:t xml:space="preserve">corrélatif, étant étendu que </w:t>
      </w:r>
      <w:r w:rsidR="006578EE" w:rsidRPr="00953692">
        <w:rPr>
          <w:sz w:val="24"/>
          <w:szCs w:val="24"/>
          <w:lang w:val="fr-FR"/>
        </w:rPr>
        <w:t>le respect de ce</w:t>
      </w:r>
      <w:r w:rsidR="000E2295" w:rsidRPr="00953692">
        <w:rPr>
          <w:sz w:val="24"/>
          <w:szCs w:val="24"/>
          <w:lang w:val="fr-FR"/>
        </w:rPr>
        <w:t xml:space="preserve"> droit à l’information permet à l’intéressé de préparer sa défense.</w:t>
      </w:r>
      <w:r w:rsidR="00DA5BB0" w:rsidRPr="00953692">
        <w:rPr>
          <w:sz w:val="24"/>
          <w:szCs w:val="24"/>
          <w:lang w:val="fr-FR"/>
        </w:rPr>
        <w:t xml:space="preserve"> Il est impossible de préparer sa défense sans avoir</w:t>
      </w:r>
      <w:r w:rsidR="003D548C" w:rsidRPr="00953692">
        <w:rPr>
          <w:sz w:val="24"/>
          <w:szCs w:val="24"/>
          <w:lang w:val="fr-FR"/>
        </w:rPr>
        <w:t xml:space="preserve"> été informé </w:t>
      </w:r>
      <w:r w:rsidR="00204232" w:rsidRPr="00953692">
        <w:rPr>
          <w:sz w:val="24"/>
          <w:szCs w:val="24"/>
          <w:lang w:val="fr-FR"/>
        </w:rPr>
        <w:t>de</w:t>
      </w:r>
      <w:r w:rsidR="003D548C" w:rsidRPr="00953692">
        <w:rPr>
          <w:sz w:val="24"/>
          <w:szCs w:val="24"/>
          <w:lang w:val="fr-FR"/>
        </w:rPr>
        <w:t xml:space="preserve"> la nature </w:t>
      </w:r>
      <w:r w:rsidR="002B24B8" w:rsidRPr="00953692">
        <w:rPr>
          <w:sz w:val="24"/>
          <w:szCs w:val="24"/>
          <w:lang w:val="fr-FR"/>
        </w:rPr>
        <w:t>de l’accusation.</w:t>
      </w:r>
      <w:r w:rsidR="000E2295" w:rsidRPr="00953692">
        <w:rPr>
          <w:sz w:val="24"/>
          <w:szCs w:val="24"/>
          <w:lang w:val="fr-FR"/>
        </w:rPr>
        <w:t xml:space="preserve"> </w:t>
      </w:r>
    </w:p>
    <w:p w14:paraId="0F8AEA75" w14:textId="5F8C2F35" w:rsidR="00E7585C" w:rsidRPr="00953692" w:rsidRDefault="00B30136" w:rsidP="00864BBF">
      <w:pPr>
        <w:spacing w:after="0" w:line="276" w:lineRule="auto"/>
        <w:ind w:firstLine="1134"/>
        <w:jc w:val="both"/>
        <w:rPr>
          <w:rFonts w:cs="Times New Roman"/>
          <w:sz w:val="24"/>
          <w:szCs w:val="24"/>
          <w:shd w:val="clear" w:color="auto" w:fill="FFFFFF"/>
          <w:lang w:val="fr-FR"/>
        </w:rPr>
      </w:pPr>
      <w:r w:rsidRPr="00953692">
        <w:rPr>
          <w:b/>
          <w:bCs/>
          <w:sz w:val="24"/>
          <w:szCs w:val="24"/>
          <w:lang w:val="fr-FR"/>
        </w:rPr>
        <w:t>41.</w:t>
      </w:r>
      <w:r w:rsidRPr="00953692">
        <w:rPr>
          <w:sz w:val="24"/>
          <w:szCs w:val="24"/>
          <w:lang w:val="fr-FR"/>
        </w:rPr>
        <w:t xml:space="preserve"> </w:t>
      </w:r>
      <w:r w:rsidR="00204232" w:rsidRPr="00953692">
        <w:rPr>
          <w:sz w:val="24"/>
          <w:szCs w:val="24"/>
          <w:lang w:val="fr-FR"/>
        </w:rPr>
        <w:t>Comme le précise Jean Pradel, « une bonne défense suppose que l'on sache ce dont on est accusé »</w:t>
      </w:r>
      <w:r w:rsidR="00A31260" w:rsidRPr="00953692">
        <w:rPr>
          <w:rStyle w:val="Appelnotedebasdep"/>
          <w:sz w:val="24"/>
          <w:szCs w:val="24"/>
          <w:lang w:val="fr-FR"/>
        </w:rPr>
        <w:footnoteReference w:customMarkFollows="1" w:id="35"/>
        <w:t>18</w:t>
      </w:r>
      <w:r w:rsidR="00204232" w:rsidRPr="00953692">
        <w:rPr>
          <w:sz w:val="24"/>
          <w:szCs w:val="24"/>
          <w:lang w:val="fr-FR"/>
        </w:rPr>
        <w:t xml:space="preserve">. </w:t>
      </w:r>
      <w:r w:rsidR="000E2295" w:rsidRPr="00953692">
        <w:rPr>
          <w:sz w:val="24"/>
          <w:szCs w:val="24"/>
          <w:lang w:val="fr-FR"/>
        </w:rPr>
        <w:t xml:space="preserve">Mais </w:t>
      </w:r>
      <w:r w:rsidR="00310A9A" w:rsidRPr="00953692">
        <w:rPr>
          <w:sz w:val="24"/>
          <w:szCs w:val="24"/>
          <w:lang w:val="fr-FR"/>
        </w:rPr>
        <w:t>ceci n’est pas le but poursuivi par cette garantie</w:t>
      </w:r>
      <w:r w:rsidR="00DA5BB0" w:rsidRPr="00953692">
        <w:rPr>
          <w:sz w:val="24"/>
          <w:szCs w:val="24"/>
          <w:lang w:val="fr-FR"/>
        </w:rPr>
        <w:t>, car la préparation de la défense reste dans tous les cas un choix ou l’apanage de l’accusé lui-même.</w:t>
      </w:r>
      <w:r w:rsidR="002B24B8" w:rsidRPr="00953692">
        <w:rPr>
          <w:sz w:val="24"/>
          <w:szCs w:val="24"/>
          <w:lang w:val="fr-FR"/>
        </w:rPr>
        <w:t xml:space="preserve"> Ce dernier peut bien refuser de comparaitre ou </w:t>
      </w:r>
      <w:r w:rsidR="00230842" w:rsidRPr="00953692">
        <w:rPr>
          <w:sz w:val="24"/>
          <w:szCs w:val="24"/>
          <w:lang w:val="fr-FR"/>
        </w:rPr>
        <w:t xml:space="preserve">décider de </w:t>
      </w:r>
      <w:r w:rsidR="002B24B8" w:rsidRPr="00953692">
        <w:rPr>
          <w:sz w:val="24"/>
          <w:szCs w:val="24"/>
          <w:lang w:val="fr-FR"/>
        </w:rPr>
        <w:t>garder silence tout au long de la procédure en signe de protestation contre l’autorité de la juridiction concernée. Il en est le cas par exemple d</w:t>
      </w:r>
      <w:r w:rsidR="00611397" w:rsidRPr="00953692">
        <w:rPr>
          <w:sz w:val="24"/>
          <w:szCs w:val="24"/>
          <w:lang w:val="fr-FR"/>
        </w:rPr>
        <w:t>’</w:t>
      </w:r>
      <w:r w:rsidR="002B24B8" w:rsidRPr="00953692">
        <w:rPr>
          <w:sz w:val="24"/>
          <w:szCs w:val="24"/>
          <w:lang w:val="fr-FR"/>
        </w:rPr>
        <w:t xml:space="preserve">Hussein Habré devant les </w:t>
      </w:r>
      <w:r w:rsidR="002B24B8" w:rsidRPr="00953692">
        <w:rPr>
          <w:rFonts w:cs="Times New Roman"/>
          <w:sz w:val="24"/>
          <w:szCs w:val="24"/>
          <w:shd w:val="clear" w:color="auto" w:fill="FFFFFF"/>
          <w:lang w:val="fr-FR"/>
        </w:rPr>
        <w:t>Chambres africaines extraordinaires au sein des juridictions sénégalaises pour la poursuite des crimes internationaux commis au Tchad.</w:t>
      </w:r>
    </w:p>
    <w:p w14:paraId="63F54B4C" w14:textId="67CC70ED" w:rsidR="00E96F7C" w:rsidRPr="00953692" w:rsidRDefault="00B30136" w:rsidP="00864BBF">
      <w:pPr>
        <w:spacing w:after="0" w:line="276" w:lineRule="auto"/>
        <w:ind w:firstLine="1134"/>
        <w:jc w:val="both"/>
        <w:rPr>
          <w:sz w:val="24"/>
          <w:szCs w:val="24"/>
          <w:lang w:val="fr-FR"/>
        </w:rPr>
      </w:pPr>
      <w:r w:rsidRPr="00953692">
        <w:rPr>
          <w:rFonts w:cs="Times New Roman"/>
          <w:b/>
          <w:bCs/>
          <w:sz w:val="24"/>
          <w:szCs w:val="24"/>
          <w:shd w:val="clear" w:color="auto" w:fill="FFFFFF"/>
          <w:lang w:val="fr-FR"/>
        </w:rPr>
        <w:t>42</w:t>
      </w:r>
      <w:r w:rsidR="00A75D89" w:rsidRPr="00953692">
        <w:rPr>
          <w:rFonts w:cs="Times New Roman"/>
          <w:b/>
          <w:bCs/>
          <w:sz w:val="24"/>
          <w:szCs w:val="24"/>
          <w:shd w:val="clear" w:color="auto" w:fill="FFFFFF"/>
          <w:lang w:val="fr-FR"/>
        </w:rPr>
        <w:t>.</w:t>
      </w:r>
      <w:r w:rsidR="00A75D89" w:rsidRPr="00953692">
        <w:rPr>
          <w:rFonts w:cs="Times New Roman"/>
          <w:sz w:val="24"/>
          <w:szCs w:val="24"/>
          <w:shd w:val="clear" w:color="auto" w:fill="FFFFFF"/>
          <w:lang w:val="fr-FR"/>
        </w:rPr>
        <w:t xml:space="preserve"> </w:t>
      </w:r>
      <w:r w:rsidR="002B24B8" w:rsidRPr="00953692">
        <w:rPr>
          <w:rFonts w:cs="Times New Roman"/>
          <w:sz w:val="24"/>
          <w:szCs w:val="24"/>
          <w:shd w:val="clear" w:color="auto" w:fill="FFFFFF"/>
          <w:lang w:val="fr-FR"/>
        </w:rPr>
        <w:t xml:space="preserve">Mais </w:t>
      </w:r>
      <w:r w:rsidR="002B24B8" w:rsidRPr="00953692">
        <w:rPr>
          <w:sz w:val="24"/>
          <w:szCs w:val="24"/>
          <w:lang w:val="fr-FR"/>
        </w:rPr>
        <w:t>e</w:t>
      </w:r>
      <w:r w:rsidR="00DA5BB0" w:rsidRPr="00953692">
        <w:rPr>
          <w:sz w:val="24"/>
          <w:szCs w:val="24"/>
          <w:lang w:val="fr-FR"/>
        </w:rPr>
        <w:t xml:space="preserve">n informant l’intéressé </w:t>
      </w:r>
      <w:r w:rsidR="00E83467" w:rsidRPr="00953692">
        <w:rPr>
          <w:sz w:val="24"/>
          <w:szCs w:val="24"/>
          <w:lang w:val="fr-FR"/>
        </w:rPr>
        <w:t>d</w:t>
      </w:r>
      <w:r w:rsidR="00DA5BB0" w:rsidRPr="00953692">
        <w:rPr>
          <w:sz w:val="24"/>
          <w:szCs w:val="24"/>
          <w:lang w:val="fr-FR"/>
        </w:rPr>
        <w:t xml:space="preserve">es accusations portées contre lui, la justice s’acquitte d’un devoir de transparence et élude à l’arbitraire. </w:t>
      </w:r>
      <w:r w:rsidR="00A75D89" w:rsidRPr="00953692">
        <w:rPr>
          <w:rFonts w:cs="Times New Roman"/>
          <w:spacing w:val="4"/>
          <w:sz w:val="24"/>
          <w:szCs w:val="24"/>
          <w:lang w:val="fr-FR"/>
        </w:rPr>
        <w:t>F</w:t>
      </w:r>
      <w:r w:rsidR="00E96F7C" w:rsidRPr="00953692">
        <w:rPr>
          <w:rFonts w:cs="Times New Roman"/>
          <w:spacing w:val="4"/>
          <w:sz w:val="24"/>
          <w:szCs w:val="24"/>
          <w:lang w:val="fr-FR"/>
        </w:rPr>
        <w:t>orce est de remarquer</w:t>
      </w:r>
      <w:r w:rsidR="00A75D89" w:rsidRPr="00953692">
        <w:rPr>
          <w:rFonts w:cs="Times New Roman"/>
          <w:spacing w:val="4"/>
          <w:sz w:val="24"/>
          <w:szCs w:val="24"/>
          <w:lang w:val="fr-FR"/>
        </w:rPr>
        <w:t>,</w:t>
      </w:r>
      <w:r w:rsidR="008F1887" w:rsidRPr="00953692">
        <w:rPr>
          <w:rFonts w:cs="Times New Roman"/>
          <w:spacing w:val="4"/>
          <w:sz w:val="24"/>
          <w:szCs w:val="24"/>
          <w:lang w:val="fr-FR"/>
        </w:rPr>
        <w:t xml:space="preserve"> </w:t>
      </w:r>
      <w:r w:rsidR="00A75D89" w:rsidRPr="00953692">
        <w:rPr>
          <w:rFonts w:cs="Times New Roman"/>
          <w:spacing w:val="4"/>
          <w:sz w:val="24"/>
          <w:szCs w:val="24"/>
          <w:lang w:val="fr-FR"/>
        </w:rPr>
        <w:t>particulièrement, cette emprise</w:t>
      </w:r>
      <w:r w:rsidR="00E96F7C" w:rsidRPr="00953692">
        <w:rPr>
          <w:rFonts w:cs="Times New Roman"/>
          <w:spacing w:val="4"/>
          <w:sz w:val="24"/>
          <w:szCs w:val="24"/>
          <w:lang w:val="fr-FR"/>
        </w:rPr>
        <w:t xml:space="preserve"> du temps qui tente de cadrer cette exception au principe de la liberté individuelle. En réalité, remarquons</w:t>
      </w:r>
      <w:r w:rsidR="00611397" w:rsidRPr="00953692">
        <w:rPr>
          <w:rFonts w:cs="Times New Roman"/>
          <w:spacing w:val="4"/>
          <w:sz w:val="24"/>
          <w:szCs w:val="24"/>
          <w:lang w:val="fr-FR"/>
        </w:rPr>
        <w:t>,</w:t>
      </w:r>
      <w:r w:rsidR="00E96F7C" w:rsidRPr="00953692">
        <w:rPr>
          <w:rFonts w:cs="Times New Roman"/>
          <w:spacing w:val="4"/>
          <w:sz w:val="24"/>
          <w:szCs w:val="24"/>
          <w:lang w:val="fr-FR"/>
        </w:rPr>
        <w:t xml:space="preserve"> traits caractéristiques</w:t>
      </w:r>
      <w:r w:rsidR="00611397" w:rsidRPr="00953692">
        <w:rPr>
          <w:rFonts w:cs="Times New Roman"/>
          <w:spacing w:val="4"/>
          <w:sz w:val="24"/>
          <w:szCs w:val="24"/>
          <w:lang w:val="fr-FR"/>
        </w:rPr>
        <w:t>,</w:t>
      </w:r>
      <w:r w:rsidR="00E96F7C" w:rsidRPr="00953692">
        <w:rPr>
          <w:rFonts w:cs="Times New Roman"/>
          <w:spacing w:val="4"/>
          <w:sz w:val="24"/>
          <w:szCs w:val="24"/>
          <w:lang w:val="fr-FR"/>
        </w:rPr>
        <w:t xml:space="preserve"> qu</w:t>
      </w:r>
      <w:r w:rsidR="00A31260" w:rsidRPr="00953692">
        <w:rPr>
          <w:rFonts w:cs="Times New Roman"/>
          <w:spacing w:val="4"/>
          <w:sz w:val="24"/>
          <w:szCs w:val="24"/>
          <w:lang w:val="fr-FR"/>
        </w:rPr>
        <w:t>e</w:t>
      </w:r>
      <w:r w:rsidR="00E96F7C" w:rsidRPr="00953692">
        <w:rPr>
          <w:rFonts w:cs="Times New Roman"/>
          <w:spacing w:val="4"/>
          <w:sz w:val="24"/>
          <w:szCs w:val="24"/>
          <w:lang w:val="fr-FR"/>
        </w:rPr>
        <w:t xml:space="preserve"> </w:t>
      </w:r>
      <w:r w:rsidR="00A70154" w:rsidRPr="00953692">
        <w:rPr>
          <w:rFonts w:cs="Times New Roman"/>
          <w:spacing w:val="4"/>
          <w:sz w:val="24"/>
          <w:szCs w:val="24"/>
          <w:lang w:val="fr-FR"/>
        </w:rPr>
        <w:t>dans le contexte de l’article 9 précité</w:t>
      </w:r>
      <w:r w:rsidR="00A75D89" w:rsidRPr="00953692">
        <w:rPr>
          <w:rFonts w:cs="Times New Roman"/>
          <w:spacing w:val="4"/>
          <w:sz w:val="24"/>
          <w:szCs w:val="24"/>
          <w:lang w:val="fr-FR"/>
        </w:rPr>
        <w:t>,</w:t>
      </w:r>
      <w:r w:rsidR="00A70154" w:rsidRPr="00953692">
        <w:rPr>
          <w:rFonts w:cs="Times New Roman"/>
          <w:spacing w:val="4"/>
          <w:sz w:val="24"/>
          <w:szCs w:val="24"/>
          <w:lang w:val="fr-FR"/>
        </w:rPr>
        <w:t xml:space="preserve"> </w:t>
      </w:r>
      <w:r w:rsidR="00E96F7C" w:rsidRPr="00953692">
        <w:rPr>
          <w:rFonts w:cs="Times New Roman"/>
          <w:spacing w:val="4"/>
          <w:sz w:val="24"/>
          <w:szCs w:val="24"/>
          <w:lang w:val="fr-FR"/>
        </w:rPr>
        <w:t>c’est le temps qui révèle le caractère arbitraire d</w:t>
      </w:r>
      <w:r w:rsidR="00A75D89" w:rsidRPr="00953692">
        <w:rPr>
          <w:rFonts w:cs="Times New Roman"/>
          <w:spacing w:val="4"/>
          <w:sz w:val="24"/>
          <w:szCs w:val="24"/>
          <w:lang w:val="fr-FR"/>
        </w:rPr>
        <w:t xml:space="preserve">’une </w:t>
      </w:r>
      <w:r w:rsidR="00E96F7C" w:rsidRPr="00953692">
        <w:rPr>
          <w:rFonts w:cs="Times New Roman"/>
          <w:spacing w:val="4"/>
          <w:sz w:val="24"/>
          <w:szCs w:val="24"/>
          <w:lang w:val="fr-FR"/>
        </w:rPr>
        <w:t>arrestation</w:t>
      </w:r>
      <w:r w:rsidR="00D23D88" w:rsidRPr="00953692">
        <w:rPr>
          <w:rFonts w:cs="Times New Roman"/>
          <w:spacing w:val="4"/>
          <w:sz w:val="24"/>
          <w:szCs w:val="24"/>
          <w:lang w:val="fr-FR"/>
        </w:rPr>
        <w:t xml:space="preserve">, </w:t>
      </w:r>
      <w:r w:rsidR="007746F5" w:rsidRPr="00953692">
        <w:rPr>
          <w:rFonts w:cs="Times New Roman"/>
          <w:spacing w:val="4"/>
          <w:sz w:val="24"/>
          <w:szCs w:val="24"/>
          <w:lang w:val="fr-FR"/>
        </w:rPr>
        <w:t>qui</w:t>
      </w:r>
      <w:r w:rsidR="00E96F7C" w:rsidRPr="00953692">
        <w:rPr>
          <w:rFonts w:cs="Times New Roman"/>
          <w:spacing w:val="4"/>
          <w:sz w:val="24"/>
          <w:szCs w:val="24"/>
          <w:lang w:val="fr-FR"/>
        </w:rPr>
        <w:t xml:space="preserve"> s’opère sans</w:t>
      </w:r>
      <w:r w:rsidR="00460A5C" w:rsidRPr="00953692">
        <w:rPr>
          <w:rFonts w:cs="Times New Roman"/>
          <w:spacing w:val="4"/>
          <w:sz w:val="24"/>
          <w:szCs w:val="24"/>
          <w:lang w:val="fr-FR"/>
        </w:rPr>
        <w:t xml:space="preserve"> qu’il n’y </w:t>
      </w:r>
      <w:r w:rsidR="00A75D89" w:rsidRPr="00953692">
        <w:rPr>
          <w:rFonts w:cs="Times New Roman"/>
          <w:spacing w:val="4"/>
          <w:sz w:val="24"/>
          <w:szCs w:val="24"/>
          <w:lang w:val="fr-FR"/>
        </w:rPr>
        <w:t>soit fourni à la</w:t>
      </w:r>
      <w:r w:rsidR="00A70154" w:rsidRPr="00953692">
        <w:rPr>
          <w:rFonts w:cs="Times New Roman"/>
          <w:spacing w:val="4"/>
          <w:sz w:val="24"/>
          <w:szCs w:val="24"/>
          <w:lang w:val="fr-FR"/>
        </w:rPr>
        <w:t xml:space="preserve"> </w:t>
      </w:r>
      <w:r w:rsidR="00460A5C" w:rsidRPr="00953692">
        <w:rPr>
          <w:rFonts w:cs="Times New Roman"/>
          <w:spacing w:val="4"/>
          <w:sz w:val="24"/>
          <w:szCs w:val="24"/>
          <w:lang w:val="fr-FR"/>
        </w:rPr>
        <w:t>personne concernée aucune</w:t>
      </w:r>
      <w:r w:rsidR="00E96F7C" w:rsidRPr="00953692">
        <w:rPr>
          <w:rFonts w:cs="Times New Roman"/>
          <w:spacing w:val="4"/>
          <w:sz w:val="24"/>
          <w:szCs w:val="24"/>
          <w:lang w:val="fr-FR"/>
        </w:rPr>
        <w:t xml:space="preserve"> informatio</w:t>
      </w:r>
      <w:r w:rsidR="00460A5C" w:rsidRPr="00953692">
        <w:rPr>
          <w:rFonts w:cs="Times New Roman"/>
          <w:spacing w:val="4"/>
          <w:sz w:val="24"/>
          <w:szCs w:val="24"/>
          <w:lang w:val="fr-FR"/>
        </w:rPr>
        <w:t>n</w:t>
      </w:r>
      <w:r w:rsidR="00D23D88" w:rsidRPr="00953692">
        <w:rPr>
          <w:rFonts w:cs="Times New Roman"/>
          <w:spacing w:val="4"/>
          <w:sz w:val="24"/>
          <w:szCs w:val="24"/>
          <w:lang w:val="fr-FR"/>
        </w:rPr>
        <w:t xml:space="preserve"> </w:t>
      </w:r>
      <w:r w:rsidR="007746F5" w:rsidRPr="00953692">
        <w:rPr>
          <w:rFonts w:cs="Times New Roman"/>
          <w:spacing w:val="4"/>
          <w:sz w:val="24"/>
          <w:szCs w:val="24"/>
          <w:lang w:val="fr-FR"/>
        </w:rPr>
        <w:t>à ce</w:t>
      </w:r>
      <w:r w:rsidR="00D23D88" w:rsidRPr="00953692">
        <w:rPr>
          <w:rFonts w:cs="Times New Roman"/>
          <w:spacing w:val="4"/>
          <w:sz w:val="24"/>
          <w:szCs w:val="24"/>
          <w:lang w:val="fr-FR"/>
        </w:rPr>
        <w:t xml:space="preserve"> moment</w:t>
      </w:r>
      <w:r w:rsidR="007746F5" w:rsidRPr="00953692">
        <w:rPr>
          <w:rFonts w:cs="Times New Roman"/>
          <w:spacing w:val="4"/>
          <w:sz w:val="24"/>
          <w:szCs w:val="24"/>
          <w:lang w:val="fr-FR"/>
        </w:rPr>
        <w:t>-là</w:t>
      </w:r>
      <w:r w:rsidR="00460A5C" w:rsidRPr="00953692">
        <w:rPr>
          <w:rFonts w:cs="Times New Roman"/>
          <w:spacing w:val="4"/>
          <w:sz w:val="24"/>
          <w:szCs w:val="24"/>
          <w:lang w:val="fr-FR"/>
        </w:rPr>
        <w:t xml:space="preserve">. Il en est de </w:t>
      </w:r>
      <w:r w:rsidR="00177A58" w:rsidRPr="00953692">
        <w:rPr>
          <w:rFonts w:cs="Times New Roman"/>
          <w:spacing w:val="4"/>
          <w:sz w:val="24"/>
          <w:szCs w:val="24"/>
          <w:lang w:val="fr-FR"/>
        </w:rPr>
        <w:t>même</w:t>
      </w:r>
      <w:r w:rsidR="00D23D88" w:rsidRPr="00953692">
        <w:rPr>
          <w:rFonts w:cs="Times New Roman"/>
          <w:spacing w:val="4"/>
          <w:sz w:val="24"/>
          <w:szCs w:val="24"/>
          <w:lang w:val="fr-FR"/>
        </w:rPr>
        <w:t xml:space="preserve"> lorsque l’individu </w:t>
      </w:r>
      <w:r w:rsidR="00177A58" w:rsidRPr="00953692">
        <w:rPr>
          <w:rFonts w:cs="Times New Roman"/>
          <w:spacing w:val="4"/>
          <w:sz w:val="24"/>
          <w:szCs w:val="24"/>
          <w:lang w:val="fr-FR"/>
        </w:rPr>
        <w:t>arrêté</w:t>
      </w:r>
      <w:r w:rsidR="00D23D88" w:rsidRPr="00953692">
        <w:rPr>
          <w:rFonts w:cs="Times New Roman"/>
          <w:spacing w:val="4"/>
          <w:sz w:val="24"/>
          <w:szCs w:val="24"/>
          <w:lang w:val="fr-FR"/>
        </w:rPr>
        <w:t xml:space="preserve"> </w:t>
      </w:r>
      <w:r w:rsidR="00D23D88" w:rsidRPr="00953692">
        <w:rPr>
          <w:rFonts w:cs="Times New Roman"/>
          <w:i/>
          <w:iCs/>
          <w:spacing w:val="4"/>
          <w:sz w:val="24"/>
          <w:szCs w:val="24"/>
          <w:lang w:val="fr-FR"/>
        </w:rPr>
        <w:t>demeure</w:t>
      </w:r>
      <w:r w:rsidR="008F1887" w:rsidRPr="00953692">
        <w:rPr>
          <w:rFonts w:cs="Times New Roman"/>
          <w:i/>
          <w:iCs/>
          <w:spacing w:val="4"/>
          <w:sz w:val="24"/>
          <w:szCs w:val="24"/>
          <w:lang w:val="fr-FR"/>
        </w:rPr>
        <w:t xml:space="preserve"> durant un certain temps</w:t>
      </w:r>
      <w:r w:rsidR="00D23D88" w:rsidRPr="00953692">
        <w:rPr>
          <w:rFonts w:cs="Times New Roman"/>
          <w:spacing w:val="4"/>
          <w:sz w:val="24"/>
          <w:szCs w:val="24"/>
          <w:lang w:val="fr-FR"/>
        </w:rPr>
        <w:t xml:space="preserve"> en état d’arrestation sans savoir l’accusation portée contre elle. Le temps apparait ici comme une unité de mesure de la légalité </w:t>
      </w:r>
      <w:r w:rsidR="00814E26" w:rsidRPr="00953692">
        <w:rPr>
          <w:rFonts w:cs="Times New Roman"/>
          <w:spacing w:val="4"/>
          <w:sz w:val="24"/>
          <w:szCs w:val="24"/>
          <w:lang w:val="fr-FR"/>
        </w:rPr>
        <w:t xml:space="preserve">et régularité </w:t>
      </w:r>
      <w:r w:rsidR="00D23D88" w:rsidRPr="00953692">
        <w:rPr>
          <w:rFonts w:cs="Times New Roman"/>
          <w:spacing w:val="4"/>
          <w:sz w:val="24"/>
          <w:szCs w:val="24"/>
          <w:lang w:val="fr-FR"/>
        </w:rPr>
        <w:t>de</w:t>
      </w:r>
      <w:r w:rsidR="00460A5C" w:rsidRPr="00953692">
        <w:rPr>
          <w:rFonts w:cs="Times New Roman"/>
          <w:spacing w:val="4"/>
          <w:sz w:val="24"/>
          <w:szCs w:val="24"/>
          <w:lang w:val="fr-FR"/>
        </w:rPr>
        <w:t xml:space="preserve"> </w:t>
      </w:r>
      <w:r w:rsidR="00A75D89" w:rsidRPr="00953692">
        <w:rPr>
          <w:rFonts w:cs="Times New Roman"/>
          <w:spacing w:val="4"/>
          <w:sz w:val="24"/>
          <w:szCs w:val="24"/>
          <w:lang w:val="fr-FR"/>
        </w:rPr>
        <w:t>cette</w:t>
      </w:r>
      <w:r w:rsidR="00460A5C" w:rsidRPr="00953692">
        <w:rPr>
          <w:rFonts w:cs="Times New Roman"/>
          <w:spacing w:val="4"/>
          <w:sz w:val="24"/>
          <w:szCs w:val="24"/>
          <w:lang w:val="fr-FR"/>
        </w:rPr>
        <w:t xml:space="preserve"> procédure qui s’annonce</w:t>
      </w:r>
      <w:r w:rsidR="00A75D89" w:rsidRPr="00953692">
        <w:rPr>
          <w:rFonts w:cs="Times New Roman"/>
          <w:spacing w:val="4"/>
          <w:sz w:val="24"/>
          <w:szCs w:val="24"/>
          <w:lang w:val="fr-FR"/>
        </w:rPr>
        <w:t xml:space="preserve"> </w:t>
      </w:r>
      <w:r w:rsidR="00D23D88" w:rsidRPr="00953692">
        <w:rPr>
          <w:rFonts w:cs="Times New Roman"/>
          <w:spacing w:val="4"/>
          <w:sz w:val="24"/>
          <w:szCs w:val="24"/>
          <w:lang w:val="fr-FR"/>
        </w:rPr>
        <w:t xml:space="preserve">et permet de trancher </w:t>
      </w:r>
      <w:r w:rsidR="00F33A75" w:rsidRPr="00953692">
        <w:rPr>
          <w:rFonts w:cs="Times New Roman"/>
          <w:spacing w:val="4"/>
          <w:sz w:val="24"/>
          <w:szCs w:val="24"/>
          <w:lang w:val="fr-FR"/>
        </w:rPr>
        <w:t>avec</w:t>
      </w:r>
      <w:r w:rsidR="00D23D88" w:rsidRPr="00953692">
        <w:rPr>
          <w:rFonts w:cs="Times New Roman"/>
          <w:spacing w:val="4"/>
          <w:sz w:val="24"/>
          <w:szCs w:val="24"/>
          <w:lang w:val="fr-FR"/>
        </w:rPr>
        <w:t xml:space="preserve"> l’arbitraire</w:t>
      </w:r>
      <w:r w:rsidR="00460A5C" w:rsidRPr="00953692">
        <w:rPr>
          <w:rFonts w:cs="Times New Roman"/>
          <w:spacing w:val="4"/>
          <w:sz w:val="24"/>
          <w:szCs w:val="24"/>
          <w:lang w:val="fr-FR"/>
        </w:rPr>
        <w:t xml:space="preserve"> qui peut en résulter</w:t>
      </w:r>
      <w:r w:rsidR="00FF57B8" w:rsidRPr="00953692">
        <w:rPr>
          <w:rFonts w:cs="Times New Roman"/>
          <w:spacing w:val="4"/>
          <w:sz w:val="24"/>
          <w:szCs w:val="24"/>
          <w:lang w:val="fr-FR"/>
        </w:rPr>
        <w:t xml:space="preserve"> </w:t>
      </w:r>
      <w:r w:rsidR="00963AF6" w:rsidRPr="00953692">
        <w:rPr>
          <w:rFonts w:cs="Times New Roman"/>
          <w:spacing w:val="4"/>
          <w:sz w:val="24"/>
          <w:szCs w:val="24"/>
          <w:lang w:val="fr-FR"/>
        </w:rPr>
        <w:t>au fil du</w:t>
      </w:r>
      <w:r w:rsidR="00FF57B8" w:rsidRPr="00953692">
        <w:rPr>
          <w:rFonts w:cs="Times New Roman"/>
          <w:spacing w:val="4"/>
          <w:sz w:val="24"/>
          <w:szCs w:val="24"/>
          <w:lang w:val="fr-FR"/>
        </w:rPr>
        <w:t xml:space="preserve"> temps</w:t>
      </w:r>
      <w:r w:rsidR="00D23D88" w:rsidRPr="00953692">
        <w:rPr>
          <w:rFonts w:cs="Times New Roman"/>
          <w:spacing w:val="4"/>
          <w:sz w:val="24"/>
          <w:szCs w:val="24"/>
          <w:lang w:val="fr-FR"/>
        </w:rPr>
        <w:t>.</w:t>
      </w:r>
    </w:p>
    <w:p w14:paraId="76751A45" w14:textId="7C1E3389" w:rsidR="00966D92" w:rsidRPr="00953692" w:rsidRDefault="00B30136" w:rsidP="00864BBF">
      <w:pPr>
        <w:spacing w:after="0" w:line="276" w:lineRule="auto"/>
        <w:ind w:firstLine="1134"/>
        <w:jc w:val="both"/>
        <w:rPr>
          <w:rFonts w:cs="Times New Roman"/>
          <w:spacing w:val="4"/>
          <w:sz w:val="24"/>
          <w:szCs w:val="24"/>
          <w:lang w:val="fr-FR"/>
        </w:rPr>
      </w:pPr>
      <w:r w:rsidRPr="00953692">
        <w:rPr>
          <w:rFonts w:cs="Times New Roman"/>
          <w:b/>
          <w:bCs/>
          <w:spacing w:val="4"/>
          <w:sz w:val="24"/>
          <w:szCs w:val="24"/>
          <w:lang w:val="fr-FR"/>
        </w:rPr>
        <w:t>43</w:t>
      </w:r>
      <w:r w:rsidR="00B87E96" w:rsidRPr="00953692">
        <w:rPr>
          <w:rFonts w:cs="Times New Roman"/>
          <w:b/>
          <w:bCs/>
          <w:spacing w:val="4"/>
          <w:sz w:val="24"/>
          <w:szCs w:val="24"/>
          <w:lang w:val="fr-FR"/>
        </w:rPr>
        <w:t>.</w:t>
      </w:r>
      <w:r w:rsidR="00B87E96" w:rsidRPr="00953692">
        <w:rPr>
          <w:rFonts w:cs="Times New Roman"/>
          <w:spacing w:val="4"/>
          <w:sz w:val="24"/>
          <w:szCs w:val="24"/>
          <w:lang w:val="fr-FR"/>
        </w:rPr>
        <w:t xml:space="preserve"> </w:t>
      </w:r>
      <w:r w:rsidR="00D23D88" w:rsidRPr="00953692">
        <w:rPr>
          <w:rFonts w:cs="Times New Roman"/>
          <w:spacing w:val="4"/>
          <w:sz w:val="24"/>
          <w:szCs w:val="24"/>
          <w:lang w:val="fr-FR"/>
        </w:rPr>
        <w:t xml:space="preserve">Ensuite, </w:t>
      </w:r>
      <w:r w:rsidR="00963AF6" w:rsidRPr="00953692">
        <w:rPr>
          <w:rFonts w:cs="Times New Roman"/>
          <w:spacing w:val="4"/>
          <w:sz w:val="24"/>
          <w:szCs w:val="24"/>
          <w:lang w:val="fr-FR"/>
        </w:rPr>
        <w:t>à</w:t>
      </w:r>
      <w:r w:rsidR="00D23D88" w:rsidRPr="00953692">
        <w:rPr>
          <w:rFonts w:cs="Times New Roman"/>
          <w:spacing w:val="4"/>
          <w:sz w:val="24"/>
          <w:szCs w:val="24"/>
          <w:lang w:val="fr-FR"/>
        </w:rPr>
        <w:t xml:space="preserve"> </w:t>
      </w:r>
      <w:r w:rsidR="00963AF6" w:rsidRPr="00953692">
        <w:rPr>
          <w:rFonts w:cs="Times New Roman"/>
          <w:spacing w:val="4"/>
          <w:sz w:val="24"/>
          <w:szCs w:val="24"/>
          <w:lang w:val="fr-FR"/>
        </w:rPr>
        <w:t>l’</w:t>
      </w:r>
      <w:r w:rsidR="00D23D88" w:rsidRPr="00953692">
        <w:rPr>
          <w:rFonts w:cs="Times New Roman"/>
          <w:spacing w:val="4"/>
          <w:sz w:val="24"/>
          <w:szCs w:val="24"/>
          <w:lang w:val="fr-FR"/>
        </w:rPr>
        <w:t>article 14</w:t>
      </w:r>
      <w:r w:rsidR="007F035A" w:rsidRPr="00953692">
        <w:rPr>
          <w:rFonts w:cs="Times New Roman"/>
          <w:spacing w:val="4"/>
          <w:sz w:val="24"/>
          <w:szCs w:val="24"/>
          <w:lang w:val="fr-FR"/>
        </w:rPr>
        <w:t xml:space="preserve"> du</w:t>
      </w:r>
      <w:r w:rsidR="00D23D88" w:rsidRPr="00953692">
        <w:rPr>
          <w:rFonts w:cs="Times New Roman"/>
          <w:spacing w:val="4"/>
          <w:sz w:val="24"/>
          <w:szCs w:val="24"/>
          <w:lang w:val="fr-FR"/>
        </w:rPr>
        <w:t xml:space="preserve"> Pacte international des droits civils et politiques</w:t>
      </w:r>
      <w:r w:rsidR="004129E5" w:rsidRPr="00953692">
        <w:rPr>
          <w:rFonts w:cs="Times New Roman"/>
          <w:spacing w:val="4"/>
          <w:sz w:val="24"/>
          <w:szCs w:val="24"/>
          <w:lang w:val="fr-FR"/>
        </w:rPr>
        <w:t>,</w:t>
      </w:r>
      <w:r w:rsidR="00E823B5" w:rsidRPr="00953692">
        <w:rPr>
          <w:rFonts w:cs="Times New Roman"/>
          <w:spacing w:val="4"/>
          <w:sz w:val="24"/>
          <w:szCs w:val="24"/>
          <w:lang w:val="fr-FR"/>
        </w:rPr>
        <w:t xml:space="preserve"> on retrouve cette fois-ci les garanties d’un procès équitable, dont le droit « </w:t>
      </w:r>
      <w:r w:rsidR="00E823B5" w:rsidRPr="00953692">
        <w:rPr>
          <w:rFonts w:cs="Times New Roman"/>
          <w:i/>
          <w:iCs/>
          <w:spacing w:val="4"/>
          <w:sz w:val="24"/>
          <w:szCs w:val="24"/>
          <w:lang w:val="fr-FR"/>
        </w:rPr>
        <w:t>à être informée, dans le plus court délai, dans une langue qu'elle comprend et de façon détaillée, de la nature et des motifs de l'accusation portée contre la personne accusée d’une infraction pénale</w:t>
      </w:r>
      <w:r w:rsidR="00E823B5" w:rsidRPr="00953692">
        <w:rPr>
          <w:rFonts w:cs="Times New Roman"/>
          <w:spacing w:val="4"/>
          <w:sz w:val="24"/>
          <w:szCs w:val="24"/>
          <w:lang w:val="fr-FR"/>
        </w:rPr>
        <w:t> »</w:t>
      </w:r>
      <w:r w:rsidR="00A31260" w:rsidRPr="00953692">
        <w:rPr>
          <w:rStyle w:val="Appelnotedebasdep"/>
          <w:rFonts w:cs="Times New Roman"/>
          <w:spacing w:val="4"/>
          <w:sz w:val="24"/>
          <w:szCs w:val="24"/>
          <w:lang w:val="fr-FR"/>
        </w:rPr>
        <w:footnoteReference w:customMarkFollows="1" w:id="36"/>
        <w:t>19</w:t>
      </w:r>
      <w:r w:rsidR="00E823B5" w:rsidRPr="00953692">
        <w:rPr>
          <w:rFonts w:cs="Times New Roman"/>
          <w:spacing w:val="4"/>
          <w:sz w:val="24"/>
          <w:szCs w:val="24"/>
          <w:lang w:val="fr-FR"/>
        </w:rPr>
        <w:t xml:space="preserve">. </w:t>
      </w:r>
      <w:r w:rsidR="004129E5" w:rsidRPr="00953692">
        <w:rPr>
          <w:rStyle w:val="grammar"/>
          <w:rFonts w:cs="Times New Roman"/>
          <w:sz w:val="24"/>
          <w:szCs w:val="24"/>
          <w:lang w:val="fr-FR"/>
        </w:rPr>
        <w:t>À</w:t>
      </w:r>
      <w:r w:rsidR="004129E5" w:rsidRPr="00953692">
        <w:rPr>
          <w:rFonts w:cs="Times New Roman"/>
          <w:sz w:val="24"/>
          <w:szCs w:val="24"/>
          <w:shd w:val="clear" w:color="auto" w:fill="FFFFFF"/>
          <w:lang w:val="fr-FR"/>
        </w:rPr>
        <w:t xml:space="preserve"> la différence</w:t>
      </w:r>
      <w:r w:rsidR="00840D46" w:rsidRPr="00953692">
        <w:rPr>
          <w:rFonts w:cs="Times New Roman"/>
          <w:spacing w:val="4"/>
          <w:sz w:val="24"/>
          <w:szCs w:val="24"/>
          <w:lang w:val="fr-FR"/>
        </w:rPr>
        <w:t xml:space="preserve"> </w:t>
      </w:r>
      <w:r w:rsidR="007116D8" w:rsidRPr="00953692">
        <w:rPr>
          <w:rFonts w:cs="Times New Roman"/>
          <w:spacing w:val="4"/>
          <w:sz w:val="24"/>
          <w:szCs w:val="24"/>
          <w:lang w:val="fr-FR"/>
        </w:rPr>
        <w:t xml:space="preserve">de l’article 9, les dispositions de l’article 14 n’exigent qu’il s’agisse d’une situation d’arrestation ou de détention. </w:t>
      </w:r>
      <w:r w:rsidR="005F00D0" w:rsidRPr="00953692">
        <w:rPr>
          <w:rFonts w:cs="Times New Roman"/>
          <w:spacing w:val="4"/>
          <w:sz w:val="24"/>
          <w:szCs w:val="24"/>
          <w:lang w:val="fr-FR"/>
        </w:rPr>
        <w:t xml:space="preserve">Il en ressort une différence </w:t>
      </w:r>
      <w:r w:rsidR="007746F5" w:rsidRPr="00953692">
        <w:rPr>
          <w:rFonts w:cs="Times New Roman"/>
          <w:spacing w:val="4"/>
          <w:sz w:val="24"/>
          <w:szCs w:val="24"/>
          <w:lang w:val="fr-FR"/>
        </w:rPr>
        <w:t>fondée sur</w:t>
      </w:r>
      <w:r w:rsidR="005F00D0" w:rsidRPr="00953692">
        <w:rPr>
          <w:rFonts w:cs="Times New Roman"/>
          <w:spacing w:val="4"/>
          <w:sz w:val="24"/>
          <w:szCs w:val="24"/>
          <w:lang w:val="fr-FR"/>
        </w:rPr>
        <w:t xml:space="preserve"> leur étendue. Si l’article 9 est spécifique en cas d</w:t>
      </w:r>
      <w:r w:rsidR="006E0200" w:rsidRPr="00953692">
        <w:rPr>
          <w:rFonts w:cs="Times New Roman"/>
          <w:spacing w:val="4"/>
          <w:sz w:val="24"/>
          <w:szCs w:val="24"/>
          <w:lang w:val="fr-FR"/>
        </w:rPr>
        <w:t xml:space="preserve">e </w:t>
      </w:r>
      <w:r w:rsidR="005F00D0" w:rsidRPr="00953692">
        <w:rPr>
          <w:rFonts w:cs="Times New Roman"/>
          <w:spacing w:val="4"/>
          <w:sz w:val="24"/>
          <w:szCs w:val="24"/>
          <w:lang w:val="fr-FR"/>
        </w:rPr>
        <w:t xml:space="preserve">privation de liberté, l’article 14 par contre, est </w:t>
      </w:r>
      <w:r w:rsidR="00966D92" w:rsidRPr="00953692">
        <w:rPr>
          <w:rFonts w:cs="Times New Roman"/>
          <w:spacing w:val="4"/>
          <w:sz w:val="24"/>
          <w:szCs w:val="24"/>
          <w:lang w:val="fr-FR"/>
        </w:rPr>
        <w:t>spécifique en cas d’une accusation officielle portée contre l’intéressé sans nécessairement impliquer une privation de liberté. Du point de vue temporel, on dira que le contenu de l’article 14 serait une succession logique de l’article 9. Prenons par exemple l’hypothèse d’une arrestation qui n’aboutit pas à une inculpation, il va sans dire que le Procureur n’ait pas d’</w:t>
      </w:r>
      <w:r w:rsidR="00250021" w:rsidRPr="00953692">
        <w:rPr>
          <w:rFonts w:cs="Times New Roman"/>
          <w:spacing w:val="4"/>
          <w:sz w:val="24"/>
          <w:szCs w:val="24"/>
          <w:lang w:val="fr-FR"/>
        </w:rPr>
        <w:t>information</w:t>
      </w:r>
      <w:r w:rsidR="00966D92" w:rsidRPr="00953692">
        <w:rPr>
          <w:rFonts w:cs="Times New Roman"/>
          <w:spacing w:val="4"/>
          <w:sz w:val="24"/>
          <w:szCs w:val="24"/>
          <w:lang w:val="fr-FR"/>
        </w:rPr>
        <w:t>s pertinentes</w:t>
      </w:r>
      <w:r w:rsidR="00250021" w:rsidRPr="00953692">
        <w:rPr>
          <w:rFonts w:cs="Times New Roman"/>
          <w:spacing w:val="4"/>
          <w:sz w:val="24"/>
          <w:szCs w:val="24"/>
          <w:lang w:val="fr-FR"/>
        </w:rPr>
        <w:t xml:space="preserve"> à fournir à la personne arrêtée.</w:t>
      </w:r>
    </w:p>
    <w:p w14:paraId="19704804" w14:textId="78593777" w:rsidR="0025656A" w:rsidRPr="00953692" w:rsidRDefault="00B30136" w:rsidP="00864BBF">
      <w:pPr>
        <w:spacing w:after="0" w:line="276" w:lineRule="auto"/>
        <w:ind w:firstLine="1134"/>
        <w:jc w:val="both"/>
        <w:rPr>
          <w:rFonts w:cs="Times New Roman"/>
          <w:spacing w:val="4"/>
          <w:sz w:val="24"/>
          <w:szCs w:val="24"/>
          <w:lang w:val="fr-FR"/>
        </w:rPr>
      </w:pPr>
      <w:r w:rsidRPr="00953692">
        <w:rPr>
          <w:rFonts w:cs="Times New Roman"/>
          <w:b/>
          <w:bCs/>
          <w:spacing w:val="4"/>
          <w:sz w:val="24"/>
          <w:szCs w:val="24"/>
          <w:lang w:val="fr-FR"/>
        </w:rPr>
        <w:t>44</w:t>
      </w:r>
      <w:r w:rsidR="00F57F28" w:rsidRPr="00953692">
        <w:rPr>
          <w:rFonts w:cs="Times New Roman"/>
          <w:b/>
          <w:bCs/>
          <w:spacing w:val="4"/>
          <w:sz w:val="24"/>
          <w:szCs w:val="24"/>
          <w:lang w:val="fr-FR"/>
        </w:rPr>
        <w:t>.</w:t>
      </w:r>
      <w:r w:rsidR="00F57F28" w:rsidRPr="00953692">
        <w:rPr>
          <w:rFonts w:cs="Times New Roman"/>
          <w:spacing w:val="4"/>
          <w:sz w:val="24"/>
          <w:szCs w:val="24"/>
          <w:lang w:val="fr-FR"/>
        </w:rPr>
        <w:t xml:space="preserve"> </w:t>
      </w:r>
      <w:r w:rsidR="0016621B" w:rsidRPr="00953692">
        <w:rPr>
          <w:rFonts w:cs="Times New Roman"/>
          <w:spacing w:val="4"/>
          <w:sz w:val="24"/>
          <w:szCs w:val="24"/>
          <w:lang w:val="fr-FR"/>
        </w:rPr>
        <w:t>Mais la formulation de l’article 14</w:t>
      </w:r>
      <w:r w:rsidR="00963AF6" w:rsidRPr="00953692">
        <w:rPr>
          <w:rFonts w:cs="Times New Roman"/>
          <w:spacing w:val="4"/>
          <w:sz w:val="24"/>
          <w:szCs w:val="24"/>
          <w:lang w:val="fr-FR"/>
        </w:rPr>
        <w:t xml:space="preserve"> de ce texte</w:t>
      </w:r>
      <w:r w:rsidR="004B27A6" w:rsidRPr="00953692">
        <w:rPr>
          <w:rFonts w:cs="Times New Roman"/>
          <w:spacing w:val="4"/>
          <w:sz w:val="24"/>
          <w:szCs w:val="24"/>
          <w:lang w:val="fr-FR"/>
        </w:rPr>
        <w:t xml:space="preserve"> va plutôt correspondre </w:t>
      </w:r>
      <w:r w:rsidR="00E05E07" w:rsidRPr="00953692">
        <w:rPr>
          <w:rFonts w:cs="Times New Roman"/>
          <w:spacing w:val="4"/>
          <w:sz w:val="24"/>
          <w:szCs w:val="24"/>
          <w:lang w:val="fr-FR"/>
        </w:rPr>
        <w:t>au</w:t>
      </w:r>
      <w:r w:rsidR="004B27A6" w:rsidRPr="00953692">
        <w:rPr>
          <w:rFonts w:cs="Times New Roman"/>
          <w:spacing w:val="4"/>
          <w:sz w:val="24"/>
          <w:szCs w:val="24"/>
          <w:lang w:val="fr-FR"/>
        </w:rPr>
        <w:t xml:space="preserve"> </w:t>
      </w:r>
      <w:r w:rsidR="0025656A" w:rsidRPr="00953692">
        <w:rPr>
          <w:rFonts w:cs="Times New Roman"/>
          <w:spacing w:val="4"/>
          <w:sz w:val="24"/>
          <w:szCs w:val="24"/>
          <w:lang w:val="fr-FR"/>
        </w:rPr>
        <w:t xml:space="preserve">second </w:t>
      </w:r>
      <w:r w:rsidR="00E05E07" w:rsidRPr="00953692">
        <w:rPr>
          <w:rFonts w:cs="Times New Roman"/>
          <w:spacing w:val="4"/>
          <w:sz w:val="24"/>
          <w:szCs w:val="24"/>
          <w:lang w:val="fr-FR"/>
        </w:rPr>
        <w:t>cas de figure</w:t>
      </w:r>
      <w:r w:rsidR="004B27A6" w:rsidRPr="00953692">
        <w:rPr>
          <w:rFonts w:cs="Times New Roman"/>
          <w:spacing w:val="4"/>
          <w:sz w:val="24"/>
          <w:szCs w:val="24"/>
          <w:lang w:val="fr-FR"/>
        </w:rPr>
        <w:t xml:space="preserve"> de l’article 9 précité</w:t>
      </w:r>
      <w:r w:rsidR="0025656A" w:rsidRPr="00953692">
        <w:rPr>
          <w:rFonts w:cs="Times New Roman"/>
          <w:spacing w:val="4"/>
          <w:sz w:val="24"/>
          <w:szCs w:val="24"/>
          <w:lang w:val="fr-FR"/>
        </w:rPr>
        <w:t>,</w:t>
      </w:r>
      <w:r w:rsidR="004B27A6" w:rsidRPr="00953692">
        <w:rPr>
          <w:rFonts w:cs="Times New Roman"/>
          <w:spacing w:val="4"/>
          <w:sz w:val="24"/>
          <w:szCs w:val="24"/>
          <w:lang w:val="fr-FR"/>
        </w:rPr>
        <w:t xml:space="preserve"> qui </w:t>
      </w:r>
      <w:r w:rsidR="00B67575" w:rsidRPr="00953692">
        <w:rPr>
          <w:rFonts w:cs="Times New Roman"/>
          <w:spacing w:val="4"/>
          <w:sz w:val="24"/>
          <w:szCs w:val="24"/>
          <w:lang w:val="fr-FR"/>
        </w:rPr>
        <w:t>obli</w:t>
      </w:r>
      <w:r w:rsidR="004B27A6" w:rsidRPr="00953692">
        <w:rPr>
          <w:rFonts w:cs="Times New Roman"/>
          <w:spacing w:val="4"/>
          <w:sz w:val="24"/>
          <w:szCs w:val="24"/>
          <w:lang w:val="fr-FR"/>
        </w:rPr>
        <w:t xml:space="preserve">ge à ce que la personne arrêtée </w:t>
      </w:r>
      <w:r w:rsidR="004B27A6" w:rsidRPr="00953692">
        <w:rPr>
          <w:rFonts w:cs="Times New Roman"/>
          <w:spacing w:val="4"/>
          <w:sz w:val="24"/>
          <w:szCs w:val="24"/>
          <w:lang w:val="fr-FR"/>
        </w:rPr>
        <w:lastRenderedPageBreak/>
        <w:t xml:space="preserve">soit informée des accusations portées contre elle. </w:t>
      </w:r>
      <w:r w:rsidR="0016621B" w:rsidRPr="00953692">
        <w:rPr>
          <w:rFonts w:cs="Times New Roman"/>
          <w:spacing w:val="4"/>
          <w:sz w:val="24"/>
          <w:szCs w:val="24"/>
          <w:lang w:val="fr-FR"/>
        </w:rPr>
        <w:t>Bien que dans le cadre de cet article</w:t>
      </w:r>
      <w:r w:rsidR="00B67575" w:rsidRPr="00953692">
        <w:rPr>
          <w:rFonts w:cs="Times New Roman"/>
          <w:spacing w:val="4"/>
          <w:sz w:val="24"/>
          <w:szCs w:val="24"/>
          <w:lang w:val="fr-FR"/>
        </w:rPr>
        <w:t>,</w:t>
      </w:r>
      <w:r w:rsidR="0016621B" w:rsidRPr="00953692">
        <w:rPr>
          <w:rFonts w:cs="Times New Roman"/>
          <w:spacing w:val="4"/>
          <w:sz w:val="24"/>
          <w:szCs w:val="24"/>
          <w:lang w:val="fr-FR"/>
        </w:rPr>
        <w:t xml:space="preserve"> il ne s’agisse pas des poursuites (d’inculpation), les soupçons du procureur n’en constituent pas moins un début. </w:t>
      </w:r>
      <w:r w:rsidR="00963AF6" w:rsidRPr="00953692">
        <w:rPr>
          <w:rFonts w:cs="Times New Roman"/>
          <w:spacing w:val="4"/>
          <w:sz w:val="24"/>
          <w:szCs w:val="24"/>
          <w:lang w:val="fr-FR"/>
        </w:rPr>
        <w:t>En réalité, o</w:t>
      </w:r>
      <w:r w:rsidR="0016621B" w:rsidRPr="00953692">
        <w:rPr>
          <w:rFonts w:cs="Times New Roman"/>
          <w:spacing w:val="4"/>
          <w:sz w:val="24"/>
          <w:szCs w:val="24"/>
          <w:lang w:val="fr-FR"/>
        </w:rPr>
        <w:t>n est ici dans la continuité de l’article 9</w:t>
      </w:r>
      <w:r w:rsidR="0025656A" w:rsidRPr="00953692">
        <w:rPr>
          <w:rFonts w:cs="Times New Roman"/>
          <w:spacing w:val="4"/>
          <w:sz w:val="24"/>
          <w:szCs w:val="24"/>
          <w:lang w:val="fr-FR"/>
        </w:rPr>
        <w:t xml:space="preserve">, à condition que l’intéressé ait été arrêté et soit en état de détention. A contrario, </w:t>
      </w:r>
      <w:r w:rsidR="005A1B2D" w:rsidRPr="00953692">
        <w:rPr>
          <w:rFonts w:cs="Times New Roman"/>
          <w:spacing w:val="4"/>
          <w:sz w:val="24"/>
          <w:szCs w:val="24"/>
          <w:lang w:val="fr-FR"/>
        </w:rPr>
        <w:t xml:space="preserve">l’article 14 s’appliquerait </w:t>
      </w:r>
      <w:r w:rsidR="00963AF6" w:rsidRPr="00953692">
        <w:rPr>
          <w:rFonts w:cs="Times New Roman"/>
          <w:spacing w:val="4"/>
          <w:sz w:val="24"/>
          <w:szCs w:val="24"/>
          <w:lang w:val="fr-FR"/>
        </w:rPr>
        <w:t xml:space="preserve">quand-même </w:t>
      </w:r>
      <w:r w:rsidR="005A1B2D" w:rsidRPr="00953692">
        <w:rPr>
          <w:rFonts w:cs="Times New Roman"/>
          <w:spacing w:val="4"/>
          <w:sz w:val="24"/>
          <w:szCs w:val="24"/>
          <w:lang w:val="fr-FR"/>
        </w:rPr>
        <w:t xml:space="preserve">de façon indépendante. </w:t>
      </w:r>
    </w:p>
    <w:p w14:paraId="081E1B0C" w14:textId="36A8D7BE" w:rsidR="00E422AB" w:rsidRPr="00953692" w:rsidRDefault="00B30136" w:rsidP="00864BBF">
      <w:pPr>
        <w:spacing w:after="0" w:line="276" w:lineRule="auto"/>
        <w:ind w:firstLine="1134"/>
        <w:jc w:val="both"/>
        <w:rPr>
          <w:rFonts w:cs="Times New Roman"/>
          <w:spacing w:val="4"/>
          <w:sz w:val="24"/>
          <w:szCs w:val="24"/>
          <w:lang w:val="fr-FR"/>
        </w:rPr>
      </w:pPr>
      <w:r w:rsidRPr="00953692">
        <w:rPr>
          <w:rFonts w:cs="Times New Roman"/>
          <w:b/>
          <w:bCs/>
          <w:spacing w:val="4"/>
          <w:sz w:val="24"/>
          <w:szCs w:val="24"/>
          <w:lang w:val="fr-FR"/>
        </w:rPr>
        <w:t>45</w:t>
      </w:r>
      <w:r w:rsidR="00F57F28" w:rsidRPr="00953692">
        <w:rPr>
          <w:rFonts w:cs="Times New Roman"/>
          <w:b/>
          <w:bCs/>
          <w:spacing w:val="4"/>
          <w:sz w:val="24"/>
          <w:szCs w:val="24"/>
          <w:lang w:val="fr-FR"/>
        </w:rPr>
        <w:t>.</w:t>
      </w:r>
      <w:r w:rsidR="00F57F28" w:rsidRPr="00953692">
        <w:rPr>
          <w:rFonts w:cs="Times New Roman"/>
          <w:spacing w:val="4"/>
          <w:sz w:val="24"/>
          <w:szCs w:val="24"/>
          <w:lang w:val="fr-FR"/>
        </w:rPr>
        <w:t xml:space="preserve"> </w:t>
      </w:r>
      <w:r w:rsidR="004B27A6" w:rsidRPr="00953692">
        <w:rPr>
          <w:rFonts w:cs="Times New Roman"/>
          <w:spacing w:val="4"/>
          <w:sz w:val="24"/>
          <w:szCs w:val="24"/>
          <w:lang w:val="fr-FR"/>
        </w:rPr>
        <w:t xml:space="preserve">Dans tous les cas, ce droit </w:t>
      </w:r>
      <w:r w:rsidR="00F47178" w:rsidRPr="00953692">
        <w:rPr>
          <w:rFonts w:cs="Times New Roman"/>
          <w:sz w:val="24"/>
          <w:szCs w:val="24"/>
          <w:lang w:val="fr-FR"/>
        </w:rPr>
        <w:t>d’être informé dans le plus court délai est considéré comme étant l’un des droits fondamentaux de la personne mise en cause</w:t>
      </w:r>
      <w:r w:rsidR="00733329" w:rsidRPr="00953692">
        <w:rPr>
          <w:rFonts w:cs="Times New Roman"/>
          <w:sz w:val="24"/>
          <w:szCs w:val="24"/>
          <w:lang w:val="fr-FR"/>
        </w:rPr>
        <w:t>. Il est</w:t>
      </w:r>
      <w:r w:rsidR="008F1887" w:rsidRPr="00953692">
        <w:rPr>
          <w:rFonts w:cs="Times New Roman"/>
          <w:sz w:val="24"/>
          <w:szCs w:val="24"/>
          <w:lang w:val="fr-FR"/>
        </w:rPr>
        <w:t xml:space="preserve"> classifié</w:t>
      </w:r>
      <w:r w:rsidR="00733329" w:rsidRPr="00953692">
        <w:rPr>
          <w:rFonts w:cs="Times New Roman"/>
          <w:sz w:val="24"/>
          <w:szCs w:val="24"/>
          <w:lang w:val="fr-FR"/>
        </w:rPr>
        <w:t xml:space="preserve"> </w:t>
      </w:r>
      <w:r w:rsidR="008F1887" w:rsidRPr="00953692">
        <w:rPr>
          <w:rFonts w:cs="Times New Roman"/>
          <w:sz w:val="24"/>
          <w:szCs w:val="24"/>
          <w:lang w:val="fr-FR"/>
        </w:rPr>
        <w:t>parmi les</w:t>
      </w:r>
      <w:r w:rsidR="00733329" w:rsidRPr="00953692">
        <w:rPr>
          <w:rFonts w:cs="Times New Roman"/>
          <w:sz w:val="24"/>
          <w:szCs w:val="24"/>
          <w:lang w:val="fr-FR"/>
        </w:rPr>
        <w:t xml:space="preserve"> standards internationaux relatifs au procès équitable et n’échappe à aucun texte qui se réfère à cette notion.</w:t>
      </w:r>
      <w:r w:rsidR="00F47178" w:rsidRPr="00953692">
        <w:rPr>
          <w:rFonts w:cs="Times New Roman"/>
          <w:sz w:val="24"/>
          <w:szCs w:val="24"/>
          <w:lang w:val="fr-FR"/>
        </w:rPr>
        <w:t xml:space="preserve"> </w:t>
      </w:r>
      <w:r w:rsidR="00733329" w:rsidRPr="00953692">
        <w:rPr>
          <w:rFonts w:cs="Times New Roman"/>
          <w:sz w:val="24"/>
          <w:szCs w:val="24"/>
          <w:lang w:val="fr-FR"/>
        </w:rPr>
        <w:t>On peut donc à ce titre compléter le PIDCP avec</w:t>
      </w:r>
      <w:r w:rsidR="00177A58" w:rsidRPr="00953692">
        <w:rPr>
          <w:rFonts w:cs="Times New Roman"/>
          <w:sz w:val="24"/>
          <w:szCs w:val="24"/>
          <w:lang w:val="fr-FR"/>
        </w:rPr>
        <w:t xml:space="preserve"> la Convention internationale des droits de l’enfant de 1989</w:t>
      </w:r>
      <w:r w:rsidR="00A31260" w:rsidRPr="00953692">
        <w:rPr>
          <w:rStyle w:val="Appelnotedebasdep"/>
          <w:rFonts w:cs="Times New Roman"/>
          <w:sz w:val="24"/>
          <w:szCs w:val="24"/>
          <w:lang w:val="fr-FR"/>
        </w:rPr>
        <w:footnoteReference w:customMarkFollows="1" w:id="37"/>
        <w:t>20</w:t>
      </w:r>
      <w:r w:rsidR="00177A58" w:rsidRPr="00953692">
        <w:rPr>
          <w:rFonts w:cs="Times New Roman"/>
          <w:sz w:val="24"/>
          <w:szCs w:val="24"/>
          <w:lang w:val="fr-FR"/>
        </w:rPr>
        <w:t xml:space="preserve"> </w:t>
      </w:r>
      <w:r w:rsidR="00733329" w:rsidRPr="00953692">
        <w:rPr>
          <w:rFonts w:cs="Times New Roman"/>
          <w:sz w:val="24"/>
          <w:szCs w:val="24"/>
          <w:lang w:val="fr-FR"/>
        </w:rPr>
        <w:t xml:space="preserve"> dans laquelle on retrouve </w:t>
      </w:r>
      <w:r w:rsidR="00177A58" w:rsidRPr="00953692">
        <w:rPr>
          <w:rFonts w:cs="Times New Roman"/>
          <w:sz w:val="24"/>
          <w:szCs w:val="24"/>
          <w:lang w:val="fr-FR"/>
        </w:rPr>
        <w:t>« le droit de l’enfant suspecté ou accusé d’une infraction à la loi pénale à être informé dans le plus court délai et directement des accusations portées contre lui ou, le cas échéant,</w:t>
      </w:r>
      <w:r w:rsidR="00177A58" w:rsidRPr="00953692">
        <w:rPr>
          <w:rFonts w:cs="Times New Roman"/>
          <w:spacing w:val="4"/>
          <w:sz w:val="24"/>
          <w:szCs w:val="24"/>
          <w:lang w:val="fr-FR"/>
        </w:rPr>
        <w:t xml:space="preserve"> par l'intermédiaire de ses parents ou représentants légaux ».</w:t>
      </w:r>
      <w:r w:rsidR="00733329" w:rsidRPr="00953692">
        <w:rPr>
          <w:rFonts w:cs="Times New Roman"/>
          <w:spacing w:val="4"/>
          <w:sz w:val="24"/>
          <w:szCs w:val="24"/>
          <w:lang w:val="fr-FR"/>
        </w:rPr>
        <w:t xml:space="preserve"> </w:t>
      </w:r>
    </w:p>
    <w:p w14:paraId="6BD97629" w14:textId="5C274A8E" w:rsidR="003D192E" w:rsidRPr="00953692" w:rsidRDefault="00B30136" w:rsidP="00864BBF">
      <w:pPr>
        <w:spacing w:after="0" w:line="276" w:lineRule="auto"/>
        <w:ind w:firstLine="1134"/>
        <w:jc w:val="both"/>
        <w:rPr>
          <w:sz w:val="24"/>
          <w:szCs w:val="24"/>
          <w:lang w:val="fr-FR"/>
        </w:rPr>
      </w:pPr>
      <w:r w:rsidRPr="00953692">
        <w:rPr>
          <w:rFonts w:cs="Times New Roman"/>
          <w:b/>
          <w:bCs/>
          <w:spacing w:val="4"/>
          <w:sz w:val="24"/>
          <w:szCs w:val="24"/>
          <w:lang w:val="fr-FR"/>
        </w:rPr>
        <w:t>46.</w:t>
      </w:r>
      <w:r w:rsidRPr="00953692">
        <w:rPr>
          <w:rFonts w:cs="Times New Roman"/>
          <w:spacing w:val="4"/>
          <w:sz w:val="24"/>
          <w:szCs w:val="24"/>
          <w:lang w:val="fr-FR"/>
        </w:rPr>
        <w:t xml:space="preserve"> </w:t>
      </w:r>
      <w:r w:rsidR="008F1887" w:rsidRPr="00953692">
        <w:rPr>
          <w:rFonts w:cs="Times New Roman"/>
          <w:spacing w:val="4"/>
          <w:sz w:val="24"/>
          <w:szCs w:val="24"/>
          <w:lang w:val="fr-FR"/>
        </w:rPr>
        <w:t>Il</w:t>
      </w:r>
      <w:r w:rsidR="00733329" w:rsidRPr="00953692">
        <w:rPr>
          <w:rFonts w:cs="Times New Roman"/>
          <w:spacing w:val="4"/>
          <w:sz w:val="24"/>
          <w:szCs w:val="24"/>
          <w:lang w:val="fr-FR"/>
        </w:rPr>
        <w:t xml:space="preserve"> en est de même </w:t>
      </w:r>
      <w:r w:rsidR="008F1887" w:rsidRPr="00953692">
        <w:rPr>
          <w:rFonts w:cs="Times New Roman"/>
          <w:spacing w:val="4"/>
          <w:sz w:val="24"/>
          <w:szCs w:val="24"/>
          <w:lang w:val="fr-FR"/>
        </w:rPr>
        <w:t>des</w:t>
      </w:r>
      <w:r w:rsidR="00733329" w:rsidRPr="00953692">
        <w:rPr>
          <w:rFonts w:cs="Times New Roman"/>
          <w:spacing w:val="4"/>
          <w:sz w:val="24"/>
          <w:szCs w:val="24"/>
          <w:lang w:val="fr-FR"/>
        </w:rPr>
        <w:t xml:space="preserve"> textes régionaux relatifs aux droits de l’homme, notamment l’article 6 </w:t>
      </w:r>
      <w:r w:rsidR="004650CE" w:rsidRPr="00953692">
        <w:rPr>
          <w:rFonts w:cs="Times New Roman"/>
          <w:spacing w:val="4"/>
          <w:sz w:val="24"/>
          <w:szCs w:val="24"/>
          <w:lang w:val="fr-FR"/>
        </w:rPr>
        <w:t xml:space="preserve">de la Convention européenne de 1950 qui prévoit </w:t>
      </w:r>
      <w:r w:rsidR="004650CE" w:rsidRPr="00953692">
        <w:rPr>
          <w:rFonts w:cs="Times New Roman"/>
          <w:i/>
          <w:iCs/>
          <w:spacing w:val="4"/>
          <w:sz w:val="24"/>
          <w:szCs w:val="24"/>
          <w:lang w:val="fr-FR"/>
        </w:rPr>
        <w:t>le droit de l’accusé à</w:t>
      </w:r>
      <w:r w:rsidR="00733329" w:rsidRPr="00953692">
        <w:rPr>
          <w:i/>
          <w:iCs/>
          <w:sz w:val="24"/>
          <w:szCs w:val="24"/>
          <w:lang w:val="fr-FR"/>
        </w:rPr>
        <w:t xml:space="preserve"> être informé, dans le plus court délai, dans une langue qu'il comprend et d'une manière détaillée, de la nature et de la cause de l'accusation portée contre </w:t>
      </w:r>
      <w:r w:rsidR="008F1887" w:rsidRPr="00953692">
        <w:rPr>
          <w:i/>
          <w:iCs/>
          <w:sz w:val="24"/>
          <w:szCs w:val="24"/>
          <w:lang w:val="fr-FR"/>
        </w:rPr>
        <w:t>lui</w:t>
      </w:r>
      <w:r w:rsidR="00A31260" w:rsidRPr="00953692">
        <w:rPr>
          <w:rStyle w:val="Appelnotedebasdep"/>
          <w:i/>
          <w:iCs/>
          <w:sz w:val="24"/>
          <w:szCs w:val="24"/>
          <w:lang w:val="fr-FR"/>
        </w:rPr>
        <w:footnoteReference w:customMarkFollows="1" w:id="38"/>
        <w:t>21</w:t>
      </w:r>
      <w:r w:rsidR="008F1887" w:rsidRPr="00953692">
        <w:rPr>
          <w:sz w:val="24"/>
          <w:szCs w:val="24"/>
          <w:lang w:val="fr-FR"/>
        </w:rPr>
        <w:t xml:space="preserve"> ;</w:t>
      </w:r>
      <w:r w:rsidR="0086360E" w:rsidRPr="00953692">
        <w:rPr>
          <w:sz w:val="24"/>
          <w:szCs w:val="24"/>
          <w:lang w:val="fr-FR"/>
        </w:rPr>
        <w:t xml:space="preserve"> l’article 8 de la </w:t>
      </w:r>
      <w:r w:rsidR="00756166" w:rsidRPr="00953692">
        <w:rPr>
          <w:sz w:val="24"/>
          <w:szCs w:val="24"/>
          <w:lang w:val="fr-FR"/>
        </w:rPr>
        <w:t>C</w:t>
      </w:r>
      <w:r w:rsidR="0086360E" w:rsidRPr="00953692">
        <w:rPr>
          <w:sz w:val="24"/>
          <w:szCs w:val="24"/>
          <w:lang w:val="fr-FR"/>
        </w:rPr>
        <w:t xml:space="preserve">onvention américaine qui prévoit </w:t>
      </w:r>
      <w:r w:rsidR="0086360E" w:rsidRPr="00953692">
        <w:rPr>
          <w:i/>
          <w:iCs/>
          <w:sz w:val="24"/>
          <w:szCs w:val="24"/>
          <w:lang w:val="fr-FR"/>
        </w:rPr>
        <w:t xml:space="preserve">une notification préalable et détaillée à l'accusé des charges portées contre </w:t>
      </w:r>
      <w:r w:rsidR="00991BC2" w:rsidRPr="00953692">
        <w:rPr>
          <w:i/>
          <w:iCs/>
          <w:sz w:val="24"/>
          <w:szCs w:val="24"/>
          <w:lang w:val="fr-FR"/>
        </w:rPr>
        <w:t>lui</w:t>
      </w:r>
      <w:r w:rsidR="00A31260" w:rsidRPr="00953692">
        <w:rPr>
          <w:rStyle w:val="Appelnotedebasdep"/>
          <w:i/>
          <w:iCs/>
          <w:sz w:val="24"/>
          <w:szCs w:val="24"/>
          <w:lang w:val="fr-FR"/>
        </w:rPr>
        <w:footnoteReference w:customMarkFollows="1" w:id="39"/>
        <w:t>22</w:t>
      </w:r>
      <w:r w:rsidR="00F57F28" w:rsidRPr="00953692">
        <w:rPr>
          <w:sz w:val="24"/>
          <w:szCs w:val="24"/>
          <w:lang w:val="fr-FR"/>
        </w:rPr>
        <w:t>. La Charte africaine</w:t>
      </w:r>
      <w:r w:rsidR="000C47FD" w:rsidRPr="00953692">
        <w:rPr>
          <w:sz w:val="24"/>
          <w:szCs w:val="24"/>
          <w:lang w:val="fr-FR"/>
        </w:rPr>
        <w:t xml:space="preserve"> des droits de l’homme et des peuples</w:t>
      </w:r>
      <w:r w:rsidR="00F57F28" w:rsidRPr="00953692">
        <w:rPr>
          <w:sz w:val="24"/>
          <w:szCs w:val="24"/>
          <w:lang w:val="fr-FR"/>
        </w:rPr>
        <w:t>, sans le préciser, l’englobe plutôt dans ce que</w:t>
      </w:r>
      <w:r w:rsidR="000C47FD" w:rsidRPr="00953692">
        <w:rPr>
          <w:sz w:val="24"/>
          <w:szCs w:val="24"/>
          <w:lang w:val="fr-FR"/>
        </w:rPr>
        <w:t xml:space="preserve"> les libellés de</w:t>
      </w:r>
      <w:r w:rsidR="00F57F28" w:rsidRPr="00953692">
        <w:rPr>
          <w:sz w:val="24"/>
          <w:szCs w:val="24"/>
          <w:lang w:val="fr-FR"/>
        </w:rPr>
        <w:t xml:space="preserve"> son article 7 qualifie</w:t>
      </w:r>
      <w:r w:rsidR="000F79D3" w:rsidRPr="00953692">
        <w:rPr>
          <w:sz w:val="24"/>
          <w:szCs w:val="24"/>
          <w:lang w:val="fr-FR"/>
        </w:rPr>
        <w:t>nt</w:t>
      </w:r>
      <w:r w:rsidR="00F57F28" w:rsidRPr="00953692">
        <w:rPr>
          <w:sz w:val="24"/>
          <w:szCs w:val="24"/>
          <w:lang w:val="fr-FR"/>
        </w:rPr>
        <w:t xml:space="preserve"> de violation des droits fondamentaux garantis par les </w:t>
      </w:r>
      <w:r w:rsidR="00A4667A" w:rsidRPr="00953692">
        <w:rPr>
          <w:sz w:val="24"/>
          <w:szCs w:val="24"/>
          <w:lang w:val="fr-FR"/>
        </w:rPr>
        <w:t>C</w:t>
      </w:r>
      <w:r w:rsidR="00F57F28" w:rsidRPr="00953692">
        <w:rPr>
          <w:sz w:val="24"/>
          <w:szCs w:val="24"/>
          <w:lang w:val="fr-FR"/>
        </w:rPr>
        <w:t xml:space="preserve">onventions, lois, </w:t>
      </w:r>
      <w:r w:rsidR="00A4667A" w:rsidRPr="00953692">
        <w:rPr>
          <w:sz w:val="24"/>
          <w:szCs w:val="24"/>
          <w:lang w:val="fr-FR"/>
        </w:rPr>
        <w:t>R</w:t>
      </w:r>
      <w:r w:rsidR="00F57F28" w:rsidRPr="00953692">
        <w:rPr>
          <w:sz w:val="24"/>
          <w:szCs w:val="24"/>
          <w:lang w:val="fr-FR"/>
        </w:rPr>
        <w:t>èglement et coutumes en vigueur</w:t>
      </w:r>
      <w:r w:rsidR="00A31260" w:rsidRPr="00953692">
        <w:rPr>
          <w:rStyle w:val="Appelnotedebasdep"/>
          <w:sz w:val="24"/>
          <w:szCs w:val="24"/>
          <w:lang w:val="fr-FR"/>
        </w:rPr>
        <w:footnoteReference w:customMarkFollows="1" w:id="40"/>
        <w:t>23</w:t>
      </w:r>
      <w:r w:rsidR="00F57F28" w:rsidRPr="00953692">
        <w:rPr>
          <w:sz w:val="24"/>
          <w:szCs w:val="24"/>
          <w:lang w:val="fr-FR"/>
        </w:rPr>
        <w:t xml:space="preserve">. </w:t>
      </w:r>
    </w:p>
    <w:p w14:paraId="799FFFE6" w14:textId="429D780C" w:rsidR="00F80A2A" w:rsidRPr="00953692" w:rsidRDefault="00B30136" w:rsidP="00864BBF">
      <w:pPr>
        <w:spacing w:after="0" w:line="276" w:lineRule="auto"/>
        <w:ind w:firstLine="1134"/>
        <w:jc w:val="both"/>
        <w:rPr>
          <w:sz w:val="24"/>
          <w:szCs w:val="24"/>
          <w:lang w:val="fr-FR"/>
        </w:rPr>
      </w:pPr>
      <w:r w:rsidRPr="00953692">
        <w:rPr>
          <w:b/>
          <w:bCs/>
          <w:sz w:val="24"/>
          <w:szCs w:val="24"/>
          <w:lang w:val="fr-FR"/>
        </w:rPr>
        <w:t>47</w:t>
      </w:r>
      <w:r w:rsidR="00F57F28" w:rsidRPr="00953692">
        <w:rPr>
          <w:b/>
          <w:bCs/>
          <w:sz w:val="24"/>
          <w:szCs w:val="24"/>
          <w:lang w:val="fr-FR"/>
        </w:rPr>
        <w:t>.</w:t>
      </w:r>
      <w:r w:rsidR="00F57F28" w:rsidRPr="00953692">
        <w:rPr>
          <w:sz w:val="24"/>
          <w:szCs w:val="24"/>
          <w:lang w:val="fr-FR"/>
        </w:rPr>
        <w:t xml:space="preserve"> </w:t>
      </w:r>
      <w:r w:rsidR="0085792A" w:rsidRPr="00953692">
        <w:rPr>
          <w:sz w:val="24"/>
          <w:szCs w:val="24"/>
          <w:lang w:val="fr-FR"/>
        </w:rPr>
        <w:t>De ce qui précède, il en résulte précisément en ce qui concerne l’esprit de cette règle, une forme d’immuabilité qui en conserve</w:t>
      </w:r>
      <w:r w:rsidR="00D04ED9" w:rsidRPr="00953692">
        <w:rPr>
          <w:sz w:val="24"/>
          <w:szCs w:val="24"/>
          <w:lang w:val="fr-FR"/>
        </w:rPr>
        <w:t xml:space="preserve"> bien</w:t>
      </w:r>
      <w:r w:rsidR="0085792A" w:rsidRPr="00953692">
        <w:rPr>
          <w:sz w:val="24"/>
          <w:szCs w:val="24"/>
          <w:lang w:val="fr-FR"/>
        </w:rPr>
        <w:t xml:space="preserve"> la quintessence</w:t>
      </w:r>
      <w:r w:rsidR="00CC6360" w:rsidRPr="00953692">
        <w:rPr>
          <w:sz w:val="24"/>
          <w:szCs w:val="24"/>
          <w:lang w:val="fr-FR"/>
        </w:rPr>
        <w:t xml:space="preserve"> de ce droit</w:t>
      </w:r>
      <w:r w:rsidR="0085792A" w:rsidRPr="00953692">
        <w:rPr>
          <w:sz w:val="24"/>
          <w:szCs w:val="24"/>
          <w:lang w:val="fr-FR"/>
        </w:rPr>
        <w:t>.</w:t>
      </w:r>
      <w:r w:rsidR="00D04ED9" w:rsidRPr="00953692">
        <w:rPr>
          <w:sz w:val="24"/>
          <w:szCs w:val="24"/>
          <w:lang w:val="fr-FR"/>
        </w:rPr>
        <w:t xml:space="preserve"> C’est dire que, dans tous les cas et à tous les niveaux, toute personne arrêtée ou poursuivie devra être informée dans le plus court délai</w:t>
      </w:r>
      <w:r w:rsidR="003976B7" w:rsidRPr="00953692">
        <w:rPr>
          <w:sz w:val="24"/>
          <w:szCs w:val="24"/>
          <w:lang w:val="fr-FR"/>
        </w:rPr>
        <w:t>, et n</w:t>
      </w:r>
      <w:r w:rsidR="00D04ED9" w:rsidRPr="00953692">
        <w:rPr>
          <w:sz w:val="24"/>
          <w:szCs w:val="24"/>
          <w:lang w:val="fr-FR"/>
        </w:rPr>
        <w:t>ous verrons plus loin comment les juges pénaux internationaux définissent la notion du plus court délai dans leurs procédures.</w:t>
      </w:r>
      <w:r w:rsidR="0085792A" w:rsidRPr="00953692">
        <w:rPr>
          <w:sz w:val="24"/>
          <w:szCs w:val="24"/>
          <w:lang w:val="fr-FR"/>
        </w:rPr>
        <w:t xml:space="preserve"> Cependant, à l’exception du PIDCP, </w:t>
      </w:r>
      <w:r w:rsidR="00CF0D03" w:rsidRPr="00953692">
        <w:rPr>
          <w:sz w:val="24"/>
          <w:szCs w:val="24"/>
          <w:lang w:val="fr-FR"/>
        </w:rPr>
        <w:t>l’opposabilité des</w:t>
      </w:r>
      <w:r w:rsidR="0085792A" w:rsidRPr="00953692">
        <w:rPr>
          <w:sz w:val="24"/>
          <w:szCs w:val="24"/>
          <w:lang w:val="fr-FR"/>
        </w:rPr>
        <w:t xml:space="preserve"> autres textes précités </w:t>
      </w:r>
      <w:r w:rsidR="00093808" w:rsidRPr="00953692">
        <w:rPr>
          <w:sz w:val="24"/>
          <w:szCs w:val="24"/>
          <w:lang w:val="fr-FR"/>
        </w:rPr>
        <w:t>est</w:t>
      </w:r>
      <w:r w:rsidR="0085792A" w:rsidRPr="00953692">
        <w:rPr>
          <w:sz w:val="24"/>
          <w:szCs w:val="24"/>
          <w:lang w:val="fr-FR"/>
        </w:rPr>
        <w:t xml:space="preserve"> en principe </w:t>
      </w:r>
      <w:r w:rsidR="00CF0D03" w:rsidRPr="00953692">
        <w:rPr>
          <w:sz w:val="24"/>
          <w:szCs w:val="24"/>
          <w:lang w:val="fr-FR"/>
        </w:rPr>
        <w:t>discutable</w:t>
      </w:r>
      <w:r w:rsidR="00093808" w:rsidRPr="00953692">
        <w:rPr>
          <w:sz w:val="24"/>
          <w:szCs w:val="24"/>
          <w:lang w:val="fr-FR"/>
        </w:rPr>
        <w:t xml:space="preserve"> ou relative</w:t>
      </w:r>
      <w:r w:rsidR="00CF0D03" w:rsidRPr="00953692">
        <w:rPr>
          <w:sz w:val="24"/>
          <w:szCs w:val="24"/>
          <w:lang w:val="fr-FR"/>
        </w:rPr>
        <w:t xml:space="preserve"> devant les</w:t>
      </w:r>
      <w:r w:rsidR="0085792A" w:rsidRPr="00953692">
        <w:rPr>
          <w:sz w:val="24"/>
          <w:szCs w:val="24"/>
          <w:lang w:val="fr-FR"/>
        </w:rPr>
        <w:t xml:space="preserve"> juridictions pénales internationales</w:t>
      </w:r>
      <w:r w:rsidR="00BC108B" w:rsidRPr="00953692">
        <w:rPr>
          <w:sz w:val="24"/>
          <w:szCs w:val="24"/>
          <w:lang w:val="fr-FR"/>
        </w:rPr>
        <w:t>, qui</w:t>
      </w:r>
      <w:r w:rsidR="0085792A" w:rsidRPr="00953692">
        <w:rPr>
          <w:sz w:val="24"/>
          <w:szCs w:val="24"/>
          <w:lang w:val="fr-FR"/>
        </w:rPr>
        <w:t xml:space="preserve"> appliquent e</w:t>
      </w:r>
      <w:r w:rsidR="00BC108B" w:rsidRPr="00953692">
        <w:rPr>
          <w:sz w:val="24"/>
          <w:szCs w:val="24"/>
          <w:lang w:val="fr-FR"/>
        </w:rPr>
        <w:t>ssentiellement</w:t>
      </w:r>
      <w:r w:rsidR="0085792A" w:rsidRPr="00953692">
        <w:rPr>
          <w:sz w:val="24"/>
          <w:szCs w:val="24"/>
          <w:lang w:val="fr-FR"/>
        </w:rPr>
        <w:t xml:space="preserve"> leurs propres règles contenues dans leurs différents actes constitutifs. </w:t>
      </w:r>
      <w:r w:rsidR="00F67EE9" w:rsidRPr="00953692">
        <w:rPr>
          <w:sz w:val="24"/>
          <w:szCs w:val="24"/>
          <w:lang w:val="fr-FR"/>
        </w:rPr>
        <w:t>Mais il n’est pas exclu qu’elles y recourent comme une source non-conventionnelle</w:t>
      </w:r>
      <w:r w:rsidR="00BC108B" w:rsidRPr="00953692">
        <w:rPr>
          <w:rStyle w:val="Appelnotedebasdep"/>
          <w:sz w:val="24"/>
          <w:szCs w:val="24"/>
          <w:lang w:val="fr-FR"/>
        </w:rPr>
        <w:footnoteReference w:customMarkFollows="1" w:id="41"/>
        <w:t>24</w:t>
      </w:r>
      <w:r w:rsidR="00F67EE9" w:rsidRPr="00953692">
        <w:rPr>
          <w:sz w:val="24"/>
          <w:szCs w:val="24"/>
          <w:lang w:val="fr-FR"/>
        </w:rPr>
        <w:t>, non pas pour trancher</w:t>
      </w:r>
      <w:r w:rsidR="005132CC" w:rsidRPr="00953692">
        <w:rPr>
          <w:sz w:val="24"/>
          <w:szCs w:val="24"/>
          <w:lang w:val="fr-FR"/>
        </w:rPr>
        <w:t xml:space="preserve"> le litige</w:t>
      </w:r>
      <w:r w:rsidR="00F67EE9" w:rsidRPr="00953692">
        <w:rPr>
          <w:sz w:val="24"/>
          <w:szCs w:val="24"/>
          <w:lang w:val="fr-FR"/>
        </w:rPr>
        <w:t>, mais pour démontrer</w:t>
      </w:r>
      <w:r w:rsidR="00224929" w:rsidRPr="00953692">
        <w:rPr>
          <w:sz w:val="24"/>
          <w:szCs w:val="24"/>
          <w:lang w:val="fr-FR"/>
        </w:rPr>
        <w:t xml:space="preserve"> et renforcer</w:t>
      </w:r>
      <w:r w:rsidR="00F67EE9" w:rsidRPr="00953692">
        <w:rPr>
          <w:sz w:val="24"/>
          <w:szCs w:val="24"/>
          <w:lang w:val="fr-FR"/>
        </w:rPr>
        <w:t xml:space="preserve"> la pertinence de leur raisonnement. </w:t>
      </w:r>
      <w:r w:rsidR="00EA03D8" w:rsidRPr="00953692">
        <w:rPr>
          <w:sz w:val="24"/>
          <w:szCs w:val="24"/>
          <w:lang w:val="fr-FR"/>
        </w:rPr>
        <w:t>C’est pourquoi, il est indispensable de passer en revue</w:t>
      </w:r>
      <w:r w:rsidR="00B21C6C" w:rsidRPr="00953692">
        <w:rPr>
          <w:sz w:val="24"/>
          <w:szCs w:val="24"/>
          <w:lang w:val="fr-FR"/>
        </w:rPr>
        <w:t xml:space="preserve"> la manière dont ce droit à l’information </w:t>
      </w:r>
      <w:r w:rsidR="00CF0D03" w:rsidRPr="00953692">
        <w:rPr>
          <w:sz w:val="24"/>
          <w:szCs w:val="24"/>
          <w:lang w:val="fr-FR"/>
        </w:rPr>
        <w:t xml:space="preserve">dans le plus court délai </w:t>
      </w:r>
      <w:r w:rsidR="00B21C6C" w:rsidRPr="00953692">
        <w:rPr>
          <w:sz w:val="24"/>
          <w:szCs w:val="24"/>
          <w:lang w:val="fr-FR"/>
        </w:rPr>
        <w:t>est formulé dans les actes constitutifs de ces juridictions.</w:t>
      </w:r>
    </w:p>
    <w:p w14:paraId="6325B68E" w14:textId="07F54DEF" w:rsidR="00F80A2A" w:rsidRPr="00ED789C" w:rsidRDefault="008F1340" w:rsidP="004D61B4">
      <w:pPr>
        <w:pStyle w:val="Paragraphedeliste"/>
        <w:numPr>
          <w:ilvl w:val="0"/>
          <w:numId w:val="10"/>
        </w:numPr>
        <w:spacing w:before="240" w:line="276" w:lineRule="auto"/>
        <w:jc w:val="both"/>
        <w:outlineLvl w:val="2"/>
        <w:rPr>
          <w:bCs/>
          <w:i/>
          <w:iCs/>
          <w:sz w:val="24"/>
          <w:szCs w:val="24"/>
          <w:lang w:val="fr-FR"/>
        </w:rPr>
      </w:pPr>
      <w:bookmarkStart w:id="14" w:name="_Toc195179407"/>
      <w:r w:rsidRPr="00ED789C">
        <w:rPr>
          <w:bCs/>
          <w:i/>
          <w:iCs/>
          <w:sz w:val="24"/>
          <w:szCs w:val="24"/>
          <w:lang w:val="fr-FR"/>
        </w:rPr>
        <w:lastRenderedPageBreak/>
        <w:t>Le droit d’être inform</w:t>
      </w:r>
      <w:r w:rsidR="0006498F" w:rsidRPr="00ED789C">
        <w:rPr>
          <w:bCs/>
          <w:i/>
          <w:iCs/>
          <w:sz w:val="24"/>
          <w:szCs w:val="24"/>
          <w:lang w:val="fr-FR"/>
        </w:rPr>
        <w:t>é</w:t>
      </w:r>
      <w:r w:rsidR="005C4C08" w:rsidRPr="00ED789C">
        <w:rPr>
          <w:bCs/>
          <w:i/>
          <w:iCs/>
          <w:sz w:val="24"/>
          <w:szCs w:val="24"/>
          <w:lang w:val="fr-FR"/>
        </w:rPr>
        <w:t xml:space="preserve"> </w:t>
      </w:r>
      <w:r w:rsidRPr="00ED789C">
        <w:rPr>
          <w:bCs/>
          <w:i/>
          <w:iCs/>
          <w:sz w:val="24"/>
          <w:szCs w:val="24"/>
          <w:lang w:val="fr-FR"/>
        </w:rPr>
        <w:t>dans les actes constitutifs des juridictions pénales internationales</w:t>
      </w:r>
      <w:bookmarkEnd w:id="14"/>
    </w:p>
    <w:p w14:paraId="14F8B569" w14:textId="1768DC7B" w:rsidR="006943C1" w:rsidRPr="00953692" w:rsidRDefault="00B30136" w:rsidP="00864BBF">
      <w:pPr>
        <w:spacing w:before="240" w:after="0" w:line="276" w:lineRule="auto"/>
        <w:ind w:firstLine="1134"/>
        <w:jc w:val="both"/>
        <w:rPr>
          <w:rFonts w:cs="Times New Roman"/>
          <w:sz w:val="24"/>
          <w:szCs w:val="24"/>
          <w:lang w:val="fr-FR"/>
        </w:rPr>
      </w:pPr>
      <w:r w:rsidRPr="00953692">
        <w:rPr>
          <w:rFonts w:cs="Times New Roman"/>
          <w:b/>
          <w:bCs/>
          <w:sz w:val="24"/>
          <w:szCs w:val="24"/>
          <w:lang w:val="fr-FR"/>
        </w:rPr>
        <w:t>48</w:t>
      </w:r>
      <w:r w:rsidR="00344BB1" w:rsidRPr="00953692">
        <w:rPr>
          <w:rFonts w:cs="Times New Roman"/>
          <w:b/>
          <w:bCs/>
          <w:sz w:val="24"/>
          <w:szCs w:val="24"/>
          <w:lang w:val="fr-FR"/>
        </w:rPr>
        <w:t>.</w:t>
      </w:r>
      <w:r w:rsidR="00344BB1" w:rsidRPr="00953692">
        <w:rPr>
          <w:rFonts w:cs="Times New Roman"/>
          <w:sz w:val="24"/>
          <w:szCs w:val="24"/>
          <w:lang w:val="fr-FR"/>
        </w:rPr>
        <w:t xml:space="preserve"> </w:t>
      </w:r>
      <w:r w:rsidR="003C1F08" w:rsidRPr="00953692">
        <w:rPr>
          <w:rFonts w:cs="Times New Roman"/>
          <w:sz w:val="24"/>
          <w:szCs w:val="24"/>
          <w:lang w:val="fr-FR"/>
        </w:rPr>
        <w:t xml:space="preserve">Les premières procédures pénales internationales prévirent également de garantir aux grands criminels de guerre un procès équitable. </w:t>
      </w:r>
      <w:r w:rsidR="00344BB1" w:rsidRPr="00953692">
        <w:rPr>
          <w:rFonts w:cs="Times New Roman"/>
          <w:sz w:val="24"/>
          <w:szCs w:val="24"/>
          <w:lang w:val="fr-FR"/>
        </w:rPr>
        <w:t>Si les statuts ne prévirent pas exactement un droit à l’information dans le plus court délai, ils exigèrent au moins à ce</w:t>
      </w:r>
      <w:r w:rsidR="00CB77BE" w:rsidRPr="00953692">
        <w:rPr>
          <w:rFonts w:cs="Times New Roman"/>
          <w:sz w:val="24"/>
          <w:szCs w:val="24"/>
          <w:lang w:val="fr-FR"/>
        </w:rPr>
        <w:t xml:space="preserve"> que </w:t>
      </w:r>
      <w:r w:rsidR="00101428" w:rsidRPr="00953692">
        <w:rPr>
          <w:rFonts w:cs="Times New Roman"/>
          <w:sz w:val="24"/>
          <w:szCs w:val="24"/>
          <w:lang w:val="fr-FR"/>
        </w:rPr>
        <w:t>« </w:t>
      </w:r>
      <w:r w:rsidR="006943C1" w:rsidRPr="00953692">
        <w:rPr>
          <w:rFonts w:cs="Times New Roman"/>
          <w:i/>
          <w:iCs/>
          <w:sz w:val="24"/>
          <w:szCs w:val="24"/>
          <w:lang w:val="fr-FR"/>
        </w:rPr>
        <w:t xml:space="preserve">l’acte d’accusation comportant les éléments complets et détaillant les charges retenues contre l’accusé devait, avec tous les documents annexes, être remis </w:t>
      </w:r>
      <w:r w:rsidR="00101428" w:rsidRPr="00953692">
        <w:rPr>
          <w:rFonts w:cs="Times New Roman"/>
          <w:i/>
          <w:iCs/>
          <w:sz w:val="24"/>
          <w:szCs w:val="24"/>
          <w:lang w:val="fr-FR"/>
        </w:rPr>
        <w:t xml:space="preserve">à ce dernier </w:t>
      </w:r>
      <w:r w:rsidR="006943C1" w:rsidRPr="00953692">
        <w:rPr>
          <w:rFonts w:cs="Times New Roman"/>
          <w:i/>
          <w:iCs/>
          <w:sz w:val="24"/>
          <w:szCs w:val="24"/>
          <w:lang w:val="fr-FR"/>
        </w:rPr>
        <w:t xml:space="preserve">dans un délai raisonnable avant le </w:t>
      </w:r>
      <w:r w:rsidR="006943C1" w:rsidRPr="00953692">
        <w:rPr>
          <w:rFonts w:cs="Times New Roman"/>
          <w:sz w:val="24"/>
          <w:szCs w:val="24"/>
          <w:lang w:val="fr-FR"/>
        </w:rPr>
        <w:t>jugement</w:t>
      </w:r>
      <w:r w:rsidR="00101428" w:rsidRPr="00953692">
        <w:rPr>
          <w:rFonts w:cs="Times New Roman"/>
          <w:sz w:val="24"/>
          <w:szCs w:val="24"/>
          <w:lang w:val="fr-FR"/>
        </w:rPr>
        <w:t> »</w:t>
      </w:r>
      <w:r w:rsidR="005A0ABF" w:rsidRPr="00953692">
        <w:rPr>
          <w:rStyle w:val="Appelnotedebasdep"/>
          <w:rFonts w:cs="Times New Roman"/>
          <w:sz w:val="24"/>
          <w:szCs w:val="24"/>
          <w:lang w:val="fr-FR"/>
        </w:rPr>
        <w:footnoteReference w:customMarkFollows="1" w:id="42"/>
        <w:t>25</w:t>
      </w:r>
      <w:r w:rsidR="006943C1" w:rsidRPr="00953692">
        <w:rPr>
          <w:rFonts w:cs="Times New Roman"/>
          <w:sz w:val="24"/>
          <w:szCs w:val="24"/>
          <w:lang w:val="fr-FR"/>
        </w:rPr>
        <w:t xml:space="preserve">. La </w:t>
      </w:r>
      <w:r w:rsidR="00CB77BE" w:rsidRPr="00953692">
        <w:rPr>
          <w:rFonts w:cs="Times New Roman"/>
          <w:sz w:val="24"/>
          <w:szCs w:val="24"/>
          <w:lang w:val="fr-FR"/>
        </w:rPr>
        <w:t>nuance</w:t>
      </w:r>
      <w:r w:rsidR="006943C1" w:rsidRPr="00953692">
        <w:rPr>
          <w:rFonts w:cs="Times New Roman"/>
          <w:sz w:val="24"/>
          <w:szCs w:val="24"/>
          <w:lang w:val="fr-FR"/>
        </w:rPr>
        <w:t>, c’est qu’en principe, le droit d’être informé des motifs de son arrestation ou de sa mise en cause intervient en premier lieu avant l’établissement d’un acte d’accusation. Le procureur qui décide d’impliquer</w:t>
      </w:r>
      <w:r w:rsidR="00344BB1" w:rsidRPr="00953692">
        <w:rPr>
          <w:rFonts w:cs="Times New Roman"/>
          <w:sz w:val="24"/>
          <w:szCs w:val="24"/>
          <w:lang w:val="fr-FR"/>
        </w:rPr>
        <w:t>,</w:t>
      </w:r>
      <w:r w:rsidR="006943C1" w:rsidRPr="00953692">
        <w:rPr>
          <w:rFonts w:cs="Times New Roman"/>
          <w:sz w:val="24"/>
          <w:szCs w:val="24"/>
          <w:lang w:val="fr-FR"/>
        </w:rPr>
        <w:t xml:space="preserve"> dans l’enquête qu’il mène</w:t>
      </w:r>
      <w:r w:rsidR="00344BB1" w:rsidRPr="00953692">
        <w:rPr>
          <w:rFonts w:cs="Times New Roman"/>
          <w:sz w:val="24"/>
          <w:szCs w:val="24"/>
          <w:lang w:val="fr-FR"/>
        </w:rPr>
        <w:t>,</w:t>
      </w:r>
      <w:r w:rsidR="006943C1" w:rsidRPr="00953692">
        <w:rPr>
          <w:rFonts w:cs="Times New Roman"/>
          <w:sz w:val="24"/>
          <w:szCs w:val="24"/>
          <w:lang w:val="fr-FR"/>
        </w:rPr>
        <w:t xml:space="preserve"> un individu en qualité d’accusé </w:t>
      </w:r>
      <w:r w:rsidR="00344BB1" w:rsidRPr="00953692">
        <w:rPr>
          <w:rFonts w:cs="Times New Roman"/>
          <w:sz w:val="24"/>
          <w:szCs w:val="24"/>
          <w:lang w:val="fr-FR"/>
        </w:rPr>
        <w:t xml:space="preserve">ou de suspect </w:t>
      </w:r>
      <w:r w:rsidR="006943C1" w:rsidRPr="00953692">
        <w:rPr>
          <w:rFonts w:cs="Times New Roman"/>
          <w:sz w:val="24"/>
          <w:szCs w:val="24"/>
          <w:lang w:val="fr-FR"/>
        </w:rPr>
        <w:t>devrait donc</w:t>
      </w:r>
      <w:r w:rsidR="00344BB1" w:rsidRPr="00953692">
        <w:rPr>
          <w:rFonts w:cs="Times New Roman"/>
          <w:sz w:val="24"/>
          <w:szCs w:val="24"/>
          <w:lang w:val="fr-FR"/>
        </w:rPr>
        <w:t xml:space="preserve"> l’</w:t>
      </w:r>
      <w:r w:rsidR="006943C1" w:rsidRPr="00953692">
        <w:rPr>
          <w:rFonts w:cs="Times New Roman"/>
          <w:sz w:val="24"/>
          <w:szCs w:val="24"/>
          <w:lang w:val="fr-FR"/>
        </w:rPr>
        <w:t xml:space="preserve">informer </w:t>
      </w:r>
      <w:r w:rsidR="00344BB1" w:rsidRPr="00953692">
        <w:rPr>
          <w:rFonts w:cs="Times New Roman"/>
          <w:sz w:val="24"/>
          <w:szCs w:val="24"/>
          <w:lang w:val="fr-FR"/>
        </w:rPr>
        <w:t>de</w:t>
      </w:r>
      <w:r w:rsidR="006943C1" w:rsidRPr="00953692">
        <w:rPr>
          <w:rFonts w:cs="Times New Roman"/>
          <w:sz w:val="24"/>
          <w:szCs w:val="24"/>
          <w:lang w:val="fr-FR"/>
        </w:rPr>
        <w:t xml:space="preserve"> la nature et </w:t>
      </w:r>
      <w:r w:rsidR="00344BB1" w:rsidRPr="00953692">
        <w:rPr>
          <w:rFonts w:cs="Times New Roman"/>
          <w:sz w:val="24"/>
          <w:szCs w:val="24"/>
          <w:lang w:val="fr-FR"/>
        </w:rPr>
        <w:t>d</w:t>
      </w:r>
      <w:r w:rsidR="006943C1" w:rsidRPr="00953692">
        <w:rPr>
          <w:rFonts w:cs="Times New Roman"/>
          <w:sz w:val="24"/>
          <w:szCs w:val="24"/>
          <w:lang w:val="fr-FR"/>
        </w:rPr>
        <w:t xml:space="preserve">es motifs des faits qui lui sont reprochés. </w:t>
      </w:r>
      <w:r w:rsidR="00101428" w:rsidRPr="00953692">
        <w:rPr>
          <w:rFonts w:cs="Times New Roman"/>
          <w:sz w:val="24"/>
          <w:szCs w:val="24"/>
          <w:lang w:val="fr-FR"/>
        </w:rPr>
        <w:t>Or</w:t>
      </w:r>
      <w:r w:rsidR="003C36F2" w:rsidRPr="00953692">
        <w:rPr>
          <w:rFonts w:cs="Times New Roman"/>
          <w:sz w:val="24"/>
          <w:szCs w:val="24"/>
          <w:lang w:val="fr-FR"/>
        </w:rPr>
        <w:t xml:space="preserve">, </w:t>
      </w:r>
      <w:r w:rsidR="00101428" w:rsidRPr="00953692">
        <w:rPr>
          <w:rFonts w:cs="Times New Roman"/>
          <w:sz w:val="24"/>
          <w:szCs w:val="24"/>
          <w:lang w:val="fr-FR"/>
        </w:rPr>
        <w:t>dans le contexte de 1945,</w:t>
      </w:r>
      <w:r w:rsidR="00344BB1" w:rsidRPr="00953692">
        <w:rPr>
          <w:rFonts w:cs="Times New Roman"/>
          <w:sz w:val="24"/>
          <w:szCs w:val="24"/>
          <w:lang w:val="fr-FR"/>
        </w:rPr>
        <w:t xml:space="preserve"> qui écarta tout formalisme procédural,</w:t>
      </w:r>
      <w:r w:rsidR="00101428" w:rsidRPr="00953692">
        <w:rPr>
          <w:rFonts w:cs="Times New Roman"/>
          <w:sz w:val="24"/>
          <w:szCs w:val="24"/>
          <w:lang w:val="fr-FR"/>
        </w:rPr>
        <w:t xml:space="preserve"> </w:t>
      </w:r>
      <w:r w:rsidR="00FA1B9A" w:rsidRPr="00953692">
        <w:rPr>
          <w:rFonts w:cs="Times New Roman"/>
          <w:sz w:val="24"/>
          <w:szCs w:val="24"/>
          <w:lang w:val="fr-FR"/>
        </w:rPr>
        <w:t xml:space="preserve">cette obligation d’informer </w:t>
      </w:r>
      <w:r w:rsidR="00814E26" w:rsidRPr="00953692">
        <w:rPr>
          <w:rFonts w:cs="Times New Roman"/>
          <w:sz w:val="24"/>
          <w:szCs w:val="24"/>
          <w:lang w:val="fr-FR"/>
        </w:rPr>
        <w:t>n’</w:t>
      </w:r>
      <w:r w:rsidR="00FA1B9A" w:rsidRPr="00953692">
        <w:rPr>
          <w:rFonts w:cs="Times New Roman"/>
          <w:sz w:val="24"/>
          <w:szCs w:val="24"/>
          <w:lang w:val="fr-FR"/>
        </w:rPr>
        <w:t xml:space="preserve">apparaissait plutôt </w:t>
      </w:r>
      <w:r w:rsidR="00344BB1" w:rsidRPr="00953692">
        <w:rPr>
          <w:rFonts w:cs="Times New Roman"/>
          <w:sz w:val="24"/>
          <w:szCs w:val="24"/>
          <w:lang w:val="fr-FR"/>
        </w:rPr>
        <w:t>qu’</w:t>
      </w:r>
      <w:r w:rsidR="00FA1B9A" w:rsidRPr="00953692">
        <w:rPr>
          <w:rFonts w:cs="Times New Roman"/>
          <w:sz w:val="24"/>
          <w:szCs w:val="24"/>
          <w:lang w:val="fr-FR"/>
        </w:rPr>
        <w:t xml:space="preserve">à partir du moment où l’Accusation souhaitait ou décidait de porter </w:t>
      </w:r>
      <w:r w:rsidR="00344BB1" w:rsidRPr="00953692">
        <w:rPr>
          <w:rFonts w:cs="Times New Roman"/>
          <w:sz w:val="24"/>
          <w:szCs w:val="24"/>
          <w:lang w:val="fr-FR"/>
        </w:rPr>
        <w:t xml:space="preserve">son </w:t>
      </w:r>
      <w:r w:rsidR="00FA1B9A" w:rsidRPr="00953692">
        <w:rPr>
          <w:rFonts w:cs="Times New Roman"/>
          <w:sz w:val="24"/>
          <w:szCs w:val="24"/>
          <w:lang w:val="fr-FR"/>
        </w:rPr>
        <w:t xml:space="preserve">accusation devant les juges pour jugement. Cependant, il n’en reste pas moins un droit à l’information pour l’accusé en dépit de cette </w:t>
      </w:r>
      <w:r w:rsidR="00976FF5" w:rsidRPr="00953692">
        <w:rPr>
          <w:rFonts w:cs="Times New Roman"/>
          <w:sz w:val="24"/>
          <w:szCs w:val="24"/>
          <w:lang w:val="fr-FR"/>
        </w:rPr>
        <w:t>étroitesse</w:t>
      </w:r>
      <w:r w:rsidR="00FA1B9A" w:rsidRPr="00953692">
        <w:rPr>
          <w:rFonts w:cs="Times New Roman"/>
          <w:sz w:val="24"/>
          <w:szCs w:val="24"/>
          <w:lang w:val="fr-FR"/>
        </w:rPr>
        <w:t xml:space="preserve"> de son étendue.</w:t>
      </w:r>
    </w:p>
    <w:p w14:paraId="6C7AB84A" w14:textId="4026E4E6" w:rsidR="006578EE" w:rsidRPr="00953692" w:rsidRDefault="00B30136" w:rsidP="00864BBF">
      <w:pPr>
        <w:spacing w:line="276" w:lineRule="auto"/>
        <w:ind w:firstLine="1134"/>
        <w:jc w:val="both"/>
        <w:rPr>
          <w:rFonts w:cs="Times New Roman"/>
          <w:sz w:val="24"/>
          <w:szCs w:val="24"/>
          <w:lang w:val="fr-FR"/>
        </w:rPr>
      </w:pPr>
      <w:r w:rsidRPr="00953692">
        <w:rPr>
          <w:rFonts w:cs="Times New Roman"/>
          <w:b/>
          <w:bCs/>
          <w:sz w:val="24"/>
          <w:szCs w:val="24"/>
          <w:lang w:val="fr-FR"/>
        </w:rPr>
        <w:t>49</w:t>
      </w:r>
      <w:r w:rsidR="00BC6AE4" w:rsidRPr="00953692">
        <w:rPr>
          <w:rFonts w:cs="Times New Roman"/>
          <w:b/>
          <w:bCs/>
          <w:sz w:val="24"/>
          <w:szCs w:val="24"/>
          <w:lang w:val="fr-FR"/>
        </w:rPr>
        <w:t>.</w:t>
      </w:r>
      <w:r w:rsidR="00BC6AE4" w:rsidRPr="00953692">
        <w:rPr>
          <w:rFonts w:cs="Times New Roman"/>
          <w:sz w:val="24"/>
          <w:szCs w:val="24"/>
          <w:lang w:val="fr-FR"/>
        </w:rPr>
        <w:t xml:space="preserve"> </w:t>
      </w:r>
      <w:r w:rsidR="0044613A" w:rsidRPr="00953692">
        <w:rPr>
          <w:rFonts w:cs="Times New Roman"/>
          <w:sz w:val="24"/>
          <w:szCs w:val="24"/>
          <w:lang w:val="fr-FR"/>
        </w:rPr>
        <w:t xml:space="preserve">Par contre, les juridictions d’après ont </w:t>
      </w:r>
      <w:r w:rsidR="009A02FC" w:rsidRPr="00953692">
        <w:rPr>
          <w:rFonts w:cs="Times New Roman"/>
          <w:sz w:val="24"/>
          <w:szCs w:val="24"/>
          <w:lang w:val="fr-FR"/>
        </w:rPr>
        <w:t xml:space="preserve">tenu à aborder ce droit à l’information sous deux aspects graduels comme on les retrouve dans le PIDCP. </w:t>
      </w:r>
      <w:r w:rsidR="003C36F2" w:rsidRPr="00953692">
        <w:rPr>
          <w:rStyle w:val="grammar"/>
          <w:rFonts w:cs="Times New Roman"/>
          <w:sz w:val="24"/>
          <w:szCs w:val="24"/>
          <w:lang w:val="fr-FR"/>
        </w:rPr>
        <w:t>À</w:t>
      </w:r>
      <w:r w:rsidR="003C36F2" w:rsidRPr="00953692">
        <w:rPr>
          <w:rFonts w:cs="Times New Roman"/>
          <w:sz w:val="24"/>
          <w:szCs w:val="24"/>
          <w:shd w:val="clear" w:color="auto" w:fill="FFFFFF"/>
          <w:lang w:val="fr-FR"/>
        </w:rPr>
        <w:t xml:space="preserve"> cet effet</w:t>
      </w:r>
      <w:r w:rsidR="00B313F9" w:rsidRPr="00953692">
        <w:rPr>
          <w:rFonts w:cs="Times New Roman"/>
          <w:sz w:val="24"/>
          <w:szCs w:val="24"/>
          <w:lang w:val="fr-FR"/>
        </w:rPr>
        <w:t xml:space="preserve">, il a été fait fondamentalement une distinction entre un suspect et un accusé. </w:t>
      </w:r>
      <w:r w:rsidR="00BC6AE4" w:rsidRPr="00953692">
        <w:rPr>
          <w:sz w:val="24"/>
          <w:szCs w:val="24"/>
          <w:lang w:val="fr-FR"/>
        </w:rPr>
        <w:t>L</w:t>
      </w:r>
      <w:r w:rsidR="006578EE" w:rsidRPr="00953692">
        <w:rPr>
          <w:sz w:val="24"/>
          <w:szCs w:val="24"/>
          <w:lang w:val="fr-FR"/>
        </w:rPr>
        <w:t xml:space="preserve">’article 55 du statut de Rome </w:t>
      </w:r>
      <w:r w:rsidR="00A5361F" w:rsidRPr="00953692">
        <w:rPr>
          <w:sz w:val="24"/>
          <w:szCs w:val="24"/>
          <w:lang w:val="fr-FR"/>
        </w:rPr>
        <w:t xml:space="preserve">de la CPI </w:t>
      </w:r>
      <w:r w:rsidR="00403D11" w:rsidRPr="00953692">
        <w:rPr>
          <w:sz w:val="24"/>
          <w:szCs w:val="24"/>
          <w:lang w:val="fr-FR"/>
        </w:rPr>
        <w:t xml:space="preserve">intitulé les droits des personnes dans le cadre d’une enquête </w:t>
      </w:r>
      <w:r w:rsidR="006578EE" w:rsidRPr="00953692">
        <w:rPr>
          <w:sz w:val="24"/>
          <w:szCs w:val="24"/>
          <w:lang w:val="fr-FR"/>
        </w:rPr>
        <w:t>dispose que :</w:t>
      </w:r>
    </w:p>
    <w:p w14:paraId="58D89F4A" w14:textId="70EED8CE" w:rsidR="00A3761C" w:rsidRPr="00953692" w:rsidRDefault="006578EE" w:rsidP="00864BBF">
      <w:pPr>
        <w:spacing w:line="276" w:lineRule="auto"/>
        <w:ind w:left="1134" w:firstLine="1134"/>
        <w:jc w:val="both"/>
        <w:rPr>
          <w:sz w:val="22"/>
          <w:lang w:val="fr-FR"/>
        </w:rPr>
      </w:pPr>
      <w:r w:rsidRPr="00953692">
        <w:rPr>
          <w:sz w:val="22"/>
          <w:lang w:val="fr-FR"/>
        </w:rPr>
        <w:t>« </w:t>
      </w:r>
      <w:r w:rsidR="00114EC4" w:rsidRPr="00953692">
        <w:rPr>
          <w:sz w:val="22"/>
          <w:lang w:val="fr-FR"/>
        </w:rPr>
        <w:t>…</w:t>
      </w:r>
      <w:r w:rsidRPr="00953692">
        <w:rPr>
          <w:i/>
          <w:iCs/>
          <w:sz w:val="22"/>
          <w:lang w:val="fr-FR"/>
        </w:rPr>
        <w:t>l</w:t>
      </w:r>
      <w:r w:rsidR="00A3761C" w:rsidRPr="00953692">
        <w:rPr>
          <w:i/>
          <w:iCs/>
          <w:sz w:val="22"/>
          <w:lang w:val="fr-FR"/>
        </w:rPr>
        <w:t>orsqu'il y a des motifs de croire qu'une personne a commis un crime relevant de la compétence de la Cour et que cette personne doit être interrogée, soit par le Procureur</w:t>
      </w:r>
      <w:r w:rsidR="003C36F2" w:rsidRPr="00953692">
        <w:rPr>
          <w:i/>
          <w:iCs/>
          <w:sz w:val="22"/>
          <w:lang w:val="fr-FR"/>
        </w:rPr>
        <w:t>,</w:t>
      </w:r>
      <w:r w:rsidR="00A3761C" w:rsidRPr="00953692">
        <w:rPr>
          <w:i/>
          <w:iCs/>
          <w:sz w:val="22"/>
          <w:lang w:val="fr-FR"/>
        </w:rPr>
        <w:t xml:space="preserve"> soit par les autorités nationales en vertu d'une demande faite au titre du chapitre IX, cette personne a de plus les droits, </w:t>
      </w:r>
      <w:r w:rsidR="00CB77BE" w:rsidRPr="00953692">
        <w:rPr>
          <w:i/>
          <w:iCs/>
          <w:sz w:val="22"/>
          <w:lang w:val="fr-FR"/>
        </w:rPr>
        <w:t>‘’tels que</w:t>
      </w:r>
      <w:r w:rsidR="00A3761C" w:rsidRPr="00953692">
        <w:rPr>
          <w:i/>
          <w:iCs/>
          <w:sz w:val="22"/>
          <w:lang w:val="fr-FR"/>
        </w:rPr>
        <w:t xml:space="preserve"> </w:t>
      </w:r>
      <w:r w:rsidR="00CB77BE" w:rsidRPr="00953692">
        <w:rPr>
          <w:i/>
          <w:iCs/>
          <w:sz w:val="22"/>
          <w:lang w:val="fr-FR"/>
        </w:rPr>
        <w:t>celui d’être’’</w:t>
      </w:r>
      <w:r w:rsidR="00A3761C" w:rsidRPr="00953692">
        <w:rPr>
          <w:i/>
          <w:iCs/>
          <w:sz w:val="22"/>
          <w:lang w:val="fr-FR"/>
        </w:rPr>
        <w:t xml:space="preserve"> informée avant d'être interrogée</w:t>
      </w:r>
      <w:r w:rsidRPr="00953692">
        <w:rPr>
          <w:i/>
          <w:iCs/>
          <w:sz w:val="22"/>
          <w:lang w:val="fr-FR"/>
        </w:rPr>
        <w:t>, notamment le droit à</w:t>
      </w:r>
      <w:r w:rsidR="00A3761C" w:rsidRPr="00953692">
        <w:rPr>
          <w:i/>
          <w:iCs/>
          <w:sz w:val="22"/>
          <w:lang w:val="fr-FR"/>
        </w:rPr>
        <w:t xml:space="preserve"> </w:t>
      </w:r>
      <w:r w:rsidRPr="00953692">
        <w:rPr>
          <w:i/>
          <w:iCs/>
          <w:sz w:val="22"/>
          <w:lang w:val="fr-FR"/>
        </w:rPr>
        <w:t>être</w:t>
      </w:r>
      <w:r w:rsidR="00A3761C" w:rsidRPr="00953692">
        <w:rPr>
          <w:i/>
          <w:iCs/>
          <w:sz w:val="22"/>
          <w:lang w:val="fr-FR"/>
        </w:rPr>
        <w:t xml:space="preserve"> informée avant d'être interrogée qu'il y a des raisons de croire qu'elle a commis un crime relevant de la compétence de la Cour</w:t>
      </w:r>
      <w:r w:rsidRPr="00953692">
        <w:rPr>
          <w:i/>
          <w:iCs/>
          <w:sz w:val="22"/>
          <w:lang w:val="fr-FR"/>
        </w:rPr>
        <w:t> </w:t>
      </w:r>
      <w:r w:rsidRPr="00953692">
        <w:rPr>
          <w:sz w:val="22"/>
          <w:lang w:val="fr-FR"/>
        </w:rPr>
        <w:t>».</w:t>
      </w:r>
    </w:p>
    <w:p w14:paraId="1CC5412C" w14:textId="21F4D679" w:rsidR="001046E9" w:rsidRPr="00953692" w:rsidRDefault="00B30136" w:rsidP="00864BBF">
      <w:pPr>
        <w:spacing w:after="0" w:line="276" w:lineRule="auto"/>
        <w:ind w:firstLine="1134"/>
        <w:jc w:val="both"/>
        <w:rPr>
          <w:sz w:val="24"/>
          <w:szCs w:val="24"/>
          <w:lang w:val="fr-FR"/>
        </w:rPr>
      </w:pPr>
      <w:r w:rsidRPr="00953692">
        <w:rPr>
          <w:b/>
          <w:bCs/>
          <w:sz w:val="24"/>
          <w:szCs w:val="24"/>
          <w:lang w:val="fr-FR"/>
        </w:rPr>
        <w:t>50</w:t>
      </w:r>
      <w:r w:rsidR="00BC6AE4" w:rsidRPr="00953692">
        <w:rPr>
          <w:b/>
          <w:bCs/>
          <w:sz w:val="24"/>
          <w:szCs w:val="24"/>
          <w:lang w:val="fr-FR"/>
        </w:rPr>
        <w:t>.</w:t>
      </w:r>
      <w:r w:rsidR="00BC6AE4" w:rsidRPr="00953692">
        <w:rPr>
          <w:sz w:val="24"/>
          <w:szCs w:val="24"/>
          <w:lang w:val="fr-FR"/>
        </w:rPr>
        <w:t xml:space="preserve"> On retrouve littéralement cette</w:t>
      </w:r>
      <w:r w:rsidR="006578EE" w:rsidRPr="00953692">
        <w:rPr>
          <w:sz w:val="24"/>
          <w:szCs w:val="24"/>
          <w:lang w:val="fr-FR"/>
        </w:rPr>
        <w:t xml:space="preserve"> disposition</w:t>
      </w:r>
      <w:r w:rsidR="00F83A66" w:rsidRPr="00953692">
        <w:rPr>
          <w:sz w:val="24"/>
          <w:szCs w:val="24"/>
          <w:lang w:val="fr-FR"/>
        </w:rPr>
        <w:t xml:space="preserve"> </w:t>
      </w:r>
      <w:r w:rsidR="000A4AC4" w:rsidRPr="00953692">
        <w:rPr>
          <w:sz w:val="24"/>
          <w:szCs w:val="24"/>
          <w:lang w:val="fr-FR"/>
        </w:rPr>
        <w:t>à</w:t>
      </w:r>
      <w:r w:rsidR="00F83A66" w:rsidRPr="00953692">
        <w:rPr>
          <w:sz w:val="24"/>
          <w:szCs w:val="24"/>
          <w:lang w:val="fr-FR"/>
        </w:rPr>
        <w:t xml:space="preserve"> l’article 15 </w:t>
      </w:r>
      <w:r w:rsidR="003976B7" w:rsidRPr="00953692">
        <w:rPr>
          <w:sz w:val="24"/>
          <w:szCs w:val="24"/>
          <w:lang w:val="fr-FR"/>
        </w:rPr>
        <w:t>S</w:t>
      </w:r>
      <w:r w:rsidR="00F83A66" w:rsidRPr="00953692">
        <w:rPr>
          <w:sz w:val="24"/>
          <w:szCs w:val="24"/>
          <w:lang w:val="fr-FR"/>
        </w:rPr>
        <w:t xml:space="preserve">tatut du </w:t>
      </w:r>
      <w:r w:rsidR="003976B7" w:rsidRPr="00953692">
        <w:rPr>
          <w:sz w:val="24"/>
          <w:szCs w:val="24"/>
          <w:lang w:val="fr-FR"/>
        </w:rPr>
        <w:t>T</w:t>
      </w:r>
      <w:r w:rsidR="00F83A66" w:rsidRPr="00953692">
        <w:rPr>
          <w:sz w:val="24"/>
          <w:szCs w:val="24"/>
          <w:lang w:val="fr-FR"/>
        </w:rPr>
        <w:t>ribunal spécial pour le Liban </w:t>
      </w:r>
      <w:r w:rsidR="00053702" w:rsidRPr="00953692">
        <w:rPr>
          <w:sz w:val="24"/>
          <w:szCs w:val="24"/>
          <w:lang w:val="fr-FR"/>
        </w:rPr>
        <w:t>et</w:t>
      </w:r>
      <w:r w:rsidR="00F83A66" w:rsidRPr="00953692">
        <w:rPr>
          <w:sz w:val="24"/>
          <w:szCs w:val="24"/>
          <w:lang w:val="fr-FR"/>
        </w:rPr>
        <w:t xml:space="preserve"> </w:t>
      </w:r>
      <w:r w:rsidR="00BC6AE4" w:rsidRPr="00953692">
        <w:rPr>
          <w:sz w:val="24"/>
          <w:szCs w:val="24"/>
          <w:lang w:val="fr-FR"/>
        </w:rPr>
        <w:t xml:space="preserve">à </w:t>
      </w:r>
      <w:r w:rsidR="00F83A66" w:rsidRPr="00953692">
        <w:rPr>
          <w:sz w:val="24"/>
          <w:szCs w:val="24"/>
          <w:lang w:val="fr-FR"/>
        </w:rPr>
        <w:t>l’article 4 de la loi sur la Cour pénale spéciale centrafricaine</w:t>
      </w:r>
      <w:r w:rsidR="00053702" w:rsidRPr="00953692">
        <w:rPr>
          <w:sz w:val="24"/>
          <w:szCs w:val="24"/>
          <w:lang w:val="fr-FR"/>
        </w:rPr>
        <w:t>. L’article 6 du Règlement transitoire de la procédure pénale pour le Timor Oriental prévoit qu’à chaque étape de la procédure, le suspect ou l'accusé sont informés par le ministère public qu'il a les droits, notamment le droit d'être informé en détail et dans une langue qu</w:t>
      </w:r>
      <w:r w:rsidR="003976B7" w:rsidRPr="00953692">
        <w:rPr>
          <w:sz w:val="24"/>
          <w:szCs w:val="24"/>
          <w:lang w:val="fr-FR"/>
        </w:rPr>
        <w:t>’</w:t>
      </w:r>
      <w:r w:rsidR="00053702" w:rsidRPr="00953692">
        <w:rPr>
          <w:sz w:val="24"/>
          <w:szCs w:val="24"/>
          <w:lang w:val="fr-FR"/>
        </w:rPr>
        <w:t>il comprend, la nature et la cause des accusations portées contre lui.</w:t>
      </w:r>
      <w:r w:rsidR="001046E9" w:rsidRPr="00953692">
        <w:rPr>
          <w:sz w:val="24"/>
          <w:szCs w:val="24"/>
          <w:lang w:val="fr-FR"/>
        </w:rPr>
        <w:t xml:space="preserve"> La Règle 21 du Règlement intérieur des Chambres extraordinaires au sein des tribunaux cambodgiens prévoit également que toute personne suspectée a le droit d’être informée des charges </w:t>
      </w:r>
      <w:r w:rsidR="001046E9" w:rsidRPr="00953692">
        <w:rPr>
          <w:sz w:val="24"/>
          <w:szCs w:val="24"/>
          <w:lang w:val="fr-FR"/>
        </w:rPr>
        <w:lastRenderedPageBreak/>
        <w:t>retenues contre elle</w:t>
      </w:r>
      <w:r w:rsidR="00C908DD" w:rsidRPr="00953692">
        <w:rPr>
          <w:rStyle w:val="Appelnotedebasdep"/>
          <w:sz w:val="24"/>
          <w:szCs w:val="24"/>
          <w:lang w:val="fr-FR"/>
        </w:rPr>
        <w:footnoteReference w:customMarkFollows="1" w:id="43"/>
        <w:t>26</w:t>
      </w:r>
      <w:r w:rsidR="001046E9" w:rsidRPr="00953692">
        <w:rPr>
          <w:sz w:val="24"/>
          <w:szCs w:val="24"/>
          <w:lang w:val="fr-FR"/>
        </w:rPr>
        <w:t>. Les actes constitutifs des TPI n’ont pas fait une telle distinction, et l’article 42 de leurs Règlements intérieur</w:t>
      </w:r>
      <w:r w:rsidR="00CE4996" w:rsidRPr="00953692">
        <w:rPr>
          <w:sz w:val="24"/>
          <w:szCs w:val="24"/>
          <w:lang w:val="fr-FR"/>
        </w:rPr>
        <w:t>s</w:t>
      </w:r>
      <w:r w:rsidR="001046E9" w:rsidRPr="00953692">
        <w:rPr>
          <w:sz w:val="24"/>
          <w:szCs w:val="24"/>
          <w:lang w:val="fr-FR"/>
        </w:rPr>
        <w:t xml:space="preserve"> applicables</w:t>
      </w:r>
      <w:r w:rsidR="00CE4996" w:rsidRPr="00953692">
        <w:rPr>
          <w:sz w:val="24"/>
          <w:szCs w:val="24"/>
          <w:lang w:val="fr-FR"/>
        </w:rPr>
        <w:t xml:space="preserve"> pareillement</w:t>
      </w:r>
      <w:r w:rsidR="001046E9" w:rsidRPr="00953692">
        <w:rPr>
          <w:sz w:val="24"/>
          <w:szCs w:val="24"/>
          <w:lang w:val="fr-FR"/>
        </w:rPr>
        <w:t xml:space="preserve"> au T</w:t>
      </w:r>
      <w:r w:rsidRPr="00953692">
        <w:rPr>
          <w:sz w:val="24"/>
          <w:szCs w:val="24"/>
          <w:lang w:val="fr-FR"/>
        </w:rPr>
        <w:t>SSL</w:t>
      </w:r>
      <w:r w:rsidR="001046E9" w:rsidRPr="00953692">
        <w:rPr>
          <w:sz w:val="24"/>
          <w:szCs w:val="24"/>
          <w:lang w:val="fr-FR"/>
        </w:rPr>
        <w:t>, se limite à l’obligation d</w:t>
      </w:r>
      <w:r w:rsidR="00E8225C" w:rsidRPr="00953692">
        <w:rPr>
          <w:sz w:val="24"/>
          <w:szCs w:val="24"/>
          <w:lang w:val="fr-FR"/>
        </w:rPr>
        <w:t>’informer au suspect ses droits qu’il énumère évidemment sans mentionner précisément le droit à être informé des accusations portées contre lui dans le cadre de l’enquête.</w:t>
      </w:r>
    </w:p>
    <w:p w14:paraId="2116EF0C" w14:textId="77777777" w:rsidR="00B30136" w:rsidRPr="00953692" w:rsidRDefault="00B30136" w:rsidP="00864BBF">
      <w:pPr>
        <w:spacing w:after="0" w:line="276" w:lineRule="auto"/>
        <w:ind w:firstLine="1134"/>
        <w:jc w:val="both"/>
        <w:rPr>
          <w:sz w:val="24"/>
          <w:szCs w:val="24"/>
          <w:lang w:val="fr-FR"/>
        </w:rPr>
      </w:pPr>
      <w:r w:rsidRPr="00953692">
        <w:rPr>
          <w:b/>
          <w:bCs/>
          <w:sz w:val="24"/>
          <w:szCs w:val="24"/>
          <w:lang w:val="fr-FR"/>
        </w:rPr>
        <w:t>51</w:t>
      </w:r>
      <w:r w:rsidR="00BC6AE4" w:rsidRPr="00953692">
        <w:rPr>
          <w:b/>
          <w:bCs/>
          <w:sz w:val="24"/>
          <w:szCs w:val="24"/>
          <w:lang w:val="fr-FR"/>
        </w:rPr>
        <w:t>.</w:t>
      </w:r>
      <w:r w:rsidR="00BC6AE4" w:rsidRPr="00953692">
        <w:rPr>
          <w:sz w:val="24"/>
          <w:szCs w:val="24"/>
          <w:lang w:val="fr-FR"/>
        </w:rPr>
        <w:t xml:space="preserve"> </w:t>
      </w:r>
      <w:r w:rsidR="00E8225C" w:rsidRPr="00953692">
        <w:rPr>
          <w:sz w:val="24"/>
          <w:szCs w:val="24"/>
          <w:lang w:val="fr-FR"/>
        </w:rPr>
        <w:t xml:space="preserve">On peut </w:t>
      </w:r>
      <w:r w:rsidR="00BC6AE4" w:rsidRPr="00953692">
        <w:rPr>
          <w:sz w:val="24"/>
          <w:szCs w:val="24"/>
          <w:lang w:val="fr-FR"/>
        </w:rPr>
        <w:t>en réalité</w:t>
      </w:r>
      <w:r w:rsidR="00E8225C" w:rsidRPr="00953692">
        <w:rPr>
          <w:sz w:val="24"/>
          <w:szCs w:val="24"/>
          <w:lang w:val="fr-FR"/>
        </w:rPr>
        <w:t xml:space="preserve"> remarquer que</w:t>
      </w:r>
      <w:r w:rsidR="00BC6AE4" w:rsidRPr="00953692">
        <w:rPr>
          <w:sz w:val="24"/>
          <w:szCs w:val="24"/>
          <w:lang w:val="fr-FR"/>
        </w:rPr>
        <w:t>,</w:t>
      </w:r>
      <w:r w:rsidR="00E8225C" w:rsidRPr="00953692">
        <w:rPr>
          <w:sz w:val="24"/>
          <w:szCs w:val="24"/>
          <w:lang w:val="fr-FR"/>
        </w:rPr>
        <w:t xml:space="preserve"> la formulation n’est pas la même. L’expression dans le plus court délai n’y figure pas, remplacée </w:t>
      </w:r>
      <w:r w:rsidR="00A8474B" w:rsidRPr="00953692">
        <w:rPr>
          <w:sz w:val="24"/>
          <w:szCs w:val="24"/>
          <w:lang w:val="fr-FR"/>
        </w:rPr>
        <w:t>précisément</w:t>
      </w:r>
      <w:r w:rsidR="00E8225C" w:rsidRPr="00953692">
        <w:rPr>
          <w:sz w:val="24"/>
          <w:szCs w:val="24"/>
          <w:lang w:val="fr-FR"/>
        </w:rPr>
        <w:t xml:space="preserve"> par </w:t>
      </w:r>
      <w:r w:rsidR="004635E8" w:rsidRPr="00953692">
        <w:rPr>
          <w:sz w:val="24"/>
          <w:szCs w:val="24"/>
          <w:lang w:val="fr-FR"/>
        </w:rPr>
        <w:t xml:space="preserve">la préposition ‘’avant’’ l’interrogatoire ou avant d’être interrogé. </w:t>
      </w:r>
      <w:r w:rsidR="00DE089E" w:rsidRPr="00953692">
        <w:rPr>
          <w:sz w:val="24"/>
          <w:szCs w:val="24"/>
          <w:lang w:val="fr-FR"/>
        </w:rPr>
        <w:t>Il y a là aussi dans cette obligation d’informer</w:t>
      </w:r>
      <w:r w:rsidR="003976B7" w:rsidRPr="00953692">
        <w:rPr>
          <w:sz w:val="24"/>
          <w:szCs w:val="24"/>
          <w:lang w:val="fr-FR"/>
        </w:rPr>
        <w:t>,</w:t>
      </w:r>
      <w:r w:rsidR="00DE089E" w:rsidRPr="00953692">
        <w:rPr>
          <w:sz w:val="24"/>
          <w:szCs w:val="24"/>
          <w:lang w:val="fr-FR"/>
        </w:rPr>
        <w:t xml:space="preserve"> un réel souci de transparence </w:t>
      </w:r>
      <w:r w:rsidR="006F6096" w:rsidRPr="00953692">
        <w:rPr>
          <w:sz w:val="24"/>
          <w:szCs w:val="24"/>
          <w:lang w:val="fr-FR"/>
        </w:rPr>
        <w:t>évitant à ce que la justice verse dans la sournoiserie. L’individu sou</w:t>
      </w:r>
      <w:r w:rsidR="00CA5649" w:rsidRPr="00953692">
        <w:rPr>
          <w:sz w:val="24"/>
          <w:szCs w:val="24"/>
          <w:lang w:val="fr-FR"/>
        </w:rPr>
        <w:t>mis</w:t>
      </w:r>
      <w:r w:rsidR="006F6096" w:rsidRPr="00953692">
        <w:rPr>
          <w:sz w:val="24"/>
          <w:szCs w:val="24"/>
          <w:lang w:val="fr-FR"/>
        </w:rPr>
        <w:t xml:space="preserve"> à l’interrogatoire </w:t>
      </w:r>
      <w:r w:rsidR="003976B7" w:rsidRPr="00953692">
        <w:rPr>
          <w:sz w:val="24"/>
          <w:szCs w:val="24"/>
          <w:lang w:val="fr-FR"/>
        </w:rPr>
        <w:t xml:space="preserve">judiciaire </w:t>
      </w:r>
      <w:r w:rsidR="006F6096" w:rsidRPr="00953692">
        <w:rPr>
          <w:sz w:val="24"/>
          <w:szCs w:val="24"/>
          <w:lang w:val="fr-FR"/>
        </w:rPr>
        <w:t>devra donc savoir en quelle qualité il répond aux questions</w:t>
      </w:r>
      <w:r w:rsidR="00273BF6" w:rsidRPr="00953692">
        <w:rPr>
          <w:sz w:val="24"/>
          <w:szCs w:val="24"/>
          <w:lang w:val="fr-FR"/>
        </w:rPr>
        <w:t>.</w:t>
      </w:r>
      <w:r w:rsidR="006F6096" w:rsidRPr="00953692">
        <w:rPr>
          <w:sz w:val="24"/>
          <w:szCs w:val="24"/>
          <w:lang w:val="fr-FR"/>
        </w:rPr>
        <w:t xml:space="preserve"> </w:t>
      </w:r>
      <w:r w:rsidR="00273BF6" w:rsidRPr="00953692">
        <w:rPr>
          <w:sz w:val="24"/>
          <w:szCs w:val="24"/>
          <w:lang w:val="fr-FR"/>
        </w:rPr>
        <w:t>E</w:t>
      </w:r>
      <w:r w:rsidR="006F6096" w:rsidRPr="00953692">
        <w:rPr>
          <w:sz w:val="24"/>
          <w:szCs w:val="24"/>
          <w:lang w:val="fr-FR"/>
        </w:rPr>
        <w:t>t en cas de suspicion, il est tout à fait justifié qu’il soit informé des faits afin de fournir au procureur les informations de manière plus ou moins claire. L’étendue de cette obligation s’avère limitée, et la temporalité de sa réalisation l’est également</w:t>
      </w:r>
      <w:r w:rsidR="00BC6AE4" w:rsidRPr="00953692">
        <w:rPr>
          <w:sz w:val="24"/>
          <w:szCs w:val="24"/>
          <w:lang w:val="fr-FR"/>
        </w:rPr>
        <w:t>.</w:t>
      </w:r>
      <w:r w:rsidR="006F6096" w:rsidRPr="00953692">
        <w:rPr>
          <w:sz w:val="24"/>
          <w:szCs w:val="24"/>
          <w:lang w:val="fr-FR"/>
        </w:rPr>
        <w:t xml:space="preserve"> </w:t>
      </w:r>
      <w:r w:rsidR="00BC6AE4" w:rsidRPr="00953692">
        <w:rPr>
          <w:sz w:val="24"/>
          <w:szCs w:val="24"/>
          <w:lang w:val="fr-FR"/>
        </w:rPr>
        <w:t>Car</w:t>
      </w:r>
      <w:r w:rsidR="006F6096" w:rsidRPr="00953692">
        <w:rPr>
          <w:sz w:val="24"/>
          <w:szCs w:val="24"/>
          <w:lang w:val="fr-FR"/>
        </w:rPr>
        <w:t xml:space="preserve"> il s’agi</w:t>
      </w:r>
      <w:r w:rsidR="00BC6AE4" w:rsidRPr="00953692">
        <w:rPr>
          <w:sz w:val="24"/>
          <w:szCs w:val="24"/>
          <w:lang w:val="fr-FR"/>
        </w:rPr>
        <w:t>t</w:t>
      </w:r>
      <w:r w:rsidR="006F6096" w:rsidRPr="00953692">
        <w:rPr>
          <w:sz w:val="24"/>
          <w:szCs w:val="24"/>
          <w:lang w:val="fr-FR"/>
        </w:rPr>
        <w:t xml:space="preserve"> d’un interrogatoire</w:t>
      </w:r>
      <w:r w:rsidR="00BC6AE4" w:rsidRPr="00953692">
        <w:rPr>
          <w:sz w:val="24"/>
          <w:szCs w:val="24"/>
          <w:lang w:val="fr-FR"/>
        </w:rPr>
        <w:t xml:space="preserve"> du suspect et non des poursuites</w:t>
      </w:r>
      <w:r w:rsidR="00D90856" w:rsidRPr="00953692">
        <w:rPr>
          <w:sz w:val="24"/>
          <w:szCs w:val="24"/>
          <w:lang w:val="fr-FR"/>
        </w:rPr>
        <w:t xml:space="preserve"> contre un inculpé ou un accusé devant les juges</w:t>
      </w:r>
      <w:r w:rsidR="0085069F" w:rsidRPr="00953692">
        <w:rPr>
          <w:sz w:val="24"/>
          <w:szCs w:val="24"/>
          <w:lang w:val="fr-FR"/>
        </w:rPr>
        <w:t>.</w:t>
      </w:r>
      <w:r w:rsidR="00462816" w:rsidRPr="00953692">
        <w:rPr>
          <w:sz w:val="24"/>
          <w:szCs w:val="24"/>
          <w:lang w:val="fr-FR"/>
        </w:rPr>
        <w:t xml:space="preserve"> </w:t>
      </w:r>
    </w:p>
    <w:p w14:paraId="70A26CBC" w14:textId="1412E700" w:rsidR="00462816" w:rsidRPr="00953692" w:rsidRDefault="00B30136" w:rsidP="00864BBF">
      <w:pPr>
        <w:spacing w:after="0" w:line="276" w:lineRule="auto"/>
        <w:ind w:firstLine="1134"/>
        <w:jc w:val="both"/>
        <w:rPr>
          <w:sz w:val="24"/>
          <w:szCs w:val="24"/>
          <w:lang w:val="fr-FR"/>
        </w:rPr>
      </w:pPr>
      <w:r w:rsidRPr="00953692">
        <w:rPr>
          <w:b/>
          <w:bCs/>
          <w:sz w:val="24"/>
          <w:szCs w:val="24"/>
          <w:lang w:val="fr-FR"/>
        </w:rPr>
        <w:t>52.</w:t>
      </w:r>
      <w:r w:rsidRPr="00953692">
        <w:rPr>
          <w:sz w:val="24"/>
          <w:szCs w:val="24"/>
          <w:lang w:val="fr-FR"/>
        </w:rPr>
        <w:t xml:space="preserve"> </w:t>
      </w:r>
      <w:r w:rsidR="00E704E7" w:rsidRPr="00953692">
        <w:rPr>
          <w:sz w:val="24"/>
          <w:szCs w:val="24"/>
          <w:lang w:val="fr-FR"/>
        </w:rPr>
        <w:t>E</w:t>
      </w:r>
      <w:r w:rsidR="0085069F" w:rsidRPr="00953692">
        <w:rPr>
          <w:sz w:val="24"/>
          <w:szCs w:val="24"/>
          <w:lang w:val="fr-FR"/>
        </w:rPr>
        <w:t>n</w:t>
      </w:r>
      <w:r w:rsidR="00E704E7" w:rsidRPr="00953692">
        <w:rPr>
          <w:sz w:val="24"/>
          <w:szCs w:val="24"/>
          <w:lang w:val="fr-FR"/>
        </w:rPr>
        <w:t xml:space="preserve"> </w:t>
      </w:r>
      <w:r w:rsidR="0085069F" w:rsidRPr="00953692">
        <w:rPr>
          <w:sz w:val="24"/>
          <w:szCs w:val="24"/>
          <w:lang w:val="fr-FR"/>
        </w:rPr>
        <w:t>théorie générale de la procédure pénale</w:t>
      </w:r>
      <w:r w:rsidR="00D90856" w:rsidRPr="00953692">
        <w:rPr>
          <w:sz w:val="24"/>
          <w:szCs w:val="24"/>
          <w:lang w:val="fr-FR"/>
        </w:rPr>
        <w:t>,</w:t>
      </w:r>
      <w:r w:rsidR="0085069F" w:rsidRPr="00953692">
        <w:rPr>
          <w:sz w:val="24"/>
          <w:szCs w:val="24"/>
          <w:lang w:val="fr-FR"/>
        </w:rPr>
        <w:t xml:space="preserve"> </w:t>
      </w:r>
      <w:r w:rsidR="00C30259" w:rsidRPr="00953692">
        <w:rPr>
          <w:sz w:val="24"/>
          <w:szCs w:val="24"/>
          <w:lang w:val="fr-FR"/>
        </w:rPr>
        <w:t xml:space="preserve">il est vrai que </w:t>
      </w:r>
      <w:r w:rsidR="0085069F" w:rsidRPr="00953692">
        <w:rPr>
          <w:sz w:val="24"/>
          <w:szCs w:val="24"/>
          <w:lang w:val="fr-FR"/>
        </w:rPr>
        <w:t>la qualité d</w:t>
      </w:r>
      <w:r w:rsidR="004C5818" w:rsidRPr="00953692">
        <w:rPr>
          <w:sz w:val="24"/>
          <w:szCs w:val="24"/>
          <w:lang w:val="fr-FR"/>
        </w:rPr>
        <w:t>e</w:t>
      </w:r>
      <w:r w:rsidR="0085069F" w:rsidRPr="00953692">
        <w:rPr>
          <w:sz w:val="24"/>
          <w:szCs w:val="24"/>
          <w:lang w:val="fr-FR"/>
        </w:rPr>
        <w:t xml:space="preserve"> sus</w:t>
      </w:r>
      <w:r w:rsidR="00AF2DF2" w:rsidRPr="00953692">
        <w:rPr>
          <w:sz w:val="24"/>
          <w:szCs w:val="24"/>
          <w:lang w:val="fr-FR"/>
        </w:rPr>
        <w:t>pect</w:t>
      </w:r>
      <w:r w:rsidR="00C30259" w:rsidRPr="00953692">
        <w:rPr>
          <w:sz w:val="24"/>
          <w:szCs w:val="24"/>
          <w:lang w:val="fr-FR"/>
        </w:rPr>
        <w:t xml:space="preserve"> signifie que le procureur n’a pas encore </w:t>
      </w:r>
      <w:r w:rsidR="003976B7" w:rsidRPr="00953692">
        <w:rPr>
          <w:sz w:val="24"/>
          <w:szCs w:val="24"/>
          <w:lang w:val="fr-FR"/>
        </w:rPr>
        <w:t xml:space="preserve">porté une </w:t>
      </w:r>
      <w:r w:rsidR="00C30259" w:rsidRPr="00953692">
        <w:rPr>
          <w:sz w:val="24"/>
          <w:szCs w:val="24"/>
          <w:lang w:val="fr-FR"/>
        </w:rPr>
        <w:t>accus</w:t>
      </w:r>
      <w:r w:rsidR="003976B7" w:rsidRPr="00953692">
        <w:rPr>
          <w:sz w:val="24"/>
          <w:szCs w:val="24"/>
          <w:lang w:val="fr-FR"/>
        </w:rPr>
        <w:t>ation</w:t>
      </w:r>
      <w:r w:rsidR="00C30259" w:rsidRPr="00953692">
        <w:rPr>
          <w:sz w:val="24"/>
          <w:szCs w:val="24"/>
          <w:lang w:val="fr-FR"/>
        </w:rPr>
        <w:t xml:space="preserve"> officiellement</w:t>
      </w:r>
      <w:r w:rsidR="003976B7" w:rsidRPr="00953692">
        <w:rPr>
          <w:sz w:val="24"/>
          <w:szCs w:val="24"/>
          <w:lang w:val="fr-FR"/>
        </w:rPr>
        <w:t xml:space="preserve"> à l’encontre de</w:t>
      </w:r>
      <w:r w:rsidR="00C30259" w:rsidRPr="00953692">
        <w:rPr>
          <w:sz w:val="24"/>
          <w:szCs w:val="24"/>
          <w:lang w:val="fr-FR"/>
        </w:rPr>
        <w:t xml:space="preserve"> la personne qui </w:t>
      </w:r>
      <w:r w:rsidR="003976B7" w:rsidRPr="00953692">
        <w:rPr>
          <w:sz w:val="24"/>
          <w:szCs w:val="24"/>
          <w:lang w:val="fr-FR"/>
        </w:rPr>
        <w:t>est</w:t>
      </w:r>
      <w:r w:rsidR="00C30259" w:rsidRPr="00953692">
        <w:rPr>
          <w:sz w:val="24"/>
          <w:szCs w:val="24"/>
          <w:lang w:val="fr-FR"/>
        </w:rPr>
        <w:t xml:space="preserve"> objet de l’interrogatoire</w:t>
      </w:r>
      <w:r w:rsidR="00D90856" w:rsidRPr="00953692">
        <w:rPr>
          <w:sz w:val="24"/>
          <w:szCs w:val="24"/>
          <w:lang w:val="fr-FR"/>
        </w:rPr>
        <w:t>.</w:t>
      </w:r>
      <w:r w:rsidR="00C30259" w:rsidRPr="00953692">
        <w:rPr>
          <w:sz w:val="24"/>
          <w:szCs w:val="24"/>
          <w:lang w:val="fr-FR"/>
        </w:rPr>
        <w:t xml:space="preserve"> </w:t>
      </w:r>
      <w:r w:rsidR="00D90856" w:rsidRPr="00953692">
        <w:rPr>
          <w:sz w:val="24"/>
          <w:szCs w:val="24"/>
          <w:lang w:val="fr-FR"/>
        </w:rPr>
        <w:t>Et</w:t>
      </w:r>
      <w:r w:rsidR="00C30259" w:rsidRPr="00953692">
        <w:rPr>
          <w:sz w:val="24"/>
          <w:szCs w:val="24"/>
          <w:lang w:val="fr-FR"/>
        </w:rPr>
        <w:t xml:space="preserve"> </w:t>
      </w:r>
      <w:r w:rsidR="00D90856" w:rsidRPr="00953692">
        <w:rPr>
          <w:sz w:val="24"/>
          <w:szCs w:val="24"/>
          <w:lang w:val="fr-FR"/>
        </w:rPr>
        <w:t>en outre,</w:t>
      </w:r>
      <w:r w:rsidR="003976B7" w:rsidRPr="00953692">
        <w:rPr>
          <w:sz w:val="24"/>
          <w:szCs w:val="24"/>
          <w:lang w:val="fr-FR"/>
        </w:rPr>
        <w:t xml:space="preserve"> théoriquement et pratiquement,</w:t>
      </w:r>
      <w:r w:rsidR="00C30259" w:rsidRPr="00953692">
        <w:rPr>
          <w:sz w:val="24"/>
          <w:szCs w:val="24"/>
          <w:lang w:val="fr-FR"/>
        </w:rPr>
        <w:t xml:space="preserve"> </w:t>
      </w:r>
      <w:r w:rsidR="003976B7" w:rsidRPr="00953692">
        <w:rPr>
          <w:sz w:val="24"/>
          <w:szCs w:val="24"/>
          <w:lang w:val="fr-FR"/>
        </w:rPr>
        <w:t xml:space="preserve">il arrive </w:t>
      </w:r>
      <w:r w:rsidR="00C30259" w:rsidRPr="00953692">
        <w:rPr>
          <w:sz w:val="24"/>
          <w:szCs w:val="24"/>
          <w:lang w:val="fr-FR"/>
        </w:rPr>
        <w:t>qu’il n’y ait finalement aucun motif pouvant sous-tendre une inculpation</w:t>
      </w:r>
      <w:r w:rsidR="00462816" w:rsidRPr="00953692">
        <w:rPr>
          <w:sz w:val="24"/>
          <w:szCs w:val="24"/>
          <w:lang w:val="fr-FR"/>
        </w:rPr>
        <w:t xml:space="preserve"> ou une accusation</w:t>
      </w:r>
      <w:r w:rsidR="003976B7" w:rsidRPr="00953692">
        <w:rPr>
          <w:sz w:val="24"/>
          <w:szCs w:val="24"/>
          <w:lang w:val="fr-FR"/>
        </w:rPr>
        <w:t xml:space="preserve"> devant les juges</w:t>
      </w:r>
      <w:r w:rsidR="00C30259" w:rsidRPr="00953692">
        <w:rPr>
          <w:sz w:val="24"/>
          <w:szCs w:val="24"/>
          <w:lang w:val="fr-FR"/>
        </w:rPr>
        <w:t>.</w:t>
      </w:r>
      <w:r w:rsidR="003976B7" w:rsidRPr="00953692">
        <w:rPr>
          <w:sz w:val="24"/>
          <w:szCs w:val="24"/>
          <w:lang w:val="fr-FR"/>
        </w:rPr>
        <w:t xml:space="preserve"> In pari casu il y a lieu d’une relaxation.</w:t>
      </w:r>
    </w:p>
    <w:p w14:paraId="104A6DB3" w14:textId="62A1F521" w:rsidR="00C2015C" w:rsidRPr="00953692" w:rsidRDefault="00B30136" w:rsidP="00864BBF">
      <w:pPr>
        <w:spacing w:after="0" w:line="276" w:lineRule="auto"/>
        <w:ind w:firstLine="1134"/>
        <w:jc w:val="both"/>
        <w:rPr>
          <w:rFonts w:cs="Times New Roman"/>
          <w:sz w:val="24"/>
          <w:szCs w:val="24"/>
          <w:lang w:val="fr-FR"/>
        </w:rPr>
      </w:pPr>
      <w:r w:rsidRPr="00953692">
        <w:rPr>
          <w:b/>
          <w:bCs/>
          <w:sz w:val="24"/>
          <w:szCs w:val="24"/>
          <w:lang w:val="fr-FR"/>
        </w:rPr>
        <w:t>53</w:t>
      </w:r>
      <w:r w:rsidR="00AF749D" w:rsidRPr="00953692">
        <w:rPr>
          <w:b/>
          <w:bCs/>
          <w:sz w:val="24"/>
          <w:szCs w:val="24"/>
          <w:lang w:val="fr-FR"/>
        </w:rPr>
        <w:t>.</w:t>
      </w:r>
      <w:r w:rsidR="00AF749D" w:rsidRPr="00953692">
        <w:rPr>
          <w:sz w:val="24"/>
          <w:szCs w:val="24"/>
          <w:lang w:val="fr-FR"/>
        </w:rPr>
        <w:t xml:space="preserve"> </w:t>
      </w:r>
      <w:r w:rsidR="00462816" w:rsidRPr="00953692">
        <w:rPr>
          <w:sz w:val="24"/>
          <w:szCs w:val="24"/>
          <w:lang w:val="fr-FR"/>
        </w:rPr>
        <w:t>Par contre, en cas d’inculpation, de confirmation de l’acte d’accusation ou des charges, il y aurait un cha</w:t>
      </w:r>
      <w:r w:rsidR="009124A9" w:rsidRPr="00953692">
        <w:rPr>
          <w:sz w:val="24"/>
          <w:szCs w:val="24"/>
          <w:lang w:val="fr-FR"/>
        </w:rPr>
        <w:t>n</w:t>
      </w:r>
      <w:r w:rsidR="00462816" w:rsidRPr="00953692">
        <w:rPr>
          <w:sz w:val="24"/>
          <w:szCs w:val="24"/>
          <w:lang w:val="fr-FR"/>
        </w:rPr>
        <w:t xml:space="preserve">gement de statut de la personne mise en cause, mais aussi </w:t>
      </w:r>
      <w:r w:rsidR="009124A9" w:rsidRPr="00953692">
        <w:rPr>
          <w:sz w:val="24"/>
          <w:szCs w:val="24"/>
          <w:lang w:val="fr-FR"/>
        </w:rPr>
        <w:t xml:space="preserve">un changement de base légale. </w:t>
      </w:r>
      <w:r w:rsidR="007F5E8D" w:rsidRPr="00953692">
        <w:rPr>
          <w:sz w:val="24"/>
          <w:szCs w:val="24"/>
          <w:lang w:val="fr-FR"/>
        </w:rPr>
        <w:t xml:space="preserve">En cette matière, les actes constitutifs de ces juridictions reprennent tous les libellés de l’article 14 du PIDCP. L’article 67-a du statut de Rome de la CPI prévoit que l’accusé a le droit à être informé dans le plus court délai et de façon détaillée de la nature, de la cause et de la teneur des charges dans une langue qu'il comprend et parle parfaitement. </w:t>
      </w:r>
      <w:r w:rsidR="007F5E8D" w:rsidRPr="00953692">
        <w:rPr>
          <w:rFonts w:cs="Times New Roman"/>
          <w:sz w:val="24"/>
          <w:szCs w:val="24"/>
          <w:lang w:val="fr-FR"/>
        </w:rPr>
        <w:t xml:space="preserve">On retrouve la </w:t>
      </w:r>
      <w:r w:rsidR="00837586" w:rsidRPr="00953692">
        <w:rPr>
          <w:rFonts w:cs="Times New Roman"/>
          <w:sz w:val="24"/>
          <w:szCs w:val="24"/>
          <w:lang w:val="fr-FR"/>
        </w:rPr>
        <w:t>même</w:t>
      </w:r>
      <w:r w:rsidR="007F5E8D" w:rsidRPr="00953692">
        <w:rPr>
          <w:rFonts w:cs="Times New Roman"/>
          <w:sz w:val="24"/>
          <w:szCs w:val="24"/>
          <w:lang w:val="fr-FR"/>
        </w:rPr>
        <w:t xml:space="preserve"> formulation aux </w:t>
      </w:r>
      <w:r w:rsidR="00CA5649" w:rsidRPr="00953692">
        <w:rPr>
          <w:sz w:val="24"/>
          <w:szCs w:val="24"/>
          <w:lang w:val="fr-FR"/>
        </w:rPr>
        <w:t>articles 21 et 20 de statuts des TPI</w:t>
      </w:r>
      <w:r w:rsidR="009E4A30" w:rsidRPr="00953692">
        <w:rPr>
          <w:rStyle w:val="Appelnotedebasdep"/>
          <w:sz w:val="24"/>
          <w:szCs w:val="24"/>
          <w:lang w:val="fr-FR"/>
        </w:rPr>
        <w:footnoteReference w:customMarkFollows="1" w:id="44"/>
        <w:t>27</w:t>
      </w:r>
      <w:r w:rsidR="00CA5649" w:rsidRPr="00953692">
        <w:rPr>
          <w:sz w:val="24"/>
          <w:szCs w:val="24"/>
          <w:lang w:val="fr-FR"/>
        </w:rPr>
        <w:t>;</w:t>
      </w:r>
      <w:r w:rsidR="00746A35" w:rsidRPr="00953692">
        <w:rPr>
          <w:sz w:val="24"/>
          <w:szCs w:val="24"/>
          <w:lang w:val="fr-FR"/>
        </w:rPr>
        <w:t xml:space="preserve"> </w:t>
      </w:r>
      <w:r w:rsidR="00CA5649" w:rsidRPr="00953692">
        <w:rPr>
          <w:sz w:val="24"/>
          <w:szCs w:val="24"/>
          <w:lang w:val="fr-FR"/>
        </w:rPr>
        <w:t xml:space="preserve">17 du </w:t>
      </w:r>
      <w:r w:rsidR="00746A35" w:rsidRPr="00953692">
        <w:rPr>
          <w:sz w:val="24"/>
          <w:szCs w:val="24"/>
          <w:lang w:val="fr-FR"/>
        </w:rPr>
        <w:t>statut du Tribunal spécial pour la Sierra-</w:t>
      </w:r>
      <w:r w:rsidR="00273BF6" w:rsidRPr="00953692">
        <w:rPr>
          <w:sz w:val="24"/>
          <w:szCs w:val="24"/>
          <w:lang w:val="fr-FR"/>
        </w:rPr>
        <w:t>Lé</w:t>
      </w:r>
      <w:r w:rsidR="00746A35" w:rsidRPr="00953692">
        <w:rPr>
          <w:sz w:val="24"/>
          <w:szCs w:val="24"/>
          <w:lang w:val="fr-FR"/>
        </w:rPr>
        <w:t>one de 2002</w:t>
      </w:r>
      <w:r w:rsidR="009E4A30" w:rsidRPr="00953692">
        <w:rPr>
          <w:rStyle w:val="Appelnotedebasdep"/>
          <w:sz w:val="24"/>
          <w:szCs w:val="24"/>
          <w:lang w:val="fr-FR"/>
        </w:rPr>
        <w:footnoteReference w:customMarkFollows="1" w:id="45"/>
        <w:t>28</w:t>
      </w:r>
      <w:r w:rsidR="00CA5649" w:rsidRPr="00953692">
        <w:rPr>
          <w:sz w:val="24"/>
          <w:szCs w:val="24"/>
          <w:lang w:val="fr-FR"/>
        </w:rPr>
        <w:t>; 16 du statut du</w:t>
      </w:r>
      <w:r w:rsidR="00746A35" w:rsidRPr="00953692">
        <w:rPr>
          <w:sz w:val="24"/>
          <w:szCs w:val="24"/>
          <w:lang w:val="fr-FR"/>
        </w:rPr>
        <w:t xml:space="preserve"> Tribunal spécial pour le Liban de 2007</w:t>
      </w:r>
      <w:r w:rsidR="009E4A30" w:rsidRPr="00953692">
        <w:rPr>
          <w:rStyle w:val="Appelnotedebasdep"/>
          <w:sz w:val="24"/>
          <w:szCs w:val="24"/>
          <w:lang w:val="fr-FR"/>
        </w:rPr>
        <w:footnoteReference w:customMarkFollows="1" w:id="46"/>
        <w:t>29</w:t>
      </w:r>
      <w:r w:rsidR="00B10274" w:rsidRPr="00953692">
        <w:rPr>
          <w:sz w:val="24"/>
          <w:szCs w:val="24"/>
          <w:lang w:val="fr-FR"/>
        </w:rPr>
        <w:t xml:space="preserve"> ; </w:t>
      </w:r>
      <w:r w:rsidR="00B27C49" w:rsidRPr="00953692">
        <w:rPr>
          <w:sz w:val="24"/>
          <w:szCs w:val="24"/>
          <w:lang w:val="fr-FR"/>
        </w:rPr>
        <w:t>21 du</w:t>
      </w:r>
      <w:r w:rsidR="005A27DD" w:rsidRPr="00953692">
        <w:rPr>
          <w:sz w:val="24"/>
          <w:szCs w:val="24"/>
          <w:lang w:val="fr-FR"/>
        </w:rPr>
        <w:t xml:space="preserve"> s</w:t>
      </w:r>
      <w:r w:rsidR="005A27DD" w:rsidRPr="00953692">
        <w:rPr>
          <w:rFonts w:cs="Times New Roman"/>
          <w:sz w:val="24"/>
          <w:szCs w:val="24"/>
          <w:shd w:val="clear" w:color="auto" w:fill="FFFFFF"/>
          <w:lang w:val="fr-FR"/>
        </w:rPr>
        <w:t>tatut des Chambres africaines extraordinaires au sein des juridictions sénégalaises pour la poursuite des crimes internationaux commis au Tchad</w:t>
      </w:r>
      <w:r w:rsidR="00E1675C" w:rsidRPr="00953692">
        <w:rPr>
          <w:rStyle w:val="Appelnotedebasdep"/>
          <w:rFonts w:cs="Times New Roman"/>
          <w:sz w:val="24"/>
          <w:szCs w:val="24"/>
          <w:shd w:val="clear" w:color="auto" w:fill="FFFFFF"/>
          <w:lang w:val="fr-FR"/>
        </w:rPr>
        <w:footnoteReference w:customMarkFollows="1" w:id="47"/>
        <w:t>30</w:t>
      </w:r>
      <w:r w:rsidR="00E808FE" w:rsidRPr="00953692">
        <w:rPr>
          <w:rFonts w:cs="Times New Roman"/>
          <w:sz w:val="24"/>
          <w:szCs w:val="24"/>
          <w:shd w:val="clear" w:color="auto" w:fill="FFFFFF"/>
          <w:lang w:val="fr-FR"/>
        </w:rPr>
        <w:t xml:space="preserve"> ; </w:t>
      </w:r>
      <w:r w:rsidR="00B27C49" w:rsidRPr="00953692">
        <w:rPr>
          <w:rFonts w:cs="Times New Roman"/>
          <w:sz w:val="24"/>
          <w:szCs w:val="24"/>
          <w:shd w:val="clear" w:color="auto" w:fill="FFFFFF"/>
          <w:lang w:val="fr-FR"/>
        </w:rPr>
        <w:t xml:space="preserve">5 de </w:t>
      </w:r>
      <w:r w:rsidR="00E808FE" w:rsidRPr="00953692">
        <w:rPr>
          <w:rFonts w:cs="Times New Roman"/>
          <w:sz w:val="24"/>
          <w:szCs w:val="24"/>
          <w:lang w:val="fr-FR"/>
        </w:rPr>
        <w:t>la loi portant Règlement de procédure et de preuve devant la CPS de la République Centrafricain</w:t>
      </w:r>
      <w:r w:rsidR="0022587E" w:rsidRPr="00953692">
        <w:rPr>
          <w:rStyle w:val="Appelnotedebasdep"/>
          <w:rFonts w:cs="Times New Roman"/>
          <w:sz w:val="24"/>
          <w:szCs w:val="24"/>
          <w:lang w:val="fr-FR"/>
        </w:rPr>
        <w:footnoteReference w:customMarkFollows="1" w:id="48"/>
        <w:t>31</w:t>
      </w:r>
      <w:r w:rsidR="00B27C49" w:rsidRPr="00953692">
        <w:rPr>
          <w:rFonts w:cs="Times New Roman"/>
          <w:sz w:val="24"/>
          <w:szCs w:val="24"/>
          <w:lang w:val="fr-FR"/>
        </w:rPr>
        <w:t>; et de l’article 21 de</w:t>
      </w:r>
      <w:r w:rsidR="00E808FE" w:rsidRPr="00953692">
        <w:rPr>
          <w:rFonts w:cs="Times New Roman"/>
          <w:sz w:val="24"/>
          <w:szCs w:val="24"/>
          <w:lang w:val="fr-FR"/>
        </w:rPr>
        <w:t xml:space="preserve"> la loi sur </w:t>
      </w:r>
      <w:r w:rsidR="00E808FE" w:rsidRPr="00953692">
        <w:rPr>
          <w:rFonts w:cs="Times New Roman"/>
          <w:sz w:val="24"/>
          <w:szCs w:val="24"/>
          <w:lang w:val="fr-FR"/>
        </w:rPr>
        <w:lastRenderedPageBreak/>
        <w:t xml:space="preserve">les Chambres spécialisées et les parquets spécialisés </w:t>
      </w:r>
      <w:r w:rsidR="00B27C49" w:rsidRPr="00953692">
        <w:rPr>
          <w:rFonts w:cs="Times New Roman"/>
          <w:sz w:val="24"/>
          <w:szCs w:val="24"/>
          <w:lang w:val="fr-FR"/>
        </w:rPr>
        <w:t xml:space="preserve">du Kosovo qui </w:t>
      </w:r>
      <w:r w:rsidR="00E808FE" w:rsidRPr="00953692">
        <w:rPr>
          <w:rFonts w:cs="Times New Roman"/>
          <w:sz w:val="24"/>
          <w:szCs w:val="24"/>
          <w:lang w:val="fr-FR"/>
        </w:rPr>
        <w:t>prévoit le droit d’être informé rapidement</w:t>
      </w:r>
      <w:r w:rsidR="0022587E" w:rsidRPr="00953692">
        <w:rPr>
          <w:rStyle w:val="Appelnotedebasdep"/>
          <w:rFonts w:cs="Times New Roman"/>
          <w:sz w:val="24"/>
          <w:szCs w:val="24"/>
          <w:lang w:val="fr-FR"/>
        </w:rPr>
        <w:footnoteReference w:customMarkFollows="1" w:id="49"/>
        <w:t>32</w:t>
      </w:r>
      <w:r w:rsidR="00E808FE" w:rsidRPr="00953692">
        <w:rPr>
          <w:rFonts w:cs="Times New Roman"/>
          <w:sz w:val="24"/>
          <w:szCs w:val="24"/>
          <w:lang w:val="fr-FR"/>
        </w:rPr>
        <w:t>.</w:t>
      </w:r>
    </w:p>
    <w:p w14:paraId="1BE1F6D8" w14:textId="05BEC62C" w:rsidR="0002324D" w:rsidRPr="00953692" w:rsidRDefault="00B30136"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54</w:t>
      </w:r>
      <w:r w:rsidR="00AF749D" w:rsidRPr="00953692">
        <w:rPr>
          <w:rFonts w:cs="Times New Roman"/>
          <w:b/>
          <w:bCs/>
          <w:sz w:val="24"/>
          <w:szCs w:val="24"/>
          <w:lang w:val="fr-FR"/>
        </w:rPr>
        <w:t>.</w:t>
      </w:r>
      <w:r w:rsidR="00AF749D" w:rsidRPr="00953692">
        <w:rPr>
          <w:rFonts w:cs="Times New Roman"/>
          <w:sz w:val="24"/>
          <w:szCs w:val="24"/>
          <w:lang w:val="fr-FR"/>
        </w:rPr>
        <w:t xml:space="preserve"> </w:t>
      </w:r>
      <w:r w:rsidR="0031111A" w:rsidRPr="00953692">
        <w:rPr>
          <w:rFonts w:cs="Times New Roman"/>
          <w:sz w:val="24"/>
          <w:szCs w:val="24"/>
          <w:lang w:val="fr-FR"/>
        </w:rPr>
        <w:t>Toutes ces dispositions</w:t>
      </w:r>
      <w:r w:rsidR="007F5E8D" w:rsidRPr="00953692">
        <w:rPr>
          <w:rFonts w:cs="Times New Roman"/>
          <w:sz w:val="24"/>
          <w:szCs w:val="24"/>
          <w:lang w:val="fr-FR"/>
        </w:rPr>
        <w:t>, suivant la logique</w:t>
      </w:r>
      <w:r w:rsidR="00C908DD" w:rsidRPr="00953692">
        <w:rPr>
          <w:rFonts w:cs="Times New Roman"/>
          <w:sz w:val="24"/>
          <w:szCs w:val="24"/>
          <w:lang w:val="fr-FR"/>
        </w:rPr>
        <w:t xml:space="preserve"> </w:t>
      </w:r>
      <w:r w:rsidR="00224929" w:rsidRPr="00953692">
        <w:rPr>
          <w:rFonts w:cs="Times New Roman"/>
          <w:sz w:val="24"/>
          <w:szCs w:val="24"/>
          <w:lang w:val="fr-FR"/>
        </w:rPr>
        <w:t xml:space="preserve">toute </w:t>
      </w:r>
      <w:r w:rsidR="00C908DD" w:rsidRPr="00953692">
        <w:rPr>
          <w:rFonts w:cs="Times New Roman"/>
          <w:sz w:val="24"/>
          <w:szCs w:val="24"/>
          <w:lang w:val="fr-FR"/>
        </w:rPr>
        <w:t>tracée</w:t>
      </w:r>
      <w:r w:rsidR="007F5E8D" w:rsidRPr="00953692">
        <w:rPr>
          <w:rFonts w:cs="Times New Roman"/>
          <w:sz w:val="24"/>
          <w:szCs w:val="24"/>
          <w:lang w:val="fr-FR"/>
        </w:rPr>
        <w:t xml:space="preserve"> </w:t>
      </w:r>
      <w:r w:rsidR="00C908DD" w:rsidRPr="00953692">
        <w:rPr>
          <w:rFonts w:cs="Times New Roman"/>
          <w:sz w:val="24"/>
          <w:szCs w:val="24"/>
          <w:lang w:val="fr-FR"/>
        </w:rPr>
        <w:t>par</w:t>
      </w:r>
      <w:r w:rsidR="001B311D" w:rsidRPr="00953692">
        <w:rPr>
          <w:rFonts w:cs="Times New Roman"/>
          <w:sz w:val="24"/>
          <w:szCs w:val="24"/>
          <w:lang w:val="fr-FR"/>
        </w:rPr>
        <w:t xml:space="preserve"> l’article 14 du PIDCP</w:t>
      </w:r>
      <w:r w:rsidR="007F5E8D" w:rsidRPr="00953692">
        <w:rPr>
          <w:rFonts w:cs="Times New Roman"/>
          <w:sz w:val="24"/>
          <w:szCs w:val="24"/>
          <w:lang w:val="fr-FR"/>
        </w:rPr>
        <w:t>,</w:t>
      </w:r>
      <w:r w:rsidR="001B311D" w:rsidRPr="00953692">
        <w:rPr>
          <w:rFonts w:cs="Times New Roman"/>
          <w:sz w:val="24"/>
          <w:szCs w:val="24"/>
          <w:lang w:val="fr-FR"/>
        </w:rPr>
        <w:t xml:space="preserve"> mett</w:t>
      </w:r>
      <w:r w:rsidR="007F5E8D" w:rsidRPr="00953692">
        <w:rPr>
          <w:rFonts w:cs="Times New Roman"/>
          <w:sz w:val="24"/>
          <w:szCs w:val="24"/>
          <w:lang w:val="fr-FR"/>
        </w:rPr>
        <w:t>e</w:t>
      </w:r>
      <w:r w:rsidR="001B311D" w:rsidRPr="00953692">
        <w:rPr>
          <w:rFonts w:cs="Times New Roman"/>
          <w:sz w:val="24"/>
          <w:szCs w:val="24"/>
          <w:lang w:val="fr-FR"/>
        </w:rPr>
        <w:t xml:space="preserve">nt l’accent sur la temporalité de </w:t>
      </w:r>
      <w:r w:rsidR="00FB386B" w:rsidRPr="00953692">
        <w:rPr>
          <w:rFonts w:cs="Times New Roman"/>
          <w:sz w:val="24"/>
          <w:szCs w:val="24"/>
          <w:lang w:val="fr-FR"/>
        </w:rPr>
        <w:t xml:space="preserve">la réalisation de </w:t>
      </w:r>
      <w:r w:rsidR="005A3079" w:rsidRPr="00953692">
        <w:rPr>
          <w:rFonts w:cs="Times New Roman"/>
          <w:sz w:val="24"/>
          <w:szCs w:val="24"/>
          <w:lang w:val="fr-FR"/>
        </w:rPr>
        <w:t>ce droit</w:t>
      </w:r>
      <w:r w:rsidR="001B311D" w:rsidRPr="00953692">
        <w:rPr>
          <w:rFonts w:cs="Times New Roman"/>
          <w:sz w:val="24"/>
          <w:szCs w:val="24"/>
          <w:lang w:val="fr-FR"/>
        </w:rPr>
        <w:t>, c’est-à-dire dans le plus court délai.</w:t>
      </w:r>
      <w:r w:rsidR="00A62275" w:rsidRPr="00953692">
        <w:rPr>
          <w:rFonts w:cs="Times New Roman"/>
          <w:sz w:val="24"/>
          <w:szCs w:val="24"/>
          <w:lang w:val="fr-FR"/>
        </w:rPr>
        <w:t xml:space="preserve"> </w:t>
      </w:r>
      <w:r w:rsidR="009A624E" w:rsidRPr="00953692">
        <w:rPr>
          <w:rFonts w:cs="Times New Roman"/>
          <w:sz w:val="24"/>
          <w:szCs w:val="24"/>
          <w:lang w:val="fr-FR"/>
        </w:rPr>
        <w:t xml:space="preserve">Cette précision n’est </w:t>
      </w:r>
      <w:r w:rsidR="005A3079" w:rsidRPr="00953692">
        <w:rPr>
          <w:rFonts w:cs="Times New Roman"/>
          <w:sz w:val="24"/>
          <w:szCs w:val="24"/>
          <w:lang w:val="fr-FR"/>
        </w:rPr>
        <w:t xml:space="preserve">pas </w:t>
      </w:r>
      <w:r w:rsidR="009A624E" w:rsidRPr="00953692">
        <w:rPr>
          <w:rFonts w:cs="Times New Roman"/>
          <w:sz w:val="24"/>
          <w:szCs w:val="24"/>
          <w:lang w:val="fr-FR"/>
        </w:rPr>
        <w:t>retrouvée</w:t>
      </w:r>
      <w:r w:rsidR="00A62275" w:rsidRPr="00953692">
        <w:rPr>
          <w:rFonts w:cs="Times New Roman"/>
          <w:sz w:val="24"/>
          <w:szCs w:val="24"/>
          <w:lang w:val="fr-FR"/>
        </w:rPr>
        <w:t xml:space="preserve"> dans le</w:t>
      </w:r>
      <w:r w:rsidR="00B10274" w:rsidRPr="00953692">
        <w:rPr>
          <w:rFonts w:cs="Times New Roman"/>
          <w:sz w:val="24"/>
          <w:szCs w:val="24"/>
          <w:lang w:val="fr-FR"/>
        </w:rPr>
        <w:t xml:space="preserve"> Règlement transitoire de la procédure pénale </w:t>
      </w:r>
      <w:r w:rsidR="004C5818" w:rsidRPr="00953692">
        <w:rPr>
          <w:rFonts w:cs="Times New Roman"/>
          <w:sz w:val="24"/>
          <w:szCs w:val="24"/>
          <w:lang w:val="fr-FR"/>
        </w:rPr>
        <w:t xml:space="preserve">du </w:t>
      </w:r>
      <w:r w:rsidR="00B10274" w:rsidRPr="00953692">
        <w:rPr>
          <w:rFonts w:cs="Times New Roman"/>
          <w:sz w:val="24"/>
          <w:szCs w:val="24"/>
          <w:lang w:val="fr-FR"/>
        </w:rPr>
        <w:t>Timor Oriental</w:t>
      </w:r>
      <w:r w:rsidR="00A62275" w:rsidRPr="00953692">
        <w:rPr>
          <w:rFonts w:cs="Times New Roman"/>
          <w:sz w:val="24"/>
          <w:szCs w:val="24"/>
          <w:lang w:val="fr-FR"/>
        </w:rPr>
        <w:t xml:space="preserve"> dont l’article 6 </w:t>
      </w:r>
      <w:r w:rsidR="00A62275" w:rsidRPr="00953692">
        <w:rPr>
          <w:rFonts w:cs="Times New Roman"/>
          <w:spacing w:val="4"/>
          <w:sz w:val="24"/>
          <w:szCs w:val="24"/>
          <w:lang w:val="fr-FR"/>
        </w:rPr>
        <w:t xml:space="preserve">(b) prévoit </w:t>
      </w:r>
      <w:r w:rsidR="00A62275" w:rsidRPr="00953692">
        <w:rPr>
          <w:rFonts w:cs="Times New Roman"/>
          <w:i/>
          <w:iCs/>
          <w:spacing w:val="4"/>
          <w:sz w:val="24"/>
          <w:szCs w:val="24"/>
          <w:lang w:val="fr-FR"/>
        </w:rPr>
        <w:t>le droit de l’accusé d'être informé en détail, et dans une langue qu'il ou elle comprend, de la nature et de la cause des charges retenues contre lui</w:t>
      </w:r>
      <w:r w:rsidR="0022587E" w:rsidRPr="00953692">
        <w:rPr>
          <w:rFonts w:cs="Times New Roman"/>
          <w:i/>
          <w:iCs/>
          <w:spacing w:val="4"/>
          <w:sz w:val="24"/>
          <w:szCs w:val="24"/>
          <w:lang w:val="fr-FR"/>
        </w:rPr>
        <w:t xml:space="preserve"> (</w:t>
      </w:r>
      <w:r w:rsidR="0022587E" w:rsidRPr="00953692">
        <w:rPr>
          <w:rFonts w:cs="Times New Roman"/>
          <w:sz w:val="24"/>
          <w:szCs w:val="24"/>
          <w:lang w:val="fr-FR"/>
        </w:rPr>
        <w:t>“At every stage of the proceedings, the suspect and the accused shall be informed by the public prosecutor that he or she has the following rights: (b) the right to be informed in detail, and in a language which he or she understands, of the nature and cause of the charges against him or her”)</w:t>
      </w:r>
      <w:r w:rsidR="00A62275" w:rsidRPr="00953692">
        <w:rPr>
          <w:rFonts w:cs="Times New Roman"/>
          <w:spacing w:val="4"/>
          <w:sz w:val="24"/>
          <w:szCs w:val="24"/>
          <w:lang w:val="fr-FR"/>
        </w:rPr>
        <w:t xml:space="preserve">. </w:t>
      </w:r>
      <w:r w:rsidR="00DB0985" w:rsidRPr="00953692">
        <w:rPr>
          <w:rFonts w:cs="Times New Roman"/>
          <w:sz w:val="24"/>
          <w:szCs w:val="24"/>
          <w:lang w:val="fr-FR"/>
        </w:rPr>
        <w:t xml:space="preserve">On pourra </w:t>
      </w:r>
      <w:r w:rsidR="00224929" w:rsidRPr="00953692">
        <w:rPr>
          <w:rFonts w:cs="Times New Roman"/>
          <w:sz w:val="24"/>
          <w:szCs w:val="24"/>
          <w:lang w:val="fr-FR"/>
        </w:rPr>
        <w:t>sans ambages</w:t>
      </w:r>
      <w:r w:rsidR="00DB0985" w:rsidRPr="00953692">
        <w:rPr>
          <w:rFonts w:cs="Times New Roman"/>
          <w:sz w:val="24"/>
          <w:szCs w:val="24"/>
          <w:lang w:val="fr-FR"/>
        </w:rPr>
        <w:t xml:space="preserve"> diluer cette omission de </w:t>
      </w:r>
      <w:r w:rsidR="00DB0985" w:rsidRPr="00953692">
        <w:rPr>
          <w:rFonts w:cs="Times New Roman"/>
          <w:i/>
          <w:iCs/>
          <w:sz w:val="24"/>
          <w:szCs w:val="24"/>
          <w:lang w:val="fr-FR"/>
        </w:rPr>
        <w:t>la notion de rapidité de l’information</w:t>
      </w:r>
      <w:r w:rsidR="00DB0985" w:rsidRPr="00953692">
        <w:rPr>
          <w:rFonts w:cs="Times New Roman"/>
          <w:sz w:val="24"/>
          <w:szCs w:val="24"/>
          <w:lang w:val="fr-FR"/>
        </w:rPr>
        <w:t xml:space="preserve"> dans l’obligation générale posée par l’article 14 du PIDCP</w:t>
      </w:r>
      <w:r w:rsidR="00671C37" w:rsidRPr="00953692">
        <w:rPr>
          <w:rFonts w:cs="Times New Roman"/>
          <w:sz w:val="24"/>
          <w:szCs w:val="24"/>
          <w:lang w:val="fr-FR"/>
        </w:rPr>
        <w:t>.</w:t>
      </w:r>
      <w:r w:rsidR="006079CE" w:rsidRPr="00953692">
        <w:rPr>
          <w:rFonts w:cs="Times New Roman"/>
          <w:sz w:val="24"/>
          <w:szCs w:val="24"/>
          <w:lang w:val="fr-FR"/>
        </w:rPr>
        <w:t xml:space="preserve"> </w:t>
      </w:r>
      <w:r w:rsidR="00FD19F2" w:rsidRPr="00953692">
        <w:rPr>
          <w:rFonts w:cs="Times New Roman"/>
          <w:sz w:val="24"/>
          <w:szCs w:val="24"/>
          <w:lang w:val="fr-FR"/>
        </w:rPr>
        <w:t>En outre</w:t>
      </w:r>
      <w:r w:rsidR="006079CE" w:rsidRPr="00953692">
        <w:rPr>
          <w:rFonts w:cs="Times New Roman"/>
          <w:sz w:val="24"/>
          <w:szCs w:val="24"/>
          <w:lang w:val="fr-FR"/>
        </w:rPr>
        <w:t xml:space="preserve">, </w:t>
      </w:r>
      <w:r w:rsidR="00C934B9" w:rsidRPr="00953692">
        <w:rPr>
          <w:rFonts w:cs="Times New Roman"/>
          <w:sz w:val="24"/>
          <w:szCs w:val="24"/>
          <w:lang w:val="fr-FR"/>
        </w:rPr>
        <w:t xml:space="preserve">dans la recherche d’une interprétation qui soit conforme aux droits de l’homme internationalement admis, les juges ou les parties au procès n’auront pas tort d’invoquer le PIDCP ou tout autre texte international (ou régional) </w:t>
      </w:r>
      <w:r w:rsidR="00E075C9" w:rsidRPr="00953692">
        <w:rPr>
          <w:rFonts w:cs="Times New Roman"/>
          <w:sz w:val="24"/>
          <w:szCs w:val="24"/>
          <w:lang w:val="fr-FR"/>
        </w:rPr>
        <w:t>qui</w:t>
      </w:r>
      <w:r w:rsidR="00C934B9" w:rsidRPr="00953692">
        <w:rPr>
          <w:rFonts w:cs="Times New Roman"/>
          <w:sz w:val="24"/>
          <w:szCs w:val="24"/>
          <w:lang w:val="fr-FR"/>
        </w:rPr>
        <w:t xml:space="preserve"> exige à ce que l’information soit fournie à l’accusé dans le plus bref délai.</w:t>
      </w:r>
    </w:p>
    <w:p w14:paraId="7718D6D0" w14:textId="48D4A5F1" w:rsidR="004D61B4" w:rsidRPr="00953692" w:rsidRDefault="006F38E2" w:rsidP="005A0ABF">
      <w:pPr>
        <w:spacing w:after="0" w:line="276" w:lineRule="auto"/>
        <w:ind w:firstLine="1134"/>
        <w:jc w:val="both"/>
        <w:rPr>
          <w:sz w:val="24"/>
          <w:szCs w:val="24"/>
          <w:shd w:val="clear" w:color="auto" w:fill="FFFFFF"/>
          <w:lang w:val="fr-FR"/>
        </w:rPr>
      </w:pPr>
      <w:r w:rsidRPr="00953692">
        <w:rPr>
          <w:rFonts w:cs="Times New Roman"/>
          <w:b/>
          <w:bCs/>
          <w:sz w:val="24"/>
          <w:szCs w:val="24"/>
          <w:lang w:val="fr-FR"/>
        </w:rPr>
        <w:t>55</w:t>
      </w:r>
      <w:r w:rsidR="001E2BF5" w:rsidRPr="00953692">
        <w:rPr>
          <w:rFonts w:cs="Times New Roman"/>
          <w:b/>
          <w:bCs/>
          <w:sz w:val="24"/>
          <w:szCs w:val="24"/>
          <w:lang w:val="fr-FR"/>
        </w:rPr>
        <w:t>.</w:t>
      </w:r>
      <w:r w:rsidR="001E2BF5" w:rsidRPr="00953692">
        <w:rPr>
          <w:rFonts w:cs="Times New Roman"/>
          <w:sz w:val="24"/>
          <w:szCs w:val="24"/>
          <w:lang w:val="fr-FR"/>
        </w:rPr>
        <w:t xml:space="preserve"> Enfin, </w:t>
      </w:r>
      <w:r w:rsidR="002434BD" w:rsidRPr="00953692">
        <w:rPr>
          <w:rFonts w:cs="Times New Roman"/>
          <w:sz w:val="24"/>
          <w:szCs w:val="24"/>
          <w:lang w:val="fr-FR"/>
        </w:rPr>
        <w:t>ce droit à l’information dans le plus court délai est d’une importance capitale en procédure pénale internationale. Dans l</w:t>
      </w:r>
      <w:r w:rsidR="00013DC3" w:rsidRPr="00953692">
        <w:rPr>
          <w:rFonts w:cs="Times New Roman"/>
          <w:sz w:val="24"/>
          <w:szCs w:val="24"/>
          <w:lang w:val="fr-FR"/>
        </w:rPr>
        <w:t>’articulation</w:t>
      </w:r>
      <w:r w:rsidR="002434BD" w:rsidRPr="00953692">
        <w:rPr>
          <w:rFonts w:cs="Times New Roman"/>
          <w:sz w:val="24"/>
          <w:szCs w:val="24"/>
          <w:lang w:val="fr-FR"/>
        </w:rPr>
        <w:t xml:space="preserve"> des garanties minimales</w:t>
      </w:r>
      <w:r w:rsidR="00013DC3" w:rsidRPr="00953692">
        <w:rPr>
          <w:rFonts w:cs="Times New Roman"/>
          <w:sz w:val="24"/>
          <w:szCs w:val="24"/>
          <w:lang w:val="fr-FR"/>
        </w:rPr>
        <w:t xml:space="preserve"> du procès équitable</w:t>
      </w:r>
      <w:r w:rsidR="002434BD" w:rsidRPr="00953692">
        <w:rPr>
          <w:rFonts w:cs="Times New Roman"/>
          <w:sz w:val="24"/>
          <w:szCs w:val="24"/>
          <w:lang w:val="fr-FR"/>
        </w:rPr>
        <w:t>, ce droit vient généralement à la première position</w:t>
      </w:r>
      <w:r w:rsidR="00314DDB" w:rsidRPr="00953692">
        <w:rPr>
          <w:rFonts w:cs="Times New Roman"/>
          <w:sz w:val="24"/>
          <w:szCs w:val="24"/>
          <w:lang w:val="fr-FR"/>
        </w:rPr>
        <w:t>. Il ne s’agit pas d’</w:t>
      </w:r>
      <w:r w:rsidR="00224929" w:rsidRPr="00953692">
        <w:rPr>
          <w:rFonts w:cs="Times New Roman"/>
          <w:sz w:val="24"/>
          <w:szCs w:val="24"/>
          <w:lang w:val="fr-FR"/>
        </w:rPr>
        <w:t xml:space="preserve">un </w:t>
      </w:r>
      <w:r w:rsidR="00314DDB" w:rsidRPr="00953692">
        <w:rPr>
          <w:rFonts w:cs="Times New Roman"/>
          <w:sz w:val="24"/>
          <w:szCs w:val="24"/>
          <w:lang w:val="fr-FR"/>
        </w:rPr>
        <w:t xml:space="preserve">simple </w:t>
      </w:r>
      <w:r w:rsidR="00224929" w:rsidRPr="00953692">
        <w:rPr>
          <w:rFonts w:cs="Times New Roman"/>
          <w:sz w:val="24"/>
          <w:szCs w:val="24"/>
          <w:lang w:val="fr-FR"/>
        </w:rPr>
        <w:t xml:space="preserve">hasard </w:t>
      </w:r>
      <w:r w:rsidR="00013DC3" w:rsidRPr="00953692">
        <w:rPr>
          <w:rFonts w:cs="Times New Roman"/>
          <w:sz w:val="24"/>
          <w:szCs w:val="24"/>
          <w:lang w:val="fr-FR"/>
        </w:rPr>
        <w:t>sans conséquence</w:t>
      </w:r>
      <w:r w:rsidR="00314DDB" w:rsidRPr="00953692">
        <w:rPr>
          <w:rFonts w:cs="Times New Roman"/>
          <w:sz w:val="24"/>
          <w:szCs w:val="24"/>
          <w:lang w:val="fr-FR"/>
        </w:rPr>
        <w:t xml:space="preserve"> aucune</w:t>
      </w:r>
      <w:r w:rsidR="00224929" w:rsidRPr="00953692">
        <w:rPr>
          <w:rFonts w:cs="Times New Roman"/>
          <w:sz w:val="24"/>
          <w:szCs w:val="24"/>
          <w:lang w:val="fr-FR"/>
        </w:rPr>
        <w:t xml:space="preserve"> </w:t>
      </w:r>
      <w:r w:rsidR="00314DDB" w:rsidRPr="00953692">
        <w:rPr>
          <w:rFonts w:cs="Times New Roman"/>
          <w:sz w:val="24"/>
          <w:szCs w:val="24"/>
          <w:lang w:val="fr-FR"/>
        </w:rPr>
        <w:t>sur la célérité de la procédure</w:t>
      </w:r>
      <w:r w:rsidR="00013DC3" w:rsidRPr="00953692">
        <w:rPr>
          <w:rFonts w:cs="Times New Roman"/>
          <w:sz w:val="24"/>
          <w:szCs w:val="24"/>
          <w:lang w:val="fr-FR"/>
        </w:rPr>
        <w:t xml:space="preserve">. Comme le note </w:t>
      </w:r>
      <w:r w:rsidR="00A702AA" w:rsidRPr="00953692">
        <w:rPr>
          <w:rFonts w:cs="Times New Roman"/>
          <w:sz w:val="24"/>
          <w:szCs w:val="24"/>
          <w:lang w:val="fr-FR"/>
        </w:rPr>
        <w:t xml:space="preserve">le professeur </w:t>
      </w:r>
      <w:r w:rsidR="00013DC3" w:rsidRPr="00953692">
        <w:rPr>
          <w:sz w:val="24"/>
          <w:szCs w:val="24"/>
          <w:shd w:val="clear" w:color="auto" w:fill="FFFFFF"/>
          <w:lang w:val="fr-FR"/>
        </w:rPr>
        <w:t xml:space="preserve">Andriantsimbazovina Joël, </w:t>
      </w:r>
      <w:r w:rsidR="00224929" w:rsidRPr="00953692">
        <w:rPr>
          <w:sz w:val="24"/>
          <w:szCs w:val="24"/>
          <w:shd w:val="clear" w:color="auto" w:fill="FFFFFF"/>
          <w:lang w:val="fr-FR"/>
        </w:rPr>
        <w:t>« </w:t>
      </w:r>
      <w:r w:rsidR="00013DC3" w:rsidRPr="00953692">
        <w:rPr>
          <w:sz w:val="24"/>
          <w:szCs w:val="24"/>
          <w:shd w:val="clear" w:color="auto" w:fill="FFFFFF"/>
          <w:lang w:val="fr-FR"/>
        </w:rPr>
        <w:t>du respect de ce droit dépend la réussite des autres droits garantis aux personnes privées de liberté</w:t>
      </w:r>
      <w:r w:rsidR="00224929" w:rsidRPr="00953692">
        <w:rPr>
          <w:sz w:val="24"/>
          <w:szCs w:val="24"/>
          <w:shd w:val="clear" w:color="auto" w:fill="FFFFFF"/>
          <w:lang w:val="fr-FR"/>
        </w:rPr>
        <w:t> »</w:t>
      </w:r>
      <w:r w:rsidR="0022587E" w:rsidRPr="00953692">
        <w:rPr>
          <w:rStyle w:val="Appelnotedebasdep"/>
          <w:sz w:val="24"/>
          <w:szCs w:val="24"/>
          <w:shd w:val="clear" w:color="auto" w:fill="FFFFFF"/>
          <w:lang w:val="fr-FR"/>
        </w:rPr>
        <w:footnoteReference w:customMarkFollows="1" w:id="50"/>
        <w:t>33</w:t>
      </w:r>
      <w:r w:rsidR="00013DC3" w:rsidRPr="00953692">
        <w:rPr>
          <w:sz w:val="24"/>
          <w:szCs w:val="24"/>
          <w:shd w:val="clear" w:color="auto" w:fill="FFFFFF"/>
          <w:lang w:val="fr-FR"/>
        </w:rPr>
        <w:t>, mais aussi</w:t>
      </w:r>
      <w:r w:rsidR="00B0457E" w:rsidRPr="00953692">
        <w:rPr>
          <w:sz w:val="24"/>
          <w:szCs w:val="24"/>
          <w:shd w:val="clear" w:color="auto" w:fill="FFFFFF"/>
          <w:lang w:val="fr-FR"/>
        </w:rPr>
        <w:t xml:space="preserve"> celle du procès qui devrait s’ouvrir. </w:t>
      </w:r>
      <w:r w:rsidR="00A80AAF" w:rsidRPr="00953692">
        <w:rPr>
          <w:sz w:val="24"/>
          <w:szCs w:val="24"/>
          <w:shd w:val="clear" w:color="auto" w:fill="FFFFFF"/>
          <w:lang w:val="fr-FR"/>
        </w:rPr>
        <w:t xml:space="preserve">En outre, ce droit </w:t>
      </w:r>
      <w:r w:rsidR="00314DDB" w:rsidRPr="00953692">
        <w:rPr>
          <w:sz w:val="24"/>
          <w:szCs w:val="24"/>
          <w:shd w:val="clear" w:color="auto" w:fill="FFFFFF"/>
          <w:lang w:val="fr-FR"/>
        </w:rPr>
        <w:t>est lié à</w:t>
      </w:r>
      <w:r w:rsidR="00A80AAF" w:rsidRPr="00953692">
        <w:rPr>
          <w:sz w:val="24"/>
          <w:szCs w:val="24"/>
          <w:shd w:val="clear" w:color="auto" w:fill="FFFFFF"/>
          <w:lang w:val="fr-FR"/>
        </w:rPr>
        <w:t xml:space="preserve"> l’évolution progressive du procès </w:t>
      </w:r>
      <w:r w:rsidR="00314DDB" w:rsidRPr="00953692">
        <w:rPr>
          <w:sz w:val="24"/>
          <w:szCs w:val="24"/>
          <w:shd w:val="clear" w:color="auto" w:fill="FFFFFF"/>
          <w:lang w:val="fr-FR"/>
        </w:rPr>
        <w:t>permettant</w:t>
      </w:r>
      <w:r w:rsidR="00A80AAF" w:rsidRPr="00953692">
        <w:rPr>
          <w:sz w:val="24"/>
          <w:szCs w:val="24"/>
          <w:shd w:val="clear" w:color="auto" w:fill="FFFFFF"/>
          <w:lang w:val="fr-FR"/>
        </w:rPr>
        <w:t xml:space="preserve"> de maintenir les parties au procès en confiance</w:t>
      </w:r>
      <w:r w:rsidR="00314DDB" w:rsidRPr="00953692">
        <w:rPr>
          <w:sz w:val="24"/>
          <w:szCs w:val="24"/>
          <w:shd w:val="clear" w:color="auto" w:fill="FFFFFF"/>
          <w:lang w:val="fr-FR"/>
        </w:rPr>
        <w:t xml:space="preserve"> (transparence)</w:t>
      </w:r>
      <w:r w:rsidR="00A80AAF" w:rsidRPr="00953692">
        <w:rPr>
          <w:rStyle w:val="Appelnotedebasdep"/>
          <w:sz w:val="24"/>
          <w:szCs w:val="24"/>
          <w:shd w:val="clear" w:color="auto" w:fill="FFFFFF"/>
          <w:lang w:val="fr-FR"/>
        </w:rPr>
        <w:footnoteReference w:customMarkFollows="1" w:id="51"/>
        <w:t>34</w:t>
      </w:r>
      <w:r w:rsidR="00A80AAF" w:rsidRPr="00953692">
        <w:rPr>
          <w:sz w:val="24"/>
          <w:szCs w:val="24"/>
          <w:shd w:val="clear" w:color="auto" w:fill="FFFFFF"/>
          <w:lang w:val="fr-FR"/>
        </w:rPr>
        <w:t xml:space="preserve">, </w:t>
      </w:r>
      <w:r w:rsidR="00314DDB" w:rsidRPr="00953692">
        <w:rPr>
          <w:sz w:val="24"/>
          <w:szCs w:val="24"/>
          <w:shd w:val="clear" w:color="auto" w:fill="FFFFFF"/>
          <w:lang w:val="fr-FR"/>
        </w:rPr>
        <w:t>et</w:t>
      </w:r>
      <w:r w:rsidR="00A80AAF" w:rsidRPr="00953692">
        <w:rPr>
          <w:sz w:val="24"/>
          <w:szCs w:val="24"/>
          <w:shd w:val="clear" w:color="auto" w:fill="FFFFFF"/>
          <w:lang w:val="fr-FR"/>
        </w:rPr>
        <w:t xml:space="preserve"> leur permettant de suivre </w:t>
      </w:r>
      <w:r w:rsidR="00314DDB" w:rsidRPr="00953692">
        <w:rPr>
          <w:sz w:val="24"/>
          <w:szCs w:val="24"/>
          <w:shd w:val="clear" w:color="auto" w:fill="FFFFFF"/>
          <w:lang w:val="fr-FR"/>
        </w:rPr>
        <w:t>c</w:t>
      </w:r>
      <w:r w:rsidR="00A80AAF" w:rsidRPr="00953692">
        <w:rPr>
          <w:sz w:val="24"/>
          <w:szCs w:val="24"/>
          <w:shd w:val="clear" w:color="auto" w:fill="FFFFFF"/>
          <w:lang w:val="fr-FR"/>
        </w:rPr>
        <w:t xml:space="preserve">e rythme du procès qui est dans la plupart des cas imposé par les sujets actifs de la procédure pénale, notamment le procureur et les organes juridictionnels. </w:t>
      </w:r>
      <w:r w:rsidR="00B0457E" w:rsidRPr="00953692">
        <w:rPr>
          <w:sz w:val="24"/>
          <w:szCs w:val="24"/>
          <w:shd w:val="clear" w:color="auto" w:fill="FFFFFF"/>
          <w:lang w:val="fr-FR"/>
        </w:rPr>
        <w:t>Les lignes qui suivent tenteront de démontrer cette importance à travers précisément différentes modalités de sa réalisation</w:t>
      </w:r>
      <w:r w:rsidR="003F411F" w:rsidRPr="00953692">
        <w:rPr>
          <w:sz w:val="24"/>
          <w:szCs w:val="24"/>
          <w:shd w:val="clear" w:color="auto" w:fill="FFFFFF"/>
          <w:lang w:val="fr-FR"/>
        </w:rPr>
        <w:t>.</w:t>
      </w:r>
    </w:p>
    <w:p w14:paraId="10A627B8" w14:textId="33973844" w:rsidR="003F411F" w:rsidRPr="00ED789C" w:rsidRDefault="00731990" w:rsidP="004D61B4">
      <w:pPr>
        <w:pStyle w:val="Paragraphedeliste"/>
        <w:numPr>
          <w:ilvl w:val="0"/>
          <w:numId w:val="11"/>
        </w:numPr>
        <w:spacing w:before="240" w:line="276" w:lineRule="auto"/>
        <w:jc w:val="both"/>
        <w:outlineLvl w:val="2"/>
        <w:rPr>
          <w:rFonts w:cs="Times New Roman"/>
          <w:bCs/>
          <w:i/>
          <w:iCs/>
          <w:spacing w:val="4"/>
          <w:sz w:val="24"/>
          <w:szCs w:val="24"/>
          <w:lang w:val="fr-FR"/>
        </w:rPr>
      </w:pPr>
      <w:bookmarkStart w:id="15" w:name="_Toc195179408"/>
      <w:r w:rsidRPr="00ED789C">
        <w:rPr>
          <w:rFonts w:cs="Times New Roman"/>
          <w:bCs/>
          <w:i/>
          <w:iCs/>
          <w:spacing w:val="4"/>
          <w:sz w:val="24"/>
          <w:szCs w:val="24"/>
          <w:lang w:val="fr-FR"/>
        </w:rPr>
        <w:t>Modalités de la réalisation</w:t>
      </w:r>
      <w:r w:rsidR="00F3363F" w:rsidRPr="00ED789C">
        <w:rPr>
          <w:rFonts w:cs="Times New Roman"/>
          <w:bCs/>
          <w:i/>
          <w:iCs/>
          <w:spacing w:val="4"/>
          <w:sz w:val="24"/>
          <w:szCs w:val="24"/>
          <w:lang w:val="fr-FR"/>
        </w:rPr>
        <w:t> : La progressivité du droit d’être inform</w:t>
      </w:r>
      <w:r w:rsidR="00B0457E" w:rsidRPr="00ED789C">
        <w:rPr>
          <w:rFonts w:cs="Times New Roman"/>
          <w:bCs/>
          <w:i/>
          <w:iCs/>
          <w:spacing w:val="4"/>
          <w:sz w:val="24"/>
          <w:szCs w:val="24"/>
          <w:lang w:val="fr-FR"/>
        </w:rPr>
        <w:t>é</w:t>
      </w:r>
      <w:bookmarkEnd w:id="15"/>
    </w:p>
    <w:p w14:paraId="3956CED1" w14:textId="1A7EC767" w:rsidR="00454342" w:rsidRPr="00953692" w:rsidRDefault="006F38E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56</w:t>
      </w:r>
      <w:r w:rsidR="00874934" w:rsidRPr="00953692">
        <w:rPr>
          <w:rFonts w:cs="Times New Roman"/>
          <w:b/>
          <w:bCs/>
          <w:sz w:val="24"/>
          <w:szCs w:val="24"/>
          <w:lang w:val="fr-FR"/>
        </w:rPr>
        <w:t>.</w:t>
      </w:r>
      <w:r w:rsidR="00874934" w:rsidRPr="00953692">
        <w:rPr>
          <w:rFonts w:cs="Times New Roman"/>
          <w:sz w:val="24"/>
          <w:szCs w:val="24"/>
          <w:lang w:val="fr-FR"/>
        </w:rPr>
        <w:t xml:space="preserve"> </w:t>
      </w:r>
      <w:r w:rsidR="009023C4" w:rsidRPr="00953692">
        <w:rPr>
          <w:rFonts w:cs="Times New Roman"/>
          <w:sz w:val="24"/>
          <w:szCs w:val="24"/>
          <w:lang w:val="fr-FR"/>
        </w:rPr>
        <w:t>Dans l’affaire Barayagwiza que nous aurons l’occasion d’exploiter abondamment</w:t>
      </w:r>
      <w:r w:rsidR="004E1184" w:rsidRPr="00953692">
        <w:rPr>
          <w:rFonts w:cs="Times New Roman"/>
          <w:sz w:val="24"/>
          <w:szCs w:val="24"/>
          <w:lang w:val="fr-FR"/>
        </w:rPr>
        <w:t xml:space="preserve"> dans cette étude</w:t>
      </w:r>
      <w:r w:rsidR="009023C4" w:rsidRPr="00953692">
        <w:rPr>
          <w:rFonts w:cs="Times New Roman"/>
          <w:sz w:val="24"/>
          <w:szCs w:val="24"/>
          <w:lang w:val="fr-FR"/>
        </w:rPr>
        <w:t xml:space="preserve">, la Chambre d’appel a précisé que </w:t>
      </w:r>
      <w:r w:rsidR="009023C4" w:rsidRPr="00953692">
        <w:rPr>
          <w:sz w:val="24"/>
          <w:szCs w:val="24"/>
          <w:lang w:val="fr-FR"/>
        </w:rPr>
        <w:t>le droit à l’information devra être r</w:t>
      </w:r>
      <w:r w:rsidR="004F7F81" w:rsidRPr="00953692">
        <w:rPr>
          <w:sz w:val="24"/>
          <w:szCs w:val="24"/>
          <w:lang w:val="fr-FR"/>
        </w:rPr>
        <w:t>éalisé deux fois.</w:t>
      </w:r>
      <w:r w:rsidR="009023C4" w:rsidRPr="00953692">
        <w:rPr>
          <w:sz w:val="24"/>
          <w:szCs w:val="24"/>
          <w:lang w:val="fr-FR"/>
        </w:rPr>
        <w:t xml:space="preserve"> </w:t>
      </w:r>
      <w:r w:rsidR="004F7F81" w:rsidRPr="00953692">
        <w:rPr>
          <w:sz w:val="24"/>
          <w:szCs w:val="24"/>
          <w:lang w:val="fr-FR"/>
        </w:rPr>
        <w:t>Premièrement</w:t>
      </w:r>
      <w:r w:rsidR="009023C4" w:rsidRPr="00953692">
        <w:rPr>
          <w:sz w:val="24"/>
          <w:szCs w:val="24"/>
          <w:lang w:val="fr-FR"/>
        </w:rPr>
        <w:t xml:space="preserve"> dès l’arrestation et la détention du suspect, et deuxièmement, à la comparution initiale</w:t>
      </w:r>
      <w:r w:rsidR="007743BA" w:rsidRPr="00953692">
        <w:rPr>
          <w:sz w:val="24"/>
          <w:szCs w:val="24"/>
          <w:lang w:val="fr-FR"/>
        </w:rPr>
        <w:t>,</w:t>
      </w:r>
      <w:r w:rsidR="009023C4" w:rsidRPr="00953692">
        <w:rPr>
          <w:sz w:val="24"/>
          <w:szCs w:val="24"/>
          <w:lang w:val="fr-FR"/>
        </w:rPr>
        <w:t xml:space="preserve"> après que l’acte d’accusation a été confirmé et </w:t>
      </w:r>
      <w:r w:rsidR="009023C4" w:rsidRPr="00953692">
        <w:rPr>
          <w:sz w:val="24"/>
          <w:szCs w:val="24"/>
          <w:lang w:val="fr-FR"/>
        </w:rPr>
        <w:lastRenderedPageBreak/>
        <w:t>que l’accusé est sous la garde du Tribunal</w:t>
      </w:r>
      <w:r w:rsidR="005A0ABF" w:rsidRPr="00953692">
        <w:rPr>
          <w:rStyle w:val="Appelnotedebasdep"/>
          <w:sz w:val="24"/>
          <w:szCs w:val="24"/>
          <w:lang w:val="fr-FR"/>
        </w:rPr>
        <w:footnoteReference w:customMarkFollows="1" w:id="52"/>
        <w:t>35</w:t>
      </w:r>
      <w:r w:rsidR="009023C4" w:rsidRPr="00953692">
        <w:rPr>
          <w:sz w:val="24"/>
          <w:szCs w:val="24"/>
          <w:lang w:val="fr-FR"/>
        </w:rPr>
        <w:t xml:space="preserve">. </w:t>
      </w:r>
      <w:r w:rsidR="00B631AF" w:rsidRPr="00953692">
        <w:rPr>
          <w:sz w:val="24"/>
          <w:szCs w:val="24"/>
          <w:lang w:val="fr-FR"/>
        </w:rPr>
        <w:t xml:space="preserve">Cette précision reste pertinente, mais elle se révèle aujourd’hui partielle. </w:t>
      </w:r>
      <w:r w:rsidR="002476DF" w:rsidRPr="00953692">
        <w:rPr>
          <w:sz w:val="24"/>
          <w:szCs w:val="24"/>
          <w:lang w:val="fr-FR"/>
        </w:rPr>
        <w:t xml:space="preserve">En fait, </w:t>
      </w:r>
      <w:r w:rsidR="002476DF" w:rsidRPr="00953692">
        <w:rPr>
          <w:rFonts w:cs="Times New Roman"/>
          <w:sz w:val="24"/>
          <w:szCs w:val="24"/>
          <w:lang w:val="fr-FR"/>
        </w:rPr>
        <w:t>c</w:t>
      </w:r>
      <w:r w:rsidR="00E133FB" w:rsidRPr="00953692">
        <w:rPr>
          <w:rFonts w:cs="Times New Roman"/>
          <w:sz w:val="24"/>
          <w:szCs w:val="24"/>
          <w:lang w:val="fr-FR"/>
        </w:rPr>
        <w:t>e droit à l’information est à la fois introductif et extensif (</w:t>
      </w:r>
      <w:r w:rsidR="002476DF" w:rsidRPr="00953692">
        <w:rPr>
          <w:rFonts w:cs="Times New Roman"/>
          <w:sz w:val="24"/>
          <w:szCs w:val="24"/>
          <w:lang w:val="fr-FR"/>
        </w:rPr>
        <w:t xml:space="preserve">ou </w:t>
      </w:r>
      <w:r w:rsidR="00E133FB" w:rsidRPr="00953692">
        <w:rPr>
          <w:rFonts w:cs="Times New Roman"/>
          <w:sz w:val="24"/>
          <w:szCs w:val="24"/>
          <w:lang w:val="fr-FR"/>
        </w:rPr>
        <w:t xml:space="preserve">extensible). </w:t>
      </w:r>
    </w:p>
    <w:p w14:paraId="44E38944" w14:textId="10CACCEA" w:rsidR="0002324D" w:rsidRPr="00953692" w:rsidRDefault="006F38E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57.</w:t>
      </w:r>
      <w:r w:rsidRPr="00953692">
        <w:rPr>
          <w:rFonts w:cs="Times New Roman"/>
          <w:sz w:val="24"/>
          <w:szCs w:val="24"/>
          <w:lang w:val="fr-FR"/>
        </w:rPr>
        <w:t xml:space="preserve"> </w:t>
      </w:r>
      <w:r w:rsidR="00E133FB" w:rsidRPr="00953692">
        <w:rPr>
          <w:rFonts w:cs="Times New Roman"/>
          <w:sz w:val="24"/>
          <w:szCs w:val="24"/>
          <w:lang w:val="fr-FR"/>
        </w:rPr>
        <w:t>Ces deux caractéristiques s’expliquent</w:t>
      </w:r>
      <w:r w:rsidR="007743BA" w:rsidRPr="00953692">
        <w:rPr>
          <w:rFonts w:cs="Times New Roman"/>
          <w:sz w:val="24"/>
          <w:szCs w:val="24"/>
          <w:lang w:val="fr-FR"/>
        </w:rPr>
        <w:t>,</w:t>
      </w:r>
      <w:r w:rsidR="00E133FB" w:rsidRPr="00953692">
        <w:rPr>
          <w:rFonts w:cs="Times New Roman"/>
          <w:sz w:val="24"/>
          <w:szCs w:val="24"/>
          <w:lang w:val="fr-FR"/>
        </w:rPr>
        <w:t xml:space="preserve"> dans le premier cas, par le fait qu’il s’agit d’un droit qui met e</w:t>
      </w:r>
      <w:r w:rsidR="00D80CE3" w:rsidRPr="00953692">
        <w:rPr>
          <w:rFonts w:cs="Times New Roman"/>
          <w:sz w:val="24"/>
          <w:szCs w:val="24"/>
          <w:lang w:val="fr-FR"/>
        </w:rPr>
        <w:t>n contact la personne mise en cause avec la procédure engagée contre elle. Les informations fournies ou à fournir sont destinées à éclairer sa lanterne.</w:t>
      </w:r>
      <w:r w:rsidR="002476DF" w:rsidRPr="00953692">
        <w:rPr>
          <w:rFonts w:cs="Times New Roman"/>
          <w:sz w:val="24"/>
          <w:szCs w:val="24"/>
          <w:lang w:val="fr-FR"/>
        </w:rPr>
        <w:t xml:space="preserve"> Ce qui rencontre parfaitement le raisonnement susévoqué de la Chambre d’appel, parce </w:t>
      </w:r>
      <w:r w:rsidR="007743BA" w:rsidRPr="00953692">
        <w:rPr>
          <w:rFonts w:cs="Times New Roman"/>
          <w:sz w:val="24"/>
          <w:szCs w:val="24"/>
          <w:shd w:val="clear" w:color="auto" w:fill="FFFFFF"/>
          <w:lang w:val="fr-FR"/>
        </w:rPr>
        <w:t>qu’</w:t>
      </w:r>
      <w:r w:rsidR="007743BA" w:rsidRPr="00953692">
        <w:rPr>
          <w:rStyle w:val="grammar"/>
          <w:rFonts w:cs="Times New Roman"/>
          <w:sz w:val="24"/>
          <w:szCs w:val="24"/>
          <w:lang w:val="fr-FR"/>
        </w:rPr>
        <w:t xml:space="preserve">il est question </w:t>
      </w:r>
      <w:r w:rsidR="002476DF" w:rsidRPr="00953692">
        <w:rPr>
          <w:rFonts w:cs="Times New Roman"/>
          <w:sz w:val="24"/>
          <w:szCs w:val="24"/>
          <w:lang w:val="fr-FR"/>
        </w:rPr>
        <w:t xml:space="preserve">de l’arrestation ou de la comparution initiale, </w:t>
      </w:r>
      <w:r w:rsidR="007743BA" w:rsidRPr="00953692">
        <w:rPr>
          <w:rFonts w:cs="Times New Roman"/>
          <w:sz w:val="24"/>
          <w:szCs w:val="24"/>
          <w:lang w:val="fr-FR"/>
        </w:rPr>
        <w:t xml:space="preserve">dont </w:t>
      </w:r>
      <w:r w:rsidR="002476DF" w:rsidRPr="00953692">
        <w:rPr>
          <w:rFonts w:cs="Times New Roman"/>
          <w:sz w:val="24"/>
          <w:szCs w:val="24"/>
          <w:lang w:val="fr-FR"/>
        </w:rPr>
        <w:t>le but est</w:t>
      </w:r>
      <w:r w:rsidR="00CB2AF7" w:rsidRPr="00953692">
        <w:rPr>
          <w:rFonts w:cs="Times New Roman"/>
          <w:sz w:val="24"/>
          <w:szCs w:val="24"/>
          <w:lang w:val="fr-FR"/>
        </w:rPr>
        <w:t>,</w:t>
      </w:r>
      <w:r w:rsidR="002476DF" w:rsidRPr="00953692">
        <w:rPr>
          <w:rFonts w:cs="Times New Roman"/>
          <w:sz w:val="24"/>
          <w:szCs w:val="24"/>
          <w:lang w:val="fr-FR"/>
        </w:rPr>
        <w:t xml:space="preserve"> </w:t>
      </w:r>
      <w:r w:rsidR="00CB2AF7" w:rsidRPr="00953692">
        <w:rPr>
          <w:rFonts w:cs="Times New Roman"/>
          <w:sz w:val="24"/>
          <w:szCs w:val="24"/>
          <w:lang w:val="fr-FR"/>
        </w:rPr>
        <w:t xml:space="preserve">dans tous les cas, </w:t>
      </w:r>
      <w:r w:rsidR="002476DF" w:rsidRPr="00953692">
        <w:rPr>
          <w:rFonts w:cs="Times New Roman"/>
          <w:sz w:val="24"/>
          <w:szCs w:val="24"/>
          <w:lang w:val="fr-FR"/>
        </w:rPr>
        <w:t xml:space="preserve">d’introduire la procédure par l’assurance </w:t>
      </w:r>
      <w:r w:rsidR="00CB2AF7" w:rsidRPr="00953692">
        <w:rPr>
          <w:rFonts w:cs="Times New Roman"/>
          <w:sz w:val="24"/>
          <w:szCs w:val="24"/>
          <w:lang w:val="fr-FR"/>
        </w:rPr>
        <w:t>qui résulte de l’idée que l’accusé (ou le suspect) a été informé et comprend ce dont il est accusé</w:t>
      </w:r>
      <w:r w:rsidR="0002324D" w:rsidRPr="00953692">
        <w:rPr>
          <w:rFonts w:cs="Times New Roman"/>
          <w:sz w:val="24"/>
          <w:szCs w:val="24"/>
          <w:lang w:val="fr-FR"/>
        </w:rPr>
        <w:t xml:space="preserve"> par le procureur</w:t>
      </w:r>
      <w:r w:rsidR="002476DF" w:rsidRPr="00953692">
        <w:rPr>
          <w:rFonts w:cs="Times New Roman"/>
          <w:sz w:val="24"/>
          <w:szCs w:val="24"/>
          <w:lang w:val="fr-FR"/>
        </w:rPr>
        <w:t>.</w:t>
      </w:r>
      <w:r w:rsidR="00D80CE3" w:rsidRPr="00953692">
        <w:rPr>
          <w:rFonts w:cs="Times New Roman"/>
          <w:sz w:val="24"/>
          <w:szCs w:val="24"/>
          <w:lang w:val="fr-FR"/>
        </w:rPr>
        <w:t xml:space="preserve"> </w:t>
      </w:r>
    </w:p>
    <w:p w14:paraId="484A34E0" w14:textId="53B9D447" w:rsidR="003F411F" w:rsidRPr="00953692" w:rsidRDefault="006F38E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58</w:t>
      </w:r>
      <w:r w:rsidR="00745A03" w:rsidRPr="00953692">
        <w:rPr>
          <w:rFonts w:cs="Times New Roman"/>
          <w:b/>
          <w:bCs/>
          <w:sz w:val="24"/>
          <w:szCs w:val="24"/>
          <w:lang w:val="fr-FR"/>
        </w:rPr>
        <w:t>.</w:t>
      </w:r>
      <w:r w:rsidR="00745A03" w:rsidRPr="00953692">
        <w:rPr>
          <w:rFonts w:cs="Times New Roman"/>
          <w:sz w:val="24"/>
          <w:szCs w:val="24"/>
          <w:lang w:val="fr-FR"/>
        </w:rPr>
        <w:t xml:space="preserve"> </w:t>
      </w:r>
      <w:r w:rsidR="00C17F92" w:rsidRPr="00953692">
        <w:rPr>
          <w:rFonts w:cs="Times New Roman"/>
          <w:sz w:val="24"/>
          <w:szCs w:val="24"/>
          <w:lang w:val="fr-FR"/>
        </w:rPr>
        <w:t>Nous verrons dans les lignes qui suivent que l’exigence de la précision de cette information</w:t>
      </w:r>
      <w:r w:rsidR="005A0ABF" w:rsidRPr="00953692">
        <w:rPr>
          <w:rStyle w:val="Appelnotedebasdep"/>
          <w:rFonts w:cs="Times New Roman"/>
          <w:sz w:val="24"/>
          <w:szCs w:val="24"/>
          <w:lang w:val="fr-FR"/>
        </w:rPr>
        <w:footnoteReference w:customMarkFollows="1" w:id="53"/>
        <w:t>36</w:t>
      </w:r>
      <w:r w:rsidR="00C17F92" w:rsidRPr="00953692">
        <w:rPr>
          <w:rFonts w:cs="Times New Roman"/>
          <w:sz w:val="24"/>
          <w:szCs w:val="24"/>
          <w:lang w:val="fr-FR"/>
        </w:rPr>
        <w:t xml:space="preserve">, indispensable pour s’assurer de la compréhension de l’intéressé, est </w:t>
      </w:r>
      <w:r w:rsidR="002476DF" w:rsidRPr="00953692">
        <w:rPr>
          <w:rFonts w:cs="Times New Roman"/>
          <w:sz w:val="24"/>
          <w:szCs w:val="24"/>
          <w:lang w:val="fr-FR"/>
        </w:rPr>
        <w:t>par ailleurs</w:t>
      </w:r>
      <w:r w:rsidR="00C17F92" w:rsidRPr="00953692">
        <w:rPr>
          <w:rFonts w:cs="Times New Roman"/>
          <w:sz w:val="24"/>
          <w:szCs w:val="24"/>
          <w:lang w:val="fr-FR"/>
        </w:rPr>
        <w:t xml:space="preserve"> </w:t>
      </w:r>
      <w:r w:rsidR="001B0FB0" w:rsidRPr="00953692">
        <w:rPr>
          <w:rFonts w:cs="Times New Roman"/>
          <w:sz w:val="24"/>
          <w:szCs w:val="24"/>
          <w:lang w:val="fr-FR"/>
        </w:rPr>
        <w:t>progressi</w:t>
      </w:r>
      <w:r w:rsidR="00C0174C" w:rsidRPr="00953692">
        <w:rPr>
          <w:rFonts w:cs="Times New Roman"/>
          <w:sz w:val="24"/>
          <w:szCs w:val="24"/>
          <w:lang w:val="fr-FR"/>
        </w:rPr>
        <w:t>ve</w:t>
      </w:r>
      <w:r w:rsidR="002F2C23" w:rsidRPr="00953692">
        <w:rPr>
          <w:rFonts w:cs="Times New Roman"/>
          <w:sz w:val="24"/>
          <w:szCs w:val="24"/>
          <w:lang w:val="fr-FR"/>
        </w:rPr>
        <w:t>,</w:t>
      </w:r>
      <w:r w:rsidR="00C17F92" w:rsidRPr="00953692">
        <w:rPr>
          <w:rFonts w:cs="Times New Roman"/>
          <w:sz w:val="24"/>
          <w:szCs w:val="24"/>
          <w:lang w:val="fr-FR"/>
        </w:rPr>
        <w:t xml:space="preserve"> car dépendante de l’évolution </w:t>
      </w:r>
      <w:r w:rsidR="00745A03" w:rsidRPr="00953692">
        <w:rPr>
          <w:rFonts w:cs="Times New Roman"/>
          <w:sz w:val="24"/>
          <w:szCs w:val="24"/>
          <w:lang w:val="fr-FR"/>
        </w:rPr>
        <w:t xml:space="preserve">même </w:t>
      </w:r>
      <w:r w:rsidR="00C17F92" w:rsidRPr="00953692">
        <w:rPr>
          <w:rFonts w:cs="Times New Roman"/>
          <w:sz w:val="24"/>
          <w:szCs w:val="24"/>
          <w:lang w:val="fr-FR"/>
        </w:rPr>
        <w:t>de la procédure</w:t>
      </w:r>
      <w:r w:rsidR="005279B3" w:rsidRPr="00953692">
        <w:rPr>
          <w:rFonts w:cs="Times New Roman"/>
          <w:sz w:val="24"/>
          <w:szCs w:val="24"/>
          <w:lang w:val="fr-FR"/>
        </w:rPr>
        <w:t xml:space="preserve"> en soi</w:t>
      </w:r>
      <w:r w:rsidR="00C17F92" w:rsidRPr="00953692">
        <w:rPr>
          <w:rFonts w:cs="Times New Roman"/>
          <w:sz w:val="24"/>
          <w:szCs w:val="24"/>
          <w:lang w:val="fr-FR"/>
        </w:rPr>
        <w:t xml:space="preserve">. </w:t>
      </w:r>
      <w:r w:rsidR="00745A03" w:rsidRPr="00953692">
        <w:rPr>
          <w:rFonts w:cs="Times New Roman"/>
          <w:sz w:val="24"/>
          <w:szCs w:val="24"/>
          <w:lang w:val="fr-FR"/>
        </w:rPr>
        <w:t>Cette évolution va rendre ce droit extensif,</w:t>
      </w:r>
      <w:r w:rsidR="00800784" w:rsidRPr="00953692">
        <w:rPr>
          <w:rFonts w:cs="Times New Roman"/>
          <w:sz w:val="24"/>
          <w:szCs w:val="24"/>
          <w:lang w:val="fr-FR"/>
        </w:rPr>
        <w:t xml:space="preserve"> </w:t>
      </w:r>
      <w:r w:rsidR="002F2C23" w:rsidRPr="00953692">
        <w:rPr>
          <w:rFonts w:cs="Times New Roman"/>
          <w:sz w:val="24"/>
          <w:szCs w:val="24"/>
          <w:lang w:val="fr-FR"/>
        </w:rPr>
        <w:t>parce qu’</w:t>
      </w:r>
      <w:r w:rsidR="00800784" w:rsidRPr="00953692">
        <w:rPr>
          <w:rFonts w:cs="Times New Roman"/>
          <w:sz w:val="24"/>
          <w:szCs w:val="24"/>
          <w:lang w:val="fr-FR"/>
        </w:rPr>
        <w:t>à la mesure où les informations à la disposition du procureur (ou des juges</w:t>
      </w:r>
      <w:r w:rsidR="00E1675C" w:rsidRPr="00953692">
        <w:rPr>
          <w:rFonts w:cs="Times New Roman"/>
          <w:sz w:val="24"/>
          <w:szCs w:val="24"/>
          <w:lang w:val="fr-FR"/>
        </w:rPr>
        <w:t>,</w:t>
      </w:r>
      <w:r w:rsidR="00800784" w:rsidRPr="00953692">
        <w:rPr>
          <w:rFonts w:cs="Times New Roman"/>
          <w:sz w:val="24"/>
          <w:szCs w:val="24"/>
          <w:lang w:val="fr-FR"/>
        </w:rPr>
        <w:t xml:space="preserve"> le cas échéant) s’accroiss</w:t>
      </w:r>
      <w:r w:rsidR="001B0FB0" w:rsidRPr="00953692">
        <w:rPr>
          <w:rFonts w:cs="Times New Roman"/>
          <w:sz w:val="24"/>
          <w:szCs w:val="24"/>
          <w:lang w:val="fr-FR"/>
        </w:rPr>
        <w:t>e</w:t>
      </w:r>
      <w:r w:rsidR="00800784" w:rsidRPr="00953692">
        <w:rPr>
          <w:rFonts w:cs="Times New Roman"/>
          <w:sz w:val="24"/>
          <w:szCs w:val="24"/>
          <w:lang w:val="fr-FR"/>
        </w:rPr>
        <w:t>nt et dont il a l’intention de s’en servir contre de l’accusé</w:t>
      </w:r>
      <w:r w:rsidR="00745A03" w:rsidRPr="00953692">
        <w:rPr>
          <w:rFonts w:cs="Times New Roman"/>
          <w:sz w:val="24"/>
          <w:szCs w:val="24"/>
          <w:lang w:val="fr-FR"/>
        </w:rPr>
        <w:t>,</w:t>
      </w:r>
      <w:r w:rsidR="00800784" w:rsidRPr="00953692">
        <w:rPr>
          <w:rFonts w:cs="Times New Roman"/>
          <w:sz w:val="24"/>
          <w:szCs w:val="24"/>
          <w:lang w:val="fr-FR"/>
        </w:rPr>
        <w:t xml:space="preserve"> à quelque stade q</w:t>
      </w:r>
      <w:r w:rsidR="00FD19F2" w:rsidRPr="00953692">
        <w:rPr>
          <w:rFonts w:cs="Times New Roman"/>
          <w:sz w:val="24"/>
          <w:szCs w:val="24"/>
          <w:lang w:val="fr-FR"/>
        </w:rPr>
        <w:t>ue ce soit</w:t>
      </w:r>
      <w:r w:rsidR="00800784" w:rsidRPr="00953692">
        <w:rPr>
          <w:rFonts w:cs="Times New Roman"/>
          <w:sz w:val="24"/>
          <w:szCs w:val="24"/>
          <w:lang w:val="fr-FR"/>
        </w:rPr>
        <w:t xml:space="preserve"> de la procédure, le droit à l’information s’y impose.</w:t>
      </w:r>
      <w:r w:rsidR="00745A03" w:rsidRPr="00953692">
        <w:rPr>
          <w:rFonts w:cs="Times New Roman"/>
          <w:sz w:val="24"/>
          <w:szCs w:val="24"/>
          <w:lang w:val="fr-FR"/>
        </w:rPr>
        <w:t xml:space="preserve"> Par conséquent, le droit d’</w:t>
      </w:r>
      <w:r w:rsidR="002534DF" w:rsidRPr="00953692">
        <w:rPr>
          <w:rFonts w:cs="Times New Roman"/>
          <w:sz w:val="24"/>
          <w:szCs w:val="24"/>
          <w:lang w:val="fr-FR"/>
        </w:rPr>
        <w:t>être</w:t>
      </w:r>
      <w:r w:rsidR="00745A03" w:rsidRPr="00953692">
        <w:rPr>
          <w:rFonts w:cs="Times New Roman"/>
          <w:sz w:val="24"/>
          <w:szCs w:val="24"/>
          <w:lang w:val="fr-FR"/>
        </w:rPr>
        <w:t xml:space="preserve"> informé dans le plus court délai ne se limiterait pas qu’aux moments de l’arrestation et de la comparution initiale.</w:t>
      </w:r>
      <w:r w:rsidR="00800784" w:rsidRPr="00953692">
        <w:rPr>
          <w:rFonts w:cs="Times New Roman"/>
          <w:sz w:val="24"/>
          <w:szCs w:val="24"/>
          <w:lang w:val="fr-FR"/>
        </w:rPr>
        <w:t xml:space="preserve"> </w:t>
      </w:r>
      <w:r w:rsidR="00E707A2" w:rsidRPr="00953692">
        <w:rPr>
          <w:rStyle w:val="grammar"/>
          <w:rFonts w:cs="Times New Roman"/>
          <w:sz w:val="24"/>
          <w:szCs w:val="24"/>
          <w:lang w:val="fr-FR"/>
        </w:rPr>
        <w:t>À</w:t>
      </w:r>
      <w:r w:rsidR="00800784" w:rsidRPr="00953692">
        <w:rPr>
          <w:rFonts w:cs="Times New Roman"/>
          <w:sz w:val="24"/>
          <w:szCs w:val="24"/>
          <w:lang w:val="fr-FR"/>
        </w:rPr>
        <w:t xml:space="preserve"> cet effet, la lecture</w:t>
      </w:r>
      <w:r w:rsidR="002534DF" w:rsidRPr="00953692">
        <w:rPr>
          <w:rFonts w:cs="Times New Roman"/>
          <w:sz w:val="24"/>
          <w:szCs w:val="24"/>
          <w:lang w:val="fr-FR"/>
        </w:rPr>
        <w:t xml:space="preserve"> minutieuse</w:t>
      </w:r>
      <w:r w:rsidR="00800784" w:rsidRPr="00953692">
        <w:rPr>
          <w:rFonts w:cs="Times New Roman"/>
          <w:sz w:val="24"/>
          <w:szCs w:val="24"/>
          <w:lang w:val="fr-FR"/>
        </w:rPr>
        <w:t xml:space="preserve"> des </w:t>
      </w:r>
      <w:r w:rsidR="00687327" w:rsidRPr="00953692">
        <w:rPr>
          <w:rFonts w:cs="Times New Roman"/>
          <w:sz w:val="24"/>
          <w:szCs w:val="24"/>
          <w:lang w:val="fr-FR"/>
        </w:rPr>
        <w:t>dispositions d’actes constitutifs</w:t>
      </w:r>
      <w:r w:rsidR="00800784" w:rsidRPr="00953692">
        <w:rPr>
          <w:rFonts w:cs="Times New Roman"/>
          <w:sz w:val="24"/>
          <w:szCs w:val="24"/>
          <w:lang w:val="fr-FR"/>
        </w:rPr>
        <w:t xml:space="preserve"> précité</w:t>
      </w:r>
      <w:r w:rsidR="00687327" w:rsidRPr="00953692">
        <w:rPr>
          <w:rFonts w:cs="Times New Roman"/>
          <w:sz w:val="24"/>
          <w:szCs w:val="24"/>
          <w:lang w:val="fr-FR"/>
        </w:rPr>
        <w:t>e</w:t>
      </w:r>
      <w:r w:rsidR="00800784" w:rsidRPr="00953692">
        <w:rPr>
          <w:rFonts w:cs="Times New Roman"/>
          <w:sz w:val="24"/>
          <w:szCs w:val="24"/>
          <w:lang w:val="fr-FR"/>
        </w:rPr>
        <w:t xml:space="preserve">s et </w:t>
      </w:r>
      <w:r w:rsidR="002534DF" w:rsidRPr="00953692">
        <w:rPr>
          <w:rFonts w:cs="Times New Roman"/>
          <w:sz w:val="24"/>
          <w:szCs w:val="24"/>
          <w:lang w:val="fr-FR"/>
        </w:rPr>
        <w:t xml:space="preserve">de </w:t>
      </w:r>
      <w:r w:rsidR="00800784" w:rsidRPr="00953692">
        <w:rPr>
          <w:rFonts w:cs="Times New Roman"/>
          <w:sz w:val="24"/>
          <w:szCs w:val="24"/>
          <w:lang w:val="fr-FR"/>
        </w:rPr>
        <w:t xml:space="preserve">la </w:t>
      </w:r>
      <w:r w:rsidR="002534DF" w:rsidRPr="00953692">
        <w:rPr>
          <w:rFonts w:cs="Times New Roman"/>
          <w:sz w:val="24"/>
          <w:szCs w:val="24"/>
          <w:lang w:val="fr-FR"/>
        </w:rPr>
        <w:t>pratique</w:t>
      </w:r>
      <w:r w:rsidR="00800784" w:rsidRPr="00953692">
        <w:rPr>
          <w:rFonts w:cs="Times New Roman"/>
          <w:sz w:val="24"/>
          <w:szCs w:val="24"/>
          <w:lang w:val="fr-FR"/>
        </w:rPr>
        <w:t xml:space="preserve"> des juridictions pénales internationales </w:t>
      </w:r>
      <w:r w:rsidR="005279B3" w:rsidRPr="00953692">
        <w:rPr>
          <w:rFonts w:cs="Times New Roman"/>
          <w:sz w:val="24"/>
          <w:szCs w:val="24"/>
          <w:lang w:val="fr-FR"/>
        </w:rPr>
        <w:t>montrent</w:t>
      </w:r>
      <w:r w:rsidR="00800784" w:rsidRPr="00953692">
        <w:rPr>
          <w:rFonts w:cs="Times New Roman"/>
          <w:sz w:val="24"/>
          <w:szCs w:val="24"/>
          <w:lang w:val="fr-FR"/>
        </w:rPr>
        <w:t xml:space="preserve"> que ce droit</w:t>
      </w:r>
      <w:r w:rsidR="002534DF" w:rsidRPr="00953692">
        <w:rPr>
          <w:rFonts w:cs="Times New Roman"/>
          <w:sz w:val="24"/>
          <w:szCs w:val="24"/>
          <w:lang w:val="fr-FR"/>
        </w:rPr>
        <w:t xml:space="preserve"> à l’information</w:t>
      </w:r>
      <w:r w:rsidR="00800784" w:rsidRPr="00953692">
        <w:rPr>
          <w:rFonts w:cs="Times New Roman"/>
          <w:sz w:val="24"/>
          <w:szCs w:val="24"/>
          <w:lang w:val="fr-FR"/>
        </w:rPr>
        <w:t xml:space="preserve"> </w:t>
      </w:r>
      <w:r w:rsidR="00687327" w:rsidRPr="00953692">
        <w:rPr>
          <w:rFonts w:cs="Times New Roman"/>
          <w:sz w:val="24"/>
          <w:szCs w:val="24"/>
          <w:lang w:val="fr-FR"/>
        </w:rPr>
        <w:t>devra</w:t>
      </w:r>
      <w:r w:rsidR="002534DF" w:rsidRPr="00953692">
        <w:rPr>
          <w:rFonts w:cs="Times New Roman"/>
          <w:sz w:val="24"/>
          <w:szCs w:val="24"/>
          <w:lang w:val="fr-FR"/>
        </w:rPr>
        <w:t>it</w:t>
      </w:r>
      <w:r w:rsidR="00800784" w:rsidRPr="00953692">
        <w:rPr>
          <w:rFonts w:cs="Times New Roman"/>
          <w:sz w:val="24"/>
          <w:szCs w:val="24"/>
          <w:lang w:val="fr-FR"/>
        </w:rPr>
        <w:t xml:space="preserve"> </w:t>
      </w:r>
      <w:r w:rsidR="002534DF" w:rsidRPr="00953692">
        <w:rPr>
          <w:rFonts w:cs="Times New Roman"/>
          <w:sz w:val="24"/>
          <w:szCs w:val="24"/>
          <w:lang w:val="fr-FR"/>
        </w:rPr>
        <w:t>se</w:t>
      </w:r>
      <w:r w:rsidR="00800784" w:rsidRPr="00953692">
        <w:rPr>
          <w:rFonts w:cs="Times New Roman"/>
          <w:sz w:val="24"/>
          <w:szCs w:val="24"/>
          <w:lang w:val="fr-FR"/>
        </w:rPr>
        <w:t xml:space="preserve"> réalis</w:t>
      </w:r>
      <w:r w:rsidR="002534DF" w:rsidRPr="00953692">
        <w:rPr>
          <w:rFonts w:cs="Times New Roman"/>
          <w:sz w:val="24"/>
          <w:szCs w:val="24"/>
          <w:lang w:val="fr-FR"/>
        </w:rPr>
        <w:t>er</w:t>
      </w:r>
      <w:r w:rsidR="00251980" w:rsidRPr="00953692">
        <w:rPr>
          <w:rFonts w:cs="Times New Roman"/>
          <w:sz w:val="24"/>
          <w:szCs w:val="24"/>
          <w:lang w:val="fr-FR"/>
        </w:rPr>
        <w:t xml:space="preserve"> plutôt</w:t>
      </w:r>
      <w:r w:rsidR="00800784" w:rsidRPr="00953692">
        <w:rPr>
          <w:rFonts w:cs="Times New Roman"/>
          <w:sz w:val="24"/>
          <w:szCs w:val="24"/>
          <w:lang w:val="fr-FR"/>
        </w:rPr>
        <w:t xml:space="preserve"> dans trois c</w:t>
      </w:r>
      <w:r w:rsidR="00687327" w:rsidRPr="00953692">
        <w:rPr>
          <w:rFonts w:cs="Times New Roman"/>
          <w:sz w:val="24"/>
          <w:szCs w:val="24"/>
          <w:lang w:val="fr-FR"/>
        </w:rPr>
        <w:t>as de figures</w:t>
      </w:r>
      <w:r w:rsidR="00251980" w:rsidRPr="00953692">
        <w:rPr>
          <w:rFonts w:cs="Times New Roman"/>
          <w:sz w:val="24"/>
          <w:szCs w:val="24"/>
          <w:lang w:val="fr-FR"/>
        </w:rPr>
        <w:t xml:space="preserve">, que nous tenterons d’aborder de manière successive </w:t>
      </w:r>
      <w:r w:rsidR="005279B3" w:rsidRPr="00953692">
        <w:rPr>
          <w:rFonts w:cs="Times New Roman"/>
          <w:sz w:val="24"/>
          <w:szCs w:val="24"/>
          <w:lang w:val="fr-FR"/>
        </w:rPr>
        <w:t>et suivant la progressivité du procès</w:t>
      </w:r>
      <w:r w:rsidR="00687327" w:rsidRPr="00953692">
        <w:rPr>
          <w:rFonts w:cs="Times New Roman"/>
          <w:sz w:val="24"/>
          <w:szCs w:val="24"/>
          <w:lang w:val="fr-FR"/>
        </w:rPr>
        <w:t>.</w:t>
      </w:r>
    </w:p>
    <w:p w14:paraId="37356EBD" w14:textId="6D80B7E2" w:rsidR="003F411F" w:rsidRPr="00ED789C" w:rsidRDefault="00664C3E" w:rsidP="004D61B4">
      <w:pPr>
        <w:pStyle w:val="Paragraphedeliste"/>
        <w:numPr>
          <w:ilvl w:val="0"/>
          <w:numId w:val="2"/>
        </w:numPr>
        <w:spacing w:before="240" w:line="276" w:lineRule="auto"/>
        <w:jc w:val="both"/>
        <w:outlineLvl w:val="2"/>
        <w:rPr>
          <w:rFonts w:cs="Times New Roman"/>
          <w:bCs/>
          <w:i/>
          <w:iCs/>
          <w:sz w:val="24"/>
          <w:szCs w:val="24"/>
          <w:lang w:val="fr-FR"/>
        </w:rPr>
      </w:pPr>
      <w:bookmarkStart w:id="16" w:name="_Toc195179409"/>
      <w:r w:rsidRPr="00ED789C">
        <w:rPr>
          <w:rFonts w:cs="Times New Roman"/>
          <w:bCs/>
          <w:i/>
          <w:iCs/>
          <w:sz w:val="24"/>
          <w:szCs w:val="24"/>
          <w:lang w:val="fr-FR"/>
        </w:rPr>
        <w:t>Au moment de l</w:t>
      </w:r>
      <w:r w:rsidR="00147591" w:rsidRPr="00ED789C">
        <w:rPr>
          <w:rFonts w:cs="Times New Roman"/>
          <w:bCs/>
          <w:i/>
          <w:iCs/>
          <w:sz w:val="24"/>
          <w:szCs w:val="24"/>
          <w:lang w:val="fr-FR"/>
        </w:rPr>
        <w:t xml:space="preserve">a signification de la convocation, </w:t>
      </w:r>
      <w:r w:rsidRPr="00ED789C">
        <w:rPr>
          <w:rFonts w:cs="Times New Roman"/>
          <w:bCs/>
          <w:i/>
          <w:iCs/>
          <w:sz w:val="24"/>
          <w:szCs w:val="24"/>
          <w:lang w:val="fr-FR"/>
        </w:rPr>
        <w:t xml:space="preserve">de la </w:t>
      </w:r>
      <w:r w:rsidR="00147591" w:rsidRPr="00ED789C">
        <w:rPr>
          <w:rFonts w:cs="Times New Roman"/>
          <w:bCs/>
          <w:i/>
          <w:iCs/>
          <w:sz w:val="24"/>
          <w:szCs w:val="24"/>
          <w:lang w:val="fr-FR"/>
        </w:rPr>
        <w:t>citation à comparaitre ou du mandat d’arrêt</w:t>
      </w:r>
      <w:bookmarkEnd w:id="16"/>
    </w:p>
    <w:p w14:paraId="3DD6815D" w14:textId="3748C00A" w:rsidR="005E01A9" w:rsidRPr="00953692" w:rsidRDefault="006F38E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59</w:t>
      </w:r>
      <w:r w:rsidR="00357093" w:rsidRPr="00953692">
        <w:rPr>
          <w:rFonts w:cs="Times New Roman"/>
          <w:b/>
          <w:bCs/>
          <w:sz w:val="24"/>
          <w:szCs w:val="24"/>
          <w:lang w:val="fr-FR"/>
        </w:rPr>
        <w:t>.</w:t>
      </w:r>
      <w:r w:rsidR="00357093" w:rsidRPr="00953692">
        <w:rPr>
          <w:rFonts w:cs="Times New Roman"/>
          <w:i/>
          <w:iCs/>
          <w:sz w:val="24"/>
          <w:szCs w:val="24"/>
          <w:lang w:val="fr-FR"/>
        </w:rPr>
        <w:t xml:space="preserve"> </w:t>
      </w:r>
      <w:r w:rsidR="00687327" w:rsidRPr="00953692">
        <w:rPr>
          <w:rFonts w:cs="Times New Roman"/>
          <w:i/>
          <w:iCs/>
          <w:sz w:val="24"/>
          <w:szCs w:val="24"/>
          <w:lang w:val="fr-FR"/>
        </w:rPr>
        <w:t>Le premier cas de figure</w:t>
      </w:r>
      <w:r w:rsidR="00687327" w:rsidRPr="00953692">
        <w:rPr>
          <w:rFonts w:cs="Times New Roman"/>
          <w:sz w:val="24"/>
          <w:szCs w:val="24"/>
          <w:lang w:val="fr-FR"/>
        </w:rPr>
        <w:t xml:space="preserve"> correspond</w:t>
      </w:r>
      <w:r w:rsidR="00322E11" w:rsidRPr="00953692">
        <w:rPr>
          <w:rFonts w:cs="Times New Roman"/>
          <w:sz w:val="24"/>
          <w:szCs w:val="24"/>
          <w:lang w:val="fr-FR"/>
        </w:rPr>
        <w:t xml:space="preserve"> à la notification (ou à l’exécution) du mandat d’arrêt ou de la citation à comparaitre qui est un acte de procédure </w:t>
      </w:r>
      <w:r w:rsidR="00267E7E" w:rsidRPr="00953692">
        <w:rPr>
          <w:rFonts w:cs="Times New Roman"/>
          <w:sz w:val="24"/>
          <w:szCs w:val="24"/>
          <w:lang w:val="fr-FR"/>
        </w:rPr>
        <w:t>dont l’objet est d’entamer une action en justice</w:t>
      </w:r>
      <w:r w:rsidR="009B7467" w:rsidRPr="00953692">
        <w:rPr>
          <w:rFonts w:cs="Times New Roman"/>
          <w:sz w:val="24"/>
          <w:szCs w:val="24"/>
          <w:lang w:val="fr-FR"/>
        </w:rPr>
        <w:t>.</w:t>
      </w:r>
      <w:r w:rsidR="00357093" w:rsidRPr="00953692">
        <w:rPr>
          <w:rFonts w:cs="Times New Roman"/>
          <w:sz w:val="24"/>
          <w:szCs w:val="24"/>
          <w:lang w:val="fr-FR"/>
        </w:rPr>
        <w:t xml:space="preserve"> Elle marque en règle générale le début de la procédure</w:t>
      </w:r>
      <w:r w:rsidR="00EA726D" w:rsidRPr="00953692">
        <w:rPr>
          <w:rFonts w:cs="Times New Roman"/>
          <w:sz w:val="24"/>
          <w:szCs w:val="24"/>
          <w:lang w:val="fr-FR"/>
        </w:rPr>
        <w:t xml:space="preserve"> sans en déterminer la continuité, encore moins l’issue.</w:t>
      </w:r>
      <w:r w:rsidR="009B7467" w:rsidRPr="00953692">
        <w:rPr>
          <w:rFonts w:cs="Times New Roman"/>
          <w:sz w:val="24"/>
          <w:szCs w:val="24"/>
          <w:lang w:val="fr-FR"/>
        </w:rPr>
        <w:t xml:space="preserve"> </w:t>
      </w:r>
      <w:r w:rsidR="006F1D4C" w:rsidRPr="00953692">
        <w:rPr>
          <w:rFonts w:cs="Times New Roman"/>
          <w:i/>
          <w:iCs/>
          <w:sz w:val="24"/>
          <w:szCs w:val="24"/>
          <w:lang w:val="fr-FR"/>
        </w:rPr>
        <w:t>Les procureurs des TPI</w:t>
      </w:r>
      <w:r w:rsidR="00EA726D" w:rsidRPr="00953692">
        <w:rPr>
          <w:rFonts w:cs="Times New Roman"/>
          <w:i/>
          <w:iCs/>
          <w:sz w:val="24"/>
          <w:szCs w:val="24"/>
          <w:lang w:val="fr-FR"/>
        </w:rPr>
        <w:t>, particulièrement,</w:t>
      </w:r>
      <w:r w:rsidR="006F1D4C" w:rsidRPr="00953692">
        <w:rPr>
          <w:rFonts w:cs="Times New Roman"/>
          <w:i/>
          <w:iCs/>
          <w:sz w:val="24"/>
          <w:szCs w:val="24"/>
          <w:lang w:val="fr-FR"/>
        </w:rPr>
        <w:t xml:space="preserve"> avaient le droit d’ouvrir une information </w:t>
      </w:r>
      <w:r w:rsidR="00060DF2" w:rsidRPr="00953692">
        <w:rPr>
          <w:rFonts w:cs="Times New Roman"/>
          <w:i/>
          <w:iCs/>
          <w:sz w:val="24"/>
          <w:szCs w:val="24"/>
          <w:lang w:val="fr-FR"/>
        </w:rPr>
        <w:t>d’office ou sur foi des renseignements obtenus de toutes sources, de les évaluer et de se prononcer sur l’opportunité ou non des poursuites</w:t>
      </w:r>
      <w:r w:rsidR="005A0ABF" w:rsidRPr="00953692">
        <w:rPr>
          <w:rStyle w:val="Appelnotedebasdep"/>
          <w:rFonts w:cs="Times New Roman"/>
          <w:sz w:val="24"/>
          <w:szCs w:val="24"/>
          <w:lang w:val="fr-FR"/>
        </w:rPr>
        <w:footnoteReference w:customMarkFollows="1" w:id="54"/>
        <w:t>37</w:t>
      </w:r>
      <w:r w:rsidR="00060DF2" w:rsidRPr="00953692">
        <w:rPr>
          <w:rFonts w:cs="Times New Roman"/>
          <w:sz w:val="24"/>
          <w:szCs w:val="24"/>
          <w:lang w:val="fr-FR"/>
        </w:rPr>
        <w:t xml:space="preserve">. </w:t>
      </w:r>
    </w:p>
    <w:p w14:paraId="5C0FC6FB" w14:textId="2356089B" w:rsidR="006F1D4C" w:rsidRPr="00953692" w:rsidRDefault="006F38E2" w:rsidP="00864BBF">
      <w:pPr>
        <w:spacing w:after="0" w:line="276" w:lineRule="auto"/>
        <w:ind w:firstLine="1134"/>
        <w:jc w:val="both"/>
        <w:rPr>
          <w:sz w:val="24"/>
          <w:szCs w:val="24"/>
          <w:lang w:val="fr-FR"/>
        </w:rPr>
      </w:pPr>
      <w:r w:rsidRPr="00953692">
        <w:rPr>
          <w:rFonts w:cs="Times New Roman"/>
          <w:b/>
          <w:bCs/>
          <w:sz w:val="24"/>
          <w:szCs w:val="24"/>
          <w:lang w:val="fr-FR"/>
        </w:rPr>
        <w:t>60.</w:t>
      </w:r>
      <w:r w:rsidRPr="00953692">
        <w:rPr>
          <w:rFonts w:cs="Times New Roman"/>
          <w:sz w:val="24"/>
          <w:szCs w:val="24"/>
          <w:lang w:val="fr-FR"/>
        </w:rPr>
        <w:t xml:space="preserve"> </w:t>
      </w:r>
      <w:r w:rsidR="008520C7" w:rsidRPr="00953692">
        <w:rPr>
          <w:rFonts w:cs="Times New Roman"/>
          <w:sz w:val="24"/>
          <w:szCs w:val="24"/>
          <w:lang w:val="fr-FR"/>
        </w:rPr>
        <w:t xml:space="preserve">C’est </w:t>
      </w:r>
      <w:r w:rsidR="00EA726D" w:rsidRPr="00953692">
        <w:rPr>
          <w:rFonts w:cs="Times New Roman"/>
          <w:sz w:val="24"/>
          <w:szCs w:val="24"/>
          <w:lang w:val="fr-FR"/>
        </w:rPr>
        <w:t xml:space="preserve">naturellement </w:t>
      </w:r>
      <w:r w:rsidR="008520C7" w:rsidRPr="00953692">
        <w:rPr>
          <w:rFonts w:cs="Times New Roman"/>
          <w:sz w:val="24"/>
          <w:szCs w:val="24"/>
          <w:lang w:val="fr-FR"/>
        </w:rPr>
        <w:t xml:space="preserve">le pouvoir adjacent à l’enquête dévolu à tout procureur, y compris international. </w:t>
      </w:r>
      <w:r w:rsidR="00F437EA" w:rsidRPr="00953692">
        <w:rPr>
          <w:rFonts w:cs="Times New Roman"/>
          <w:sz w:val="24"/>
          <w:szCs w:val="24"/>
          <w:lang w:val="fr-FR"/>
        </w:rPr>
        <w:t>Dans son évaluation des renseignements reçus, il va sans dire que le procureur a le droit d’interroger un suspect comme nous l’avons mentionné plus haut. Et dans ce cas, qu’il s’agisse d’interrogatoire men</w:t>
      </w:r>
      <w:r w:rsidR="004F35FD" w:rsidRPr="00953692">
        <w:rPr>
          <w:rFonts w:cs="Times New Roman"/>
          <w:sz w:val="24"/>
          <w:szCs w:val="24"/>
          <w:lang w:val="fr-FR"/>
        </w:rPr>
        <w:t>é</w:t>
      </w:r>
      <w:r w:rsidR="00F437EA" w:rsidRPr="00953692">
        <w:rPr>
          <w:rFonts w:cs="Times New Roman"/>
          <w:sz w:val="24"/>
          <w:szCs w:val="24"/>
          <w:lang w:val="fr-FR"/>
        </w:rPr>
        <w:t xml:space="preserve"> au siège du Tribunal international ou dans un Etat en vertu d’u</w:t>
      </w:r>
      <w:r w:rsidR="00EA726D" w:rsidRPr="00953692">
        <w:rPr>
          <w:rFonts w:cs="Times New Roman"/>
          <w:sz w:val="24"/>
          <w:szCs w:val="24"/>
          <w:lang w:val="fr-FR"/>
        </w:rPr>
        <w:t>ne demande dudit procureur</w:t>
      </w:r>
      <w:r w:rsidR="00F20633" w:rsidRPr="00953692">
        <w:rPr>
          <w:rFonts w:cs="Times New Roman"/>
          <w:sz w:val="24"/>
          <w:szCs w:val="24"/>
          <w:lang w:val="fr-FR"/>
        </w:rPr>
        <w:t xml:space="preserve"> </w:t>
      </w:r>
      <w:r w:rsidR="00F20633" w:rsidRPr="00953692">
        <w:rPr>
          <w:rFonts w:cs="Times New Roman"/>
          <w:sz w:val="24"/>
          <w:szCs w:val="24"/>
          <w:lang w:val="fr-FR"/>
        </w:rPr>
        <w:lastRenderedPageBreak/>
        <w:t>international</w:t>
      </w:r>
      <w:r w:rsidR="00F437EA" w:rsidRPr="00953692">
        <w:rPr>
          <w:rFonts w:cs="Times New Roman"/>
          <w:sz w:val="24"/>
          <w:szCs w:val="24"/>
          <w:lang w:val="fr-FR"/>
        </w:rPr>
        <w:t xml:space="preserve">, ledit suspect </w:t>
      </w:r>
      <w:r w:rsidR="00F437EA" w:rsidRPr="00953692">
        <w:rPr>
          <w:rFonts w:cs="Times New Roman"/>
          <w:i/>
          <w:iCs/>
          <w:sz w:val="24"/>
          <w:szCs w:val="24"/>
          <w:lang w:val="fr-FR"/>
        </w:rPr>
        <w:t xml:space="preserve">a </w:t>
      </w:r>
      <w:r w:rsidR="00F437EA" w:rsidRPr="00953692">
        <w:rPr>
          <w:i/>
          <w:iCs/>
          <w:sz w:val="24"/>
          <w:szCs w:val="24"/>
          <w:lang w:val="fr-FR"/>
        </w:rPr>
        <w:t>le droit à être informée avant d'être interrogée</w:t>
      </w:r>
      <w:r w:rsidR="00F20633" w:rsidRPr="00953692">
        <w:rPr>
          <w:i/>
          <w:iCs/>
          <w:sz w:val="24"/>
          <w:szCs w:val="24"/>
          <w:lang w:val="fr-FR"/>
        </w:rPr>
        <w:t>,</w:t>
      </w:r>
      <w:r w:rsidR="00F437EA" w:rsidRPr="00953692">
        <w:rPr>
          <w:i/>
          <w:iCs/>
          <w:sz w:val="24"/>
          <w:szCs w:val="24"/>
          <w:lang w:val="fr-FR"/>
        </w:rPr>
        <w:t xml:space="preserve"> qu'il y a des raisons de croire qu'</w:t>
      </w:r>
      <w:r w:rsidR="003862A6" w:rsidRPr="00953692">
        <w:rPr>
          <w:i/>
          <w:iCs/>
          <w:sz w:val="24"/>
          <w:szCs w:val="24"/>
          <w:lang w:val="fr-FR"/>
        </w:rPr>
        <w:t>il</w:t>
      </w:r>
      <w:r w:rsidR="00F437EA" w:rsidRPr="00953692">
        <w:rPr>
          <w:i/>
          <w:iCs/>
          <w:sz w:val="24"/>
          <w:szCs w:val="24"/>
          <w:lang w:val="fr-FR"/>
        </w:rPr>
        <w:t xml:space="preserve"> a commis un crime relevant de la compétence de la juridiction internationale</w:t>
      </w:r>
      <w:r w:rsidR="00EA726D" w:rsidRPr="00953692">
        <w:rPr>
          <w:rStyle w:val="Appelnotedebasdep"/>
          <w:i/>
          <w:iCs/>
          <w:sz w:val="24"/>
          <w:szCs w:val="24"/>
          <w:lang w:val="fr-FR"/>
        </w:rPr>
        <w:footnoteReference w:customMarkFollows="1" w:id="55"/>
        <w:t>35</w:t>
      </w:r>
      <w:r w:rsidR="00F20633" w:rsidRPr="00953692">
        <w:rPr>
          <w:sz w:val="24"/>
          <w:szCs w:val="24"/>
          <w:lang w:val="fr-FR"/>
        </w:rPr>
        <w:t xml:space="preserve"> qui entend mener cette action.</w:t>
      </w:r>
    </w:p>
    <w:p w14:paraId="18EE67D9" w14:textId="0776FBE2" w:rsidR="00FE75EE" w:rsidRPr="00953692" w:rsidRDefault="006F38E2" w:rsidP="00864BBF">
      <w:pPr>
        <w:spacing w:after="0" w:line="276" w:lineRule="auto"/>
        <w:ind w:firstLine="1134"/>
        <w:jc w:val="both"/>
        <w:rPr>
          <w:sz w:val="24"/>
          <w:szCs w:val="24"/>
          <w:lang w:val="fr-FR"/>
        </w:rPr>
      </w:pPr>
      <w:r w:rsidRPr="00953692">
        <w:rPr>
          <w:b/>
          <w:bCs/>
          <w:sz w:val="24"/>
          <w:szCs w:val="24"/>
          <w:lang w:val="fr-FR"/>
        </w:rPr>
        <w:t>61</w:t>
      </w:r>
      <w:r w:rsidR="002B0ADE" w:rsidRPr="00953692">
        <w:rPr>
          <w:b/>
          <w:bCs/>
          <w:sz w:val="24"/>
          <w:szCs w:val="24"/>
          <w:lang w:val="fr-FR"/>
        </w:rPr>
        <w:t>.</w:t>
      </w:r>
      <w:r w:rsidR="002B0ADE" w:rsidRPr="00953692">
        <w:rPr>
          <w:sz w:val="24"/>
          <w:szCs w:val="24"/>
          <w:lang w:val="fr-FR"/>
        </w:rPr>
        <w:t xml:space="preserve"> </w:t>
      </w:r>
      <w:r w:rsidR="007301F4" w:rsidRPr="00953692">
        <w:rPr>
          <w:rStyle w:val="grammar"/>
          <w:rFonts w:cs="Times New Roman"/>
          <w:sz w:val="24"/>
          <w:szCs w:val="24"/>
          <w:lang w:val="fr-FR"/>
        </w:rPr>
        <w:t>À</w:t>
      </w:r>
      <w:r w:rsidR="008E3E2E" w:rsidRPr="00953692">
        <w:rPr>
          <w:sz w:val="24"/>
          <w:szCs w:val="24"/>
          <w:lang w:val="fr-FR"/>
        </w:rPr>
        <w:t xml:space="preserve"> ce stade, il n’est pas exigé de fournir au suspect des informations détaillées, car l’on présuppose que le procureur n’a pas encore conclu son enquête, </w:t>
      </w:r>
      <w:r w:rsidR="00F20633" w:rsidRPr="00953692">
        <w:rPr>
          <w:sz w:val="24"/>
          <w:szCs w:val="24"/>
          <w:lang w:val="fr-FR"/>
        </w:rPr>
        <w:t xml:space="preserve">et </w:t>
      </w:r>
      <w:r w:rsidR="008E3E2E" w:rsidRPr="00953692">
        <w:rPr>
          <w:sz w:val="24"/>
          <w:szCs w:val="24"/>
          <w:lang w:val="fr-FR"/>
        </w:rPr>
        <w:t>donc n’a pas</w:t>
      </w:r>
      <w:r w:rsidR="00F20633" w:rsidRPr="00953692">
        <w:rPr>
          <w:sz w:val="24"/>
          <w:szCs w:val="24"/>
          <w:lang w:val="fr-FR"/>
        </w:rPr>
        <w:t xml:space="preserve"> non plus procédé à</w:t>
      </w:r>
      <w:r w:rsidR="008E3E2E" w:rsidRPr="00953692">
        <w:rPr>
          <w:sz w:val="24"/>
          <w:szCs w:val="24"/>
          <w:lang w:val="fr-FR"/>
        </w:rPr>
        <w:t xml:space="preserve"> </w:t>
      </w:r>
      <w:r w:rsidR="00F20633" w:rsidRPr="00953692">
        <w:rPr>
          <w:sz w:val="24"/>
          <w:szCs w:val="24"/>
          <w:lang w:val="fr-FR"/>
        </w:rPr>
        <w:t>l’</w:t>
      </w:r>
      <w:r w:rsidR="008E3E2E" w:rsidRPr="00953692">
        <w:rPr>
          <w:sz w:val="24"/>
          <w:szCs w:val="24"/>
          <w:lang w:val="fr-FR"/>
        </w:rPr>
        <w:t>inculp</w:t>
      </w:r>
      <w:r w:rsidR="00F20633" w:rsidRPr="00953692">
        <w:rPr>
          <w:sz w:val="24"/>
          <w:szCs w:val="24"/>
          <w:lang w:val="fr-FR"/>
        </w:rPr>
        <w:t>ation de</w:t>
      </w:r>
      <w:r w:rsidR="008E3E2E" w:rsidRPr="00953692">
        <w:rPr>
          <w:sz w:val="24"/>
          <w:szCs w:val="24"/>
          <w:lang w:val="fr-FR"/>
        </w:rPr>
        <w:t xml:space="preserve"> l’intéressé. </w:t>
      </w:r>
      <w:r w:rsidR="00CF2DC2" w:rsidRPr="00953692">
        <w:rPr>
          <w:sz w:val="24"/>
          <w:szCs w:val="24"/>
          <w:lang w:val="fr-FR"/>
        </w:rPr>
        <w:t xml:space="preserve">Dans ce </w:t>
      </w:r>
      <w:r w:rsidR="00EA726D" w:rsidRPr="00953692">
        <w:rPr>
          <w:sz w:val="24"/>
          <w:szCs w:val="24"/>
          <w:lang w:val="fr-FR"/>
        </w:rPr>
        <w:t>sens précis</w:t>
      </w:r>
      <w:r w:rsidR="00CF2DC2" w:rsidRPr="00953692">
        <w:rPr>
          <w:sz w:val="24"/>
          <w:szCs w:val="24"/>
          <w:lang w:val="fr-FR"/>
        </w:rPr>
        <w:t>, le suspect peut être convoqué</w:t>
      </w:r>
      <w:r w:rsidR="004F35FD" w:rsidRPr="00953692">
        <w:rPr>
          <w:sz w:val="24"/>
          <w:szCs w:val="24"/>
          <w:lang w:val="fr-FR"/>
        </w:rPr>
        <w:t xml:space="preserve"> par le </w:t>
      </w:r>
      <w:r w:rsidR="00F20633" w:rsidRPr="00953692">
        <w:rPr>
          <w:sz w:val="24"/>
          <w:szCs w:val="24"/>
          <w:lang w:val="fr-FR"/>
        </w:rPr>
        <w:t>p</w:t>
      </w:r>
      <w:r w:rsidR="004F35FD" w:rsidRPr="00953692">
        <w:rPr>
          <w:sz w:val="24"/>
          <w:szCs w:val="24"/>
          <w:lang w:val="fr-FR"/>
        </w:rPr>
        <w:t>rocureur comme le prévoit</w:t>
      </w:r>
      <w:r w:rsidR="00EA726D" w:rsidRPr="00953692">
        <w:rPr>
          <w:sz w:val="24"/>
          <w:szCs w:val="24"/>
          <w:lang w:val="fr-FR"/>
        </w:rPr>
        <w:t xml:space="preserve">, </w:t>
      </w:r>
      <w:r w:rsidR="004F35FD" w:rsidRPr="00953692">
        <w:rPr>
          <w:sz w:val="24"/>
          <w:szCs w:val="24"/>
          <w:lang w:val="fr-FR"/>
        </w:rPr>
        <w:t>par exemple</w:t>
      </w:r>
      <w:r w:rsidR="00AE76CC" w:rsidRPr="00953692">
        <w:rPr>
          <w:sz w:val="24"/>
          <w:szCs w:val="24"/>
          <w:lang w:val="fr-FR"/>
        </w:rPr>
        <w:t>, l</w:t>
      </w:r>
      <w:r w:rsidR="004A1453" w:rsidRPr="00953692">
        <w:rPr>
          <w:sz w:val="24"/>
          <w:szCs w:val="24"/>
          <w:lang w:val="fr-FR"/>
        </w:rPr>
        <w:t>’</w:t>
      </w:r>
      <w:r w:rsidR="00AE76CC" w:rsidRPr="00953692">
        <w:rPr>
          <w:sz w:val="24"/>
          <w:szCs w:val="24"/>
          <w:lang w:val="fr-FR"/>
        </w:rPr>
        <w:t>article</w:t>
      </w:r>
      <w:r w:rsidR="004F35FD" w:rsidRPr="00953692">
        <w:rPr>
          <w:sz w:val="24"/>
          <w:szCs w:val="24"/>
          <w:lang w:val="fr-FR"/>
        </w:rPr>
        <w:t xml:space="preserve"> 61 du RPP du TSL</w:t>
      </w:r>
      <w:r w:rsidR="00AE76CC" w:rsidRPr="00953692">
        <w:rPr>
          <w:sz w:val="24"/>
          <w:szCs w:val="24"/>
          <w:lang w:val="fr-FR"/>
        </w:rPr>
        <w:t xml:space="preserve"> ou l’article 39 du RPP du TPIY</w:t>
      </w:r>
      <w:r w:rsidR="004F35FD" w:rsidRPr="00953692">
        <w:rPr>
          <w:sz w:val="24"/>
          <w:szCs w:val="24"/>
          <w:lang w:val="fr-FR"/>
        </w:rPr>
        <w:t>.</w:t>
      </w:r>
      <w:r w:rsidR="004A1453" w:rsidRPr="00953692">
        <w:rPr>
          <w:sz w:val="24"/>
          <w:szCs w:val="24"/>
          <w:lang w:val="fr-FR"/>
        </w:rPr>
        <w:t xml:space="preserve"> La loi sur les Chambres spécialisées et les parquets spécialisés du Kosovo confère au </w:t>
      </w:r>
      <w:r w:rsidR="002B0ADE" w:rsidRPr="00953692">
        <w:rPr>
          <w:sz w:val="24"/>
          <w:szCs w:val="24"/>
          <w:lang w:val="fr-FR"/>
        </w:rPr>
        <w:t>P</w:t>
      </w:r>
      <w:r w:rsidR="004A1453" w:rsidRPr="00953692">
        <w:rPr>
          <w:sz w:val="24"/>
          <w:szCs w:val="24"/>
          <w:lang w:val="fr-FR"/>
        </w:rPr>
        <w:t>rocureur spécialisé le pouvoir de requérir la présence du suspect et de l’interroger (</w:t>
      </w:r>
      <w:r w:rsidR="004A1453" w:rsidRPr="00953692">
        <w:rPr>
          <w:i/>
          <w:iCs/>
          <w:sz w:val="24"/>
          <w:szCs w:val="24"/>
          <w:lang w:val="fr-FR"/>
        </w:rPr>
        <w:t>requesting the presence of and questioning suspects</w:t>
      </w:r>
      <w:r w:rsidR="004A1453" w:rsidRPr="00953692">
        <w:rPr>
          <w:sz w:val="24"/>
          <w:szCs w:val="24"/>
          <w:lang w:val="fr-FR"/>
        </w:rPr>
        <w:t>)</w:t>
      </w:r>
      <w:r w:rsidR="002B0ADE" w:rsidRPr="00953692">
        <w:rPr>
          <w:rStyle w:val="Appelnotedebasdep"/>
          <w:sz w:val="24"/>
          <w:szCs w:val="24"/>
          <w:lang w:val="fr-FR"/>
        </w:rPr>
        <w:footnoteReference w:customMarkFollows="1" w:id="56"/>
        <w:t>36</w:t>
      </w:r>
      <w:r w:rsidR="00D65C27" w:rsidRPr="00953692">
        <w:rPr>
          <w:sz w:val="24"/>
          <w:szCs w:val="24"/>
          <w:lang w:val="fr-FR"/>
        </w:rPr>
        <w:t>.</w:t>
      </w:r>
      <w:r w:rsidR="00B87472" w:rsidRPr="00953692">
        <w:rPr>
          <w:sz w:val="24"/>
          <w:szCs w:val="24"/>
          <w:lang w:val="fr-FR"/>
        </w:rPr>
        <w:t xml:space="preserve"> </w:t>
      </w:r>
      <w:r w:rsidR="00D65C27" w:rsidRPr="00953692">
        <w:rPr>
          <w:sz w:val="24"/>
          <w:szCs w:val="24"/>
          <w:lang w:val="fr-FR"/>
        </w:rPr>
        <w:t>C</w:t>
      </w:r>
      <w:r w:rsidR="00B87472" w:rsidRPr="00953692">
        <w:rPr>
          <w:sz w:val="24"/>
          <w:szCs w:val="24"/>
          <w:lang w:val="fr-FR"/>
        </w:rPr>
        <w:t>e qui correspond bien évidemment à la définition d’une convocation</w:t>
      </w:r>
      <w:r w:rsidR="00D65C27" w:rsidRPr="00953692">
        <w:rPr>
          <w:sz w:val="24"/>
          <w:szCs w:val="24"/>
          <w:lang w:val="fr-FR"/>
        </w:rPr>
        <w:t xml:space="preserve"> que l’on retrouve notamment à la règle 41 du Règlement intérieur des Chambres extraordinaires au sein des tribunaux cambodgiens. </w:t>
      </w:r>
      <w:r w:rsidR="002B0ADE" w:rsidRPr="00953692">
        <w:rPr>
          <w:sz w:val="24"/>
          <w:szCs w:val="24"/>
          <w:lang w:val="fr-FR"/>
        </w:rPr>
        <w:t>Conformément à</w:t>
      </w:r>
      <w:r w:rsidR="00D65C27" w:rsidRPr="00953692">
        <w:rPr>
          <w:sz w:val="24"/>
          <w:szCs w:val="24"/>
          <w:lang w:val="fr-FR"/>
        </w:rPr>
        <w:t xml:space="preserve"> cette </w:t>
      </w:r>
      <w:r w:rsidR="002B0ADE" w:rsidRPr="00953692">
        <w:rPr>
          <w:sz w:val="24"/>
          <w:szCs w:val="24"/>
          <w:lang w:val="fr-FR"/>
        </w:rPr>
        <w:t>disposition,</w:t>
      </w:r>
      <w:r w:rsidR="00D65C27" w:rsidRPr="00953692">
        <w:rPr>
          <w:sz w:val="24"/>
          <w:szCs w:val="24"/>
          <w:lang w:val="fr-FR"/>
        </w:rPr>
        <w:t xml:space="preserve"> un suspect peut</w:t>
      </w:r>
      <w:r w:rsidR="002B0ADE" w:rsidRPr="00953692">
        <w:rPr>
          <w:sz w:val="24"/>
          <w:szCs w:val="24"/>
          <w:lang w:val="fr-FR"/>
        </w:rPr>
        <w:t xml:space="preserve"> bien</w:t>
      </w:r>
      <w:r w:rsidR="00D65C27" w:rsidRPr="00953692">
        <w:rPr>
          <w:sz w:val="24"/>
          <w:szCs w:val="24"/>
          <w:lang w:val="fr-FR"/>
        </w:rPr>
        <w:t xml:space="preserve"> faire </w:t>
      </w:r>
      <w:r w:rsidR="002B0ADE" w:rsidRPr="00953692">
        <w:rPr>
          <w:sz w:val="24"/>
          <w:szCs w:val="24"/>
          <w:lang w:val="fr-FR"/>
        </w:rPr>
        <w:t>l’</w:t>
      </w:r>
      <w:r w:rsidR="00D65C27" w:rsidRPr="00953692">
        <w:rPr>
          <w:sz w:val="24"/>
          <w:szCs w:val="24"/>
          <w:lang w:val="fr-FR"/>
        </w:rPr>
        <w:t>objet d’une convocation avec l’obligation de se présenter dans un délai minimal de cinq jours à dater de la délivrance de cet acte.</w:t>
      </w:r>
    </w:p>
    <w:p w14:paraId="3908EABE" w14:textId="43125154" w:rsidR="007F7138" w:rsidRPr="00953692" w:rsidRDefault="006F38E2" w:rsidP="00864BBF">
      <w:pPr>
        <w:spacing w:after="0" w:line="276" w:lineRule="auto"/>
        <w:ind w:firstLine="1134"/>
        <w:jc w:val="both"/>
        <w:rPr>
          <w:sz w:val="24"/>
          <w:szCs w:val="24"/>
          <w:lang w:val="fr-FR"/>
        </w:rPr>
      </w:pPr>
      <w:r w:rsidRPr="00953692">
        <w:rPr>
          <w:b/>
          <w:bCs/>
          <w:sz w:val="24"/>
          <w:szCs w:val="24"/>
          <w:lang w:val="fr-FR"/>
        </w:rPr>
        <w:t>62</w:t>
      </w:r>
      <w:r w:rsidR="00B517CE" w:rsidRPr="00953692">
        <w:rPr>
          <w:b/>
          <w:bCs/>
          <w:sz w:val="24"/>
          <w:szCs w:val="24"/>
          <w:lang w:val="fr-FR"/>
        </w:rPr>
        <w:t>.</w:t>
      </w:r>
      <w:r w:rsidR="00B517CE" w:rsidRPr="00953692">
        <w:rPr>
          <w:sz w:val="24"/>
          <w:szCs w:val="24"/>
          <w:lang w:val="fr-FR"/>
        </w:rPr>
        <w:t xml:space="preserve"> </w:t>
      </w:r>
      <w:r w:rsidR="00661F58" w:rsidRPr="00953692">
        <w:rPr>
          <w:sz w:val="24"/>
          <w:szCs w:val="24"/>
          <w:lang w:val="fr-FR"/>
        </w:rPr>
        <w:t>La convocation devant la CPI prend</w:t>
      </w:r>
      <w:r w:rsidR="00CE57A3" w:rsidRPr="00953692">
        <w:rPr>
          <w:sz w:val="24"/>
          <w:szCs w:val="24"/>
          <w:lang w:val="fr-FR"/>
        </w:rPr>
        <w:t>ra au</w:t>
      </w:r>
      <w:r w:rsidR="0050232D" w:rsidRPr="00953692">
        <w:rPr>
          <w:sz w:val="24"/>
          <w:szCs w:val="24"/>
          <w:lang w:val="fr-FR"/>
        </w:rPr>
        <w:t>ssi</w:t>
      </w:r>
      <w:r w:rsidR="00661F58" w:rsidRPr="00953692">
        <w:rPr>
          <w:sz w:val="24"/>
          <w:szCs w:val="24"/>
          <w:lang w:val="fr-FR"/>
        </w:rPr>
        <w:t xml:space="preserve"> la forme d’une citation à comparaitre</w:t>
      </w:r>
      <w:r w:rsidR="00F20633" w:rsidRPr="00953692">
        <w:rPr>
          <w:sz w:val="24"/>
          <w:szCs w:val="24"/>
          <w:lang w:val="fr-FR"/>
        </w:rPr>
        <w:t xml:space="preserve"> telle que</w:t>
      </w:r>
      <w:r w:rsidR="000274BD" w:rsidRPr="00953692">
        <w:rPr>
          <w:sz w:val="24"/>
          <w:szCs w:val="24"/>
          <w:lang w:val="fr-FR"/>
        </w:rPr>
        <w:t xml:space="preserve"> le</w:t>
      </w:r>
      <w:r w:rsidR="00F20633" w:rsidRPr="00953692">
        <w:rPr>
          <w:sz w:val="24"/>
          <w:szCs w:val="24"/>
          <w:lang w:val="fr-FR"/>
        </w:rPr>
        <w:t xml:space="preserve"> prévoit le</w:t>
      </w:r>
      <w:r w:rsidR="000274BD" w:rsidRPr="00953692">
        <w:rPr>
          <w:sz w:val="24"/>
          <w:szCs w:val="24"/>
          <w:lang w:val="fr-FR"/>
        </w:rPr>
        <w:t xml:space="preserve"> </w:t>
      </w:r>
      <w:r w:rsidR="00F20633" w:rsidRPr="00953692">
        <w:rPr>
          <w:sz w:val="24"/>
          <w:szCs w:val="24"/>
          <w:lang w:val="fr-FR"/>
        </w:rPr>
        <w:t>paragraphe</w:t>
      </w:r>
      <w:r w:rsidR="000274BD" w:rsidRPr="00953692">
        <w:rPr>
          <w:sz w:val="24"/>
          <w:szCs w:val="24"/>
          <w:lang w:val="fr-FR"/>
        </w:rPr>
        <w:t xml:space="preserve"> 7 de l’article 58 du statut de Rome</w:t>
      </w:r>
      <w:r w:rsidR="00757203" w:rsidRPr="00953692">
        <w:rPr>
          <w:sz w:val="24"/>
          <w:szCs w:val="24"/>
          <w:lang w:val="fr-FR"/>
        </w:rPr>
        <w:t>,</w:t>
      </w:r>
      <w:r w:rsidR="00F20633" w:rsidRPr="00953692">
        <w:rPr>
          <w:sz w:val="24"/>
          <w:szCs w:val="24"/>
          <w:lang w:val="fr-FR"/>
        </w:rPr>
        <w:t xml:space="preserve"> qui</w:t>
      </w:r>
      <w:r w:rsidR="000274BD" w:rsidRPr="00953692">
        <w:rPr>
          <w:sz w:val="24"/>
          <w:szCs w:val="24"/>
          <w:lang w:val="fr-FR"/>
        </w:rPr>
        <w:t xml:space="preserve"> offre au procureur la possibilité de demander à la Chambre préliminaire </w:t>
      </w:r>
      <w:r w:rsidR="007F7138" w:rsidRPr="00953692">
        <w:rPr>
          <w:sz w:val="24"/>
          <w:szCs w:val="24"/>
          <w:lang w:val="fr-FR"/>
        </w:rPr>
        <w:t>cette</w:t>
      </w:r>
      <w:r w:rsidR="000274BD" w:rsidRPr="00953692">
        <w:rPr>
          <w:sz w:val="24"/>
          <w:szCs w:val="24"/>
          <w:lang w:val="fr-FR"/>
        </w:rPr>
        <w:t xml:space="preserve"> citation à comparaitre, si celle-ci aura suffi à garantir la présence du suspect devant la Cour</w:t>
      </w:r>
      <w:r w:rsidR="00757203" w:rsidRPr="00953692">
        <w:rPr>
          <w:sz w:val="24"/>
          <w:szCs w:val="24"/>
          <w:lang w:val="fr-FR"/>
        </w:rPr>
        <w:t>,</w:t>
      </w:r>
      <w:r w:rsidR="002B0ADE" w:rsidRPr="00953692">
        <w:rPr>
          <w:sz w:val="24"/>
          <w:szCs w:val="24"/>
          <w:lang w:val="fr-FR"/>
        </w:rPr>
        <w:t xml:space="preserve"> et l</w:t>
      </w:r>
      <w:r w:rsidR="000274BD" w:rsidRPr="00953692">
        <w:rPr>
          <w:sz w:val="24"/>
          <w:szCs w:val="24"/>
          <w:lang w:val="fr-FR"/>
        </w:rPr>
        <w:t xml:space="preserve">a Chambre préliminaire </w:t>
      </w:r>
      <w:r w:rsidR="002B0ADE" w:rsidRPr="00953692">
        <w:rPr>
          <w:sz w:val="24"/>
          <w:szCs w:val="24"/>
          <w:lang w:val="fr-FR"/>
        </w:rPr>
        <w:t xml:space="preserve">en </w:t>
      </w:r>
      <w:r w:rsidR="000274BD" w:rsidRPr="00953692">
        <w:rPr>
          <w:sz w:val="24"/>
          <w:szCs w:val="24"/>
          <w:lang w:val="fr-FR"/>
        </w:rPr>
        <w:t xml:space="preserve">apprécie. </w:t>
      </w:r>
      <w:r w:rsidR="0073412A" w:rsidRPr="00953692">
        <w:rPr>
          <w:rStyle w:val="grammar"/>
          <w:rFonts w:cs="Times New Roman"/>
          <w:sz w:val="24"/>
          <w:szCs w:val="24"/>
          <w:lang w:val="fr-FR"/>
        </w:rPr>
        <w:t>À</w:t>
      </w:r>
      <w:r w:rsidR="002B0ADE" w:rsidRPr="00953692">
        <w:rPr>
          <w:sz w:val="24"/>
          <w:szCs w:val="24"/>
          <w:lang w:val="fr-FR"/>
        </w:rPr>
        <w:t xml:space="preserve"> l</w:t>
      </w:r>
      <w:r w:rsidR="000274BD" w:rsidRPr="00953692">
        <w:rPr>
          <w:sz w:val="24"/>
          <w:szCs w:val="24"/>
          <w:lang w:val="fr-FR"/>
        </w:rPr>
        <w:t xml:space="preserve">a différence, </w:t>
      </w:r>
      <w:r w:rsidR="002B0ADE" w:rsidRPr="00953692">
        <w:rPr>
          <w:sz w:val="24"/>
          <w:szCs w:val="24"/>
          <w:lang w:val="fr-FR"/>
        </w:rPr>
        <w:t>du</w:t>
      </w:r>
      <w:r w:rsidR="000274BD" w:rsidRPr="00953692">
        <w:rPr>
          <w:sz w:val="24"/>
          <w:szCs w:val="24"/>
          <w:lang w:val="fr-FR"/>
        </w:rPr>
        <w:t xml:space="preserve"> mandat d’arrêt</w:t>
      </w:r>
      <w:r w:rsidR="002B0ADE" w:rsidRPr="00953692">
        <w:rPr>
          <w:sz w:val="24"/>
          <w:szCs w:val="24"/>
          <w:lang w:val="fr-FR"/>
        </w:rPr>
        <w:t xml:space="preserve"> qui</w:t>
      </w:r>
      <w:r w:rsidR="000274BD" w:rsidRPr="00953692">
        <w:rPr>
          <w:sz w:val="24"/>
          <w:szCs w:val="24"/>
          <w:lang w:val="fr-FR"/>
        </w:rPr>
        <w:t xml:space="preserve"> exige l’arrestation du suspect à la demande de la Cour</w:t>
      </w:r>
      <w:r w:rsidR="00757203" w:rsidRPr="00953692">
        <w:rPr>
          <w:rStyle w:val="Appelnotedebasdep"/>
          <w:sz w:val="24"/>
          <w:szCs w:val="24"/>
          <w:lang w:val="fr-FR"/>
        </w:rPr>
        <w:footnoteReference w:customMarkFollows="1" w:id="57"/>
        <w:t>37</w:t>
      </w:r>
      <w:r w:rsidR="000274BD" w:rsidRPr="00953692">
        <w:rPr>
          <w:sz w:val="24"/>
          <w:szCs w:val="24"/>
          <w:lang w:val="fr-FR"/>
        </w:rPr>
        <w:t>, la citation à comparaitre laisse</w:t>
      </w:r>
      <w:r w:rsidR="002B0ADE" w:rsidRPr="00953692">
        <w:rPr>
          <w:sz w:val="24"/>
          <w:szCs w:val="24"/>
          <w:lang w:val="fr-FR"/>
        </w:rPr>
        <w:t xml:space="preserve"> ce dernier</w:t>
      </w:r>
      <w:r w:rsidR="000274BD" w:rsidRPr="00953692">
        <w:rPr>
          <w:sz w:val="24"/>
          <w:szCs w:val="24"/>
          <w:lang w:val="fr-FR"/>
        </w:rPr>
        <w:t xml:space="preserve"> comparaitre</w:t>
      </w:r>
      <w:r w:rsidR="009831E1" w:rsidRPr="00953692">
        <w:rPr>
          <w:sz w:val="24"/>
          <w:szCs w:val="24"/>
          <w:lang w:val="fr-FR"/>
        </w:rPr>
        <w:t xml:space="preserve"> devant la Cour</w:t>
      </w:r>
      <w:r w:rsidR="000274BD" w:rsidRPr="00953692">
        <w:rPr>
          <w:sz w:val="24"/>
          <w:szCs w:val="24"/>
          <w:lang w:val="fr-FR"/>
        </w:rPr>
        <w:t xml:space="preserve"> en toute liberté sans une quelconque arrestation ou détention préalable.</w:t>
      </w:r>
    </w:p>
    <w:p w14:paraId="57F69A85" w14:textId="3E8563FB" w:rsidR="00494AAF" w:rsidRPr="00953692" w:rsidRDefault="006F38E2" w:rsidP="00864BBF">
      <w:pPr>
        <w:spacing w:after="0" w:line="276" w:lineRule="auto"/>
        <w:ind w:firstLine="1134"/>
        <w:jc w:val="both"/>
        <w:rPr>
          <w:sz w:val="24"/>
          <w:szCs w:val="24"/>
          <w:lang w:val="fr-FR"/>
        </w:rPr>
      </w:pPr>
      <w:r w:rsidRPr="00953692">
        <w:rPr>
          <w:b/>
          <w:bCs/>
          <w:sz w:val="24"/>
          <w:szCs w:val="24"/>
          <w:lang w:val="fr-FR"/>
        </w:rPr>
        <w:t>63</w:t>
      </w:r>
      <w:r w:rsidR="007F7138" w:rsidRPr="00953692">
        <w:rPr>
          <w:b/>
          <w:bCs/>
          <w:sz w:val="24"/>
          <w:szCs w:val="24"/>
          <w:lang w:val="fr-FR"/>
        </w:rPr>
        <w:t>.</w:t>
      </w:r>
      <w:r w:rsidR="007F7138" w:rsidRPr="00953692">
        <w:rPr>
          <w:sz w:val="24"/>
          <w:szCs w:val="24"/>
          <w:lang w:val="fr-FR"/>
        </w:rPr>
        <w:t xml:space="preserve"> </w:t>
      </w:r>
      <w:r w:rsidR="0073412A" w:rsidRPr="00953692">
        <w:rPr>
          <w:sz w:val="24"/>
          <w:szCs w:val="24"/>
          <w:lang w:val="fr-FR"/>
        </w:rPr>
        <w:t>Contrairement</w:t>
      </w:r>
      <w:r w:rsidR="00B517CE" w:rsidRPr="00953692">
        <w:rPr>
          <w:sz w:val="24"/>
          <w:szCs w:val="24"/>
          <w:lang w:val="fr-FR"/>
        </w:rPr>
        <w:t xml:space="preserve"> </w:t>
      </w:r>
      <w:r w:rsidR="0073412A" w:rsidRPr="00953692">
        <w:rPr>
          <w:sz w:val="24"/>
          <w:szCs w:val="24"/>
          <w:lang w:val="fr-FR"/>
        </w:rPr>
        <w:t>aux</w:t>
      </w:r>
      <w:r w:rsidR="00B517CE" w:rsidRPr="00953692">
        <w:rPr>
          <w:sz w:val="24"/>
          <w:szCs w:val="24"/>
          <w:lang w:val="fr-FR"/>
        </w:rPr>
        <w:t xml:space="preserve"> Procureurs des TPI, le Procureur de la CPI n’a pas cette liberté de convoquer ou de citer directement un accusé sans passer par la Chambre préliminaire. Et, il ne s’agit pas d’une simple formalité, car il devra</w:t>
      </w:r>
      <w:r w:rsidR="001B2180" w:rsidRPr="00953692">
        <w:rPr>
          <w:sz w:val="24"/>
          <w:szCs w:val="24"/>
          <w:lang w:val="fr-FR"/>
        </w:rPr>
        <w:t xml:space="preserve"> convaincre la Chambre préliminaire</w:t>
      </w:r>
      <w:r w:rsidR="00C1146D" w:rsidRPr="00953692">
        <w:rPr>
          <w:sz w:val="24"/>
          <w:szCs w:val="24"/>
          <w:lang w:val="fr-FR"/>
        </w:rPr>
        <w:t xml:space="preserve"> du fait</w:t>
      </w:r>
      <w:r w:rsidR="001B2180" w:rsidRPr="00953692">
        <w:rPr>
          <w:sz w:val="24"/>
          <w:szCs w:val="24"/>
          <w:lang w:val="fr-FR"/>
        </w:rPr>
        <w:t xml:space="preserve"> </w:t>
      </w:r>
      <w:r w:rsidR="001B2180" w:rsidRPr="00953692">
        <w:rPr>
          <w:i/>
          <w:iCs/>
          <w:sz w:val="24"/>
          <w:szCs w:val="24"/>
          <w:lang w:val="fr-FR"/>
        </w:rPr>
        <w:t>qu’il y a des motifs raisonnables de croire que la personne dont objet a commis un crime relevant de la compétence de la Cour et que son arrestation est nécessaire pour l’enquête ou la procédure devant la Cour</w:t>
      </w:r>
      <w:r w:rsidR="001B2180" w:rsidRPr="00953692">
        <w:rPr>
          <w:sz w:val="24"/>
          <w:szCs w:val="24"/>
          <w:lang w:val="fr-FR"/>
        </w:rPr>
        <w:t xml:space="preserve">. </w:t>
      </w:r>
      <w:r w:rsidR="001A5BC9" w:rsidRPr="00953692">
        <w:rPr>
          <w:sz w:val="24"/>
          <w:szCs w:val="24"/>
          <w:lang w:val="fr-FR"/>
        </w:rPr>
        <w:t>On est ici, contrairement à la convocation</w:t>
      </w:r>
      <w:r w:rsidR="00B517CE" w:rsidRPr="00953692">
        <w:rPr>
          <w:sz w:val="24"/>
          <w:szCs w:val="24"/>
          <w:lang w:val="fr-FR"/>
        </w:rPr>
        <w:t>, presqu’</w:t>
      </w:r>
      <w:r w:rsidR="00B9543A" w:rsidRPr="00953692">
        <w:rPr>
          <w:sz w:val="24"/>
          <w:szCs w:val="24"/>
          <w:lang w:val="fr-FR"/>
        </w:rPr>
        <w:t xml:space="preserve">au stade de l’inculpation, à en croire les conditions fixées par les </w:t>
      </w:r>
      <w:r w:rsidR="006F37D9" w:rsidRPr="00953692">
        <w:rPr>
          <w:sz w:val="24"/>
          <w:szCs w:val="24"/>
          <w:lang w:val="fr-FR"/>
        </w:rPr>
        <w:t>dispositions de cet article 58</w:t>
      </w:r>
      <w:r w:rsidR="00B9543A" w:rsidRPr="00953692">
        <w:rPr>
          <w:sz w:val="24"/>
          <w:szCs w:val="24"/>
          <w:lang w:val="fr-FR"/>
        </w:rPr>
        <w:t>.</w:t>
      </w:r>
      <w:r w:rsidR="00F92CA0" w:rsidRPr="00953692">
        <w:rPr>
          <w:sz w:val="24"/>
          <w:szCs w:val="24"/>
          <w:lang w:val="fr-FR"/>
        </w:rPr>
        <w:t xml:space="preserve"> Un tel système a l’avantage d’éviter à la Cour une procédure banale d’autant plus qu’elle n’a que des ressources très limitées face aux défis qui sont les tiens.</w:t>
      </w:r>
      <w:r w:rsidR="00D307A1" w:rsidRPr="00953692">
        <w:rPr>
          <w:sz w:val="24"/>
          <w:szCs w:val="24"/>
          <w:lang w:val="fr-FR"/>
        </w:rPr>
        <w:t xml:space="preserve"> A vrai dire, une convocation ou arrestation moins fondée risque de couter cher à la Cour, notamment son temps.</w:t>
      </w:r>
    </w:p>
    <w:p w14:paraId="2B4E7002" w14:textId="76169837" w:rsidR="006F37D9" w:rsidRPr="00953692" w:rsidRDefault="006F38E2" w:rsidP="00864BBF">
      <w:pPr>
        <w:spacing w:after="0" w:line="276" w:lineRule="auto"/>
        <w:ind w:firstLine="1134"/>
        <w:jc w:val="both"/>
        <w:rPr>
          <w:sz w:val="24"/>
          <w:szCs w:val="24"/>
          <w:lang w:val="fr-FR"/>
        </w:rPr>
      </w:pPr>
      <w:r w:rsidRPr="00953692">
        <w:rPr>
          <w:b/>
          <w:bCs/>
          <w:sz w:val="24"/>
          <w:szCs w:val="24"/>
          <w:lang w:val="fr-FR"/>
        </w:rPr>
        <w:t>64</w:t>
      </w:r>
      <w:r w:rsidR="00C1146D" w:rsidRPr="00953692">
        <w:rPr>
          <w:b/>
          <w:bCs/>
          <w:sz w:val="24"/>
          <w:szCs w:val="24"/>
          <w:lang w:val="fr-FR"/>
        </w:rPr>
        <w:t>.</w:t>
      </w:r>
      <w:r w:rsidR="00C1146D" w:rsidRPr="00953692">
        <w:rPr>
          <w:sz w:val="24"/>
          <w:szCs w:val="24"/>
          <w:lang w:val="fr-FR"/>
        </w:rPr>
        <w:t xml:space="preserve"> </w:t>
      </w:r>
      <w:r w:rsidR="006F37D9" w:rsidRPr="00953692">
        <w:rPr>
          <w:sz w:val="24"/>
          <w:szCs w:val="24"/>
          <w:lang w:val="fr-FR"/>
        </w:rPr>
        <w:t>Si le suspect n’</w:t>
      </w:r>
      <w:r w:rsidR="001466DB" w:rsidRPr="00953692">
        <w:rPr>
          <w:sz w:val="24"/>
          <w:szCs w:val="24"/>
          <w:lang w:val="fr-FR"/>
        </w:rPr>
        <w:t>a</w:t>
      </w:r>
      <w:r w:rsidR="006F37D9" w:rsidRPr="00953692">
        <w:rPr>
          <w:sz w:val="24"/>
          <w:szCs w:val="24"/>
          <w:lang w:val="fr-FR"/>
        </w:rPr>
        <w:t xml:space="preserve"> pas </w:t>
      </w:r>
      <w:r w:rsidR="001466DB" w:rsidRPr="00953692">
        <w:rPr>
          <w:sz w:val="24"/>
          <w:szCs w:val="24"/>
          <w:lang w:val="fr-FR"/>
        </w:rPr>
        <w:t xml:space="preserve">été </w:t>
      </w:r>
      <w:r w:rsidR="006F37D9" w:rsidRPr="00953692">
        <w:rPr>
          <w:sz w:val="24"/>
          <w:szCs w:val="24"/>
          <w:lang w:val="fr-FR"/>
        </w:rPr>
        <w:t xml:space="preserve">préalablement convoqué, il pourrait dans ce cas faire objet d’un mandat d’arrêt. </w:t>
      </w:r>
      <w:r w:rsidR="00F0006E" w:rsidRPr="00953692">
        <w:rPr>
          <w:sz w:val="24"/>
          <w:szCs w:val="24"/>
          <w:lang w:val="fr-FR"/>
        </w:rPr>
        <w:t>Devant les TPI,</w:t>
      </w:r>
      <w:r w:rsidR="006F37D9" w:rsidRPr="00953692">
        <w:rPr>
          <w:sz w:val="24"/>
          <w:szCs w:val="24"/>
          <w:lang w:val="fr-FR"/>
        </w:rPr>
        <w:t xml:space="preserve"> </w:t>
      </w:r>
      <w:r w:rsidR="00F0006E" w:rsidRPr="00953692">
        <w:rPr>
          <w:sz w:val="24"/>
          <w:szCs w:val="24"/>
          <w:lang w:val="fr-FR"/>
        </w:rPr>
        <w:t>y compris le TSSL</w:t>
      </w:r>
      <w:r w:rsidR="00DA3814" w:rsidRPr="00953692">
        <w:rPr>
          <w:sz w:val="24"/>
          <w:szCs w:val="24"/>
          <w:lang w:val="fr-FR"/>
        </w:rPr>
        <w:t>,</w:t>
      </w:r>
      <w:r w:rsidR="00E776A4" w:rsidRPr="00953692">
        <w:rPr>
          <w:sz w:val="24"/>
          <w:szCs w:val="24"/>
          <w:lang w:val="fr-FR"/>
        </w:rPr>
        <w:t xml:space="preserve"> le mandat d’arrêt a </w:t>
      </w:r>
      <w:r w:rsidR="00E776A4" w:rsidRPr="00953692">
        <w:rPr>
          <w:sz w:val="24"/>
          <w:szCs w:val="24"/>
          <w:lang w:val="fr-FR"/>
        </w:rPr>
        <w:lastRenderedPageBreak/>
        <w:t xml:space="preserve">été le principal acte qui permettait aux suspects d’entrer en contact avec le tribunal. </w:t>
      </w:r>
      <w:r w:rsidR="006F37D9" w:rsidRPr="00953692">
        <w:rPr>
          <w:sz w:val="24"/>
          <w:szCs w:val="24"/>
          <w:lang w:val="fr-FR"/>
        </w:rPr>
        <w:t>Ce mandat signifi</w:t>
      </w:r>
      <w:r w:rsidR="00C1146D" w:rsidRPr="00953692">
        <w:rPr>
          <w:sz w:val="24"/>
          <w:szCs w:val="24"/>
          <w:lang w:val="fr-FR"/>
        </w:rPr>
        <w:t>e</w:t>
      </w:r>
      <w:r w:rsidR="006F37D9" w:rsidRPr="00953692">
        <w:rPr>
          <w:sz w:val="24"/>
          <w:szCs w:val="24"/>
          <w:lang w:val="fr-FR"/>
        </w:rPr>
        <w:t xml:space="preserve"> que l’acte d’accusation établi par le procureur a été confirmé</w:t>
      </w:r>
      <w:r w:rsidR="00356A22" w:rsidRPr="00953692">
        <w:rPr>
          <w:sz w:val="24"/>
          <w:szCs w:val="24"/>
          <w:lang w:val="fr-FR"/>
        </w:rPr>
        <w:t xml:space="preserve"> lors d’une procédure </w:t>
      </w:r>
      <w:r w:rsidR="00356A22" w:rsidRPr="00953692">
        <w:rPr>
          <w:i/>
          <w:iCs/>
          <w:sz w:val="24"/>
          <w:szCs w:val="24"/>
          <w:lang w:val="fr-FR"/>
        </w:rPr>
        <w:t>ex parte</w:t>
      </w:r>
      <w:r w:rsidR="005A0ABF" w:rsidRPr="00953692">
        <w:rPr>
          <w:rStyle w:val="Appelnotedebasdep"/>
          <w:sz w:val="24"/>
          <w:szCs w:val="24"/>
          <w:lang w:val="fr-FR"/>
        </w:rPr>
        <w:footnoteReference w:customMarkFollows="1" w:id="58"/>
        <w:t>38</w:t>
      </w:r>
      <w:r w:rsidR="00757203" w:rsidRPr="00953692">
        <w:rPr>
          <w:sz w:val="24"/>
          <w:szCs w:val="24"/>
          <w:lang w:val="fr-FR"/>
        </w:rPr>
        <w:t>, et l</w:t>
      </w:r>
      <w:r w:rsidR="006F37D9" w:rsidRPr="00953692">
        <w:rPr>
          <w:sz w:val="24"/>
          <w:szCs w:val="24"/>
          <w:lang w:val="fr-FR"/>
        </w:rPr>
        <w:t xml:space="preserve">a personne qui en </w:t>
      </w:r>
      <w:r w:rsidR="00757203" w:rsidRPr="00953692">
        <w:rPr>
          <w:sz w:val="24"/>
          <w:szCs w:val="24"/>
          <w:lang w:val="fr-FR"/>
        </w:rPr>
        <w:t>fait</w:t>
      </w:r>
      <w:r w:rsidR="006F37D9" w:rsidRPr="00953692">
        <w:rPr>
          <w:sz w:val="24"/>
          <w:szCs w:val="24"/>
          <w:lang w:val="fr-FR"/>
        </w:rPr>
        <w:t xml:space="preserve"> l’objet n’est plus suspect, mais</w:t>
      </w:r>
      <w:r w:rsidR="00757203" w:rsidRPr="00953692">
        <w:rPr>
          <w:sz w:val="24"/>
          <w:szCs w:val="24"/>
          <w:lang w:val="fr-FR"/>
        </w:rPr>
        <w:t xml:space="preserve"> plutôt</w:t>
      </w:r>
      <w:r w:rsidR="006F37D9" w:rsidRPr="00953692">
        <w:rPr>
          <w:sz w:val="24"/>
          <w:szCs w:val="24"/>
          <w:lang w:val="fr-FR"/>
        </w:rPr>
        <w:t xml:space="preserve"> accusé</w:t>
      </w:r>
      <w:r w:rsidR="00757203" w:rsidRPr="00953692">
        <w:rPr>
          <w:sz w:val="24"/>
          <w:szCs w:val="24"/>
          <w:lang w:val="fr-FR"/>
        </w:rPr>
        <w:t xml:space="preserve"> (inculpé)</w:t>
      </w:r>
      <w:r w:rsidR="006F37D9" w:rsidRPr="00953692">
        <w:rPr>
          <w:sz w:val="24"/>
          <w:szCs w:val="24"/>
          <w:lang w:val="fr-FR"/>
        </w:rPr>
        <w:t xml:space="preserve">. </w:t>
      </w:r>
      <w:r w:rsidR="008570DE" w:rsidRPr="00953692">
        <w:rPr>
          <w:sz w:val="24"/>
          <w:szCs w:val="24"/>
          <w:lang w:val="fr-FR"/>
        </w:rPr>
        <w:t xml:space="preserve">Conformément à l’article 55 du RPP des TPI, le mandat d’arrêt est signifié à personne et il est accompagné d’autres documents dont l’acte d’accusation. Ceci contient en effet les chefs d’accusation qui a été confirmé par le juge. Ainsi, </w:t>
      </w:r>
      <w:r w:rsidR="001466DB" w:rsidRPr="00953692">
        <w:rPr>
          <w:sz w:val="24"/>
          <w:szCs w:val="24"/>
          <w:lang w:val="fr-FR"/>
        </w:rPr>
        <w:t xml:space="preserve">nous verrons plus loin que </w:t>
      </w:r>
      <w:r w:rsidR="008570DE" w:rsidRPr="00953692">
        <w:rPr>
          <w:sz w:val="24"/>
          <w:szCs w:val="24"/>
          <w:lang w:val="fr-FR"/>
        </w:rPr>
        <w:t>l’accusé devra avoir connaissance des accusations portées contre lui.</w:t>
      </w:r>
      <w:r w:rsidR="00B573B6" w:rsidRPr="00953692">
        <w:rPr>
          <w:sz w:val="24"/>
          <w:szCs w:val="24"/>
          <w:lang w:val="fr-FR"/>
        </w:rPr>
        <w:t xml:space="preserve"> Cet article 55 précise au point C que le greffier donne instruction aux autorités nationales de notifier à l’accusé ces documents et de l’informer dans la langue qu’il comprend.</w:t>
      </w:r>
    </w:p>
    <w:p w14:paraId="0D5CE9BB" w14:textId="0BDF9B21" w:rsidR="00996FA0" w:rsidRPr="00953692" w:rsidRDefault="006F38E2" w:rsidP="00864BBF">
      <w:pPr>
        <w:spacing w:after="0" w:line="276" w:lineRule="auto"/>
        <w:ind w:firstLine="1134"/>
        <w:jc w:val="both"/>
        <w:rPr>
          <w:sz w:val="24"/>
          <w:szCs w:val="24"/>
          <w:lang w:val="fr-FR"/>
        </w:rPr>
      </w:pPr>
      <w:r w:rsidRPr="00953692">
        <w:rPr>
          <w:b/>
          <w:bCs/>
          <w:sz w:val="24"/>
          <w:szCs w:val="24"/>
          <w:lang w:val="fr-FR"/>
        </w:rPr>
        <w:t>65</w:t>
      </w:r>
      <w:r w:rsidR="006F501D" w:rsidRPr="00953692">
        <w:rPr>
          <w:b/>
          <w:bCs/>
          <w:sz w:val="24"/>
          <w:szCs w:val="24"/>
          <w:lang w:val="fr-FR"/>
        </w:rPr>
        <w:t>.</w:t>
      </w:r>
      <w:r w:rsidR="006F501D" w:rsidRPr="00953692">
        <w:rPr>
          <w:sz w:val="24"/>
          <w:szCs w:val="24"/>
          <w:lang w:val="fr-FR"/>
        </w:rPr>
        <w:t xml:space="preserve"> </w:t>
      </w:r>
      <w:r w:rsidR="00CE7B6D" w:rsidRPr="00953692">
        <w:rPr>
          <w:sz w:val="24"/>
          <w:szCs w:val="24"/>
          <w:lang w:val="fr-FR"/>
        </w:rPr>
        <w:t>Devant la CPI, la logique reste la même. L’</w:t>
      </w:r>
      <w:r w:rsidR="00996FA0" w:rsidRPr="00953692">
        <w:rPr>
          <w:rFonts w:cs="Times New Roman"/>
          <w:sz w:val="24"/>
          <w:szCs w:val="24"/>
          <w:lang w:val="fr-FR"/>
        </w:rPr>
        <w:t xml:space="preserve">article </w:t>
      </w:r>
      <w:r w:rsidR="00147591" w:rsidRPr="00953692">
        <w:rPr>
          <w:rFonts w:cs="Times New Roman"/>
          <w:sz w:val="24"/>
          <w:szCs w:val="24"/>
          <w:lang w:val="fr-FR"/>
        </w:rPr>
        <w:t>59.2</w:t>
      </w:r>
      <w:r w:rsidR="00CE7B6D" w:rsidRPr="00953692">
        <w:rPr>
          <w:rFonts w:cs="Times New Roman"/>
          <w:sz w:val="24"/>
          <w:szCs w:val="24"/>
          <w:lang w:val="fr-FR"/>
        </w:rPr>
        <w:t xml:space="preserve"> du statut de Rome prévoit</w:t>
      </w:r>
      <w:r w:rsidR="00147591" w:rsidRPr="00953692">
        <w:rPr>
          <w:rFonts w:cs="Times New Roman"/>
          <w:sz w:val="24"/>
          <w:szCs w:val="24"/>
          <w:lang w:val="fr-FR"/>
        </w:rPr>
        <w:t xml:space="preserve"> que « </w:t>
      </w:r>
      <w:r w:rsidR="00147591" w:rsidRPr="00953692">
        <w:rPr>
          <w:rFonts w:cs="Times New Roman"/>
          <w:i/>
          <w:iCs/>
          <w:sz w:val="24"/>
          <w:szCs w:val="24"/>
          <w:lang w:val="fr-FR"/>
        </w:rPr>
        <w:t>toute personne arrêtée est déférée aussitôt à l'autorité judiciaire compétente de l'État de détention qui vérifie, conformément à la législation de cet État, notamment que ses droits ont été respectés</w:t>
      </w:r>
      <w:r w:rsidR="00147591" w:rsidRPr="00953692">
        <w:rPr>
          <w:rFonts w:cs="Times New Roman"/>
          <w:sz w:val="24"/>
          <w:szCs w:val="24"/>
          <w:lang w:val="fr-FR"/>
        </w:rPr>
        <w:t> », parmi lesquels</w:t>
      </w:r>
      <w:r w:rsidR="00CE7B6D" w:rsidRPr="00953692">
        <w:rPr>
          <w:rFonts w:cs="Times New Roman"/>
          <w:sz w:val="24"/>
          <w:szCs w:val="24"/>
          <w:lang w:val="fr-FR"/>
        </w:rPr>
        <w:t>,</w:t>
      </w:r>
      <w:r w:rsidR="00147591" w:rsidRPr="00953692">
        <w:rPr>
          <w:rFonts w:cs="Times New Roman"/>
          <w:sz w:val="24"/>
          <w:szCs w:val="24"/>
          <w:lang w:val="fr-FR"/>
        </w:rPr>
        <w:t xml:space="preserve"> le droit d’être informé des motifs de son arrestation. </w:t>
      </w:r>
      <w:r w:rsidR="00CE7B6D" w:rsidRPr="00953692">
        <w:rPr>
          <w:rFonts w:cs="Times New Roman"/>
          <w:sz w:val="24"/>
          <w:szCs w:val="24"/>
          <w:lang w:val="fr-FR"/>
        </w:rPr>
        <w:t>Si</w:t>
      </w:r>
      <w:r w:rsidR="00DA3814" w:rsidRPr="00953692">
        <w:rPr>
          <w:rFonts w:cs="Times New Roman"/>
          <w:sz w:val="24"/>
          <w:szCs w:val="24"/>
          <w:lang w:val="fr-FR"/>
        </w:rPr>
        <w:t>,</w:t>
      </w:r>
      <w:r w:rsidR="00CE7B6D" w:rsidRPr="00953692">
        <w:rPr>
          <w:rFonts w:cs="Times New Roman"/>
          <w:sz w:val="24"/>
          <w:szCs w:val="24"/>
          <w:lang w:val="fr-FR"/>
        </w:rPr>
        <w:t xml:space="preserve"> en premier lieu, il appartient </w:t>
      </w:r>
      <w:r w:rsidR="00147591" w:rsidRPr="00953692">
        <w:rPr>
          <w:rFonts w:cs="Times New Roman"/>
          <w:sz w:val="24"/>
          <w:szCs w:val="24"/>
          <w:lang w:val="fr-FR"/>
        </w:rPr>
        <w:t>à l’Etat concerné d’assurer l’application de ce</w:t>
      </w:r>
      <w:r w:rsidR="0082459A" w:rsidRPr="00953692">
        <w:rPr>
          <w:rFonts w:cs="Times New Roman"/>
          <w:sz w:val="24"/>
          <w:szCs w:val="24"/>
          <w:lang w:val="fr-FR"/>
        </w:rPr>
        <w:t xml:space="preserve"> droit</w:t>
      </w:r>
      <w:r w:rsidR="005A0ABF" w:rsidRPr="00953692">
        <w:rPr>
          <w:rStyle w:val="Appelnotedebasdep"/>
          <w:rFonts w:cs="Times New Roman"/>
          <w:sz w:val="24"/>
          <w:szCs w:val="24"/>
          <w:lang w:val="fr-FR"/>
        </w:rPr>
        <w:footnoteReference w:customMarkFollows="1" w:id="59"/>
        <w:t>39</w:t>
      </w:r>
      <w:r w:rsidR="00CE7B6D" w:rsidRPr="00953692">
        <w:rPr>
          <w:rFonts w:cs="Times New Roman"/>
          <w:sz w:val="24"/>
          <w:szCs w:val="24"/>
          <w:lang w:val="fr-FR"/>
        </w:rPr>
        <w:t xml:space="preserve">, la </w:t>
      </w:r>
      <w:r w:rsidR="00F73C7E" w:rsidRPr="00953692">
        <w:rPr>
          <w:rFonts w:cs="Times New Roman"/>
          <w:sz w:val="24"/>
          <w:szCs w:val="24"/>
          <w:lang w:val="fr-FR"/>
        </w:rPr>
        <w:t>juridiction internationale ne devrait pas en rester irréprochablement indifférente</w:t>
      </w:r>
      <w:r w:rsidR="00147591" w:rsidRPr="00953692">
        <w:rPr>
          <w:rFonts w:cs="Times New Roman"/>
          <w:sz w:val="24"/>
          <w:szCs w:val="24"/>
          <w:lang w:val="fr-FR"/>
        </w:rPr>
        <w:t>.</w:t>
      </w:r>
      <w:r w:rsidR="00F73C7E" w:rsidRPr="00953692">
        <w:rPr>
          <w:rFonts w:cs="Times New Roman"/>
          <w:sz w:val="24"/>
          <w:szCs w:val="24"/>
          <w:lang w:val="fr-FR"/>
        </w:rPr>
        <w:t xml:space="preserve"> L</w:t>
      </w:r>
      <w:r w:rsidR="00996FA0" w:rsidRPr="00953692">
        <w:rPr>
          <w:rFonts w:cs="Times New Roman"/>
          <w:sz w:val="24"/>
          <w:szCs w:val="24"/>
          <w:lang w:val="fr-FR"/>
        </w:rPr>
        <w:t>a Chambre préliminaire</w:t>
      </w:r>
      <w:r w:rsidR="00147591" w:rsidRPr="00953692">
        <w:rPr>
          <w:rFonts w:cs="Times New Roman"/>
          <w:sz w:val="24"/>
          <w:szCs w:val="24"/>
          <w:lang w:val="fr-FR"/>
        </w:rPr>
        <w:t xml:space="preserve"> devra veiller à ce qu</w:t>
      </w:r>
      <w:r w:rsidR="00F73C7E" w:rsidRPr="00953692">
        <w:rPr>
          <w:rFonts w:cs="Times New Roman"/>
          <w:sz w:val="24"/>
          <w:szCs w:val="24"/>
          <w:lang w:val="fr-FR"/>
        </w:rPr>
        <w:t>e l’Etat d’arrestation s’acquitte de cette obligation.</w:t>
      </w:r>
      <w:r w:rsidR="00996FA0" w:rsidRPr="00953692">
        <w:rPr>
          <w:rFonts w:cs="Times New Roman"/>
          <w:sz w:val="24"/>
          <w:szCs w:val="24"/>
          <w:lang w:val="fr-FR"/>
        </w:rPr>
        <w:t xml:space="preserve"> </w:t>
      </w:r>
      <w:r w:rsidR="00F73C7E" w:rsidRPr="00953692">
        <w:rPr>
          <w:rFonts w:cs="Times New Roman"/>
          <w:sz w:val="24"/>
          <w:szCs w:val="24"/>
          <w:lang w:val="fr-FR"/>
        </w:rPr>
        <w:t>Car</w:t>
      </w:r>
      <w:r w:rsidR="00147591" w:rsidRPr="00953692">
        <w:rPr>
          <w:rFonts w:cs="Times New Roman"/>
          <w:sz w:val="24"/>
          <w:szCs w:val="24"/>
          <w:lang w:val="fr-FR"/>
        </w:rPr>
        <w:t xml:space="preserve"> après s’être informée de l’arrestation opérée à la suite d’une demande faite par elle en vertu de l’article 89 ou 92 du statut, </w:t>
      </w:r>
      <w:r w:rsidR="00F73C7E" w:rsidRPr="00953692">
        <w:rPr>
          <w:rFonts w:cs="Times New Roman"/>
          <w:sz w:val="24"/>
          <w:szCs w:val="24"/>
          <w:lang w:val="fr-FR"/>
        </w:rPr>
        <w:t xml:space="preserve">la Chambre préliminaire </w:t>
      </w:r>
      <w:r w:rsidR="00147591" w:rsidRPr="00953692">
        <w:rPr>
          <w:rFonts w:cs="Times New Roman"/>
          <w:sz w:val="24"/>
          <w:szCs w:val="24"/>
          <w:lang w:val="fr-FR"/>
        </w:rPr>
        <w:t>s’assure que la personne arrêtée reçoit copie du mandat d’arrêt délivré par la Chambre préliminaire</w:t>
      </w:r>
      <w:r w:rsidR="00757C57" w:rsidRPr="00953692">
        <w:rPr>
          <w:rFonts w:cs="Times New Roman"/>
          <w:sz w:val="24"/>
          <w:szCs w:val="24"/>
          <w:lang w:val="fr-FR"/>
        </w:rPr>
        <w:t xml:space="preserve"> en vertu de l’article 58 du statut</w:t>
      </w:r>
      <w:r w:rsidR="00147591" w:rsidRPr="00953692">
        <w:rPr>
          <w:rFonts w:cs="Times New Roman"/>
          <w:sz w:val="24"/>
          <w:szCs w:val="24"/>
          <w:lang w:val="fr-FR"/>
        </w:rPr>
        <w:t>, et tout autre document dans la langue qu</w:t>
      </w:r>
      <w:r w:rsidR="00F73C7E" w:rsidRPr="00953692">
        <w:rPr>
          <w:rFonts w:cs="Times New Roman"/>
          <w:sz w:val="24"/>
          <w:szCs w:val="24"/>
          <w:lang w:val="fr-FR"/>
        </w:rPr>
        <w:t>e celle-ci</w:t>
      </w:r>
      <w:r w:rsidR="00147591" w:rsidRPr="00953692">
        <w:rPr>
          <w:rFonts w:cs="Times New Roman"/>
          <w:sz w:val="24"/>
          <w:szCs w:val="24"/>
          <w:lang w:val="fr-FR"/>
        </w:rPr>
        <w:t xml:space="preserve"> comprend et parle parfaitement</w:t>
      </w:r>
      <w:r w:rsidR="005A0ABF" w:rsidRPr="00953692">
        <w:rPr>
          <w:rStyle w:val="Appelnotedebasdep"/>
          <w:rFonts w:cs="Times New Roman"/>
          <w:sz w:val="24"/>
          <w:szCs w:val="24"/>
          <w:lang w:val="fr-FR"/>
        </w:rPr>
        <w:footnoteReference w:customMarkFollows="1" w:id="60"/>
        <w:t>40</w:t>
      </w:r>
      <w:r w:rsidR="00147591" w:rsidRPr="00953692">
        <w:rPr>
          <w:rFonts w:cs="Times New Roman"/>
          <w:sz w:val="24"/>
          <w:szCs w:val="24"/>
          <w:lang w:val="fr-FR"/>
        </w:rPr>
        <w:t>.</w:t>
      </w:r>
    </w:p>
    <w:p w14:paraId="2F1FBC44" w14:textId="2B09E05C" w:rsidR="00F20633" w:rsidRPr="00953692" w:rsidRDefault="006F38E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66</w:t>
      </w:r>
      <w:r w:rsidR="008169AC" w:rsidRPr="00953692">
        <w:rPr>
          <w:rFonts w:cs="Times New Roman"/>
          <w:b/>
          <w:bCs/>
          <w:sz w:val="24"/>
          <w:szCs w:val="24"/>
          <w:lang w:val="fr-FR"/>
        </w:rPr>
        <w:t>.</w:t>
      </w:r>
      <w:r w:rsidR="008169AC" w:rsidRPr="00953692">
        <w:rPr>
          <w:rFonts w:cs="Times New Roman"/>
          <w:sz w:val="24"/>
          <w:szCs w:val="24"/>
          <w:lang w:val="fr-FR"/>
        </w:rPr>
        <w:t xml:space="preserve"> Remarquons attentivement que, c</w:t>
      </w:r>
      <w:r w:rsidR="00145ECD" w:rsidRPr="00953692">
        <w:rPr>
          <w:rFonts w:cs="Times New Roman"/>
          <w:sz w:val="24"/>
          <w:szCs w:val="24"/>
          <w:lang w:val="fr-FR"/>
        </w:rPr>
        <w:t>’est à ce moment précis que se réalise le droit à l’information des charges retenues contr</w:t>
      </w:r>
      <w:r w:rsidR="008169AC" w:rsidRPr="00953692">
        <w:rPr>
          <w:rFonts w:cs="Times New Roman"/>
          <w:sz w:val="24"/>
          <w:szCs w:val="24"/>
          <w:lang w:val="fr-FR"/>
        </w:rPr>
        <w:t>e</w:t>
      </w:r>
      <w:r w:rsidR="00145ECD" w:rsidRPr="00953692">
        <w:rPr>
          <w:rFonts w:cs="Times New Roman"/>
          <w:sz w:val="24"/>
          <w:szCs w:val="24"/>
          <w:lang w:val="fr-FR"/>
        </w:rPr>
        <w:t xml:space="preserve"> le suspect</w:t>
      </w:r>
      <w:r w:rsidR="00CB5FCC" w:rsidRPr="00953692">
        <w:rPr>
          <w:rFonts w:cs="Times New Roman"/>
          <w:sz w:val="24"/>
          <w:szCs w:val="24"/>
          <w:lang w:val="fr-FR"/>
        </w:rPr>
        <w:t>.</w:t>
      </w:r>
      <w:r w:rsidR="00920277" w:rsidRPr="00953692">
        <w:rPr>
          <w:rFonts w:cs="Times New Roman"/>
          <w:sz w:val="24"/>
          <w:szCs w:val="24"/>
          <w:lang w:val="fr-FR"/>
        </w:rPr>
        <w:t xml:space="preserve"> Cette</w:t>
      </w:r>
      <w:r w:rsidR="0001422E" w:rsidRPr="00953692">
        <w:rPr>
          <w:sz w:val="24"/>
          <w:szCs w:val="24"/>
          <w:lang w:val="fr-FR"/>
        </w:rPr>
        <w:t xml:space="preserve"> signification est en réalité censée fournir à la personne intéressée quelques informations relatives à la cause et à la nature des faits qui la sous-tendent. </w:t>
      </w:r>
      <w:r w:rsidR="006859F0" w:rsidRPr="00953692">
        <w:rPr>
          <w:sz w:val="24"/>
          <w:szCs w:val="24"/>
          <w:lang w:val="fr-FR"/>
        </w:rPr>
        <w:t xml:space="preserve">La Règle </w:t>
      </w:r>
      <w:r w:rsidR="007B5EA8" w:rsidRPr="00953692">
        <w:rPr>
          <w:sz w:val="24"/>
          <w:szCs w:val="24"/>
          <w:lang w:val="fr-FR"/>
        </w:rPr>
        <w:t>45 du Règlement des CETC précise clairement que les convocations, signées et revêtues du sceau de l’autorité compétente</w:t>
      </w:r>
      <w:r w:rsidR="00DA3814" w:rsidRPr="00953692">
        <w:rPr>
          <w:sz w:val="24"/>
          <w:szCs w:val="24"/>
          <w:lang w:val="fr-FR"/>
        </w:rPr>
        <w:t>,</w:t>
      </w:r>
      <w:r w:rsidR="007B5EA8" w:rsidRPr="00953692">
        <w:rPr>
          <w:sz w:val="24"/>
          <w:szCs w:val="24"/>
          <w:lang w:val="fr-FR"/>
        </w:rPr>
        <w:t xml:space="preserve"> contiennent les informations telles que « (…)</w:t>
      </w:r>
      <w:r w:rsidR="006859F0" w:rsidRPr="00953692">
        <w:rPr>
          <w:i/>
          <w:iCs/>
          <w:sz w:val="24"/>
          <w:szCs w:val="24"/>
          <w:lang w:val="fr-FR"/>
        </w:rPr>
        <w:t xml:space="preserve"> </w:t>
      </w:r>
      <w:r w:rsidR="007B5EA8" w:rsidRPr="00953692">
        <w:rPr>
          <w:i/>
          <w:iCs/>
          <w:sz w:val="24"/>
          <w:szCs w:val="24"/>
          <w:lang w:val="fr-FR"/>
        </w:rPr>
        <w:t>l</w:t>
      </w:r>
      <w:r w:rsidR="006859F0" w:rsidRPr="00953692">
        <w:rPr>
          <w:i/>
          <w:iCs/>
          <w:sz w:val="24"/>
          <w:szCs w:val="24"/>
          <w:lang w:val="fr-FR"/>
        </w:rPr>
        <w:t>’infraction reprochée et les textes de loi qui la définissent et la répriment, ainsi que l’éventuelle décision associée</w:t>
      </w:r>
      <w:r w:rsidR="007B5EA8" w:rsidRPr="00953692">
        <w:rPr>
          <w:sz w:val="24"/>
          <w:szCs w:val="24"/>
          <w:lang w:val="fr-FR"/>
        </w:rPr>
        <w:t xml:space="preserve"> (…) ».</w:t>
      </w:r>
      <w:r w:rsidR="000401F6" w:rsidRPr="00953692">
        <w:rPr>
          <w:sz w:val="24"/>
          <w:szCs w:val="24"/>
          <w:lang w:val="fr-FR"/>
        </w:rPr>
        <w:t xml:space="preserve"> </w:t>
      </w:r>
      <w:r w:rsidR="008967D8" w:rsidRPr="00953692">
        <w:rPr>
          <w:sz w:val="24"/>
          <w:szCs w:val="24"/>
          <w:lang w:val="fr-FR"/>
        </w:rPr>
        <w:t>Le point 3-b de l’article 58 du statut de Rome dispose que le mandat d’arrêt contient « </w:t>
      </w:r>
      <w:r w:rsidR="0054121F" w:rsidRPr="00953692">
        <w:rPr>
          <w:sz w:val="24"/>
          <w:szCs w:val="24"/>
          <w:lang w:val="fr-FR"/>
        </w:rPr>
        <w:t xml:space="preserve">(…) </w:t>
      </w:r>
      <w:r w:rsidR="008967D8" w:rsidRPr="00953692">
        <w:rPr>
          <w:i/>
          <w:iCs/>
          <w:sz w:val="24"/>
          <w:szCs w:val="24"/>
          <w:lang w:val="fr-FR"/>
        </w:rPr>
        <w:t>une référence précise au crime relevant de la compétence de la Cour qui justifie l'arrestation</w:t>
      </w:r>
      <w:r w:rsidR="008967D8" w:rsidRPr="00953692">
        <w:rPr>
          <w:sz w:val="24"/>
          <w:szCs w:val="24"/>
          <w:lang w:val="fr-FR"/>
        </w:rPr>
        <w:t> » ; et le point 7-c dudit article précise que la citation à comparaitre contient « </w:t>
      </w:r>
      <w:r w:rsidR="008967D8" w:rsidRPr="00953692">
        <w:rPr>
          <w:i/>
          <w:iCs/>
          <w:sz w:val="24"/>
          <w:szCs w:val="24"/>
          <w:lang w:val="fr-FR"/>
        </w:rPr>
        <w:t>une référence précise au crime relevant de la compétence de la Cour que la personne est censée avoir commis</w:t>
      </w:r>
      <w:r w:rsidR="0054121F" w:rsidRPr="00953692">
        <w:rPr>
          <w:i/>
          <w:iCs/>
          <w:sz w:val="24"/>
          <w:szCs w:val="24"/>
          <w:lang w:val="fr-FR"/>
        </w:rPr>
        <w:t xml:space="preserve"> (…)</w:t>
      </w:r>
      <w:r w:rsidR="008967D8" w:rsidRPr="00953692">
        <w:rPr>
          <w:sz w:val="24"/>
          <w:szCs w:val="24"/>
          <w:lang w:val="fr-FR"/>
        </w:rPr>
        <w:t> ».</w:t>
      </w:r>
      <w:r w:rsidR="008169AC" w:rsidRPr="00953692">
        <w:rPr>
          <w:rFonts w:cs="Times New Roman"/>
          <w:sz w:val="24"/>
          <w:szCs w:val="24"/>
          <w:lang w:val="fr-FR"/>
        </w:rPr>
        <w:t xml:space="preserve"> </w:t>
      </w:r>
      <w:r w:rsidR="000E0583" w:rsidRPr="00953692">
        <w:rPr>
          <w:sz w:val="24"/>
          <w:szCs w:val="24"/>
          <w:lang w:val="fr-FR"/>
        </w:rPr>
        <w:t xml:space="preserve">Il s’agit d’une </w:t>
      </w:r>
      <w:r w:rsidR="008169AC" w:rsidRPr="00953692">
        <w:rPr>
          <w:sz w:val="24"/>
          <w:szCs w:val="24"/>
          <w:lang w:val="fr-FR"/>
        </w:rPr>
        <w:t>disposition</w:t>
      </w:r>
      <w:r w:rsidR="000E0583" w:rsidRPr="00953692">
        <w:rPr>
          <w:sz w:val="24"/>
          <w:szCs w:val="24"/>
          <w:lang w:val="fr-FR"/>
        </w:rPr>
        <w:t xml:space="preserve"> </w:t>
      </w:r>
      <w:r w:rsidR="006543F1" w:rsidRPr="00953692">
        <w:rPr>
          <w:sz w:val="24"/>
          <w:szCs w:val="24"/>
          <w:lang w:val="fr-FR"/>
        </w:rPr>
        <w:t xml:space="preserve">à caractère </w:t>
      </w:r>
      <w:r w:rsidR="000E0583" w:rsidRPr="00953692">
        <w:rPr>
          <w:sz w:val="24"/>
          <w:szCs w:val="24"/>
          <w:lang w:val="fr-FR"/>
        </w:rPr>
        <w:t>général</w:t>
      </w:r>
      <w:r w:rsidR="006543F1" w:rsidRPr="00953692">
        <w:rPr>
          <w:sz w:val="24"/>
          <w:szCs w:val="24"/>
          <w:lang w:val="fr-FR"/>
        </w:rPr>
        <w:t xml:space="preserve"> que l’on retrouve dans</w:t>
      </w:r>
      <w:r w:rsidR="000E0583" w:rsidRPr="00953692">
        <w:rPr>
          <w:sz w:val="24"/>
          <w:szCs w:val="24"/>
          <w:lang w:val="fr-FR"/>
        </w:rPr>
        <w:t xml:space="preserve"> ce genre d’actes de procédure</w:t>
      </w:r>
      <w:r w:rsidR="008169AC" w:rsidRPr="00953692">
        <w:rPr>
          <w:sz w:val="24"/>
          <w:szCs w:val="24"/>
          <w:lang w:val="fr-FR"/>
        </w:rPr>
        <w:t xml:space="preserve">. </w:t>
      </w:r>
    </w:p>
    <w:p w14:paraId="76D11E99" w14:textId="35E43005" w:rsidR="003F411F" w:rsidRPr="00953692" w:rsidRDefault="006F38E2" w:rsidP="00864BBF">
      <w:pPr>
        <w:spacing w:after="0" w:line="276" w:lineRule="auto"/>
        <w:ind w:firstLine="1134"/>
        <w:jc w:val="both"/>
        <w:rPr>
          <w:rFonts w:cs="Times New Roman"/>
          <w:sz w:val="24"/>
          <w:szCs w:val="24"/>
          <w:lang w:val="fr-FR"/>
        </w:rPr>
      </w:pPr>
      <w:r w:rsidRPr="00953692">
        <w:rPr>
          <w:b/>
          <w:bCs/>
          <w:sz w:val="24"/>
          <w:szCs w:val="24"/>
          <w:lang w:val="fr-FR"/>
        </w:rPr>
        <w:t>67</w:t>
      </w:r>
      <w:r w:rsidR="00934221" w:rsidRPr="00953692">
        <w:rPr>
          <w:b/>
          <w:bCs/>
          <w:sz w:val="24"/>
          <w:szCs w:val="24"/>
          <w:lang w:val="fr-FR"/>
        </w:rPr>
        <w:t>.</w:t>
      </w:r>
      <w:r w:rsidR="00934221" w:rsidRPr="00953692">
        <w:rPr>
          <w:sz w:val="24"/>
          <w:szCs w:val="24"/>
          <w:lang w:val="fr-FR"/>
        </w:rPr>
        <w:t xml:space="preserve"> </w:t>
      </w:r>
      <w:r w:rsidR="00104A52" w:rsidRPr="00953692">
        <w:rPr>
          <w:sz w:val="24"/>
          <w:szCs w:val="24"/>
          <w:lang w:val="fr-FR"/>
        </w:rPr>
        <w:t xml:space="preserve">Il résulte, somme toute, de ce premier cas de figure, que la question relative au délai ne devrait </w:t>
      </w:r>
      <w:r w:rsidR="00135894" w:rsidRPr="00953692">
        <w:rPr>
          <w:sz w:val="24"/>
          <w:szCs w:val="24"/>
          <w:lang w:val="fr-FR"/>
        </w:rPr>
        <w:t>être</w:t>
      </w:r>
      <w:r w:rsidR="00104A52" w:rsidRPr="00953692">
        <w:rPr>
          <w:sz w:val="24"/>
          <w:szCs w:val="24"/>
          <w:lang w:val="fr-FR"/>
        </w:rPr>
        <w:t>, théoriquement, qu’imparfaitement posé. Car</w:t>
      </w:r>
      <w:r w:rsidR="00135894" w:rsidRPr="00953692">
        <w:rPr>
          <w:sz w:val="24"/>
          <w:szCs w:val="24"/>
          <w:lang w:val="fr-FR"/>
        </w:rPr>
        <w:t xml:space="preserve"> l’information devra être fournie au moment de l’arrestation ou de la signification de la </w:t>
      </w:r>
      <w:r w:rsidR="00135894" w:rsidRPr="00953692">
        <w:rPr>
          <w:sz w:val="24"/>
          <w:szCs w:val="24"/>
          <w:lang w:val="fr-FR"/>
        </w:rPr>
        <w:lastRenderedPageBreak/>
        <w:t>convocation ou de la citation à comparaitre</w:t>
      </w:r>
      <w:r w:rsidR="000401F6" w:rsidRPr="00953692">
        <w:rPr>
          <w:sz w:val="24"/>
          <w:szCs w:val="24"/>
          <w:lang w:val="fr-FR"/>
        </w:rPr>
        <w:t>.</w:t>
      </w:r>
      <w:r w:rsidR="00135894" w:rsidRPr="00953692">
        <w:rPr>
          <w:sz w:val="24"/>
          <w:szCs w:val="24"/>
          <w:lang w:val="fr-FR"/>
        </w:rPr>
        <w:t xml:space="preserve"> Cette information est</w:t>
      </w:r>
      <w:r w:rsidR="00D660B0" w:rsidRPr="00953692">
        <w:rPr>
          <w:sz w:val="24"/>
          <w:szCs w:val="24"/>
          <w:lang w:val="fr-FR"/>
        </w:rPr>
        <w:t xml:space="preserve"> consubstantielle à la signification de la convocation, la citation à comparaitre ou du mandat d’arrêt</w:t>
      </w:r>
      <w:r w:rsidR="00557298" w:rsidRPr="00953692">
        <w:rPr>
          <w:sz w:val="24"/>
          <w:szCs w:val="24"/>
          <w:lang w:val="fr-FR"/>
        </w:rPr>
        <w:t>,</w:t>
      </w:r>
      <w:r w:rsidR="00D660B0" w:rsidRPr="00953692">
        <w:rPr>
          <w:sz w:val="24"/>
          <w:szCs w:val="24"/>
          <w:lang w:val="fr-FR"/>
        </w:rPr>
        <w:t xml:space="preserve"> et ce, </w:t>
      </w:r>
      <w:r w:rsidR="006543F1" w:rsidRPr="00953692">
        <w:rPr>
          <w:sz w:val="24"/>
          <w:szCs w:val="24"/>
          <w:lang w:val="fr-FR"/>
        </w:rPr>
        <w:t xml:space="preserve">contrairement </w:t>
      </w:r>
      <w:r w:rsidR="00D660B0" w:rsidRPr="00953692">
        <w:rPr>
          <w:sz w:val="24"/>
          <w:szCs w:val="24"/>
          <w:lang w:val="fr-FR"/>
        </w:rPr>
        <w:t>aux autres cas de figures.</w:t>
      </w:r>
      <w:r w:rsidR="00135894" w:rsidRPr="00953692">
        <w:rPr>
          <w:sz w:val="24"/>
          <w:szCs w:val="24"/>
          <w:lang w:val="fr-FR"/>
        </w:rPr>
        <w:t xml:space="preserve"> En attendant d’aborder ceux-ci, il convient de noter qu’en pratique, </w:t>
      </w:r>
      <w:r w:rsidR="00934221" w:rsidRPr="00953692">
        <w:rPr>
          <w:sz w:val="24"/>
          <w:szCs w:val="24"/>
          <w:lang w:val="fr-FR"/>
        </w:rPr>
        <w:t>il arrive</w:t>
      </w:r>
      <w:r w:rsidR="00852F16" w:rsidRPr="00953692">
        <w:rPr>
          <w:sz w:val="24"/>
          <w:szCs w:val="24"/>
          <w:lang w:val="fr-FR"/>
        </w:rPr>
        <w:t xml:space="preserve"> souvent</w:t>
      </w:r>
      <w:r w:rsidR="00934221" w:rsidRPr="00953692">
        <w:rPr>
          <w:sz w:val="24"/>
          <w:szCs w:val="24"/>
          <w:lang w:val="fr-FR"/>
        </w:rPr>
        <w:t xml:space="preserve"> que cette information </w:t>
      </w:r>
      <w:r w:rsidR="00852F16" w:rsidRPr="00953692">
        <w:rPr>
          <w:sz w:val="24"/>
          <w:szCs w:val="24"/>
          <w:lang w:val="fr-FR"/>
        </w:rPr>
        <w:t xml:space="preserve">ne </w:t>
      </w:r>
      <w:r w:rsidR="00934221" w:rsidRPr="00953692">
        <w:rPr>
          <w:sz w:val="24"/>
          <w:szCs w:val="24"/>
          <w:lang w:val="fr-FR"/>
        </w:rPr>
        <w:t>soit mise à la disposition de la personne intéressé</w:t>
      </w:r>
      <w:r w:rsidR="00852F16" w:rsidRPr="00953692">
        <w:rPr>
          <w:sz w:val="24"/>
          <w:szCs w:val="24"/>
          <w:lang w:val="fr-FR"/>
        </w:rPr>
        <w:t>e que</w:t>
      </w:r>
      <w:r w:rsidR="00934221" w:rsidRPr="00953692">
        <w:rPr>
          <w:sz w:val="24"/>
          <w:szCs w:val="24"/>
          <w:lang w:val="fr-FR"/>
        </w:rPr>
        <w:t xml:space="preserve"> de manière tardive</w:t>
      </w:r>
      <w:r w:rsidR="00AF72F3" w:rsidRPr="00953692">
        <w:rPr>
          <w:sz w:val="24"/>
          <w:szCs w:val="24"/>
          <w:lang w:val="fr-FR"/>
        </w:rPr>
        <w:t>. Dans ce cas, il</w:t>
      </w:r>
      <w:r w:rsidR="00852F16" w:rsidRPr="00953692">
        <w:rPr>
          <w:sz w:val="24"/>
          <w:szCs w:val="24"/>
          <w:lang w:val="fr-FR"/>
        </w:rPr>
        <w:t xml:space="preserve"> pose des problèmes préliminaires auxquels le juge devra répond</w:t>
      </w:r>
      <w:r w:rsidR="00757203" w:rsidRPr="00953692">
        <w:rPr>
          <w:sz w:val="24"/>
          <w:szCs w:val="24"/>
          <w:lang w:val="fr-FR"/>
        </w:rPr>
        <w:t>r</w:t>
      </w:r>
      <w:r w:rsidR="00852F16" w:rsidRPr="00953692">
        <w:rPr>
          <w:sz w:val="24"/>
          <w:szCs w:val="24"/>
          <w:lang w:val="fr-FR"/>
        </w:rPr>
        <w:t>e. Nous verrons alors plus loin comment ces juges internationaux entendent sanctionner la violation de cette règle.</w:t>
      </w:r>
    </w:p>
    <w:p w14:paraId="4AA1897B" w14:textId="79562840" w:rsidR="0085099E" w:rsidRPr="00ED789C" w:rsidRDefault="00664C3E" w:rsidP="004D61B4">
      <w:pPr>
        <w:pStyle w:val="Paragraphedeliste"/>
        <w:numPr>
          <w:ilvl w:val="0"/>
          <w:numId w:val="2"/>
        </w:numPr>
        <w:spacing w:before="240" w:line="276" w:lineRule="auto"/>
        <w:jc w:val="both"/>
        <w:outlineLvl w:val="2"/>
        <w:rPr>
          <w:bCs/>
          <w:i/>
          <w:iCs/>
          <w:sz w:val="24"/>
          <w:szCs w:val="24"/>
          <w:lang w:val="fr-FR"/>
        </w:rPr>
      </w:pPr>
      <w:bookmarkStart w:id="17" w:name="_Toc195179410"/>
      <w:r w:rsidRPr="00ED789C">
        <w:rPr>
          <w:bCs/>
          <w:i/>
          <w:iCs/>
          <w:sz w:val="24"/>
          <w:szCs w:val="24"/>
          <w:lang w:val="fr-FR"/>
        </w:rPr>
        <w:t>Avant le début du procès en première instance</w:t>
      </w:r>
      <w:bookmarkEnd w:id="17"/>
    </w:p>
    <w:p w14:paraId="410B8584" w14:textId="08608F84" w:rsidR="00DA3EAC" w:rsidRPr="00953692" w:rsidRDefault="006F38E2" w:rsidP="00864BBF">
      <w:pPr>
        <w:spacing w:before="240" w:after="0" w:line="276" w:lineRule="auto"/>
        <w:ind w:firstLine="1134"/>
        <w:jc w:val="both"/>
        <w:rPr>
          <w:rFonts w:cs="Times New Roman"/>
          <w:spacing w:val="4"/>
          <w:sz w:val="24"/>
          <w:szCs w:val="24"/>
          <w:lang w:val="fr-FR"/>
        </w:rPr>
      </w:pPr>
      <w:r w:rsidRPr="00953692">
        <w:rPr>
          <w:rFonts w:cs="Times New Roman"/>
          <w:b/>
          <w:bCs/>
          <w:sz w:val="24"/>
          <w:szCs w:val="24"/>
          <w:lang w:val="fr-FR"/>
        </w:rPr>
        <w:t>68</w:t>
      </w:r>
      <w:r w:rsidR="00273960" w:rsidRPr="00953692">
        <w:rPr>
          <w:rFonts w:cs="Times New Roman"/>
          <w:b/>
          <w:bCs/>
          <w:sz w:val="24"/>
          <w:szCs w:val="24"/>
          <w:lang w:val="fr-FR"/>
        </w:rPr>
        <w:t>.</w:t>
      </w:r>
      <w:r w:rsidR="00273960" w:rsidRPr="00953692">
        <w:rPr>
          <w:rFonts w:cs="Times New Roman"/>
          <w:i/>
          <w:iCs/>
          <w:sz w:val="24"/>
          <w:szCs w:val="24"/>
          <w:lang w:val="fr-FR"/>
        </w:rPr>
        <w:t xml:space="preserve"> </w:t>
      </w:r>
      <w:r w:rsidR="000660E8" w:rsidRPr="00953692">
        <w:rPr>
          <w:rFonts w:cs="Times New Roman"/>
          <w:sz w:val="24"/>
          <w:szCs w:val="24"/>
          <w:lang w:val="fr-FR"/>
        </w:rPr>
        <w:t>Le deuxième cas de figure</w:t>
      </w:r>
      <w:r w:rsidR="007C7EFB" w:rsidRPr="00953692">
        <w:rPr>
          <w:rFonts w:cs="Times New Roman"/>
          <w:b/>
          <w:bCs/>
          <w:i/>
          <w:iCs/>
          <w:sz w:val="24"/>
          <w:szCs w:val="24"/>
          <w:lang w:val="fr-FR"/>
        </w:rPr>
        <w:t xml:space="preserve"> </w:t>
      </w:r>
      <w:r w:rsidR="00282B2C" w:rsidRPr="00953692">
        <w:rPr>
          <w:rFonts w:cs="Times New Roman"/>
          <w:sz w:val="24"/>
          <w:szCs w:val="24"/>
          <w:lang w:val="fr-FR"/>
        </w:rPr>
        <w:t>est</w:t>
      </w:r>
      <w:r w:rsidR="00283C08" w:rsidRPr="00953692">
        <w:rPr>
          <w:rFonts w:cs="Times New Roman"/>
          <w:sz w:val="24"/>
          <w:szCs w:val="24"/>
          <w:lang w:val="fr-FR"/>
        </w:rPr>
        <w:t xml:space="preserve"> envisageable après</w:t>
      </w:r>
      <w:r w:rsidR="00282B2C" w:rsidRPr="00953692">
        <w:rPr>
          <w:rFonts w:cs="Times New Roman"/>
          <w:sz w:val="24"/>
          <w:szCs w:val="24"/>
          <w:lang w:val="fr-FR"/>
        </w:rPr>
        <w:t xml:space="preserve"> la décision du </w:t>
      </w:r>
      <w:r w:rsidR="00283C08" w:rsidRPr="00953692">
        <w:rPr>
          <w:rFonts w:cs="Times New Roman"/>
          <w:sz w:val="24"/>
          <w:szCs w:val="24"/>
          <w:lang w:val="fr-FR"/>
        </w:rPr>
        <w:t>P</w:t>
      </w:r>
      <w:r w:rsidR="00282B2C" w:rsidRPr="00953692">
        <w:rPr>
          <w:rFonts w:cs="Times New Roman"/>
          <w:sz w:val="24"/>
          <w:szCs w:val="24"/>
          <w:lang w:val="fr-FR"/>
        </w:rPr>
        <w:t xml:space="preserve">rocureur de poursuivre l’inculpé devant les juges. </w:t>
      </w:r>
      <w:r w:rsidR="002F5CD1" w:rsidRPr="00953692">
        <w:rPr>
          <w:rFonts w:cs="Times New Roman"/>
          <w:sz w:val="24"/>
          <w:szCs w:val="24"/>
          <w:lang w:val="fr-FR"/>
        </w:rPr>
        <w:t xml:space="preserve">Il y a ici un changement </w:t>
      </w:r>
      <w:r w:rsidR="00283C08" w:rsidRPr="00953692">
        <w:rPr>
          <w:rFonts w:cs="Times New Roman"/>
          <w:sz w:val="24"/>
          <w:szCs w:val="24"/>
          <w:lang w:val="fr-FR"/>
        </w:rPr>
        <w:t xml:space="preserve">radical de la </w:t>
      </w:r>
      <w:r w:rsidR="002F5CD1" w:rsidRPr="00953692">
        <w:rPr>
          <w:rFonts w:cs="Times New Roman"/>
          <w:sz w:val="24"/>
          <w:szCs w:val="24"/>
          <w:lang w:val="fr-FR"/>
        </w:rPr>
        <w:t>physiologi</w:t>
      </w:r>
      <w:r w:rsidR="00283C08" w:rsidRPr="00953692">
        <w:rPr>
          <w:rFonts w:cs="Times New Roman"/>
          <w:sz w:val="24"/>
          <w:szCs w:val="24"/>
          <w:lang w:val="fr-FR"/>
        </w:rPr>
        <w:t xml:space="preserve">e </w:t>
      </w:r>
      <w:r w:rsidR="002F5CD1" w:rsidRPr="00953692">
        <w:rPr>
          <w:rFonts w:cs="Times New Roman"/>
          <w:sz w:val="24"/>
          <w:szCs w:val="24"/>
          <w:lang w:val="fr-FR"/>
        </w:rPr>
        <w:t>de la procédure pénale, qui cesse de demeurer dans la discrétionnarité du procureur pour s’ouvrir à la contradiction avec l’accusé sous l’œil équitable du juge. En contradictoirisant la procédure, il va de soi que celui qui accuse informe à celui ou celle qu’</w:t>
      </w:r>
      <w:r w:rsidR="00A4615F" w:rsidRPr="00953692">
        <w:rPr>
          <w:rFonts w:cs="Times New Roman"/>
          <w:sz w:val="24"/>
          <w:szCs w:val="24"/>
          <w:lang w:val="fr-FR"/>
        </w:rPr>
        <w:t>il</w:t>
      </w:r>
      <w:r w:rsidR="002F5CD1" w:rsidRPr="00953692">
        <w:rPr>
          <w:rFonts w:cs="Times New Roman"/>
          <w:sz w:val="24"/>
          <w:szCs w:val="24"/>
          <w:lang w:val="fr-FR"/>
        </w:rPr>
        <w:t xml:space="preserve"> accuse de quoi est-il (ou est-elle) accusé.</w:t>
      </w:r>
      <w:r w:rsidR="00DA3EAC" w:rsidRPr="00953692">
        <w:rPr>
          <w:rFonts w:cs="Times New Roman"/>
          <w:sz w:val="24"/>
          <w:szCs w:val="24"/>
          <w:lang w:val="fr-FR"/>
        </w:rPr>
        <w:t xml:space="preserve"> On retrouve ici la substance de l’article 14 du PIDCP</w:t>
      </w:r>
      <w:r w:rsidR="00283C08" w:rsidRPr="00953692">
        <w:rPr>
          <w:rFonts w:cs="Times New Roman"/>
          <w:sz w:val="24"/>
          <w:szCs w:val="24"/>
          <w:lang w:val="fr-FR"/>
        </w:rPr>
        <w:t xml:space="preserve"> précité</w:t>
      </w:r>
      <w:r w:rsidR="00DA3EAC" w:rsidRPr="00953692">
        <w:rPr>
          <w:rFonts w:cs="Times New Roman"/>
          <w:sz w:val="24"/>
          <w:szCs w:val="24"/>
          <w:lang w:val="fr-FR"/>
        </w:rPr>
        <w:t xml:space="preserve"> (reprise dans tous les actes constitutifs des juridictions pénales internationales)</w:t>
      </w:r>
      <w:r w:rsidR="00283C08" w:rsidRPr="00953692">
        <w:rPr>
          <w:rFonts w:cs="Times New Roman"/>
          <w:sz w:val="24"/>
          <w:szCs w:val="24"/>
          <w:lang w:val="fr-FR"/>
        </w:rPr>
        <w:t>,</w:t>
      </w:r>
      <w:r w:rsidR="00DA3EAC" w:rsidRPr="00953692">
        <w:rPr>
          <w:rFonts w:cs="Times New Roman"/>
          <w:sz w:val="24"/>
          <w:szCs w:val="24"/>
          <w:lang w:val="fr-FR"/>
        </w:rPr>
        <w:t xml:space="preserve"> qui s’appuie sur la notion de l’accusation, </w:t>
      </w:r>
      <w:r w:rsidR="002D0A30" w:rsidRPr="00953692">
        <w:rPr>
          <w:rFonts w:cs="Times New Roman"/>
          <w:sz w:val="24"/>
          <w:szCs w:val="24"/>
          <w:lang w:val="fr-FR"/>
        </w:rPr>
        <w:t>allant</w:t>
      </w:r>
      <w:r w:rsidR="00DA3EAC" w:rsidRPr="00953692">
        <w:rPr>
          <w:rFonts w:cs="Times New Roman"/>
          <w:sz w:val="24"/>
          <w:szCs w:val="24"/>
          <w:lang w:val="fr-FR"/>
        </w:rPr>
        <w:t xml:space="preserve"> au-delà de la suspicion et de l’inculpation. En fait, avant le début du procès, l’accusé devra être </w:t>
      </w:r>
      <w:r w:rsidR="00DA3EAC" w:rsidRPr="00953692">
        <w:rPr>
          <w:rFonts w:cs="Times New Roman"/>
          <w:i/>
          <w:iCs/>
          <w:sz w:val="24"/>
          <w:szCs w:val="24"/>
          <w:lang w:val="fr-FR"/>
        </w:rPr>
        <w:t>informé dans le plus court délai, dans une langue qu’il comprend et de façon détaillée, de la nature et</w:t>
      </w:r>
      <w:r w:rsidR="00DA3EAC" w:rsidRPr="00953692">
        <w:rPr>
          <w:rFonts w:cs="Times New Roman"/>
          <w:i/>
          <w:iCs/>
          <w:spacing w:val="4"/>
          <w:sz w:val="24"/>
          <w:szCs w:val="24"/>
          <w:lang w:val="fr-FR"/>
        </w:rPr>
        <w:t xml:space="preserve"> des motifs de l'accusation portée contre </w:t>
      </w:r>
      <w:r w:rsidR="008937D4" w:rsidRPr="00953692">
        <w:rPr>
          <w:rFonts w:cs="Times New Roman"/>
          <w:i/>
          <w:iCs/>
          <w:spacing w:val="4"/>
          <w:sz w:val="24"/>
          <w:szCs w:val="24"/>
          <w:lang w:val="fr-FR"/>
        </w:rPr>
        <w:t>lui</w:t>
      </w:r>
      <w:r w:rsidR="00DA3EAC" w:rsidRPr="00953692">
        <w:rPr>
          <w:rFonts w:cs="Times New Roman"/>
          <w:spacing w:val="4"/>
          <w:sz w:val="24"/>
          <w:szCs w:val="24"/>
          <w:lang w:val="fr-FR"/>
        </w:rPr>
        <w:t>.</w:t>
      </w:r>
    </w:p>
    <w:p w14:paraId="4F645A0A" w14:textId="4C759663" w:rsidR="00FC0183" w:rsidRPr="00953692" w:rsidRDefault="006F38E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69</w:t>
      </w:r>
      <w:r w:rsidR="00283C08" w:rsidRPr="00953692">
        <w:rPr>
          <w:rFonts w:cs="Times New Roman"/>
          <w:b/>
          <w:bCs/>
          <w:sz w:val="24"/>
          <w:szCs w:val="24"/>
          <w:lang w:val="fr-FR"/>
        </w:rPr>
        <w:t>.</w:t>
      </w:r>
      <w:r w:rsidR="00283C08" w:rsidRPr="00953692">
        <w:rPr>
          <w:rFonts w:cs="Times New Roman"/>
          <w:sz w:val="24"/>
          <w:szCs w:val="24"/>
          <w:lang w:val="fr-FR"/>
        </w:rPr>
        <w:t xml:space="preserve"> </w:t>
      </w:r>
      <w:r w:rsidR="00A70A6F" w:rsidRPr="00953692">
        <w:rPr>
          <w:rStyle w:val="grammar"/>
          <w:rFonts w:cs="Times New Roman"/>
          <w:sz w:val="24"/>
          <w:szCs w:val="24"/>
          <w:lang w:val="fr-FR"/>
        </w:rPr>
        <w:t>À</w:t>
      </w:r>
      <w:r w:rsidR="009718FD" w:rsidRPr="00953692">
        <w:rPr>
          <w:rFonts w:cs="Times New Roman"/>
          <w:sz w:val="24"/>
          <w:szCs w:val="24"/>
          <w:lang w:val="fr-FR"/>
        </w:rPr>
        <w:t xml:space="preserve"> la différence de l’étape de la suspicion et de l’inculpation, le droit à l’information au stade de l’accusation </w:t>
      </w:r>
      <w:r w:rsidR="003D4267" w:rsidRPr="00953692">
        <w:rPr>
          <w:rFonts w:cs="Times New Roman"/>
          <w:sz w:val="24"/>
          <w:szCs w:val="24"/>
          <w:lang w:val="fr-FR"/>
        </w:rPr>
        <w:t xml:space="preserve">va s’étendre </w:t>
      </w:r>
      <w:r w:rsidR="00AF72F3" w:rsidRPr="00953692">
        <w:rPr>
          <w:rFonts w:cs="Times New Roman"/>
          <w:sz w:val="24"/>
          <w:szCs w:val="24"/>
          <w:lang w:val="fr-FR"/>
        </w:rPr>
        <w:t>sur</w:t>
      </w:r>
      <w:r w:rsidR="003D4267" w:rsidRPr="00953692">
        <w:rPr>
          <w:rFonts w:cs="Times New Roman"/>
          <w:sz w:val="24"/>
          <w:szCs w:val="24"/>
          <w:lang w:val="fr-FR"/>
        </w:rPr>
        <w:t xml:space="preserve"> l’ensemble des faits et qualifications retenues par l’Accusation et </w:t>
      </w:r>
      <w:r w:rsidR="002D0A30" w:rsidRPr="00953692">
        <w:rPr>
          <w:rFonts w:cs="Times New Roman"/>
          <w:sz w:val="24"/>
          <w:szCs w:val="24"/>
          <w:lang w:val="fr-FR"/>
        </w:rPr>
        <w:t>que</w:t>
      </w:r>
      <w:r w:rsidR="003D4267" w:rsidRPr="00953692">
        <w:rPr>
          <w:rFonts w:cs="Times New Roman"/>
          <w:sz w:val="24"/>
          <w:szCs w:val="24"/>
          <w:lang w:val="fr-FR"/>
        </w:rPr>
        <w:t xml:space="preserve"> celle-ci a bien l’intention de présenter au juge, </w:t>
      </w:r>
      <w:r w:rsidR="008465B7" w:rsidRPr="00953692">
        <w:rPr>
          <w:rFonts w:cs="Times New Roman"/>
          <w:sz w:val="24"/>
          <w:szCs w:val="24"/>
          <w:lang w:val="fr-FR"/>
        </w:rPr>
        <w:t>précisément</w:t>
      </w:r>
      <w:r w:rsidR="003D4267" w:rsidRPr="00953692">
        <w:rPr>
          <w:rFonts w:cs="Times New Roman"/>
          <w:sz w:val="24"/>
          <w:szCs w:val="24"/>
          <w:lang w:val="fr-FR"/>
        </w:rPr>
        <w:t xml:space="preserve"> dans son acte d’accusation. </w:t>
      </w:r>
      <w:r w:rsidR="008465B7" w:rsidRPr="00953692">
        <w:rPr>
          <w:rFonts w:cs="Times New Roman"/>
          <w:sz w:val="24"/>
          <w:szCs w:val="24"/>
          <w:lang w:val="fr-FR"/>
        </w:rPr>
        <w:t>L’extension du droit à l’information se réfère au</w:t>
      </w:r>
      <w:r w:rsidR="003D4267" w:rsidRPr="00953692">
        <w:rPr>
          <w:rFonts w:cs="Times New Roman"/>
          <w:sz w:val="24"/>
          <w:szCs w:val="24"/>
          <w:lang w:val="fr-FR"/>
        </w:rPr>
        <w:t xml:space="preserve"> caractère détaillé de cette information</w:t>
      </w:r>
      <w:r w:rsidR="008465B7" w:rsidRPr="00953692">
        <w:rPr>
          <w:rFonts w:cs="Times New Roman"/>
          <w:sz w:val="24"/>
          <w:szCs w:val="24"/>
          <w:lang w:val="fr-FR"/>
        </w:rPr>
        <w:t>,</w:t>
      </w:r>
      <w:r w:rsidR="003D4267" w:rsidRPr="00953692">
        <w:rPr>
          <w:rFonts w:cs="Times New Roman"/>
          <w:sz w:val="24"/>
          <w:szCs w:val="24"/>
          <w:lang w:val="fr-FR"/>
        </w:rPr>
        <w:t xml:space="preserve"> impliqu</w:t>
      </w:r>
      <w:r w:rsidR="008465B7" w:rsidRPr="00953692">
        <w:rPr>
          <w:rFonts w:cs="Times New Roman"/>
          <w:sz w:val="24"/>
          <w:szCs w:val="24"/>
          <w:lang w:val="fr-FR"/>
        </w:rPr>
        <w:t>ant</w:t>
      </w:r>
      <w:r w:rsidR="003D4267" w:rsidRPr="00953692">
        <w:rPr>
          <w:rFonts w:cs="Times New Roman"/>
          <w:sz w:val="24"/>
          <w:szCs w:val="24"/>
          <w:lang w:val="fr-FR"/>
        </w:rPr>
        <w:t xml:space="preserve"> l’ensemble d’éléments de preuve qui sous-tendent les accusations portées contre la personne accusée. C’est d’ailleurs dans ce sens que, devant les juridictions pénales internationales sont organisées</w:t>
      </w:r>
      <w:r w:rsidR="00CC663A" w:rsidRPr="00953692">
        <w:rPr>
          <w:rFonts w:cs="Times New Roman"/>
          <w:sz w:val="24"/>
          <w:szCs w:val="24"/>
          <w:lang w:val="fr-FR"/>
        </w:rPr>
        <w:t>,</w:t>
      </w:r>
      <w:r w:rsidR="003D4267" w:rsidRPr="00953692">
        <w:rPr>
          <w:rFonts w:cs="Times New Roman"/>
          <w:sz w:val="24"/>
          <w:szCs w:val="24"/>
          <w:lang w:val="fr-FR"/>
        </w:rPr>
        <w:t xml:space="preserve"> à l’aube du procès proprement-dit</w:t>
      </w:r>
      <w:r w:rsidR="00AF72F3" w:rsidRPr="00953692">
        <w:rPr>
          <w:rFonts w:cs="Times New Roman"/>
          <w:sz w:val="24"/>
          <w:szCs w:val="24"/>
          <w:lang w:val="fr-FR"/>
        </w:rPr>
        <w:t>,</w:t>
      </w:r>
      <w:r w:rsidR="003D4267" w:rsidRPr="00953692">
        <w:rPr>
          <w:rFonts w:cs="Times New Roman"/>
          <w:sz w:val="24"/>
          <w:szCs w:val="24"/>
          <w:lang w:val="fr-FR"/>
        </w:rPr>
        <w:t xml:space="preserve"> des conférences de mise en état dont le but est</w:t>
      </w:r>
      <w:r w:rsidR="004830EE" w:rsidRPr="00953692">
        <w:rPr>
          <w:rFonts w:cs="Times New Roman"/>
          <w:sz w:val="24"/>
          <w:szCs w:val="24"/>
          <w:lang w:val="fr-FR"/>
        </w:rPr>
        <w:t xml:space="preserve"> notamment de préparer un procès équitable et rapide par un échange adéquat des pièces</w:t>
      </w:r>
      <w:r w:rsidR="005A0ABF" w:rsidRPr="00953692">
        <w:rPr>
          <w:rStyle w:val="Appelnotedebasdep"/>
          <w:rFonts w:cs="Times New Roman"/>
          <w:sz w:val="24"/>
          <w:szCs w:val="24"/>
          <w:lang w:val="fr-FR"/>
        </w:rPr>
        <w:footnoteReference w:customMarkFollows="1" w:id="61"/>
        <w:t>41</w:t>
      </w:r>
      <w:r w:rsidR="004830EE" w:rsidRPr="00953692">
        <w:rPr>
          <w:rFonts w:cs="Times New Roman"/>
          <w:sz w:val="24"/>
          <w:szCs w:val="24"/>
          <w:lang w:val="fr-FR"/>
        </w:rPr>
        <w:t xml:space="preserve">. </w:t>
      </w:r>
      <w:r w:rsidR="003444DB" w:rsidRPr="00953692">
        <w:rPr>
          <w:rFonts w:cs="Times New Roman"/>
          <w:sz w:val="24"/>
          <w:szCs w:val="24"/>
          <w:lang w:val="fr-FR"/>
        </w:rPr>
        <w:t>L’analyse globale de la pratique de ces juridictions montre</w:t>
      </w:r>
      <w:r w:rsidR="002D0A30" w:rsidRPr="00953692">
        <w:rPr>
          <w:rFonts w:cs="Times New Roman"/>
          <w:sz w:val="24"/>
          <w:szCs w:val="24"/>
          <w:lang w:val="fr-FR"/>
        </w:rPr>
        <w:t>,</w:t>
      </w:r>
      <w:r w:rsidR="003444DB" w:rsidRPr="00953692">
        <w:rPr>
          <w:rFonts w:cs="Times New Roman"/>
          <w:sz w:val="24"/>
          <w:szCs w:val="24"/>
          <w:lang w:val="fr-FR"/>
        </w:rPr>
        <w:t xml:space="preserve"> que</w:t>
      </w:r>
      <w:r w:rsidR="00FC0183" w:rsidRPr="00953692">
        <w:rPr>
          <w:rFonts w:cs="Times New Roman"/>
          <w:sz w:val="24"/>
          <w:szCs w:val="24"/>
          <w:lang w:val="fr-FR"/>
        </w:rPr>
        <w:t xml:space="preserve"> le droit </w:t>
      </w:r>
      <w:r w:rsidR="003444DB" w:rsidRPr="00953692">
        <w:rPr>
          <w:rFonts w:cs="Times New Roman"/>
          <w:sz w:val="24"/>
          <w:szCs w:val="24"/>
          <w:lang w:val="fr-FR"/>
        </w:rPr>
        <w:t xml:space="preserve">d’être informé dans le plus court délai </w:t>
      </w:r>
      <w:r w:rsidR="00FC0183" w:rsidRPr="00953692">
        <w:rPr>
          <w:rFonts w:cs="Times New Roman"/>
          <w:sz w:val="24"/>
          <w:szCs w:val="24"/>
          <w:lang w:val="fr-FR"/>
        </w:rPr>
        <w:t>se réalise à ce niveau différemment, selon que l’on est devant les TPI</w:t>
      </w:r>
      <w:r w:rsidR="00F352A5" w:rsidRPr="00953692">
        <w:rPr>
          <w:rFonts w:cs="Times New Roman"/>
          <w:sz w:val="24"/>
          <w:szCs w:val="24"/>
          <w:lang w:val="fr-FR"/>
        </w:rPr>
        <w:t>,</w:t>
      </w:r>
      <w:r w:rsidR="003444DB" w:rsidRPr="00953692">
        <w:rPr>
          <w:rFonts w:cs="Times New Roman"/>
          <w:sz w:val="24"/>
          <w:szCs w:val="24"/>
          <w:lang w:val="fr-FR"/>
        </w:rPr>
        <w:t xml:space="preserve"> les</w:t>
      </w:r>
      <w:r w:rsidR="00F352A5" w:rsidRPr="00953692">
        <w:rPr>
          <w:rFonts w:cs="Times New Roman"/>
          <w:sz w:val="24"/>
          <w:szCs w:val="24"/>
          <w:lang w:val="fr-FR"/>
        </w:rPr>
        <w:t xml:space="preserve"> juridictions </w:t>
      </w:r>
      <w:r w:rsidR="00BF6A73" w:rsidRPr="00953692">
        <w:rPr>
          <w:rFonts w:cs="Times New Roman"/>
          <w:sz w:val="24"/>
          <w:szCs w:val="24"/>
          <w:lang w:val="fr-FR"/>
        </w:rPr>
        <w:t xml:space="preserve">pénales (mixtes) </w:t>
      </w:r>
      <w:r w:rsidR="00F352A5" w:rsidRPr="00953692">
        <w:rPr>
          <w:rFonts w:cs="Times New Roman"/>
          <w:sz w:val="24"/>
          <w:szCs w:val="24"/>
          <w:lang w:val="fr-FR"/>
        </w:rPr>
        <w:t>internationalisées ou</w:t>
      </w:r>
      <w:r w:rsidR="00FC0183" w:rsidRPr="00953692">
        <w:rPr>
          <w:rFonts w:cs="Times New Roman"/>
          <w:sz w:val="24"/>
          <w:szCs w:val="24"/>
          <w:lang w:val="fr-FR"/>
        </w:rPr>
        <w:t xml:space="preserve"> la CPI. </w:t>
      </w:r>
    </w:p>
    <w:p w14:paraId="74118C38" w14:textId="61DBA860" w:rsidR="009718FD" w:rsidRPr="00953692" w:rsidRDefault="006F38E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70</w:t>
      </w:r>
      <w:r w:rsidR="003444DB" w:rsidRPr="00953692">
        <w:rPr>
          <w:rFonts w:cs="Times New Roman"/>
          <w:b/>
          <w:bCs/>
          <w:sz w:val="24"/>
          <w:szCs w:val="24"/>
          <w:lang w:val="fr-FR"/>
        </w:rPr>
        <w:t>.</w:t>
      </w:r>
      <w:r w:rsidR="003444DB" w:rsidRPr="00953692">
        <w:rPr>
          <w:rFonts w:cs="Times New Roman"/>
          <w:sz w:val="24"/>
          <w:szCs w:val="24"/>
          <w:lang w:val="fr-FR"/>
        </w:rPr>
        <w:t xml:space="preserve"> Premièrement</w:t>
      </w:r>
      <w:r w:rsidR="00CC663A" w:rsidRPr="00953692">
        <w:rPr>
          <w:rFonts w:cs="Times New Roman"/>
          <w:sz w:val="24"/>
          <w:szCs w:val="24"/>
          <w:lang w:val="fr-FR"/>
        </w:rPr>
        <w:t>,</w:t>
      </w:r>
      <w:r w:rsidR="003444DB" w:rsidRPr="00953692">
        <w:rPr>
          <w:rFonts w:cs="Times New Roman"/>
          <w:sz w:val="24"/>
          <w:szCs w:val="24"/>
          <w:lang w:val="fr-FR"/>
        </w:rPr>
        <w:t xml:space="preserve"> d</w:t>
      </w:r>
      <w:r w:rsidR="00FC0183" w:rsidRPr="00953692">
        <w:rPr>
          <w:rFonts w:cs="Times New Roman"/>
          <w:sz w:val="24"/>
          <w:szCs w:val="24"/>
          <w:lang w:val="fr-FR"/>
        </w:rPr>
        <w:t xml:space="preserve">evant les TPI, </w:t>
      </w:r>
      <w:r w:rsidR="000F0032" w:rsidRPr="00953692">
        <w:rPr>
          <w:rFonts w:cs="Times New Roman"/>
          <w:sz w:val="24"/>
          <w:szCs w:val="24"/>
          <w:lang w:val="fr-FR"/>
        </w:rPr>
        <w:t xml:space="preserve">il convient de rappeler que la confirmation de l’acte d’accusation est faite en l’absence du suspect. </w:t>
      </w:r>
      <w:r w:rsidR="00CB73EF" w:rsidRPr="00953692">
        <w:rPr>
          <w:rFonts w:cs="Times New Roman"/>
          <w:sz w:val="24"/>
          <w:szCs w:val="24"/>
          <w:lang w:val="fr-FR"/>
        </w:rPr>
        <w:t xml:space="preserve">Seul le </w:t>
      </w:r>
      <w:r w:rsidR="00530AAB" w:rsidRPr="00953692">
        <w:rPr>
          <w:rFonts w:cs="Times New Roman"/>
          <w:sz w:val="24"/>
          <w:szCs w:val="24"/>
          <w:lang w:val="fr-FR"/>
        </w:rPr>
        <w:t>P</w:t>
      </w:r>
      <w:r w:rsidR="00CB73EF" w:rsidRPr="00953692">
        <w:rPr>
          <w:rFonts w:cs="Times New Roman"/>
          <w:sz w:val="24"/>
          <w:szCs w:val="24"/>
          <w:lang w:val="fr-FR"/>
        </w:rPr>
        <w:t xml:space="preserve">rocureur, estimant qu’au vu des présomptions il y a lieu d’engager des poursuites, soumet </w:t>
      </w:r>
      <w:r w:rsidR="00530AAB" w:rsidRPr="00953692">
        <w:rPr>
          <w:rFonts w:cs="Times New Roman"/>
          <w:sz w:val="24"/>
          <w:szCs w:val="24"/>
          <w:lang w:val="fr-FR"/>
        </w:rPr>
        <w:t xml:space="preserve">pour cela </w:t>
      </w:r>
      <w:r w:rsidR="00CB73EF" w:rsidRPr="00953692">
        <w:rPr>
          <w:rFonts w:cs="Times New Roman"/>
          <w:sz w:val="24"/>
          <w:szCs w:val="24"/>
          <w:lang w:val="fr-FR"/>
        </w:rPr>
        <w:t>à la Chambre de première instance un acte d’accusation. Celle-ci l’examine en vue de le confirmer ou de le rejeter</w:t>
      </w:r>
      <w:r w:rsidR="005A0ABF" w:rsidRPr="00953692">
        <w:rPr>
          <w:rStyle w:val="Appelnotedebasdep"/>
          <w:rFonts w:cs="Times New Roman"/>
          <w:sz w:val="24"/>
          <w:szCs w:val="24"/>
          <w:lang w:val="fr-FR"/>
        </w:rPr>
        <w:footnoteReference w:customMarkFollows="1" w:id="62"/>
        <w:t>42</w:t>
      </w:r>
      <w:r w:rsidR="00CB73EF" w:rsidRPr="00953692">
        <w:rPr>
          <w:rFonts w:cs="Times New Roman"/>
          <w:sz w:val="24"/>
          <w:szCs w:val="24"/>
          <w:lang w:val="fr-FR"/>
        </w:rPr>
        <w:t>. Mais elle peut aussi sursoir à cet examen afin de permettre au Procureur d’en modifier le contenu</w:t>
      </w:r>
      <w:r w:rsidR="005A0ABF" w:rsidRPr="00953692">
        <w:rPr>
          <w:rStyle w:val="Appelnotedebasdep"/>
          <w:rFonts w:cs="Times New Roman"/>
          <w:sz w:val="24"/>
          <w:szCs w:val="24"/>
          <w:lang w:val="fr-FR"/>
        </w:rPr>
        <w:footnoteReference w:customMarkFollows="1" w:id="63"/>
        <w:t>42</w:t>
      </w:r>
      <w:r w:rsidR="00CB73EF" w:rsidRPr="00953692">
        <w:rPr>
          <w:rFonts w:cs="Times New Roman"/>
          <w:sz w:val="24"/>
          <w:szCs w:val="24"/>
          <w:lang w:val="fr-FR"/>
        </w:rPr>
        <w:t xml:space="preserve">. La </w:t>
      </w:r>
      <w:r w:rsidR="001F1A0C" w:rsidRPr="00953692">
        <w:rPr>
          <w:rFonts w:cs="Times New Roman"/>
          <w:sz w:val="24"/>
          <w:szCs w:val="24"/>
          <w:lang w:val="fr-FR"/>
        </w:rPr>
        <w:t>même</w:t>
      </w:r>
      <w:r w:rsidR="00CB73EF" w:rsidRPr="00953692">
        <w:rPr>
          <w:rFonts w:cs="Times New Roman"/>
          <w:sz w:val="24"/>
          <w:szCs w:val="24"/>
          <w:lang w:val="fr-FR"/>
        </w:rPr>
        <w:t xml:space="preserve"> procédure </w:t>
      </w:r>
      <w:r w:rsidR="00CB73EF" w:rsidRPr="00953692">
        <w:rPr>
          <w:rFonts w:cs="Times New Roman"/>
          <w:i/>
          <w:iCs/>
          <w:sz w:val="24"/>
          <w:szCs w:val="24"/>
          <w:lang w:val="fr-FR"/>
        </w:rPr>
        <w:t>ex</w:t>
      </w:r>
      <w:r w:rsidR="001F1A0C" w:rsidRPr="00953692">
        <w:rPr>
          <w:rFonts w:cs="Times New Roman"/>
          <w:i/>
          <w:iCs/>
          <w:sz w:val="24"/>
          <w:szCs w:val="24"/>
          <w:lang w:val="fr-FR"/>
        </w:rPr>
        <w:t xml:space="preserve"> </w:t>
      </w:r>
      <w:r w:rsidR="00CB73EF" w:rsidRPr="00953692">
        <w:rPr>
          <w:rFonts w:cs="Times New Roman"/>
          <w:i/>
          <w:iCs/>
          <w:sz w:val="24"/>
          <w:szCs w:val="24"/>
          <w:lang w:val="fr-FR"/>
        </w:rPr>
        <w:t>parte</w:t>
      </w:r>
      <w:r w:rsidR="00CB73EF" w:rsidRPr="00953692">
        <w:rPr>
          <w:rFonts w:cs="Times New Roman"/>
          <w:sz w:val="24"/>
          <w:szCs w:val="24"/>
          <w:lang w:val="fr-FR"/>
        </w:rPr>
        <w:t xml:space="preserve"> est prévu dans les actes </w:t>
      </w:r>
      <w:r w:rsidR="00CB73EF" w:rsidRPr="00953692">
        <w:rPr>
          <w:rFonts w:cs="Times New Roman"/>
          <w:sz w:val="24"/>
          <w:szCs w:val="24"/>
          <w:lang w:val="fr-FR"/>
        </w:rPr>
        <w:lastRenderedPageBreak/>
        <w:t>constitutifs du TSL</w:t>
      </w:r>
      <w:r w:rsidR="005A0ABF" w:rsidRPr="00953692">
        <w:rPr>
          <w:rStyle w:val="Appelnotedebasdep"/>
          <w:rFonts w:cs="Times New Roman"/>
          <w:sz w:val="24"/>
          <w:szCs w:val="24"/>
          <w:lang w:val="fr-FR"/>
        </w:rPr>
        <w:footnoteReference w:customMarkFollows="1" w:id="64"/>
        <w:t>43</w:t>
      </w:r>
      <w:r w:rsidR="00CF776F" w:rsidRPr="00953692">
        <w:rPr>
          <w:rFonts w:cs="Times New Roman"/>
          <w:sz w:val="24"/>
          <w:szCs w:val="24"/>
          <w:lang w:val="fr-FR"/>
        </w:rPr>
        <w:t>. Elle s’appliqu</w:t>
      </w:r>
      <w:r w:rsidR="005B266A" w:rsidRPr="00953692">
        <w:rPr>
          <w:rFonts w:cs="Times New Roman"/>
          <w:sz w:val="24"/>
          <w:szCs w:val="24"/>
          <w:lang w:val="fr-FR"/>
        </w:rPr>
        <w:t>ait</w:t>
      </w:r>
      <w:r w:rsidR="00CF776F" w:rsidRPr="00953692">
        <w:rPr>
          <w:rFonts w:cs="Times New Roman"/>
          <w:sz w:val="24"/>
          <w:szCs w:val="24"/>
          <w:lang w:val="fr-FR"/>
        </w:rPr>
        <w:t xml:space="preserve"> aussi devant le TSS</w:t>
      </w:r>
      <w:r w:rsidR="004A7535" w:rsidRPr="00953692">
        <w:rPr>
          <w:rFonts w:cs="Times New Roman"/>
          <w:sz w:val="24"/>
          <w:szCs w:val="24"/>
          <w:lang w:val="fr-FR"/>
        </w:rPr>
        <w:t>L</w:t>
      </w:r>
      <w:r w:rsidR="00CF776F" w:rsidRPr="00953692">
        <w:rPr>
          <w:rFonts w:cs="Times New Roman"/>
          <w:sz w:val="24"/>
          <w:szCs w:val="24"/>
          <w:lang w:val="fr-FR"/>
        </w:rPr>
        <w:t xml:space="preserve">. </w:t>
      </w:r>
      <w:r w:rsidR="00F0223A" w:rsidRPr="00953692">
        <w:rPr>
          <w:rFonts w:cs="Times New Roman"/>
          <w:sz w:val="24"/>
          <w:szCs w:val="24"/>
          <w:lang w:val="fr-FR"/>
        </w:rPr>
        <w:t>La confirmation de l’acte d’accusation en l’absence du suspect ou de l’inculpé signifie que ce dernier n’a pas à ce stade le droit de contester les allégations du procureur</w:t>
      </w:r>
      <w:r w:rsidR="002D0A30" w:rsidRPr="00953692">
        <w:rPr>
          <w:rFonts w:cs="Times New Roman"/>
          <w:sz w:val="24"/>
          <w:szCs w:val="24"/>
          <w:lang w:val="fr-FR"/>
        </w:rPr>
        <w:t xml:space="preserve"> même s’il est déjà placé sous la surveillance de la juridiction de céans</w:t>
      </w:r>
      <w:r w:rsidR="00F50524" w:rsidRPr="00953692">
        <w:rPr>
          <w:rFonts w:cs="Times New Roman"/>
          <w:sz w:val="24"/>
          <w:szCs w:val="24"/>
          <w:lang w:val="fr-FR"/>
        </w:rPr>
        <w:t>.</w:t>
      </w:r>
      <w:r w:rsidR="00F0223A" w:rsidRPr="00953692">
        <w:rPr>
          <w:rFonts w:cs="Times New Roman"/>
          <w:sz w:val="24"/>
          <w:szCs w:val="24"/>
          <w:lang w:val="fr-FR"/>
        </w:rPr>
        <w:t xml:space="preserve"> </w:t>
      </w:r>
      <w:r w:rsidR="00F50524" w:rsidRPr="00953692">
        <w:rPr>
          <w:rFonts w:cs="Times New Roman"/>
          <w:sz w:val="24"/>
          <w:szCs w:val="24"/>
          <w:lang w:val="fr-FR"/>
        </w:rPr>
        <w:t>E</w:t>
      </w:r>
      <w:r w:rsidR="00F0223A" w:rsidRPr="00953692">
        <w:rPr>
          <w:rFonts w:cs="Times New Roman"/>
          <w:sz w:val="24"/>
          <w:szCs w:val="24"/>
          <w:lang w:val="fr-FR"/>
        </w:rPr>
        <w:t xml:space="preserve">t par conséquent, </w:t>
      </w:r>
      <w:r w:rsidR="00F50524" w:rsidRPr="00953692">
        <w:rPr>
          <w:rFonts w:cs="Times New Roman"/>
          <w:sz w:val="24"/>
          <w:szCs w:val="24"/>
          <w:lang w:val="fr-FR"/>
        </w:rPr>
        <w:t xml:space="preserve">il </w:t>
      </w:r>
      <w:r w:rsidR="00805BF9" w:rsidRPr="00953692">
        <w:rPr>
          <w:rFonts w:cs="Times New Roman"/>
          <w:sz w:val="24"/>
          <w:szCs w:val="24"/>
          <w:lang w:val="fr-FR"/>
        </w:rPr>
        <w:t>ne peut exiger à ce qu</w:t>
      </w:r>
      <w:r w:rsidR="002D0A30" w:rsidRPr="00953692">
        <w:rPr>
          <w:rFonts w:cs="Times New Roman"/>
          <w:sz w:val="24"/>
          <w:szCs w:val="24"/>
          <w:lang w:val="fr-FR"/>
        </w:rPr>
        <w:t>’il</w:t>
      </w:r>
      <w:r w:rsidR="00805BF9" w:rsidRPr="00953692">
        <w:rPr>
          <w:rFonts w:cs="Times New Roman"/>
          <w:sz w:val="24"/>
          <w:szCs w:val="24"/>
          <w:lang w:val="fr-FR"/>
        </w:rPr>
        <w:t xml:space="preserve"> lui soit signifi</w:t>
      </w:r>
      <w:r w:rsidR="00F50524" w:rsidRPr="00953692">
        <w:rPr>
          <w:rFonts w:cs="Times New Roman"/>
          <w:sz w:val="24"/>
          <w:szCs w:val="24"/>
          <w:lang w:val="fr-FR"/>
        </w:rPr>
        <w:t>er les éléments sur lesquels le Procureur entend se fonder</w:t>
      </w:r>
      <w:r w:rsidR="005B266A" w:rsidRPr="00953692">
        <w:rPr>
          <w:rFonts w:cs="Times New Roman"/>
          <w:sz w:val="24"/>
          <w:szCs w:val="24"/>
          <w:lang w:val="fr-FR"/>
        </w:rPr>
        <w:t xml:space="preserve"> </w:t>
      </w:r>
      <w:r w:rsidR="00F50524" w:rsidRPr="00953692">
        <w:rPr>
          <w:rFonts w:cs="Times New Roman"/>
          <w:sz w:val="24"/>
          <w:szCs w:val="24"/>
          <w:lang w:val="fr-FR"/>
        </w:rPr>
        <w:t>pour solliciter la confirmation de l’acte d’accusation</w:t>
      </w:r>
      <w:r w:rsidR="00805BF9" w:rsidRPr="00953692">
        <w:rPr>
          <w:rFonts w:cs="Times New Roman"/>
          <w:sz w:val="24"/>
          <w:szCs w:val="24"/>
          <w:lang w:val="fr-FR"/>
        </w:rPr>
        <w:t>.</w:t>
      </w:r>
    </w:p>
    <w:p w14:paraId="178D5734" w14:textId="3F0739C1" w:rsidR="00FA4C82" w:rsidRPr="00953692" w:rsidRDefault="006F38E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71</w:t>
      </w:r>
      <w:r w:rsidR="001C3B25" w:rsidRPr="00953692">
        <w:rPr>
          <w:rFonts w:cs="Times New Roman"/>
          <w:b/>
          <w:bCs/>
          <w:sz w:val="24"/>
          <w:szCs w:val="24"/>
          <w:lang w:val="fr-FR"/>
        </w:rPr>
        <w:t>.</w:t>
      </w:r>
      <w:r w:rsidR="001C3B25" w:rsidRPr="00953692">
        <w:rPr>
          <w:rFonts w:cs="Times New Roman"/>
          <w:sz w:val="24"/>
          <w:szCs w:val="24"/>
          <w:lang w:val="fr-FR"/>
        </w:rPr>
        <w:t xml:space="preserve"> </w:t>
      </w:r>
      <w:r w:rsidR="00CC663A" w:rsidRPr="00953692">
        <w:rPr>
          <w:rStyle w:val="grammar"/>
          <w:rFonts w:cs="Times New Roman"/>
          <w:sz w:val="24"/>
          <w:szCs w:val="24"/>
          <w:lang w:val="fr-FR"/>
        </w:rPr>
        <w:t>À</w:t>
      </w:r>
      <w:r w:rsidR="00E0023B" w:rsidRPr="00953692">
        <w:rPr>
          <w:rFonts w:cs="Times New Roman"/>
          <w:sz w:val="24"/>
          <w:szCs w:val="24"/>
          <w:lang w:val="fr-FR"/>
        </w:rPr>
        <w:t xml:space="preserve"> cet effet, l</w:t>
      </w:r>
      <w:r w:rsidR="00805BF9" w:rsidRPr="00953692">
        <w:rPr>
          <w:rFonts w:cs="Times New Roman"/>
          <w:sz w:val="24"/>
          <w:szCs w:val="24"/>
          <w:lang w:val="fr-FR"/>
        </w:rPr>
        <w:t xml:space="preserve">e droit à l’information apparait ou réapparait exactement avant le procès en première instance. </w:t>
      </w:r>
      <w:r w:rsidR="00596A2D" w:rsidRPr="00953692">
        <w:rPr>
          <w:rFonts w:cs="Times New Roman"/>
          <w:sz w:val="24"/>
          <w:szCs w:val="24"/>
          <w:lang w:val="fr-FR"/>
        </w:rPr>
        <w:t xml:space="preserve">Précisons d’abord que la procédure applicable devant les TPI prévoit la signification de l’acte d’accusation qu’en personne et au moment où l’accusé est placé sous la garde du Tribunal ou le plus </w:t>
      </w:r>
      <w:r w:rsidR="002D0087" w:rsidRPr="00953692">
        <w:rPr>
          <w:rFonts w:cs="Times New Roman"/>
          <w:sz w:val="24"/>
          <w:szCs w:val="24"/>
          <w:lang w:val="fr-FR"/>
        </w:rPr>
        <w:t>tôt</w:t>
      </w:r>
      <w:r w:rsidR="00596A2D" w:rsidRPr="00953692">
        <w:rPr>
          <w:rFonts w:cs="Times New Roman"/>
          <w:sz w:val="24"/>
          <w:szCs w:val="24"/>
          <w:lang w:val="fr-FR"/>
        </w:rPr>
        <w:t xml:space="preserve"> possible ultérieurement.</w:t>
      </w:r>
      <w:r w:rsidR="00E0023B" w:rsidRPr="00953692">
        <w:rPr>
          <w:rFonts w:cs="Times New Roman"/>
          <w:sz w:val="24"/>
          <w:szCs w:val="24"/>
          <w:lang w:val="fr-FR"/>
        </w:rPr>
        <w:t xml:space="preserve"> </w:t>
      </w:r>
      <w:r w:rsidR="006A7044" w:rsidRPr="00953692">
        <w:rPr>
          <w:rFonts w:cs="Times New Roman"/>
          <w:sz w:val="24"/>
          <w:szCs w:val="24"/>
          <w:lang w:val="fr-FR"/>
        </w:rPr>
        <w:t>Cette disposition vise</w:t>
      </w:r>
      <w:r w:rsidR="00E0023B" w:rsidRPr="00953692">
        <w:rPr>
          <w:rFonts w:cs="Times New Roman"/>
          <w:sz w:val="24"/>
          <w:szCs w:val="24"/>
          <w:lang w:val="fr-FR"/>
        </w:rPr>
        <w:t xml:space="preserve"> deux hypothèses</w:t>
      </w:r>
      <w:r w:rsidR="006A7044" w:rsidRPr="00953692">
        <w:rPr>
          <w:rFonts w:cs="Times New Roman"/>
          <w:sz w:val="24"/>
          <w:szCs w:val="24"/>
          <w:lang w:val="fr-FR"/>
        </w:rPr>
        <w:t xml:space="preserve"> distinctes.</w:t>
      </w:r>
      <w:r w:rsidR="00E0023B" w:rsidRPr="00953692">
        <w:rPr>
          <w:rFonts w:cs="Times New Roman"/>
          <w:sz w:val="24"/>
          <w:szCs w:val="24"/>
          <w:lang w:val="fr-FR"/>
        </w:rPr>
        <w:t xml:space="preserve"> </w:t>
      </w:r>
      <w:r w:rsidR="006A7044" w:rsidRPr="00953692">
        <w:rPr>
          <w:rFonts w:cs="Times New Roman"/>
          <w:sz w:val="24"/>
          <w:szCs w:val="24"/>
          <w:lang w:val="fr-FR"/>
        </w:rPr>
        <w:t>D’une</w:t>
      </w:r>
      <w:r w:rsidR="00E0023B" w:rsidRPr="00953692">
        <w:rPr>
          <w:rFonts w:cs="Times New Roman"/>
          <w:sz w:val="24"/>
          <w:szCs w:val="24"/>
          <w:lang w:val="fr-FR"/>
        </w:rPr>
        <w:t xml:space="preserve"> part, l’accusé a été arrêté et transféré au siège du Tribunal avant la confirmation de l’acte d’accusation</w:t>
      </w:r>
      <w:r w:rsidR="00CC663A" w:rsidRPr="00953692">
        <w:rPr>
          <w:rFonts w:cs="Times New Roman"/>
          <w:sz w:val="24"/>
          <w:szCs w:val="24"/>
          <w:lang w:val="fr-FR"/>
        </w:rPr>
        <w:t>.</w:t>
      </w:r>
      <w:r w:rsidR="006A7044" w:rsidRPr="00953692">
        <w:rPr>
          <w:rFonts w:cs="Times New Roman"/>
          <w:sz w:val="24"/>
          <w:szCs w:val="24"/>
          <w:lang w:val="fr-FR"/>
        </w:rPr>
        <w:t xml:space="preserve"> </w:t>
      </w:r>
      <w:r w:rsidR="00CC663A" w:rsidRPr="00953692">
        <w:rPr>
          <w:rFonts w:cs="Times New Roman"/>
          <w:sz w:val="24"/>
          <w:szCs w:val="24"/>
          <w:lang w:val="fr-FR"/>
        </w:rPr>
        <w:t>E</w:t>
      </w:r>
      <w:r w:rsidR="006A7044" w:rsidRPr="00953692">
        <w:rPr>
          <w:rFonts w:cs="Times New Roman"/>
          <w:sz w:val="24"/>
          <w:szCs w:val="24"/>
          <w:lang w:val="fr-FR"/>
        </w:rPr>
        <w:t>t</w:t>
      </w:r>
      <w:r w:rsidR="00E0023B" w:rsidRPr="00953692">
        <w:rPr>
          <w:rFonts w:cs="Times New Roman"/>
          <w:sz w:val="24"/>
          <w:szCs w:val="24"/>
          <w:lang w:val="fr-FR"/>
        </w:rPr>
        <w:t xml:space="preserve"> d’autre part, </w:t>
      </w:r>
      <w:r w:rsidR="006A7044" w:rsidRPr="00953692">
        <w:rPr>
          <w:rFonts w:cs="Times New Roman"/>
          <w:sz w:val="24"/>
          <w:szCs w:val="24"/>
          <w:lang w:val="fr-FR"/>
        </w:rPr>
        <w:t>cette confirmation a eu lieu avant que l’accusé n’arrive au siège du Tribunal ou ne soit arrêté.</w:t>
      </w:r>
      <w:r w:rsidR="00596A2D" w:rsidRPr="00953692">
        <w:rPr>
          <w:rFonts w:cs="Times New Roman"/>
          <w:sz w:val="24"/>
          <w:szCs w:val="24"/>
          <w:lang w:val="fr-FR"/>
        </w:rPr>
        <w:t xml:space="preserve"> </w:t>
      </w:r>
    </w:p>
    <w:p w14:paraId="093D78AC" w14:textId="0F833C8D" w:rsidR="006A7044" w:rsidRPr="00953692" w:rsidRDefault="006F38E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72</w:t>
      </w:r>
      <w:r w:rsidR="00FA4C82" w:rsidRPr="00953692">
        <w:rPr>
          <w:rFonts w:cs="Times New Roman"/>
          <w:b/>
          <w:bCs/>
          <w:sz w:val="24"/>
          <w:szCs w:val="24"/>
          <w:lang w:val="fr-FR"/>
        </w:rPr>
        <w:t>.</w:t>
      </w:r>
      <w:r w:rsidR="00FA4C82" w:rsidRPr="00953692">
        <w:rPr>
          <w:rFonts w:cs="Times New Roman"/>
          <w:sz w:val="24"/>
          <w:szCs w:val="24"/>
          <w:lang w:val="fr-FR"/>
        </w:rPr>
        <w:t xml:space="preserve"> </w:t>
      </w:r>
      <w:r w:rsidR="00636A57" w:rsidRPr="00953692">
        <w:rPr>
          <w:rFonts w:cs="Times New Roman"/>
          <w:sz w:val="24"/>
          <w:szCs w:val="24"/>
          <w:lang w:val="fr-FR"/>
        </w:rPr>
        <w:t>Le RPP du T</w:t>
      </w:r>
      <w:r w:rsidR="00FA4C82" w:rsidRPr="00953692">
        <w:rPr>
          <w:rFonts w:cs="Times New Roman"/>
          <w:sz w:val="24"/>
          <w:szCs w:val="24"/>
          <w:lang w:val="fr-FR"/>
        </w:rPr>
        <w:t xml:space="preserve">ribunal spécial pour le </w:t>
      </w:r>
      <w:r w:rsidR="00636A57" w:rsidRPr="00953692">
        <w:rPr>
          <w:rFonts w:cs="Times New Roman"/>
          <w:sz w:val="24"/>
          <w:szCs w:val="24"/>
          <w:lang w:val="fr-FR"/>
        </w:rPr>
        <w:t>L</w:t>
      </w:r>
      <w:r w:rsidR="00FA4C82" w:rsidRPr="00953692">
        <w:rPr>
          <w:rFonts w:cs="Times New Roman"/>
          <w:sz w:val="24"/>
          <w:szCs w:val="24"/>
          <w:lang w:val="fr-FR"/>
        </w:rPr>
        <w:t>iban</w:t>
      </w:r>
      <w:r w:rsidR="00636A57" w:rsidRPr="00953692">
        <w:rPr>
          <w:rFonts w:cs="Times New Roman"/>
          <w:sz w:val="24"/>
          <w:szCs w:val="24"/>
          <w:lang w:val="fr-FR"/>
        </w:rPr>
        <w:t xml:space="preserve"> prévoit plutôt une signification sans délai alors même que l’accusé ne se trouverait </w:t>
      </w:r>
      <w:r w:rsidR="006A7044" w:rsidRPr="00953692">
        <w:rPr>
          <w:rFonts w:cs="Times New Roman"/>
          <w:sz w:val="24"/>
          <w:szCs w:val="24"/>
          <w:lang w:val="fr-FR"/>
        </w:rPr>
        <w:t xml:space="preserve">pas </w:t>
      </w:r>
      <w:r w:rsidR="00636A57" w:rsidRPr="00953692">
        <w:rPr>
          <w:rFonts w:cs="Times New Roman"/>
          <w:sz w:val="24"/>
          <w:szCs w:val="24"/>
          <w:lang w:val="fr-FR"/>
        </w:rPr>
        <w:t>sous la garde</w:t>
      </w:r>
      <w:r w:rsidR="00FA4C82" w:rsidRPr="00953692">
        <w:rPr>
          <w:rFonts w:cs="Times New Roman"/>
          <w:sz w:val="24"/>
          <w:szCs w:val="24"/>
          <w:lang w:val="fr-FR"/>
        </w:rPr>
        <w:t xml:space="preserve"> ou la juridiction</w:t>
      </w:r>
      <w:r w:rsidR="00636A57" w:rsidRPr="00953692">
        <w:rPr>
          <w:rFonts w:cs="Times New Roman"/>
          <w:sz w:val="24"/>
          <w:szCs w:val="24"/>
          <w:lang w:val="fr-FR"/>
        </w:rPr>
        <w:t xml:space="preserve"> du Tribunal, c’est-à-dire, dans un territoire </w:t>
      </w:r>
      <w:r w:rsidR="00B10E98" w:rsidRPr="00953692">
        <w:rPr>
          <w:rFonts w:cs="Times New Roman"/>
          <w:sz w:val="24"/>
          <w:szCs w:val="24"/>
          <w:lang w:val="fr-FR"/>
        </w:rPr>
        <w:t>sur lequel</w:t>
      </w:r>
      <w:r w:rsidR="00636A57" w:rsidRPr="00953692">
        <w:rPr>
          <w:rFonts w:cs="Times New Roman"/>
          <w:sz w:val="24"/>
          <w:szCs w:val="24"/>
          <w:lang w:val="fr-FR"/>
        </w:rPr>
        <w:t xml:space="preserve"> il est susceptible de s’y trouver</w:t>
      </w:r>
      <w:r w:rsidR="006E4806" w:rsidRPr="00953692">
        <w:rPr>
          <w:rStyle w:val="Appelnotedebasdep"/>
          <w:rFonts w:cs="Times New Roman"/>
          <w:sz w:val="24"/>
          <w:szCs w:val="24"/>
          <w:lang w:val="fr-FR"/>
        </w:rPr>
        <w:footnoteReference w:customMarkFollows="1" w:id="65"/>
        <w:t>44</w:t>
      </w:r>
      <w:r w:rsidR="00636A57" w:rsidRPr="00953692">
        <w:rPr>
          <w:rFonts w:cs="Times New Roman"/>
          <w:sz w:val="24"/>
          <w:szCs w:val="24"/>
          <w:lang w:val="fr-FR"/>
        </w:rPr>
        <w:t xml:space="preserve">. </w:t>
      </w:r>
      <w:r w:rsidR="00C54CF2" w:rsidRPr="00953692">
        <w:rPr>
          <w:rFonts w:cs="Times New Roman"/>
          <w:sz w:val="24"/>
          <w:szCs w:val="24"/>
          <w:lang w:val="fr-FR"/>
        </w:rPr>
        <w:t xml:space="preserve">Dans les </w:t>
      </w:r>
      <w:r w:rsidR="006A7044" w:rsidRPr="00953692">
        <w:rPr>
          <w:rFonts w:cs="Times New Roman"/>
          <w:sz w:val="24"/>
          <w:szCs w:val="24"/>
          <w:lang w:val="fr-FR"/>
        </w:rPr>
        <w:t xml:space="preserve">deux </w:t>
      </w:r>
      <w:r w:rsidR="00C54CF2" w:rsidRPr="00953692">
        <w:rPr>
          <w:rFonts w:cs="Times New Roman"/>
          <w:sz w:val="24"/>
          <w:szCs w:val="24"/>
          <w:lang w:val="fr-FR"/>
        </w:rPr>
        <w:t>cas</w:t>
      </w:r>
      <w:r w:rsidR="00B10E98" w:rsidRPr="00953692">
        <w:rPr>
          <w:rFonts w:cs="Times New Roman"/>
          <w:sz w:val="24"/>
          <w:szCs w:val="24"/>
          <w:lang w:val="fr-FR"/>
        </w:rPr>
        <w:t>,</w:t>
      </w:r>
      <w:r w:rsidR="00C54CF2" w:rsidRPr="00953692">
        <w:rPr>
          <w:rFonts w:cs="Times New Roman"/>
          <w:sz w:val="24"/>
          <w:szCs w:val="24"/>
          <w:lang w:val="fr-FR"/>
        </w:rPr>
        <w:t xml:space="preserve"> la différence, c’est que </w:t>
      </w:r>
      <w:r w:rsidR="005C059C" w:rsidRPr="00953692">
        <w:rPr>
          <w:rFonts w:cs="Times New Roman"/>
          <w:sz w:val="24"/>
          <w:szCs w:val="24"/>
          <w:lang w:val="fr-FR"/>
        </w:rPr>
        <w:t>le</w:t>
      </w:r>
      <w:r w:rsidR="006A7044" w:rsidRPr="00953692">
        <w:rPr>
          <w:rFonts w:cs="Times New Roman"/>
          <w:sz w:val="24"/>
          <w:szCs w:val="24"/>
          <w:lang w:val="fr-FR"/>
        </w:rPr>
        <w:t>s</w:t>
      </w:r>
      <w:r w:rsidR="005C059C" w:rsidRPr="00953692">
        <w:rPr>
          <w:rFonts w:cs="Times New Roman"/>
          <w:sz w:val="24"/>
          <w:szCs w:val="24"/>
          <w:lang w:val="fr-FR"/>
        </w:rPr>
        <w:t xml:space="preserve"> TPI n’appliquai</w:t>
      </w:r>
      <w:r w:rsidR="006A7044" w:rsidRPr="00953692">
        <w:rPr>
          <w:rFonts w:cs="Times New Roman"/>
          <w:sz w:val="24"/>
          <w:szCs w:val="24"/>
          <w:lang w:val="fr-FR"/>
        </w:rPr>
        <w:t>en</w:t>
      </w:r>
      <w:r w:rsidR="005C059C" w:rsidRPr="00953692">
        <w:rPr>
          <w:rFonts w:cs="Times New Roman"/>
          <w:sz w:val="24"/>
          <w:szCs w:val="24"/>
          <w:lang w:val="fr-FR"/>
        </w:rPr>
        <w:t>t pas la procédure par défaut,</w:t>
      </w:r>
      <w:r w:rsidR="006A7044" w:rsidRPr="00953692">
        <w:rPr>
          <w:rFonts w:cs="Times New Roman"/>
          <w:sz w:val="24"/>
          <w:szCs w:val="24"/>
          <w:lang w:val="fr-FR"/>
        </w:rPr>
        <w:t xml:space="preserve"> contrairement au</w:t>
      </w:r>
      <w:r w:rsidR="005C059C" w:rsidRPr="00953692">
        <w:rPr>
          <w:rFonts w:cs="Times New Roman"/>
          <w:sz w:val="24"/>
          <w:szCs w:val="24"/>
          <w:lang w:val="fr-FR"/>
        </w:rPr>
        <w:t xml:space="preserve"> TSL</w:t>
      </w:r>
      <w:r w:rsidR="005453B6" w:rsidRPr="00953692">
        <w:rPr>
          <w:rFonts w:cs="Times New Roman"/>
          <w:sz w:val="24"/>
          <w:szCs w:val="24"/>
          <w:lang w:val="fr-FR"/>
        </w:rPr>
        <w:t xml:space="preserve"> (qui est une juridiction mixte)</w:t>
      </w:r>
      <w:r w:rsidR="005C059C" w:rsidRPr="00953692">
        <w:rPr>
          <w:rFonts w:cs="Times New Roman"/>
          <w:sz w:val="24"/>
          <w:szCs w:val="24"/>
          <w:lang w:val="fr-FR"/>
        </w:rPr>
        <w:t>. Et, en théorie générale de la procédure (pénale), le défaut n’est valable que si la personne visée avait été signifié</w:t>
      </w:r>
      <w:r w:rsidR="00EC326E" w:rsidRPr="00953692">
        <w:rPr>
          <w:rFonts w:cs="Times New Roman"/>
          <w:sz w:val="24"/>
          <w:szCs w:val="24"/>
          <w:lang w:val="fr-FR"/>
        </w:rPr>
        <w:t>e</w:t>
      </w:r>
      <w:r w:rsidR="005C059C" w:rsidRPr="00953692">
        <w:rPr>
          <w:rFonts w:cs="Times New Roman"/>
          <w:sz w:val="24"/>
          <w:szCs w:val="24"/>
          <w:lang w:val="fr-FR"/>
        </w:rPr>
        <w:t xml:space="preserve"> </w:t>
      </w:r>
      <w:r w:rsidR="00A4615F" w:rsidRPr="00953692">
        <w:rPr>
          <w:rFonts w:cs="Times New Roman"/>
          <w:sz w:val="24"/>
          <w:szCs w:val="24"/>
          <w:lang w:val="fr-FR"/>
        </w:rPr>
        <w:t>dûment</w:t>
      </w:r>
      <w:r w:rsidR="005C059C" w:rsidRPr="00953692">
        <w:rPr>
          <w:rFonts w:cs="Times New Roman"/>
          <w:sz w:val="24"/>
          <w:szCs w:val="24"/>
          <w:lang w:val="fr-FR"/>
        </w:rPr>
        <w:t xml:space="preserve"> par une citation à comparaitre</w:t>
      </w:r>
      <w:r w:rsidR="00FA4C82" w:rsidRPr="00953692">
        <w:rPr>
          <w:rFonts w:cs="Times New Roman"/>
          <w:sz w:val="24"/>
          <w:szCs w:val="24"/>
          <w:lang w:val="fr-FR"/>
        </w:rPr>
        <w:t>, un mandat de comparution, une convocation ou tout autre acte</w:t>
      </w:r>
      <w:r w:rsidR="00905FE3" w:rsidRPr="00953692">
        <w:rPr>
          <w:rFonts w:cs="Times New Roman"/>
          <w:sz w:val="24"/>
          <w:szCs w:val="24"/>
          <w:lang w:val="fr-FR"/>
        </w:rPr>
        <w:t xml:space="preserve"> conforme,</w:t>
      </w:r>
      <w:r w:rsidR="005C059C" w:rsidRPr="00953692">
        <w:rPr>
          <w:rFonts w:cs="Times New Roman"/>
          <w:sz w:val="24"/>
          <w:szCs w:val="24"/>
          <w:lang w:val="fr-FR"/>
        </w:rPr>
        <w:t xml:space="preserve"> et a refusé de se présenter devant la justice. </w:t>
      </w:r>
      <w:r w:rsidR="007D1583" w:rsidRPr="00953692">
        <w:rPr>
          <w:rFonts w:cs="Times New Roman"/>
          <w:sz w:val="24"/>
          <w:szCs w:val="24"/>
          <w:lang w:val="fr-FR"/>
        </w:rPr>
        <w:t xml:space="preserve">Il est </w:t>
      </w:r>
      <w:r w:rsidR="00905FE3" w:rsidRPr="00953692">
        <w:rPr>
          <w:rFonts w:cs="Times New Roman"/>
          <w:sz w:val="24"/>
          <w:szCs w:val="24"/>
          <w:lang w:val="fr-FR"/>
        </w:rPr>
        <w:t>possible</w:t>
      </w:r>
      <w:r w:rsidR="007D1583" w:rsidRPr="00953692">
        <w:rPr>
          <w:rFonts w:cs="Times New Roman"/>
          <w:sz w:val="24"/>
          <w:szCs w:val="24"/>
          <w:lang w:val="fr-FR"/>
        </w:rPr>
        <w:t xml:space="preserve"> d’affirmer dans cette logique </w:t>
      </w:r>
      <w:r w:rsidR="006A7044" w:rsidRPr="00953692">
        <w:rPr>
          <w:rFonts w:cs="Times New Roman"/>
          <w:sz w:val="24"/>
          <w:szCs w:val="24"/>
          <w:lang w:val="fr-FR"/>
        </w:rPr>
        <w:t>que</w:t>
      </w:r>
      <w:r w:rsidR="00FA4C82" w:rsidRPr="00953692">
        <w:rPr>
          <w:rFonts w:cs="Times New Roman"/>
          <w:sz w:val="24"/>
          <w:szCs w:val="24"/>
          <w:lang w:val="fr-FR"/>
        </w:rPr>
        <w:t>,</w:t>
      </w:r>
      <w:r w:rsidR="006A7044" w:rsidRPr="00953692">
        <w:rPr>
          <w:rFonts w:cs="Times New Roman"/>
          <w:sz w:val="24"/>
          <w:szCs w:val="24"/>
          <w:lang w:val="fr-FR"/>
        </w:rPr>
        <w:t xml:space="preserve"> </w:t>
      </w:r>
      <w:r w:rsidR="007D1583" w:rsidRPr="00953692">
        <w:rPr>
          <w:rFonts w:cs="Times New Roman"/>
          <w:sz w:val="24"/>
          <w:szCs w:val="24"/>
          <w:lang w:val="fr-FR"/>
        </w:rPr>
        <w:t xml:space="preserve">l’accusé a </w:t>
      </w:r>
      <w:r w:rsidR="00FA4C82" w:rsidRPr="00953692">
        <w:rPr>
          <w:rFonts w:cs="Times New Roman"/>
          <w:sz w:val="24"/>
          <w:szCs w:val="24"/>
          <w:lang w:val="fr-FR"/>
        </w:rPr>
        <w:t xml:space="preserve">bien </w:t>
      </w:r>
      <w:r w:rsidR="007D1583" w:rsidRPr="00953692">
        <w:rPr>
          <w:rFonts w:cs="Times New Roman"/>
          <w:sz w:val="24"/>
          <w:szCs w:val="24"/>
          <w:lang w:val="fr-FR"/>
        </w:rPr>
        <w:t>pris connaissance des charges retenues contre lui.</w:t>
      </w:r>
    </w:p>
    <w:p w14:paraId="6F397A38" w14:textId="7D409ED6" w:rsidR="002B583F" w:rsidRPr="00953692" w:rsidRDefault="006F38E2" w:rsidP="00864BBF">
      <w:pPr>
        <w:spacing w:line="276" w:lineRule="auto"/>
        <w:ind w:firstLine="1134"/>
        <w:jc w:val="both"/>
        <w:rPr>
          <w:rFonts w:cs="Times New Roman"/>
          <w:sz w:val="24"/>
          <w:szCs w:val="24"/>
          <w:lang w:val="fr-FR"/>
        </w:rPr>
      </w:pPr>
      <w:r w:rsidRPr="00953692">
        <w:rPr>
          <w:rFonts w:cs="Times New Roman"/>
          <w:b/>
          <w:bCs/>
          <w:sz w:val="24"/>
          <w:szCs w:val="24"/>
          <w:lang w:val="fr-FR"/>
        </w:rPr>
        <w:t>73</w:t>
      </w:r>
      <w:r w:rsidR="006A7044" w:rsidRPr="00953692">
        <w:rPr>
          <w:rFonts w:cs="Times New Roman"/>
          <w:b/>
          <w:bCs/>
          <w:sz w:val="24"/>
          <w:szCs w:val="24"/>
          <w:lang w:val="fr-FR"/>
        </w:rPr>
        <w:t>.</w:t>
      </w:r>
      <w:r w:rsidR="006A7044" w:rsidRPr="00953692">
        <w:rPr>
          <w:rFonts w:cs="Times New Roman"/>
          <w:sz w:val="24"/>
          <w:szCs w:val="24"/>
          <w:lang w:val="fr-FR"/>
        </w:rPr>
        <w:t xml:space="preserve"> Parlant de la signification de l’acte d’accusation, i</w:t>
      </w:r>
      <w:r w:rsidR="00462280" w:rsidRPr="00953692">
        <w:rPr>
          <w:rFonts w:cs="Times New Roman"/>
          <w:sz w:val="24"/>
          <w:szCs w:val="24"/>
          <w:lang w:val="fr-FR"/>
        </w:rPr>
        <w:t xml:space="preserve">l est possible d’en faire un </w:t>
      </w:r>
      <w:r w:rsidR="00A3150E" w:rsidRPr="00953692">
        <w:rPr>
          <w:rFonts w:cs="Times New Roman"/>
          <w:sz w:val="24"/>
          <w:szCs w:val="24"/>
          <w:lang w:val="fr-FR"/>
        </w:rPr>
        <w:t>parallèle</w:t>
      </w:r>
      <w:r w:rsidR="00462280" w:rsidRPr="00953692">
        <w:rPr>
          <w:rFonts w:cs="Times New Roman"/>
          <w:sz w:val="24"/>
          <w:szCs w:val="24"/>
          <w:lang w:val="fr-FR"/>
        </w:rPr>
        <w:t xml:space="preserve"> avec la première comparution de l’accusé</w:t>
      </w:r>
      <w:r w:rsidR="00EB5BB5" w:rsidRPr="00953692">
        <w:rPr>
          <w:rFonts w:cs="Times New Roman"/>
          <w:sz w:val="24"/>
          <w:szCs w:val="24"/>
          <w:lang w:val="fr-FR"/>
        </w:rPr>
        <w:t>, comme l’a précisé la Chambre d’appel du TPIR.</w:t>
      </w:r>
      <w:r w:rsidR="00462280" w:rsidRPr="00953692">
        <w:rPr>
          <w:rFonts w:cs="Times New Roman"/>
          <w:sz w:val="24"/>
          <w:szCs w:val="24"/>
          <w:lang w:val="fr-FR"/>
        </w:rPr>
        <w:t xml:space="preserve"> </w:t>
      </w:r>
      <w:r w:rsidR="00EB5BB5" w:rsidRPr="00953692">
        <w:rPr>
          <w:rFonts w:cs="Times New Roman"/>
          <w:sz w:val="24"/>
          <w:szCs w:val="24"/>
          <w:lang w:val="fr-FR"/>
        </w:rPr>
        <w:t>En effet, a</w:t>
      </w:r>
      <w:r w:rsidR="00462280" w:rsidRPr="00953692">
        <w:rPr>
          <w:rFonts w:cs="Times New Roman"/>
          <w:sz w:val="24"/>
          <w:szCs w:val="24"/>
          <w:lang w:val="fr-FR"/>
        </w:rPr>
        <w:t xml:space="preserve">u cours de </w:t>
      </w:r>
      <w:r w:rsidR="00EB5BB5" w:rsidRPr="00953692">
        <w:rPr>
          <w:rFonts w:cs="Times New Roman"/>
          <w:sz w:val="24"/>
          <w:szCs w:val="24"/>
          <w:lang w:val="fr-FR"/>
        </w:rPr>
        <w:t>cette comparution,</w:t>
      </w:r>
      <w:r w:rsidR="00462280" w:rsidRPr="00953692">
        <w:rPr>
          <w:rFonts w:cs="Times New Roman"/>
          <w:sz w:val="24"/>
          <w:szCs w:val="24"/>
          <w:lang w:val="fr-FR"/>
        </w:rPr>
        <w:t xml:space="preserve"> </w:t>
      </w:r>
      <w:r w:rsidR="00EC7E6E" w:rsidRPr="00953692">
        <w:rPr>
          <w:rFonts w:cs="Times New Roman"/>
          <w:sz w:val="24"/>
          <w:szCs w:val="24"/>
          <w:lang w:val="fr-FR"/>
        </w:rPr>
        <w:t>ce dernie</w:t>
      </w:r>
      <w:r w:rsidR="00EB5BB5" w:rsidRPr="00953692">
        <w:rPr>
          <w:rFonts w:cs="Times New Roman"/>
          <w:sz w:val="24"/>
          <w:szCs w:val="24"/>
          <w:lang w:val="fr-FR"/>
        </w:rPr>
        <w:t>r prend connaissance de cet acte d’accusa</w:t>
      </w:r>
      <w:r w:rsidR="00B10E98" w:rsidRPr="00953692">
        <w:rPr>
          <w:rFonts w:cs="Times New Roman"/>
          <w:sz w:val="24"/>
          <w:szCs w:val="24"/>
          <w:lang w:val="fr-FR"/>
        </w:rPr>
        <w:t>tion</w:t>
      </w:r>
      <w:r w:rsidR="00462280" w:rsidRPr="00953692">
        <w:rPr>
          <w:rFonts w:cs="Times New Roman"/>
          <w:sz w:val="24"/>
          <w:szCs w:val="24"/>
          <w:lang w:val="fr-FR"/>
        </w:rPr>
        <w:t xml:space="preserve"> à travers la lecture qui lui est faite. </w:t>
      </w:r>
      <w:r w:rsidR="009B7BC5" w:rsidRPr="00953692">
        <w:rPr>
          <w:rFonts w:cs="Times New Roman"/>
          <w:sz w:val="24"/>
          <w:szCs w:val="24"/>
          <w:lang w:val="fr-FR"/>
        </w:rPr>
        <w:t>Il est vrai que la réception de la copie ou la lecture d’un acte accusation fournit à l’accusé l’essentiel des informations</w:t>
      </w:r>
      <w:r w:rsidR="00703004" w:rsidRPr="00953692">
        <w:rPr>
          <w:rFonts w:cs="Times New Roman"/>
          <w:sz w:val="24"/>
          <w:szCs w:val="24"/>
          <w:lang w:val="fr-FR"/>
        </w:rPr>
        <w:t>.</w:t>
      </w:r>
      <w:r w:rsidR="00EB5BB5" w:rsidRPr="00953692">
        <w:rPr>
          <w:rFonts w:cs="Times New Roman"/>
          <w:sz w:val="24"/>
          <w:szCs w:val="24"/>
          <w:lang w:val="fr-FR"/>
        </w:rPr>
        <w:t xml:space="preserve"> </w:t>
      </w:r>
      <w:r w:rsidR="00C72692" w:rsidRPr="00953692">
        <w:rPr>
          <w:rFonts w:cs="Times New Roman"/>
          <w:sz w:val="24"/>
          <w:szCs w:val="24"/>
          <w:lang w:val="fr-FR"/>
        </w:rPr>
        <w:t>E</w:t>
      </w:r>
      <w:r w:rsidR="00D3598C" w:rsidRPr="00953692">
        <w:rPr>
          <w:rFonts w:cs="Times New Roman"/>
          <w:sz w:val="24"/>
          <w:szCs w:val="24"/>
          <w:lang w:val="fr-FR"/>
        </w:rPr>
        <w:t>t pourtant, la condition d’une information détaillée ne semble pas être remplie</w:t>
      </w:r>
      <w:r w:rsidR="00C72692" w:rsidRPr="00953692">
        <w:rPr>
          <w:rFonts w:cs="Times New Roman"/>
          <w:sz w:val="24"/>
          <w:szCs w:val="24"/>
          <w:lang w:val="fr-FR"/>
        </w:rPr>
        <w:t xml:space="preserve"> ni au moment de la signification de l’acte d’accusation, ni lors de la comparution initiale</w:t>
      </w:r>
      <w:r w:rsidR="00D3598C" w:rsidRPr="00953692">
        <w:rPr>
          <w:rFonts w:cs="Times New Roman"/>
          <w:sz w:val="24"/>
          <w:szCs w:val="24"/>
          <w:lang w:val="fr-FR"/>
        </w:rPr>
        <w:t>.</w:t>
      </w:r>
      <w:r w:rsidR="007D59B2" w:rsidRPr="00953692">
        <w:rPr>
          <w:rFonts w:cs="Times New Roman"/>
          <w:sz w:val="24"/>
          <w:szCs w:val="24"/>
          <w:lang w:val="fr-FR"/>
        </w:rPr>
        <w:t xml:space="preserve"> </w:t>
      </w:r>
      <w:r w:rsidR="00EB5BB5" w:rsidRPr="00953692">
        <w:rPr>
          <w:rFonts w:cs="Times New Roman"/>
          <w:sz w:val="24"/>
          <w:szCs w:val="24"/>
          <w:lang w:val="fr-FR"/>
        </w:rPr>
        <w:t>L</w:t>
      </w:r>
      <w:r w:rsidR="007D59B2" w:rsidRPr="00953692">
        <w:rPr>
          <w:rFonts w:cs="Times New Roman"/>
          <w:sz w:val="24"/>
          <w:szCs w:val="24"/>
          <w:lang w:val="fr-FR"/>
        </w:rPr>
        <w:t xml:space="preserve">a comparution initiale va plutôt préparer le terrain pour l’établissement de cette condition, car </w:t>
      </w:r>
      <w:r w:rsidR="00B85F6F" w:rsidRPr="00953692">
        <w:rPr>
          <w:rFonts w:cs="Times New Roman"/>
          <w:sz w:val="24"/>
          <w:szCs w:val="24"/>
          <w:lang w:val="fr-FR"/>
        </w:rPr>
        <w:t>comme nous le verrons plus loin, cette étape ouvre l’accès au procès par une fixation de la date d’audience</w:t>
      </w:r>
      <w:r w:rsidR="00EB5BB5" w:rsidRPr="00953692">
        <w:rPr>
          <w:rFonts w:cs="Times New Roman"/>
          <w:sz w:val="24"/>
          <w:szCs w:val="24"/>
          <w:lang w:val="fr-FR"/>
        </w:rPr>
        <w:t xml:space="preserve"> et les échanges entre les parties</w:t>
      </w:r>
      <w:r w:rsidR="00B85F6F" w:rsidRPr="00953692">
        <w:rPr>
          <w:rFonts w:cs="Times New Roman"/>
          <w:sz w:val="24"/>
          <w:szCs w:val="24"/>
          <w:lang w:val="fr-FR"/>
        </w:rPr>
        <w:t xml:space="preserve">. </w:t>
      </w:r>
      <w:r w:rsidR="0071567A" w:rsidRPr="00953692">
        <w:rPr>
          <w:rStyle w:val="grammar"/>
          <w:rFonts w:cs="Times New Roman"/>
          <w:sz w:val="24"/>
          <w:szCs w:val="24"/>
          <w:lang w:val="fr-FR"/>
        </w:rPr>
        <w:t>À</w:t>
      </w:r>
      <w:r w:rsidR="00EB5BB5" w:rsidRPr="00953692">
        <w:rPr>
          <w:rFonts w:cs="Times New Roman"/>
          <w:sz w:val="24"/>
          <w:szCs w:val="24"/>
          <w:lang w:val="fr-FR"/>
        </w:rPr>
        <w:t xml:space="preserve"> cet effet</w:t>
      </w:r>
      <w:r w:rsidR="00B85F6F" w:rsidRPr="00953692">
        <w:rPr>
          <w:rFonts w:cs="Times New Roman"/>
          <w:sz w:val="24"/>
          <w:szCs w:val="24"/>
          <w:lang w:val="fr-FR"/>
        </w:rPr>
        <w:t xml:space="preserve">, </w:t>
      </w:r>
      <w:r w:rsidR="000E10B6" w:rsidRPr="00953692">
        <w:rPr>
          <w:rFonts w:cs="Times New Roman"/>
          <w:sz w:val="24"/>
          <w:szCs w:val="24"/>
          <w:lang w:val="fr-FR"/>
        </w:rPr>
        <w:t>l’article 66</w:t>
      </w:r>
      <w:r w:rsidR="00EB5BB5" w:rsidRPr="00953692">
        <w:rPr>
          <w:rFonts w:cs="Times New Roman"/>
          <w:sz w:val="24"/>
          <w:szCs w:val="24"/>
          <w:lang w:val="fr-FR"/>
        </w:rPr>
        <w:t xml:space="preserve"> commun</w:t>
      </w:r>
      <w:r w:rsidR="000E10B6" w:rsidRPr="00953692">
        <w:rPr>
          <w:rFonts w:cs="Times New Roman"/>
          <w:sz w:val="24"/>
          <w:szCs w:val="24"/>
          <w:lang w:val="fr-FR"/>
        </w:rPr>
        <w:t xml:space="preserve"> d</w:t>
      </w:r>
      <w:r w:rsidR="00EB5BB5" w:rsidRPr="00953692">
        <w:rPr>
          <w:rFonts w:cs="Times New Roman"/>
          <w:sz w:val="24"/>
          <w:szCs w:val="24"/>
          <w:lang w:val="fr-FR"/>
        </w:rPr>
        <w:t>es</w:t>
      </w:r>
      <w:r w:rsidR="000E10B6" w:rsidRPr="00953692">
        <w:rPr>
          <w:rFonts w:cs="Times New Roman"/>
          <w:sz w:val="24"/>
          <w:szCs w:val="24"/>
          <w:lang w:val="fr-FR"/>
        </w:rPr>
        <w:t xml:space="preserve"> RPP des TPI dispose que </w:t>
      </w:r>
      <w:r w:rsidR="00B85F6F" w:rsidRPr="00953692">
        <w:rPr>
          <w:rFonts w:cs="Times New Roman"/>
          <w:sz w:val="24"/>
          <w:szCs w:val="24"/>
          <w:lang w:val="fr-FR"/>
        </w:rPr>
        <w:t xml:space="preserve">le </w:t>
      </w:r>
      <w:r w:rsidR="002B583F" w:rsidRPr="00953692">
        <w:rPr>
          <w:rFonts w:cs="Times New Roman"/>
          <w:sz w:val="24"/>
          <w:szCs w:val="24"/>
          <w:lang w:val="fr-FR"/>
        </w:rPr>
        <w:t>P</w:t>
      </w:r>
      <w:r w:rsidR="00B85F6F" w:rsidRPr="00953692">
        <w:rPr>
          <w:rFonts w:cs="Times New Roman"/>
          <w:sz w:val="24"/>
          <w:szCs w:val="24"/>
          <w:lang w:val="fr-FR"/>
        </w:rPr>
        <w:t>rocureur communique à l’accusé</w:t>
      </w:r>
      <w:r w:rsidR="000E10B6" w:rsidRPr="00953692">
        <w:rPr>
          <w:rFonts w:cs="Times New Roman"/>
          <w:sz w:val="24"/>
          <w:szCs w:val="24"/>
          <w:lang w:val="fr-FR"/>
        </w:rPr>
        <w:t> :</w:t>
      </w:r>
      <w:r w:rsidR="00B85F6F" w:rsidRPr="00953692">
        <w:rPr>
          <w:rFonts w:cs="Times New Roman"/>
          <w:sz w:val="24"/>
          <w:szCs w:val="24"/>
          <w:lang w:val="fr-FR"/>
        </w:rPr>
        <w:t xml:space="preserve"> </w:t>
      </w:r>
    </w:p>
    <w:p w14:paraId="127F7FBD" w14:textId="25FF72EE" w:rsidR="002B583F" w:rsidRPr="00953692" w:rsidRDefault="00741187" w:rsidP="00864BBF">
      <w:pPr>
        <w:pStyle w:val="Paragraphedeliste"/>
        <w:numPr>
          <w:ilvl w:val="0"/>
          <w:numId w:val="3"/>
        </w:numPr>
        <w:spacing w:line="276" w:lineRule="auto"/>
        <w:jc w:val="both"/>
        <w:rPr>
          <w:i/>
          <w:iCs/>
          <w:sz w:val="22"/>
          <w:lang w:val="fr-FR"/>
        </w:rPr>
      </w:pPr>
      <w:r w:rsidRPr="00953692">
        <w:rPr>
          <w:i/>
          <w:iCs/>
          <w:sz w:val="22"/>
          <w:lang w:val="fr-FR"/>
        </w:rPr>
        <w:t>Dans les trente jours suivant la comparution initiale de l’accusé, copie de toutes les pièces justificatives jointes à l’acte d’accusation lors de la demande de confirmation ainsi que de toutes les déclarations antérieures de l’accusé recueillies par l</w:t>
      </w:r>
      <w:r w:rsidR="002B583F" w:rsidRPr="00953692">
        <w:rPr>
          <w:i/>
          <w:iCs/>
          <w:sz w:val="22"/>
          <w:lang w:val="fr-FR"/>
        </w:rPr>
        <w:t>ui</w:t>
      </w:r>
      <w:r w:rsidR="00972B3D" w:rsidRPr="00953692">
        <w:rPr>
          <w:i/>
          <w:iCs/>
          <w:sz w:val="22"/>
          <w:lang w:val="fr-FR"/>
        </w:rPr>
        <w:t xml:space="preserve"> ;</w:t>
      </w:r>
      <w:r w:rsidRPr="00953692">
        <w:rPr>
          <w:i/>
          <w:iCs/>
          <w:sz w:val="22"/>
          <w:lang w:val="fr-FR"/>
        </w:rPr>
        <w:t xml:space="preserve"> </w:t>
      </w:r>
    </w:p>
    <w:p w14:paraId="2D4CC5BC" w14:textId="009B3AB5" w:rsidR="00282B2C" w:rsidRPr="00953692" w:rsidRDefault="00741187" w:rsidP="00864BBF">
      <w:pPr>
        <w:pStyle w:val="Paragraphedeliste"/>
        <w:numPr>
          <w:ilvl w:val="0"/>
          <w:numId w:val="3"/>
        </w:numPr>
        <w:spacing w:line="276" w:lineRule="auto"/>
        <w:jc w:val="both"/>
        <w:rPr>
          <w:i/>
          <w:iCs/>
          <w:sz w:val="22"/>
          <w:lang w:val="fr-FR"/>
        </w:rPr>
      </w:pPr>
      <w:r w:rsidRPr="00953692">
        <w:rPr>
          <w:i/>
          <w:iCs/>
          <w:sz w:val="22"/>
          <w:lang w:val="fr-FR"/>
        </w:rPr>
        <w:lastRenderedPageBreak/>
        <w:t>Au plus tard soixante jours avant la date fixée pour le début du procès, copie des déclarations de tous les témoins que le Procureur entend appeler à la barre. Une Chambre de première instance peut, à condition que le bien-fondé d’une telle mesure lui soit démontré, ordonner que des copies de déclarations de témoins à charge supplémentaires soient remises à la défense dans un délai fixé par la Chambre.</w:t>
      </w:r>
    </w:p>
    <w:p w14:paraId="132CEC5C" w14:textId="47AF6207" w:rsidR="00560A49" w:rsidRPr="00953692" w:rsidRDefault="006F38E2" w:rsidP="00864BBF">
      <w:pPr>
        <w:spacing w:after="0" w:line="276" w:lineRule="auto"/>
        <w:ind w:firstLine="1134"/>
        <w:jc w:val="both"/>
        <w:rPr>
          <w:sz w:val="24"/>
          <w:szCs w:val="24"/>
          <w:lang w:val="fr-FR"/>
        </w:rPr>
      </w:pPr>
      <w:r w:rsidRPr="00953692">
        <w:rPr>
          <w:b/>
          <w:bCs/>
          <w:sz w:val="24"/>
          <w:szCs w:val="24"/>
          <w:lang w:val="fr-FR"/>
        </w:rPr>
        <w:t>74</w:t>
      </w:r>
      <w:r w:rsidR="00560A49" w:rsidRPr="00953692">
        <w:rPr>
          <w:b/>
          <w:bCs/>
          <w:sz w:val="24"/>
          <w:szCs w:val="24"/>
          <w:lang w:val="fr-FR"/>
        </w:rPr>
        <w:t>.</w:t>
      </w:r>
      <w:r w:rsidR="00560A49" w:rsidRPr="00953692">
        <w:rPr>
          <w:sz w:val="24"/>
          <w:szCs w:val="24"/>
          <w:lang w:val="fr-FR"/>
        </w:rPr>
        <w:t xml:space="preserve"> </w:t>
      </w:r>
      <w:r w:rsidR="002B583F" w:rsidRPr="00953692">
        <w:rPr>
          <w:sz w:val="24"/>
          <w:szCs w:val="24"/>
          <w:lang w:val="fr-FR"/>
        </w:rPr>
        <w:t xml:space="preserve">En outre, </w:t>
      </w:r>
      <w:r w:rsidR="000B65AE" w:rsidRPr="00953692">
        <w:rPr>
          <w:sz w:val="24"/>
          <w:szCs w:val="24"/>
          <w:lang w:val="fr-FR"/>
        </w:rPr>
        <w:t>dans la mesure où les textes le permettent, l’accusé peut solliciter et obtenir du procureur la permission de consulter</w:t>
      </w:r>
      <w:r w:rsidR="002B583F" w:rsidRPr="00953692">
        <w:rPr>
          <w:sz w:val="24"/>
          <w:szCs w:val="24"/>
          <w:lang w:val="fr-FR"/>
        </w:rPr>
        <w:t xml:space="preserve"> </w:t>
      </w:r>
      <w:r w:rsidR="000B65AE" w:rsidRPr="00953692">
        <w:rPr>
          <w:sz w:val="24"/>
          <w:szCs w:val="24"/>
          <w:lang w:val="fr-FR"/>
        </w:rPr>
        <w:t>« </w:t>
      </w:r>
      <w:r w:rsidR="002B583F" w:rsidRPr="00953692">
        <w:rPr>
          <w:sz w:val="24"/>
          <w:szCs w:val="24"/>
          <w:lang w:val="fr-FR"/>
        </w:rPr>
        <w:t xml:space="preserve">tous livres, documents, photographies et autres objets se trouvant en </w:t>
      </w:r>
      <w:r w:rsidR="000B65AE" w:rsidRPr="00953692">
        <w:rPr>
          <w:sz w:val="24"/>
          <w:szCs w:val="24"/>
          <w:lang w:val="fr-FR"/>
        </w:rPr>
        <w:t>la</w:t>
      </w:r>
      <w:r w:rsidR="002B583F" w:rsidRPr="00953692">
        <w:rPr>
          <w:sz w:val="24"/>
          <w:szCs w:val="24"/>
          <w:lang w:val="fr-FR"/>
        </w:rPr>
        <w:t xml:space="preserve"> possession </w:t>
      </w:r>
      <w:r w:rsidR="000B65AE" w:rsidRPr="00953692">
        <w:rPr>
          <w:sz w:val="24"/>
          <w:szCs w:val="24"/>
          <w:lang w:val="fr-FR"/>
        </w:rPr>
        <w:t xml:space="preserve">du Procureur </w:t>
      </w:r>
      <w:r w:rsidR="002B583F" w:rsidRPr="00953692">
        <w:rPr>
          <w:sz w:val="24"/>
          <w:szCs w:val="24"/>
          <w:lang w:val="fr-FR"/>
        </w:rPr>
        <w:t>ou sous son contrôle qui sont nécessaires à la défense de l’accusé, ou seront utilisés par le Procureur comme moyens de preuve au procès, ou ont été obtenus de l’accusé ou lui appartiennent</w:t>
      </w:r>
      <w:r w:rsidR="000B65AE" w:rsidRPr="00953692">
        <w:rPr>
          <w:sz w:val="24"/>
          <w:szCs w:val="24"/>
          <w:lang w:val="fr-FR"/>
        </w:rPr>
        <w:t> »</w:t>
      </w:r>
      <w:r w:rsidR="00CA73F8" w:rsidRPr="00953692">
        <w:rPr>
          <w:rStyle w:val="Appelnotedebasdep"/>
          <w:sz w:val="24"/>
          <w:szCs w:val="24"/>
          <w:lang w:val="fr-FR"/>
        </w:rPr>
        <w:footnoteReference w:customMarkFollows="1" w:id="66"/>
        <w:t>45</w:t>
      </w:r>
      <w:r w:rsidR="002B583F" w:rsidRPr="00953692">
        <w:rPr>
          <w:sz w:val="24"/>
          <w:szCs w:val="24"/>
          <w:lang w:val="fr-FR"/>
        </w:rPr>
        <w:t>.</w:t>
      </w:r>
      <w:r w:rsidR="00A62EFF" w:rsidRPr="00953692">
        <w:rPr>
          <w:sz w:val="24"/>
          <w:szCs w:val="24"/>
          <w:lang w:val="fr-FR"/>
        </w:rPr>
        <w:t xml:space="preserve"> On y voit </w:t>
      </w:r>
      <w:r w:rsidR="00A84A01" w:rsidRPr="00953692">
        <w:rPr>
          <w:sz w:val="24"/>
          <w:szCs w:val="24"/>
          <w:lang w:val="fr-FR"/>
        </w:rPr>
        <w:t>claire</w:t>
      </w:r>
      <w:r w:rsidR="00A62EFF" w:rsidRPr="00953692">
        <w:rPr>
          <w:sz w:val="24"/>
          <w:szCs w:val="24"/>
          <w:lang w:val="fr-FR"/>
        </w:rPr>
        <w:t xml:space="preserve">ment </w:t>
      </w:r>
      <w:r w:rsidR="00560A49" w:rsidRPr="00953692">
        <w:rPr>
          <w:sz w:val="24"/>
          <w:szCs w:val="24"/>
          <w:lang w:val="fr-FR"/>
        </w:rPr>
        <w:t>les marques d’</w:t>
      </w:r>
      <w:r w:rsidR="00A62EFF" w:rsidRPr="00953692">
        <w:rPr>
          <w:sz w:val="24"/>
          <w:szCs w:val="24"/>
          <w:lang w:val="fr-FR"/>
        </w:rPr>
        <w:t>une progressivité dans la réalisation de ce droit, plus précisément</w:t>
      </w:r>
      <w:r w:rsidR="00EB5BB5" w:rsidRPr="00953692">
        <w:rPr>
          <w:sz w:val="24"/>
          <w:szCs w:val="24"/>
          <w:lang w:val="fr-FR"/>
        </w:rPr>
        <w:t xml:space="preserve">, en </w:t>
      </w:r>
      <w:r w:rsidR="006E4806" w:rsidRPr="00953692">
        <w:rPr>
          <w:sz w:val="24"/>
          <w:szCs w:val="24"/>
          <w:lang w:val="fr-FR"/>
        </w:rPr>
        <w:t>ce qui concerne</w:t>
      </w:r>
      <w:r w:rsidR="00A62EFF" w:rsidRPr="00953692">
        <w:rPr>
          <w:sz w:val="24"/>
          <w:szCs w:val="24"/>
          <w:lang w:val="fr-FR"/>
        </w:rPr>
        <w:t xml:space="preserve"> la condition </w:t>
      </w:r>
      <w:r w:rsidR="006E4806" w:rsidRPr="00953692">
        <w:rPr>
          <w:sz w:val="24"/>
          <w:szCs w:val="24"/>
          <w:lang w:val="fr-FR"/>
        </w:rPr>
        <w:t>relative au détail de cette</w:t>
      </w:r>
      <w:r w:rsidR="00A62EFF" w:rsidRPr="00953692">
        <w:rPr>
          <w:sz w:val="24"/>
          <w:szCs w:val="24"/>
          <w:lang w:val="fr-FR"/>
        </w:rPr>
        <w:t xml:space="preserve"> information.</w:t>
      </w:r>
    </w:p>
    <w:p w14:paraId="0B265CB7" w14:textId="0122FD56" w:rsidR="002B583F" w:rsidRPr="00953692" w:rsidRDefault="006F38E2" w:rsidP="00864BBF">
      <w:pPr>
        <w:spacing w:after="0" w:line="276" w:lineRule="auto"/>
        <w:ind w:firstLine="1134"/>
        <w:jc w:val="both"/>
        <w:rPr>
          <w:sz w:val="24"/>
          <w:szCs w:val="24"/>
          <w:lang w:val="fr-FR"/>
        </w:rPr>
      </w:pPr>
      <w:r w:rsidRPr="00953692">
        <w:rPr>
          <w:b/>
          <w:bCs/>
          <w:sz w:val="24"/>
          <w:szCs w:val="24"/>
          <w:lang w:val="fr-FR"/>
        </w:rPr>
        <w:t>75</w:t>
      </w:r>
      <w:r w:rsidR="00560A49" w:rsidRPr="00953692">
        <w:rPr>
          <w:b/>
          <w:bCs/>
          <w:sz w:val="24"/>
          <w:szCs w:val="24"/>
          <w:lang w:val="fr-FR"/>
        </w:rPr>
        <w:t>.</w:t>
      </w:r>
      <w:r w:rsidR="00560A49" w:rsidRPr="00953692">
        <w:rPr>
          <w:sz w:val="24"/>
          <w:szCs w:val="24"/>
          <w:lang w:val="fr-FR"/>
        </w:rPr>
        <w:t xml:space="preserve"> Il en ressort finalement que</w:t>
      </w:r>
      <w:r w:rsidR="00A241B3" w:rsidRPr="00953692">
        <w:rPr>
          <w:sz w:val="24"/>
          <w:szCs w:val="24"/>
          <w:lang w:val="fr-FR"/>
        </w:rPr>
        <w:t xml:space="preserve">, l’exigence d’informer dans le plus bref délai </w:t>
      </w:r>
      <w:r w:rsidR="000D74D2" w:rsidRPr="00953692">
        <w:rPr>
          <w:sz w:val="24"/>
          <w:szCs w:val="24"/>
          <w:lang w:val="fr-FR"/>
        </w:rPr>
        <w:t>va se fondre dans ce cheminement vers l’organisation équitable et rapide du procès qu’assure le juge de la mise en état. Une telle exigence ne saurait</w:t>
      </w:r>
      <w:r w:rsidR="00560A49" w:rsidRPr="00953692">
        <w:rPr>
          <w:sz w:val="24"/>
          <w:szCs w:val="24"/>
          <w:lang w:val="fr-FR"/>
        </w:rPr>
        <w:t xml:space="preserve">, en pratique, </w:t>
      </w:r>
      <w:r w:rsidR="000D74D2" w:rsidRPr="00953692">
        <w:rPr>
          <w:sz w:val="24"/>
          <w:szCs w:val="24"/>
          <w:lang w:val="fr-FR"/>
        </w:rPr>
        <w:t>s’apprécier à la lettre, car elle devra plutôt répondre aux besoins de l’accusé</w:t>
      </w:r>
      <w:r w:rsidR="0071567A" w:rsidRPr="00953692">
        <w:rPr>
          <w:sz w:val="24"/>
          <w:szCs w:val="24"/>
          <w:lang w:val="fr-FR"/>
        </w:rPr>
        <w:t xml:space="preserve">, </w:t>
      </w:r>
      <w:r w:rsidR="000D74D2" w:rsidRPr="00953692">
        <w:rPr>
          <w:sz w:val="24"/>
          <w:szCs w:val="24"/>
          <w:lang w:val="fr-FR"/>
        </w:rPr>
        <w:t>d’en recevoir de manière organisée</w:t>
      </w:r>
      <w:r w:rsidR="00560A49" w:rsidRPr="00953692">
        <w:rPr>
          <w:sz w:val="24"/>
          <w:szCs w:val="24"/>
          <w:lang w:val="fr-FR"/>
        </w:rPr>
        <w:t xml:space="preserve"> et </w:t>
      </w:r>
      <w:r w:rsidR="0051437A" w:rsidRPr="00953692">
        <w:rPr>
          <w:sz w:val="24"/>
          <w:szCs w:val="24"/>
          <w:lang w:val="fr-FR"/>
        </w:rPr>
        <w:t>décalée dans le temps</w:t>
      </w:r>
      <w:r w:rsidR="00560A49" w:rsidRPr="00953692">
        <w:rPr>
          <w:sz w:val="24"/>
          <w:szCs w:val="24"/>
          <w:lang w:val="fr-FR"/>
        </w:rPr>
        <w:t>,</w:t>
      </w:r>
      <w:r w:rsidR="000D74D2" w:rsidRPr="00953692">
        <w:rPr>
          <w:sz w:val="24"/>
          <w:szCs w:val="24"/>
          <w:lang w:val="fr-FR"/>
        </w:rPr>
        <w:t xml:space="preserve"> pour mieux s’en servir </w:t>
      </w:r>
      <w:r w:rsidR="00AF173F" w:rsidRPr="00953692">
        <w:rPr>
          <w:sz w:val="24"/>
          <w:szCs w:val="24"/>
          <w:lang w:val="fr-FR"/>
        </w:rPr>
        <w:t>dans</w:t>
      </w:r>
      <w:r w:rsidR="000D74D2" w:rsidRPr="00953692">
        <w:rPr>
          <w:sz w:val="24"/>
          <w:szCs w:val="24"/>
          <w:lang w:val="fr-FR"/>
        </w:rPr>
        <w:t xml:space="preserve"> la préparation de sa défense.</w:t>
      </w:r>
      <w:r w:rsidR="0051437A" w:rsidRPr="00953692">
        <w:rPr>
          <w:sz w:val="24"/>
          <w:szCs w:val="24"/>
          <w:lang w:val="fr-FR"/>
        </w:rPr>
        <w:t xml:space="preserve"> </w:t>
      </w:r>
      <w:r w:rsidR="00560A49" w:rsidRPr="00953692">
        <w:rPr>
          <w:sz w:val="24"/>
          <w:szCs w:val="24"/>
          <w:lang w:val="fr-FR"/>
        </w:rPr>
        <w:t>Comme l’a jugé la CEDH, une décision reprise par la Chambre d’appel du TPIR, l’information peut être fournie à l’accusé par étape</w:t>
      </w:r>
      <w:r w:rsidR="0071567A" w:rsidRPr="00953692">
        <w:rPr>
          <w:sz w:val="24"/>
          <w:szCs w:val="24"/>
          <w:lang w:val="fr-FR"/>
        </w:rPr>
        <w:t>,</w:t>
      </w:r>
      <w:r w:rsidR="00560A49" w:rsidRPr="00953692">
        <w:rPr>
          <w:sz w:val="24"/>
          <w:szCs w:val="24"/>
          <w:lang w:val="fr-FR"/>
        </w:rPr>
        <w:t xml:space="preserve"> à condition qu’elle en soit rapidement</w:t>
      </w:r>
      <w:r w:rsidR="00CF762B" w:rsidRPr="00953692">
        <w:rPr>
          <w:rStyle w:val="Appelnotedebasdep"/>
          <w:sz w:val="24"/>
          <w:szCs w:val="24"/>
          <w:lang w:val="fr-FR"/>
        </w:rPr>
        <w:footnoteReference w:customMarkFollows="1" w:id="67"/>
        <w:t>46</w:t>
      </w:r>
      <w:r w:rsidR="00560A49" w:rsidRPr="00953692">
        <w:rPr>
          <w:sz w:val="24"/>
          <w:szCs w:val="24"/>
          <w:lang w:val="fr-FR"/>
        </w:rPr>
        <w:t>. La rapidité s’apprécie exactement à la lumière des délais statutaires et ceux que le juge fixe éventuellement. Ainsi, l</w:t>
      </w:r>
      <w:r w:rsidR="0051437A" w:rsidRPr="00953692">
        <w:rPr>
          <w:sz w:val="24"/>
          <w:szCs w:val="24"/>
          <w:lang w:val="fr-FR"/>
        </w:rPr>
        <w:t>a progressivité</w:t>
      </w:r>
      <w:r w:rsidR="00560A49" w:rsidRPr="00953692">
        <w:rPr>
          <w:sz w:val="24"/>
          <w:szCs w:val="24"/>
          <w:lang w:val="fr-FR"/>
        </w:rPr>
        <w:t xml:space="preserve"> de la réalisation de ce droit</w:t>
      </w:r>
      <w:r w:rsidR="0051437A" w:rsidRPr="00953692">
        <w:rPr>
          <w:sz w:val="24"/>
          <w:szCs w:val="24"/>
          <w:lang w:val="fr-FR"/>
        </w:rPr>
        <w:t xml:space="preserve"> </w:t>
      </w:r>
      <w:r w:rsidR="007B7AC2" w:rsidRPr="00953692">
        <w:rPr>
          <w:sz w:val="24"/>
          <w:szCs w:val="24"/>
          <w:lang w:val="fr-FR"/>
        </w:rPr>
        <w:t>s’étale</w:t>
      </w:r>
      <w:r w:rsidR="00560A49" w:rsidRPr="00953692">
        <w:rPr>
          <w:sz w:val="24"/>
          <w:szCs w:val="24"/>
          <w:lang w:val="fr-FR"/>
        </w:rPr>
        <w:t>rait</w:t>
      </w:r>
      <w:r w:rsidR="007B7AC2" w:rsidRPr="00953692">
        <w:rPr>
          <w:sz w:val="24"/>
          <w:szCs w:val="24"/>
          <w:lang w:val="fr-FR"/>
        </w:rPr>
        <w:t xml:space="preserve"> sur trois étapes principalement. La première, il s’agit du moment où l’accusé découvre l’acte d’accusation ; la seconde consiste en la période où le Procureur lui transmet les éléments de preuve sur base desquels l’acte d’accusation a été confirmé et dont il entend utiliser contre l</w:t>
      </w:r>
      <w:r w:rsidR="004F215D" w:rsidRPr="00953692">
        <w:rPr>
          <w:sz w:val="24"/>
          <w:szCs w:val="24"/>
          <w:lang w:val="fr-FR"/>
        </w:rPr>
        <w:t>ui</w:t>
      </w:r>
      <w:r w:rsidR="007B7AC2" w:rsidRPr="00953692">
        <w:rPr>
          <w:sz w:val="24"/>
          <w:szCs w:val="24"/>
          <w:lang w:val="fr-FR"/>
        </w:rPr>
        <w:t> ; et enfin, celle qui ouvre à l’accusé</w:t>
      </w:r>
      <w:r w:rsidR="00AF173F" w:rsidRPr="00953692">
        <w:rPr>
          <w:sz w:val="24"/>
          <w:szCs w:val="24"/>
          <w:lang w:val="fr-FR"/>
        </w:rPr>
        <w:t xml:space="preserve"> le droit</w:t>
      </w:r>
      <w:r w:rsidR="007B7AC2" w:rsidRPr="00953692">
        <w:rPr>
          <w:sz w:val="24"/>
          <w:szCs w:val="24"/>
          <w:lang w:val="fr-FR"/>
        </w:rPr>
        <w:t xml:space="preserve"> d’exiger d’autres éléments </w:t>
      </w:r>
      <w:r w:rsidR="004F215D" w:rsidRPr="00953692">
        <w:rPr>
          <w:sz w:val="24"/>
          <w:szCs w:val="24"/>
          <w:lang w:val="fr-FR"/>
        </w:rPr>
        <w:t>à la disposition</w:t>
      </w:r>
      <w:r w:rsidR="007B7AC2" w:rsidRPr="00953692">
        <w:rPr>
          <w:sz w:val="24"/>
          <w:szCs w:val="24"/>
          <w:lang w:val="fr-FR"/>
        </w:rPr>
        <w:t xml:space="preserve"> </w:t>
      </w:r>
      <w:r w:rsidR="004F215D" w:rsidRPr="00953692">
        <w:rPr>
          <w:sz w:val="24"/>
          <w:szCs w:val="24"/>
          <w:lang w:val="fr-FR"/>
        </w:rPr>
        <w:t>du</w:t>
      </w:r>
      <w:r w:rsidR="007B7AC2" w:rsidRPr="00953692">
        <w:rPr>
          <w:sz w:val="24"/>
          <w:szCs w:val="24"/>
          <w:lang w:val="fr-FR"/>
        </w:rPr>
        <w:t xml:space="preserve"> procureur</w:t>
      </w:r>
      <w:r w:rsidR="00560A49" w:rsidRPr="00953692">
        <w:rPr>
          <w:sz w:val="24"/>
          <w:szCs w:val="24"/>
          <w:lang w:val="fr-FR"/>
        </w:rPr>
        <w:t xml:space="preserve">. </w:t>
      </w:r>
    </w:p>
    <w:p w14:paraId="499E64B9" w14:textId="3E65FCB1" w:rsidR="000B65AE" w:rsidRPr="00953692" w:rsidRDefault="006F38E2" w:rsidP="00864BBF">
      <w:pPr>
        <w:spacing w:after="0" w:line="276" w:lineRule="auto"/>
        <w:ind w:firstLine="1134"/>
        <w:jc w:val="both"/>
        <w:rPr>
          <w:sz w:val="24"/>
          <w:szCs w:val="24"/>
          <w:lang w:val="fr-FR"/>
        </w:rPr>
      </w:pPr>
      <w:r w:rsidRPr="00953692">
        <w:rPr>
          <w:b/>
          <w:bCs/>
          <w:sz w:val="24"/>
          <w:szCs w:val="24"/>
          <w:lang w:val="fr-FR"/>
        </w:rPr>
        <w:t>76</w:t>
      </w:r>
      <w:r w:rsidR="00480F13" w:rsidRPr="00953692">
        <w:rPr>
          <w:b/>
          <w:bCs/>
          <w:sz w:val="24"/>
          <w:szCs w:val="24"/>
          <w:lang w:val="fr-FR"/>
        </w:rPr>
        <w:t>.</w:t>
      </w:r>
      <w:r w:rsidR="00480F13" w:rsidRPr="00953692">
        <w:rPr>
          <w:sz w:val="24"/>
          <w:szCs w:val="24"/>
          <w:lang w:val="fr-FR"/>
        </w:rPr>
        <w:t xml:space="preserve"> </w:t>
      </w:r>
      <w:r w:rsidR="00902E24" w:rsidRPr="00953692">
        <w:rPr>
          <w:sz w:val="24"/>
          <w:szCs w:val="24"/>
          <w:lang w:val="fr-FR"/>
        </w:rPr>
        <w:t>Deuxièmement</w:t>
      </w:r>
      <w:r w:rsidR="0071567A" w:rsidRPr="00953692">
        <w:rPr>
          <w:sz w:val="24"/>
          <w:szCs w:val="24"/>
          <w:lang w:val="fr-FR"/>
        </w:rPr>
        <w:t>,</w:t>
      </w:r>
      <w:r w:rsidR="00902E24" w:rsidRPr="00953692">
        <w:rPr>
          <w:sz w:val="24"/>
          <w:szCs w:val="24"/>
          <w:lang w:val="fr-FR"/>
        </w:rPr>
        <w:t xml:space="preserve"> d</w:t>
      </w:r>
      <w:r w:rsidR="000B65AE" w:rsidRPr="00953692">
        <w:rPr>
          <w:sz w:val="24"/>
          <w:szCs w:val="24"/>
          <w:lang w:val="fr-FR"/>
        </w:rPr>
        <w:t>evant d’autres juridictions internationalisées,</w:t>
      </w:r>
      <w:r w:rsidR="002D1FA8" w:rsidRPr="00953692">
        <w:rPr>
          <w:sz w:val="24"/>
          <w:szCs w:val="24"/>
          <w:lang w:val="fr-FR"/>
        </w:rPr>
        <w:t xml:space="preserve"> par contre, la mise en examen se déroule en présence parfois active de la personne mise en cause. </w:t>
      </w:r>
      <w:r w:rsidR="00164DF7" w:rsidRPr="00953692">
        <w:rPr>
          <w:sz w:val="24"/>
          <w:szCs w:val="24"/>
          <w:lang w:val="fr-FR"/>
        </w:rPr>
        <w:t>Concernant la procédure prévue par le Règlement d</w:t>
      </w:r>
      <w:r w:rsidR="00CF762B" w:rsidRPr="00953692">
        <w:rPr>
          <w:sz w:val="24"/>
          <w:szCs w:val="24"/>
          <w:lang w:val="fr-FR"/>
        </w:rPr>
        <w:t>es</w:t>
      </w:r>
      <w:r w:rsidR="00164DF7" w:rsidRPr="00953692">
        <w:rPr>
          <w:sz w:val="24"/>
          <w:szCs w:val="24"/>
          <w:lang w:val="fr-FR"/>
        </w:rPr>
        <w:t xml:space="preserve"> CETC, il est à remarquer que les Co-procureurs qui sont</w:t>
      </w:r>
      <w:r w:rsidR="000C2AC0" w:rsidRPr="00953692">
        <w:rPr>
          <w:sz w:val="24"/>
          <w:szCs w:val="24"/>
          <w:lang w:val="fr-FR"/>
        </w:rPr>
        <w:t xml:space="preserve"> les seules à mettre en mouvement l’action publique devant ces Chambres extraordinaires peuvent procéder à l’arrestation et à la garde à vue du suspect</w:t>
      </w:r>
      <w:r w:rsidR="000367A1" w:rsidRPr="00953692">
        <w:rPr>
          <w:sz w:val="24"/>
          <w:szCs w:val="24"/>
          <w:lang w:val="fr-FR"/>
        </w:rPr>
        <w:t>,</w:t>
      </w:r>
      <w:r w:rsidR="000C2AC0" w:rsidRPr="00953692">
        <w:rPr>
          <w:sz w:val="24"/>
          <w:szCs w:val="24"/>
          <w:lang w:val="fr-FR"/>
        </w:rPr>
        <w:t xml:space="preserve"> auquel ils informent</w:t>
      </w:r>
      <w:r w:rsidR="00165FA5" w:rsidRPr="00953692">
        <w:rPr>
          <w:sz w:val="24"/>
          <w:szCs w:val="24"/>
          <w:lang w:val="fr-FR"/>
        </w:rPr>
        <w:t xml:space="preserve"> évidemment</w:t>
      </w:r>
      <w:r w:rsidR="000C2AC0" w:rsidRPr="00953692">
        <w:rPr>
          <w:sz w:val="24"/>
          <w:szCs w:val="24"/>
          <w:lang w:val="fr-FR"/>
        </w:rPr>
        <w:t xml:space="preserve"> </w:t>
      </w:r>
      <w:r w:rsidR="000367A1" w:rsidRPr="00953692">
        <w:rPr>
          <w:sz w:val="24"/>
          <w:szCs w:val="24"/>
          <w:lang w:val="fr-FR"/>
        </w:rPr>
        <w:t>d</w:t>
      </w:r>
      <w:r w:rsidR="000C2AC0" w:rsidRPr="00953692">
        <w:rPr>
          <w:sz w:val="24"/>
          <w:szCs w:val="24"/>
          <w:lang w:val="fr-FR"/>
        </w:rPr>
        <w:t>es motifs pour lesquels il fait objet de telles mesures</w:t>
      </w:r>
      <w:r w:rsidR="0052336C" w:rsidRPr="00953692">
        <w:rPr>
          <w:rStyle w:val="Appelnotedebasdep"/>
          <w:sz w:val="24"/>
          <w:szCs w:val="24"/>
          <w:lang w:val="fr-FR"/>
        </w:rPr>
        <w:footnoteReference w:customMarkFollows="1" w:id="68"/>
        <w:t>47</w:t>
      </w:r>
      <w:r w:rsidR="000C2AC0" w:rsidRPr="00953692">
        <w:rPr>
          <w:sz w:val="24"/>
          <w:szCs w:val="24"/>
          <w:lang w:val="fr-FR"/>
        </w:rPr>
        <w:t xml:space="preserve">. </w:t>
      </w:r>
      <w:r w:rsidR="00165FA5" w:rsidRPr="00953692">
        <w:rPr>
          <w:sz w:val="24"/>
          <w:szCs w:val="24"/>
          <w:lang w:val="fr-FR"/>
        </w:rPr>
        <w:t xml:space="preserve">Il existe une procédure similaire devant la CPS centrafricaine, dont les actes constitutifs reconnaissent au procureur spécial la compétence exclusive de mettre en branle l’action publique avec ces </w:t>
      </w:r>
      <w:r w:rsidR="000367A1" w:rsidRPr="00953692">
        <w:rPr>
          <w:sz w:val="24"/>
          <w:szCs w:val="24"/>
          <w:lang w:val="fr-FR"/>
        </w:rPr>
        <w:t>P</w:t>
      </w:r>
      <w:r w:rsidR="00165FA5" w:rsidRPr="00953692">
        <w:rPr>
          <w:sz w:val="24"/>
          <w:szCs w:val="24"/>
          <w:lang w:val="fr-FR"/>
        </w:rPr>
        <w:t>ouvoirs de procéd</w:t>
      </w:r>
      <w:r w:rsidR="000367A1" w:rsidRPr="00953692">
        <w:rPr>
          <w:sz w:val="24"/>
          <w:szCs w:val="24"/>
          <w:lang w:val="fr-FR"/>
        </w:rPr>
        <w:t>er</w:t>
      </w:r>
      <w:r w:rsidR="00165FA5" w:rsidRPr="00953692">
        <w:rPr>
          <w:sz w:val="24"/>
          <w:szCs w:val="24"/>
          <w:lang w:val="fr-FR"/>
        </w:rPr>
        <w:t xml:space="preserve"> à l’interrogatoire du suspect. Ce dernier est avant tout informé « </w:t>
      </w:r>
      <w:r w:rsidR="00165FA5" w:rsidRPr="00953692">
        <w:rPr>
          <w:i/>
          <w:iCs/>
          <w:sz w:val="24"/>
          <w:szCs w:val="24"/>
          <w:lang w:val="fr-FR"/>
        </w:rPr>
        <w:t>de la qualification légale, de la date et du lieu présumés du crime qu’</w:t>
      </w:r>
      <w:r w:rsidR="00902E24" w:rsidRPr="00953692">
        <w:rPr>
          <w:i/>
          <w:iCs/>
          <w:sz w:val="24"/>
          <w:szCs w:val="24"/>
          <w:lang w:val="fr-FR"/>
        </w:rPr>
        <w:t>il</w:t>
      </w:r>
      <w:r w:rsidR="00165FA5" w:rsidRPr="00953692">
        <w:rPr>
          <w:i/>
          <w:iCs/>
          <w:sz w:val="24"/>
          <w:szCs w:val="24"/>
          <w:lang w:val="fr-FR"/>
        </w:rPr>
        <w:t xml:space="preserve"> est </w:t>
      </w:r>
      <w:r w:rsidR="00165FA5" w:rsidRPr="00953692">
        <w:rPr>
          <w:i/>
          <w:iCs/>
          <w:sz w:val="24"/>
          <w:szCs w:val="24"/>
          <w:lang w:val="fr-FR"/>
        </w:rPr>
        <w:lastRenderedPageBreak/>
        <w:t>soupçonné d’avoir commis ou tenté de commettre</w:t>
      </w:r>
      <w:r w:rsidR="00165FA5" w:rsidRPr="00953692">
        <w:rPr>
          <w:sz w:val="24"/>
          <w:szCs w:val="24"/>
          <w:lang w:val="fr-FR"/>
        </w:rPr>
        <w:t>… »</w:t>
      </w:r>
      <w:r w:rsidR="0052336C" w:rsidRPr="00953692">
        <w:rPr>
          <w:rStyle w:val="Appelnotedebasdep"/>
          <w:sz w:val="24"/>
          <w:szCs w:val="24"/>
          <w:lang w:val="fr-FR"/>
        </w:rPr>
        <w:footnoteReference w:customMarkFollows="1" w:id="69"/>
        <w:t>48</w:t>
      </w:r>
      <w:r w:rsidR="00165FA5" w:rsidRPr="00953692">
        <w:rPr>
          <w:sz w:val="24"/>
          <w:szCs w:val="24"/>
          <w:lang w:val="fr-FR"/>
        </w:rPr>
        <w:t>.</w:t>
      </w:r>
      <w:r w:rsidR="00741571" w:rsidRPr="00953692">
        <w:rPr>
          <w:sz w:val="24"/>
          <w:szCs w:val="24"/>
          <w:lang w:val="fr-FR"/>
        </w:rPr>
        <w:t xml:space="preserve"> Il en est de même pour le </w:t>
      </w:r>
      <w:r w:rsidR="000367A1" w:rsidRPr="00953692">
        <w:rPr>
          <w:sz w:val="24"/>
          <w:szCs w:val="24"/>
          <w:lang w:val="fr-FR"/>
        </w:rPr>
        <w:t>P</w:t>
      </w:r>
      <w:r w:rsidR="00741571" w:rsidRPr="00953692">
        <w:rPr>
          <w:sz w:val="24"/>
          <w:szCs w:val="24"/>
          <w:lang w:val="fr-FR"/>
        </w:rPr>
        <w:t xml:space="preserve">rocureur spécialisé près les </w:t>
      </w:r>
      <w:r w:rsidR="000367A1" w:rsidRPr="00953692">
        <w:rPr>
          <w:sz w:val="24"/>
          <w:szCs w:val="24"/>
          <w:lang w:val="fr-FR"/>
        </w:rPr>
        <w:t>C</w:t>
      </w:r>
      <w:r w:rsidR="00741571" w:rsidRPr="00953692">
        <w:rPr>
          <w:sz w:val="24"/>
          <w:szCs w:val="24"/>
          <w:lang w:val="fr-FR"/>
        </w:rPr>
        <w:t>hambres spécialisées du Kosovo, qui peut interroger le suspect dans l’optique de déclencher l’action publique</w:t>
      </w:r>
      <w:r w:rsidR="0052336C" w:rsidRPr="00953692">
        <w:rPr>
          <w:rStyle w:val="Appelnotedebasdep"/>
          <w:sz w:val="24"/>
          <w:szCs w:val="24"/>
          <w:lang w:val="fr-FR"/>
        </w:rPr>
        <w:footnoteReference w:customMarkFollows="1" w:id="70"/>
        <w:t>49</w:t>
      </w:r>
      <w:r w:rsidR="00741571" w:rsidRPr="00953692">
        <w:rPr>
          <w:sz w:val="24"/>
          <w:szCs w:val="24"/>
          <w:lang w:val="fr-FR"/>
        </w:rPr>
        <w:t>.</w:t>
      </w:r>
    </w:p>
    <w:p w14:paraId="1BBCDDFC" w14:textId="5A095CCD" w:rsidR="001F1D3C" w:rsidRPr="00953692" w:rsidRDefault="006F38E2" w:rsidP="00864BBF">
      <w:pPr>
        <w:spacing w:after="0" w:line="276" w:lineRule="auto"/>
        <w:ind w:firstLine="1134"/>
        <w:jc w:val="both"/>
        <w:rPr>
          <w:sz w:val="24"/>
          <w:szCs w:val="24"/>
          <w:lang w:val="fr-FR"/>
        </w:rPr>
      </w:pPr>
      <w:r w:rsidRPr="00953692">
        <w:rPr>
          <w:b/>
          <w:bCs/>
          <w:sz w:val="24"/>
          <w:szCs w:val="24"/>
          <w:lang w:val="fr-FR"/>
        </w:rPr>
        <w:t>77</w:t>
      </w:r>
      <w:r w:rsidR="00906F62" w:rsidRPr="00953692">
        <w:rPr>
          <w:b/>
          <w:bCs/>
          <w:sz w:val="24"/>
          <w:szCs w:val="24"/>
          <w:lang w:val="fr-FR"/>
        </w:rPr>
        <w:t>.</w:t>
      </w:r>
      <w:r w:rsidR="00906F62" w:rsidRPr="00953692">
        <w:rPr>
          <w:sz w:val="24"/>
          <w:szCs w:val="24"/>
          <w:lang w:val="fr-FR"/>
        </w:rPr>
        <w:t xml:space="preserve"> On voit ici une</w:t>
      </w:r>
      <w:r w:rsidR="00AC2875" w:rsidRPr="00953692">
        <w:rPr>
          <w:sz w:val="24"/>
          <w:szCs w:val="24"/>
          <w:lang w:val="fr-FR"/>
        </w:rPr>
        <w:t xml:space="preserve"> présence remarquable du suspect qui devra alors participer à la procédure dès son tout début. </w:t>
      </w:r>
      <w:r w:rsidR="00E314C7" w:rsidRPr="00953692">
        <w:rPr>
          <w:sz w:val="24"/>
          <w:szCs w:val="24"/>
          <w:lang w:val="fr-FR"/>
        </w:rPr>
        <w:t>Il y a donc un élargissement de l’étendue de cette progressivité du droit à l’information qui devra débuter beaucoup plus tôt que devant les TPI. Les procureurs qui accusent sont</w:t>
      </w:r>
      <w:r w:rsidR="0071567A" w:rsidRPr="00953692">
        <w:rPr>
          <w:sz w:val="24"/>
          <w:szCs w:val="24"/>
          <w:lang w:val="fr-FR"/>
        </w:rPr>
        <w:t>,</w:t>
      </w:r>
      <w:r w:rsidR="00E314C7" w:rsidRPr="00953692">
        <w:rPr>
          <w:sz w:val="24"/>
          <w:szCs w:val="24"/>
          <w:lang w:val="fr-FR"/>
        </w:rPr>
        <w:t xml:space="preserve"> dans ce cas</w:t>
      </w:r>
      <w:r w:rsidR="00906F62" w:rsidRPr="00953692">
        <w:rPr>
          <w:sz w:val="24"/>
          <w:szCs w:val="24"/>
          <w:lang w:val="fr-FR"/>
        </w:rPr>
        <w:t>,</w:t>
      </w:r>
      <w:r w:rsidR="00E314C7" w:rsidRPr="00953692">
        <w:rPr>
          <w:sz w:val="24"/>
          <w:szCs w:val="24"/>
          <w:lang w:val="fr-FR"/>
        </w:rPr>
        <w:t xml:space="preserve"> obligés à chaque étape de la procédure de fournir à la personne mise en cause un certain nombre d’informations, notamment celles relatives à la nature des faits et à la qualification retenue contre </w:t>
      </w:r>
      <w:r w:rsidR="004F215D" w:rsidRPr="00953692">
        <w:rPr>
          <w:sz w:val="24"/>
          <w:szCs w:val="24"/>
          <w:lang w:val="fr-FR"/>
        </w:rPr>
        <w:t>elle</w:t>
      </w:r>
      <w:r w:rsidR="00E314C7" w:rsidRPr="00953692">
        <w:rPr>
          <w:sz w:val="24"/>
          <w:szCs w:val="24"/>
          <w:lang w:val="fr-FR"/>
        </w:rPr>
        <w:t xml:space="preserve">. </w:t>
      </w:r>
      <w:r w:rsidR="00AF0623" w:rsidRPr="00953692">
        <w:rPr>
          <w:sz w:val="24"/>
          <w:szCs w:val="24"/>
          <w:lang w:val="fr-FR"/>
        </w:rPr>
        <w:t xml:space="preserve">Dans tous les cas, la mise en cause passe par la procédure d’instruction </w:t>
      </w:r>
      <w:r w:rsidR="001F1D3C" w:rsidRPr="00953692">
        <w:rPr>
          <w:sz w:val="24"/>
          <w:szCs w:val="24"/>
          <w:lang w:val="fr-FR"/>
        </w:rPr>
        <w:t>à l’issue de laquelle l’acte d’accusation devra être confirmé ou rejeté.</w:t>
      </w:r>
    </w:p>
    <w:p w14:paraId="49551AC1" w14:textId="3E9F3E85" w:rsidR="00AC2875" w:rsidRPr="00953692" w:rsidRDefault="006F38E2" w:rsidP="00864BBF">
      <w:pPr>
        <w:spacing w:after="0" w:line="276" w:lineRule="auto"/>
        <w:ind w:firstLine="1134"/>
        <w:jc w:val="both"/>
        <w:rPr>
          <w:sz w:val="24"/>
          <w:szCs w:val="24"/>
          <w:lang w:val="fr-FR"/>
        </w:rPr>
      </w:pPr>
      <w:r w:rsidRPr="00953692">
        <w:rPr>
          <w:b/>
          <w:bCs/>
          <w:sz w:val="24"/>
          <w:szCs w:val="24"/>
          <w:lang w:val="fr-FR"/>
        </w:rPr>
        <w:t>78</w:t>
      </w:r>
      <w:r w:rsidR="00906F62" w:rsidRPr="00953692">
        <w:rPr>
          <w:b/>
          <w:bCs/>
          <w:sz w:val="24"/>
          <w:szCs w:val="24"/>
          <w:lang w:val="fr-FR"/>
        </w:rPr>
        <w:t>.</w:t>
      </w:r>
      <w:r w:rsidR="00906F62" w:rsidRPr="00953692">
        <w:rPr>
          <w:sz w:val="24"/>
          <w:szCs w:val="24"/>
          <w:lang w:val="fr-FR"/>
        </w:rPr>
        <w:t xml:space="preserve"> </w:t>
      </w:r>
      <w:r w:rsidR="001F1D3C" w:rsidRPr="00953692">
        <w:rPr>
          <w:sz w:val="24"/>
          <w:szCs w:val="24"/>
          <w:lang w:val="fr-FR"/>
        </w:rPr>
        <w:t>Devant les CETC</w:t>
      </w:r>
      <w:r w:rsidR="004F215D" w:rsidRPr="00953692">
        <w:rPr>
          <w:sz w:val="24"/>
          <w:szCs w:val="24"/>
          <w:lang w:val="fr-FR"/>
        </w:rPr>
        <w:t>,</w:t>
      </w:r>
      <w:r w:rsidR="001F1D3C" w:rsidRPr="00953692">
        <w:rPr>
          <w:sz w:val="24"/>
          <w:szCs w:val="24"/>
          <w:lang w:val="fr-FR"/>
        </w:rPr>
        <w:t xml:space="preserve"> par exemple, l’instruction est conduite par les co-juges d’instruction sur base d’un réquisitoire introductif dans lequel est mentionné un résumé des faits et la qualification relativement retenue. </w:t>
      </w:r>
      <w:r w:rsidR="001F1D3C" w:rsidRPr="00953692">
        <w:rPr>
          <w:i/>
          <w:iCs/>
          <w:sz w:val="24"/>
          <w:szCs w:val="24"/>
          <w:lang w:val="fr-FR"/>
        </w:rPr>
        <w:t>Ce réquisitoire est accompagné du dossier et de tout élément de preuve en possession des co-procureurs, y compris toute pièce à décharge dont ils ont une connaissance effective</w:t>
      </w:r>
      <w:r w:rsidR="0052336C" w:rsidRPr="00953692">
        <w:rPr>
          <w:rStyle w:val="Appelnotedebasdep"/>
          <w:i/>
          <w:iCs/>
          <w:sz w:val="24"/>
          <w:szCs w:val="24"/>
          <w:lang w:val="fr-FR"/>
        </w:rPr>
        <w:footnoteReference w:customMarkFollows="1" w:id="71"/>
        <w:t>50</w:t>
      </w:r>
      <w:r w:rsidR="001F1D3C" w:rsidRPr="00953692">
        <w:rPr>
          <w:sz w:val="24"/>
          <w:szCs w:val="24"/>
          <w:lang w:val="fr-FR"/>
        </w:rPr>
        <w:t>.</w:t>
      </w:r>
      <w:r w:rsidR="00F50F9D" w:rsidRPr="00953692">
        <w:rPr>
          <w:sz w:val="24"/>
          <w:szCs w:val="24"/>
          <w:lang w:val="fr-FR"/>
        </w:rPr>
        <w:t xml:space="preserve"> Ce dossier d’instruction est tenu par le greffier des co-juges d’instruction et peut être consulté, notamment par les avocats du suspect à tout moment</w:t>
      </w:r>
      <w:r w:rsidR="0052336C" w:rsidRPr="00953692">
        <w:rPr>
          <w:rStyle w:val="Appelnotedebasdep"/>
          <w:sz w:val="24"/>
          <w:szCs w:val="24"/>
          <w:lang w:val="fr-FR"/>
        </w:rPr>
        <w:footnoteReference w:customMarkFollows="1" w:id="72"/>
        <w:t>51</w:t>
      </w:r>
      <w:r w:rsidR="00F50F9D" w:rsidRPr="00953692">
        <w:rPr>
          <w:sz w:val="24"/>
          <w:szCs w:val="24"/>
          <w:lang w:val="fr-FR"/>
        </w:rPr>
        <w:t xml:space="preserve">. </w:t>
      </w:r>
      <w:r w:rsidR="00F36098" w:rsidRPr="00953692">
        <w:rPr>
          <w:sz w:val="24"/>
          <w:szCs w:val="24"/>
          <w:lang w:val="fr-FR"/>
        </w:rPr>
        <w:t>Il n’est pas fait au</w:t>
      </w:r>
      <w:r w:rsidR="004F215D" w:rsidRPr="00953692">
        <w:rPr>
          <w:sz w:val="24"/>
          <w:szCs w:val="24"/>
          <w:lang w:val="fr-FR"/>
        </w:rPr>
        <w:t>x</w:t>
      </w:r>
      <w:r w:rsidR="00F36098" w:rsidRPr="00953692">
        <w:rPr>
          <w:sz w:val="24"/>
          <w:szCs w:val="24"/>
          <w:lang w:val="fr-FR"/>
        </w:rPr>
        <w:t xml:space="preserve"> co-procureurs </w:t>
      </w:r>
      <w:r w:rsidR="004F215D" w:rsidRPr="00953692">
        <w:rPr>
          <w:sz w:val="24"/>
          <w:szCs w:val="24"/>
          <w:lang w:val="fr-FR"/>
        </w:rPr>
        <w:t xml:space="preserve">une </w:t>
      </w:r>
      <w:r w:rsidR="00F36098" w:rsidRPr="00953692">
        <w:rPr>
          <w:sz w:val="24"/>
          <w:szCs w:val="24"/>
          <w:lang w:val="fr-FR"/>
        </w:rPr>
        <w:t>obligation</w:t>
      </w:r>
      <w:r w:rsidR="004F215D" w:rsidRPr="00953692">
        <w:rPr>
          <w:sz w:val="24"/>
          <w:szCs w:val="24"/>
          <w:lang w:val="fr-FR"/>
        </w:rPr>
        <w:t xml:space="preserve"> expresse</w:t>
      </w:r>
      <w:r w:rsidR="00F36098" w:rsidRPr="00953692">
        <w:rPr>
          <w:sz w:val="24"/>
          <w:szCs w:val="24"/>
          <w:lang w:val="fr-FR"/>
        </w:rPr>
        <w:t xml:space="preserve"> d’informer </w:t>
      </w:r>
      <w:r w:rsidR="00906F62" w:rsidRPr="00953692">
        <w:rPr>
          <w:sz w:val="24"/>
          <w:szCs w:val="24"/>
          <w:lang w:val="fr-FR"/>
        </w:rPr>
        <w:t xml:space="preserve">le </w:t>
      </w:r>
      <w:r w:rsidR="00F36098" w:rsidRPr="00953692">
        <w:rPr>
          <w:sz w:val="24"/>
          <w:szCs w:val="24"/>
          <w:lang w:val="fr-FR"/>
        </w:rPr>
        <w:t xml:space="preserve">suspect ou l’inculpé </w:t>
      </w:r>
      <w:r w:rsidR="00906F62" w:rsidRPr="00953692">
        <w:rPr>
          <w:sz w:val="24"/>
          <w:szCs w:val="24"/>
          <w:lang w:val="fr-FR"/>
        </w:rPr>
        <w:t>d</w:t>
      </w:r>
      <w:r w:rsidR="00152729" w:rsidRPr="00953692">
        <w:rPr>
          <w:sz w:val="24"/>
          <w:szCs w:val="24"/>
          <w:lang w:val="fr-FR"/>
        </w:rPr>
        <w:t>es charges retenues contre lui</w:t>
      </w:r>
      <w:r w:rsidR="004F215D" w:rsidRPr="00953692">
        <w:rPr>
          <w:sz w:val="24"/>
          <w:szCs w:val="24"/>
          <w:lang w:val="fr-FR"/>
        </w:rPr>
        <w:t xml:space="preserve"> ; en revanche, ce dernier </w:t>
      </w:r>
      <w:r w:rsidR="00152729" w:rsidRPr="00953692">
        <w:rPr>
          <w:sz w:val="24"/>
          <w:szCs w:val="24"/>
          <w:lang w:val="fr-FR"/>
        </w:rPr>
        <w:t xml:space="preserve">a donc la possibilité de consulter le dossier au greffe. Cependant, </w:t>
      </w:r>
      <w:r w:rsidR="00152729" w:rsidRPr="00953692">
        <w:rPr>
          <w:i/>
          <w:iCs/>
          <w:sz w:val="24"/>
          <w:szCs w:val="24"/>
          <w:lang w:val="fr-FR"/>
        </w:rPr>
        <w:t>à la première comparution devant les co-juges d’instruction, ceux-ci lui font connaitre les faits qui lui sont reprochés</w:t>
      </w:r>
      <w:r w:rsidR="0052336C" w:rsidRPr="00953692">
        <w:rPr>
          <w:rStyle w:val="Appelnotedebasdep"/>
          <w:i/>
          <w:iCs/>
          <w:sz w:val="24"/>
          <w:szCs w:val="24"/>
          <w:lang w:val="fr-FR"/>
        </w:rPr>
        <w:footnoteReference w:customMarkFollows="1" w:id="73"/>
        <w:t>52</w:t>
      </w:r>
      <w:r w:rsidR="00152729" w:rsidRPr="00953692">
        <w:rPr>
          <w:sz w:val="24"/>
          <w:szCs w:val="24"/>
          <w:lang w:val="fr-FR"/>
        </w:rPr>
        <w:t>.</w:t>
      </w:r>
    </w:p>
    <w:p w14:paraId="1BA54D14" w14:textId="6BA04D67" w:rsidR="00152729" w:rsidRPr="00953692" w:rsidRDefault="006F38E2" w:rsidP="00864BBF">
      <w:pPr>
        <w:spacing w:after="0" w:line="276" w:lineRule="auto"/>
        <w:ind w:firstLine="1134"/>
        <w:jc w:val="both"/>
        <w:rPr>
          <w:sz w:val="24"/>
          <w:szCs w:val="24"/>
          <w:lang w:val="fr-FR"/>
        </w:rPr>
      </w:pPr>
      <w:r w:rsidRPr="00953692">
        <w:rPr>
          <w:b/>
          <w:bCs/>
          <w:sz w:val="24"/>
          <w:szCs w:val="24"/>
          <w:lang w:val="fr-FR"/>
        </w:rPr>
        <w:t>79</w:t>
      </w:r>
      <w:r w:rsidR="00906F62" w:rsidRPr="00953692">
        <w:rPr>
          <w:b/>
          <w:bCs/>
          <w:sz w:val="24"/>
          <w:szCs w:val="24"/>
          <w:lang w:val="fr-FR"/>
        </w:rPr>
        <w:t>.</w:t>
      </w:r>
      <w:r w:rsidR="00906F62" w:rsidRPr="00953692">
        <w:rPr>
          <w:sz w:val="24"/>
          <w:szCs w:val="24"/>
          <w:lang w:val="fr-FR"/>
        </w:rPr>
        <w:t xml:space="preserve"> </w:t>
      </w:r>
      <w:r w:rsidR="00511093" w:rsidRPr="00953692">
        <w:rPr>
          <w:rStyle w:val="grammar"/>
          <w:rFonts w:cs="Times New Roman"/>
          <w:sz w:val="24"/>
          <w:szCs w:val="24"/>
          <w:lang w:val="fr-FR"/>
        </w:rPr>
        <w:t>À</w:t>
      </w:r>
      <w:r w:rsidR="00FE5ED6" w:rsidRPr="00953692">
        <w:rPr>
          <w:sz w:val="24"/>
          <w:szCs w:val="24"/>
          <w:lang w:val="fr-FR"/>
        </w:rPr>
        <w:t xml:space="preserve"> l’issue de l’instruction, les co-juges d’instruction informent les parties et leurs avocats. Et, dans le cas où les co-procureurs arrivent à la même conclusion, ils rédigent un réquisitoire définitif de renvoie ou de non-lieu qu’ils renvoient aux co-juges d’instruction dans les quarante-cinq jours si le suspect est en détention ou dans les trois mois dans les autres cas à compter de la réception du dossier</w:t>
      </w:r>
      <w:r w:rsidR="0052336C" w:rsidRPr="00953692">
        <w:rPr>
          <w:rStyle w:val="Appelnotedebasdep"/>
          <w:sz w:val="24"/>
          <w:szCs w:val="24"/>
          <w:lang w:val="fr-FR"/>
        </w:rPr>
        <w:footnoteReference w:customMarkFollows="1" w:id="74"/>
        <w:t>53</w:t>
      </w:r>
      <w:r w:rsidR="00FE5ED6" w:rsidRPr="00953692">
        <w:rPr>
          <w:sz w:val="24"/>
          <w:szCs w:val="24"/>
          <w:lang w:val="fr-FR"/>
        </w:rPr>
        <w:t>. Les co-juges d’instruction, indépendamment du réquisitoire des co-procureurs, clôturent l’instruction par une ordonnance de renvoi ou de non-lieu</w:t>
      </w:r>
      <w:r w:rsidR="0052336C" w:rsidRPr="00953692">
        <w:rPr>
          <w:rStyle w:val="Appelnotedebasdep"/>
          <w:sz w:val="24"/>
          <w:szCs w:val="24"/>
          <w:lang w:val="fr-FR"/>
        </w:rPr>
        <w:footnoteReference w:customMarkFollows="1" w:id="75"/>
        <w:t>54</w:t>
      </w:r>
      <w:r w:rsidR="00FE5ED6" w:rsidRPr="00953692">
        <w:rPr>
          <w:sz w:val="24"/>
          <w:szCs w:val="24"/>
          <w:lang w:val="fr-FR"/>
        </w:rPr>
        <w:t>. Dans le premier cas, il est mentionné, entre autres, « </w:t>
      </w:r>
      <w:r w:rsidR="00FE5ED6" w:rsidRPr="00953692">
        <w:rPr>
          <w:i/>
          <w:iCs/>
          <w:sz w:val="24"/>
          <w:szCs w:val="24"/>
          <w:lang w:val="fr-FR"/>
        </w:rPr>
        <w:t>les faits reprochés et la qualification juridique retenue par les co-juges d’instruction, ainsi que la nature de la responsabilité pénale</w:t>
      </w:r>
      <w:r w:rsidR="00FE5ED6" w:rsidRPr="00953692">
        <w:rPr>
          <w:sz w:val="24"/>
          <w:szCs w:val="24"/>
          <w:lang w:val="fr-FR"/>
        </w:rPr>
        <w:t> »</w:t>
      </w:r>
      <w:r w:rsidR="0052336C" w:rsidRPr="00953692">
        <w:rPr>
          <w:rStyle w:val="Appelnotedebasdep"/>
          <w:sz w:val="24"/>
          <w:szCs w:val="24"/>
          <w:lang w:val="fr-FR"/>
        </w:rPr>
        <w:footnoteReference w:customMarkFollows="1" w:id="76"/>
        <w:t>55</w:t>
      </w:r>
      <w:r w:rsidR="00FE5ED6" w:rsidRPr="00953692">
        <w:rPr>
          <w:sz w:val="24"/>
          <w:szCs w:val="24"/>
          <w:lang w:val="fr-FR"/>
        </w:rPr>
        <w:t>. Cette ordonnance est immédiatement notifiée, notamment à l’accusé.</w:t>
      </w:r>
    </w:p>
    <w:p w14:paraId="5CF5A153" w14:textId="3D051E54" w:rsidR="0083113C" w:rsidRPr="00953692" w:rsidRDefault="006F38E2" w:rsidP="00864BBF">
      <w:pPr>
        <w:spacing w:after="0" w:line="276" w:lineRule="auto"/>
        <w:ind w:firstLine="1134"/>
        <w:jc w:val="both"/>
        <w:rPr>
          <w:sz w:val="24"/>
          <w:szCs w:val="24"/>
          <w:lang w:val="fr-FR"/>
        </w:rPr>
      </w:pPr>
      <w:r w:rsidRPr="00953692">
        <w:rPr>
          <w:b/>
          <w:bCs/>
          <w:sz w:val="24"/>
          <w:szCs w:val="24"/>
          <w:lang w:val="fr-FR"/>
        </w:rPr>
        <w:t>80</w:t>
      </w:r>
      <w:r w:rsidR="00F348AA" w:rsidRPr="00953692">
        <w:rPr>
          <w:b/>
          <w:bCs/>
          <w:sz w:val="24"/>
          <w:szCs w:val="24"/>
          <w:lang w:val="fr-FR"/>
        </w:rPr>
        <w:t>.</w:t>
      </w:r>
      <w:r w:rsidR="00F348AA" w:rsidRPr="00953692">
        <w:rPr>
          <w:sz w:val="24"/>
          <w:szCs w:val="24"/>
          <w:lang w:val="fr-FR"/>
        </w:rPr>
        <w:t xml:space="preserve"> </w:t>
      </w:r>
      <w:r w:rsidR="00595339" w:rsidRPr="00953692">
        <w:rPr>
          <w:sz w:val="24"/>
          <w:szCs w:val="24"/>
          <w:lang w:val="fr-FR"/>
        </w:rPr>
        <w:t xml:space="preserve">Devant la </w:t>
      </w:r>
      <w:r w:rsidR="00D271F3" w:rsidRPr="00953692">
        <w:rPr>
          <w:sz w:val="24"/>
          <w:szCs w:val="24"/>
          <w:lang w:val="fr-FR"/>
        </w:rPr>
        <w:t>CPS</w:t>
      </w:r>
      <w:r w:rsidR="00595339" w:rsidRPr="00953692">
        <w:rPr>
          <w:sz w:val="24"/>
          <w:szCs w:val="24"/>
          <w:lang w:val="fr-FR"/>
        </w:rPr>
        <w:t xml:space="preserve"> centrafricaine</w:t>
      </w:r>
      <w:r w:rsidR="0071567A" w:rsidRPr="00953692">
        <w:rPr>
          <w:sz w:val="24"/>
          <w:szCs w:val="24"/>
          <w:lang w:val="fr-FR"/>
        </w:rPr>
        <w:t>,</w:t>
      </w:r>
      <w:r w:rsidR="00D271F3" w:rsidRPr="00953692">
        <w:rPr>
          <w:sz w:val="24"/>
          <w:szCs w:val="24"/>
          <w:lang w:val="fr-FR"/>
        </w:rPr>
        <w:t xml:space="preserve"> la procédure ne change substantiellement pas. Le </w:t>
      </w:r>
      <w:r w:rsidR="00906F62" w:rsidRPr="00953692">
        <w:rPr>
          <w:sz w:val="24"/>
          <w:szCs w:val="24"/>
          <w:lang w:val="fr-FR"/>
        </w:rPr>
        <w:t>P</w:t>
      </w:r>
      <w:r w:rsidR="00D271F3" w:rsidRPr="00953692">
        <w:rPr>
          <w:sz w:val="24"/>
          <w:szCs w:val="24"/>
          <w:lang w:val="fr-FR"/>
        </w:rPr>
        <w:t>rocureur</w:t>
      </w:r>
      <w:r w:rsidR="0071567A" w:rsidRPr="00953692">
        <w:rPr>
          <w:sz w:val="24"/>
          <w:szCs w:val="24"/>
          <w:lang w:val="fr-FR"/>
        </w:rPr>
        <w:t>,</w:t>
      </w:r>
      <w:r w:rsidR="00D271F3" w:rsidRPr="00953692">
        <w:rPr>
          <w:sz w:val="24"/>
          <w:szCs w:val="24"/>
          <w:lang w:val="fr-FR"/>
        </w:rPr>
        <w:t xml:space="preserve"> à travers un réquisitoire introductif</w:t>
      </w:r>
      <w:r w:rsidR="003D0971" w:rsidRPr="00953692">
        <w:rPr>
          <w:sz w:val="24"/>
          <w:szCs w:val="24"/>
          <w:lang w:val="fr-FR"/>
        </w:rPr>
        <w:t xml:space="preserve"> du </w:t>
      </w:r>
      <w:r w:rsidR="00906F62" w:rsidRPr="00953692">
        <w:rPr>
          <w:sz w:val="24"/>
          <w:szCs w:val="24"/>
          <w:lang w:val="fr-FR"/>
        </w:rPr>
        <w:t>P</w:t>
      </w:r>
      <w:r w:rsidR="003D0971" w:rsidRPr="00953692">
        <w:rPr>
          <w:sz w:val="24"/>
          <w:szCs w:val="24"/>
          <w:lang w:val="fr-FR"/>
        </w:rPr>
        <w:t>rocureur spécial</w:t>
      </w:r>
      <w:r w:rsidR="00D271F3" w:rsidRPr="00953692">
        <w:rPr>
          <w:sz w:val="24"/>
          <w:szCs w:val="24"/>
          <w:lang w:val="fr-FR"/>
        </w:rPr>
        <w:t xml:space="preserve">, établi dans </w:t>
      </w:r>
      <w:r w:rsidR="00D271F3" w:rsidRPr="00953692">
        <w:rPr>
          <w:sz w:val="24"/>
          <w:szCs w:val="24"/>
          <w:lang w:val="fr-FR"/>
        </w:rPr>
        <w:lastRenderedPageBreak/>
        <w:t>les mêmes formes que celui analysé précédemment</w:t>
      </w:r>
      <w:r w:rsidR="0052336C" w:rsidRPr="00953692">
        <w:rPr>
          <w:rStyle w:val="Appelnotedebasdep"/>
          <w:sz w:val="24"/>
          <w:szCs w:val="24"/>
          <w:lang w:val="fr-FR"/>
        </w:rPr>
        <w:footnoteReference w:customMarkFollows="1" w:id="77"/>
        <w:t>56</w:t>
      </w:r>
      <w:r w:rsidR="00D271F3" w:rsidRPr="00953692">
        <w:rPr>
          <w:sz w:val="24"/>
          <w:szCs w:val="24"/>
          <w:lang w:val="fr-FR"/>
        </w:rPr>
        <w:t>, saisi</w:t>
      </w:r>
      <w:r w:rsidR="00AA69BD" w:rsidRPr="00953692">
        <w:rPr>
          <w:sz w:val="24"/>
          <w:szCs w:val="24"/>
          <w:lang w:val="fr-FR"/>
        </w:rPr>
        <w:t>t</w:t>
      </w:r>
      <w:r w:rsidR="00D271F3" w:rsidRPr="00953692">
        <w:rPr>
          <w:sz w:val="24"/>
          <w:szCs w:val="24"/>
          <w:lang w:val="fr-FR"/>
        </w:rPr>
        <w:t xml:space="preserve"> </w:t>
      </w:r>
      <w:r w:rsidR="00AA69BD" w:rsidRPr="00953692">
        <w:rPr>
          <w:sz w:val="24"/>
          <w:szCs w:val="24"/>
          <w:lang w:val="fr-FR"/>
        </w:rPr>
        <w:t>le</w:t>
      </w:r>
      <w:r w:rsidR="00D271F3" w:rsidRPr="00953692">
        <w:rPr>
          <w:sz w:val="24"/>
          <w:szCs w:val="24"/>
          <w:lang w:val="fr-FR"/>
        </w:rPr>
        <w:t xml:space="preserve"> </w:t>
      </w:r>
      <w:r w:rsidR="00906F62" w:rsidRPr="00953692">
        <w:rPr>
          <w:sz w:val="24"/>
          <w:szCs w:val="24"/>
          <w:lang w:val="fr-FR"/>
        </w:rPr>
        <w:t>C</w:t>
      </w:r>
      <w:r w:rsidR="00D271F3" w:rsidRPr="00953692">
        <w:rPr>
          <w:sz w:val="24"/>
          <w:szCs w:val="24"/>
          <w:lang w:val="fr-FR"/>
        </w:rPr>
        <w:t>abinet d’instruction possédant tous les pouvoirs d’instruction</w:t>
      </w:r>
      <w:r w:rsidR="003D0971" w:rsidRPr="00953692">
        <w:rPr>
          <w:sz w:val="24"/>
          <w:szCs w:val="24"/>
          <w:lang w:val="fr-FR"/>
        </w:rPr>
        <w:t>, notamment celui d’interroger le suspect dans le respect de l’article 4 du Règlement</w:t>
      </w:r>
      <w:r w:rsidR="00906F62" w:rsidRPr="00953692">
        <w:rPr>
          <w:sz w:val="24"/>
          <w:szCs w:val="24"/>
          <w:lang w:val="fr-FR"/>
        </w:rPr>
        <w:t xml:space="preserve"> de procédure</w:t>
      </w:r>
      <w:r w:rsidR="003D0971" w:rsidRPr="00953692">
        <w:rPr>
          <w:sz w:val="24"/>
          <w:szCs w:val="24"/>
          <w:lang w:val="fr-FR"/>
        </w:rPr>
        <w:t>. Lorsqu’il envisage une inculpation</w:t>
      </w:r>
      <w:r w:rsidR="002F1D59" w:rsidRPr="00953692">
        <w:rPr>
          <w:sz w:val="24"/>
          <w:szCs w:val="24"/>
          <w:lang w:val="fr-FR"/>
        </w:rPr>
        <w:t xml:space="preserve"> du suspect</w:t>
      </w:r>
      <w:r w:rsidR="003D0971" w:rsidRPr="00953692">
        <w:rPr>
          <w:sz w:val="24"/>
          <w:szCs w:val="24"/>
          <w:lang w:val="fr-FR"/>
        </w:rPr>
        <w:t>,</w:t>
      </w:r>
      <w:r w:rsidR="002F1D59" w:rsidRPr="00953692">
        <w:rPr>
          <w:sz w:val="24"/>
          <w:szCs w:val="24"/>
          <w:lang w:val="fr-FR"/>
        </w:rPr>
        <w:t xml:space="preserve"> à la première comparution, le Cabinet d’instruction </w:t>
      </w:r>
      <w:r w:rsidR="007E2BB9" w:rsidRPr="00953692">
        <w:rPr>
          <w:sz w:val="24"/>
          <w:szCs w:val="24"/>
          <w:lang w:val="fr-FR"/>
        </w:rPr>
        <w:t xml:space="preserve">s’assure du respect des dispositions de </w:t>
      </w:r>
      <w:r w:rsidR="00906F62" w:rsidRPr="00953692">
        <w:rPr>
          <w:sz w:val="24"/>
          <w:szCs w:val="24"/>
          <w:lang w:val="fr-FR"/>
        </w:rPr>
        <w:t xml:space="preserve">cet </w:t>
      </w:r>
      <w:r w:rsidR="007E2BB9" w:rsidRPr="00953692">
        <w:rPr>
          <w:sz w:val="24"/>
          <w:szCs w:val="24"/>
          <w:lang w:val="fr-FR"/>
        </w:rPr>
        <w:t xml:space="preserve">article 4 avant de procéder à l’interrogatoire du suspect. En cas d’inculpation, il « porte alors à la connaissance de la personne les faits ou les qualifications légales des faits qui lui sont reprochés, si ces faits ou ces qualifications diffèrent de ceux qui lui ont déjà été notifiés ». </w:t>
      </w:r>
    </w:p>
    <w:p w14:paraId="7EBB6B3E" w14:textId="4FB27406" w:rsidR="00595339" w:rsidRPr="00953692" w:rsidRDefault="006F38E2" w:rsidP="00864BBF">
      <w:pPr>
        <w:spacing w:after="0" w:line="276" w:lineRule="auto"/>
        <w:ind w:firstLine="1134"/>
        <w:jc w:val="both"/>
        <w:rPr>
          <w:sz w:val="24"/>
          <w:szCs w:val="24"/>
          <w:lang w:val="fr-FR"/>
        </w:rPr>
      </w:pPr>
      <w:r w:rsidRPr="00953692">
        <w:rPr>
          <w:b/>
          <w:bCs/>
          <w:sz w:val="24"/>
          <w:szCs w:val="24"/>
          <w:lang w:val="fr-FR"/>
        </w:rPr>
        <w:t>81</w:t>
      </w:r>
      <w:r w:rsidR="00F348AA" w:rsidRPr="00953692">
        <w:rPr>
          <w:b/>
          <w:bCs/>
          <w:sz w:val="24"/>
          <w:szCs w:val="24"/>
          <w:lang w:val="fr-FR"/>
        </w:rPr>
        <w:t>.</w:t>
      </w:r>
      <w:r w:rsidR="00F348AA" w:rsidRPr="00953692">
        <w:rPr>
          <w:sz w:val="24"/>
          <w:szCs w:val="24"/>
          <w:lang w:val="fr-FR"/>
        </w:rPr>
        <w:t xml:space="preserve"> </w:t>
      </w:r>
      <w:r w:rsidR="007E2BB9" w:rsidRPr="00953692">
        <w:rPr>
          <w:sz w:val="24"/>
          <w:szCs w:val="24"/>
          <w:lang w:val="fr-FR"/>
        </w:rPr>
        <w:t xml:space="preserve">Lorsqu’il estime clôturer l’instruction, </w:t>
      </w:r>
      <w:r w:rsidR="0084475C" w:rsidRPr="00953692">
        <w:rPr>
          <w:sz w:val="24"/>
          <w:szCs w:val="24"/>
          <w:lang w:val="fr-FR"/>
        </w:rPr>
        <w:t xml:space="preserve">le Cabinet d’instruction en informe le </w:t>
      </w:r>
      <w:r w:rsidR="00906F62" w:rsidRPr="00953692">
        <w:rPr>
          <w:sz w:val="24"/>
          <w:szCs w:val="24"/>
          <w:lang w:val="fr-FR"/>
        </w:rPr>
        <w:t>P</w:t>
      </w:r>
      <w:r w:rsidR="0084475C" w:rsidRPr="00953692">
        <w:rPr>
          <w:sz w:val="24"/>
          <w:szCs w:val="24"/>
          <w:lang w:val="fr-FR"/>
        </w:rPr>
        <w:t xml:space="preserve">rocureur spécial et en avise en même temps les parties. </w:t>
      </w:r>
      <w:r w:rsidR="00D90BC9" w:rsidRPr="00953692">
        <w:rPr>
          <w:sz w:val="24"/>
          <w:szCs w:val="24"/>
          <w:lang w:val="fr-FR"/>
        </w:rPr>
        <w:t>Le procureur dispose d’un délai d’un mois ou de deux mois</w:t>
      </w:r>
      <w:r w:rsidR="00591CF4" w:rsidRPr="00953692">
        <w:rPr>
          <w:sz w:val="24"/>
          <w:szCs w:val="24"/>
          <w:lang w:val="fr-FR"/>
        </w:rPr>
        <w:t>,</w:t>
      </w:r>
      <w:r w:rsidR="00D90BC9" w:rsidRPr="00953692">
        <w:rPr>
          <w:sz w:val="24"/>
          <w:szCs w:val="24"/>
          <w:lang w:val="fr-FR"/>
        </w:rPr>
        <w:t xml:space="preserve"> selon les cas, pour adresser au Cabinet ses réquisitions </w:t>
      </w:r>
      <w:r w:rsidR="0083113C" w:rsidRPr="00953692">
        <w:rPr>
          <w:sz w:val="24"/>
          <w:szCs w:val="24"/>
          <w:lang w:val="fr-FR"/>
        </w:rPr>
        <w:t xml:space="preserve">de renvoi ou de non-lieu qu’il adresse en même temps aux parties. Celles-ci disposent également des mêmes délais pour adresser au Cabinet d’instruction leurs observations écrites. </w:t>
      </w:r>
      <w:r w:rsidR="00591CF4" w:rsidRPr="00953692">
        <w:rPr>
          <w:rStyle w:val="grammar"/>
          <w:rFonts w:cs="Times New Roman"/>
          <w:sz w:val="24"/>
          <w:szCs w:val="24"/>
          <w:lang w:val="fr-FR"/>
        </w:rPr>
        <w:t>À</w:t>
      </w:r>
      <w:r w:rsidR="00EC7E07" w:rsidRPr="00953692">
        <w:rPr>
          <w:sz w:val="24"/>
          <w:szCs w:val="24"/>
          <w:lang w:val="fr-FR"/>
        </w:rPr>
        <w:t xml:space="preserve"> l’expiration de tout délai prévu par l’article 103 du Règlement, le </w:t>
      </w:r>
      <w:r w:rsidR="00906F62" w:rsidRPr="00953692">
        <w:rPr>
          <w:sz w:val="24"/>
          <w:szCs w:val="24"/>
          <w:lang w:val="fr-FR"/>
        </w:rPr>
        <w:t>C</w:t>
      </w:r>
      <w:r w:rsidR="00EC7E07" w:rsidRPr="00953692">
        <w:rPr>
          <w:sz w:val="24"/>
          <w:szCs w:val="24"/>
          <w:lang w:val="fr-FR"/>
        </w:rPr>
        <w:t xml:space="preserve">abinet d’instruction, </w:t>
      </w:r>
      <w:r w:rsidR="00053779" w:rsidRPr="00953692">
        <w:rPr>
          <w:sz w:val="24"/>
          <w:szCs w:val="24"/>
          <w:lang w:val="fr-FR"/>
        </w:rPr>
        <w:t xml:space="preserve">conformément à l’article 104 du RPP, </w:t>
      </w:r>
      <w:r w:rsidR="00EC7E07" w:rsidRPr="00953692">
        <w:rPr>
          <w:sz w:val="24"/>
          <w:szCs w:val="24"/>
          <w:lang w:val="fr-FR"/>
        </w:rPr>
        <w:t>estimant que les faits constituent un crime relevant de la compétence de la Cour et qu’il existe des charges suffisantes contre l’inculpé, prononce, par ordonnance motivée, le renvoi devant la Chambre d’assises. Cette ordonnance contient</w:t>
      </w:r>
      <w:r w:rsidR="00591CF4" w:rsidRPr="00953692">
        <w:rPr>
          <w:sz w:val="24"/>
          <w:szCs w:val="24"/>
          <w:lang w:val="fr-FR"/>
        </w:rPr>
        <w:t>,</w:t>
      </w:r>
      <w:r w:rsidR="00EC7E07" w:rsidRPr="00953692">
        <w:rPr>
          <w:sz w:val="24"/>
          <w:szCs w:val="24"/>
          <w:lang w:val="fr-FR"/>
        </w:rPr>
        <w:t xml:space="preserve"> à peine de nullité</w:t>
      </w:r>
      <w:r w:rsidR="00591CF4" w:rsidRPr="00953692">
        <w:rPr>
          <w:sz w:val="24"/>
          <w:szCs w:val="24"/>
          <w:lang w:val="fr-FR"/>
        </w:rPr>
        <w:t xml:space="preserve">, </w:t>
      </w:r>
      <w:r w:rsidR="0019528C" w:rsidRPr="00953692">
        <w:rPr>
          <w:sz w:val="24"/>
          <w:szCs w:val="24"/>
          <w:lang w:val="fr-FR"/>
        </w:rPr>
        <w:t>l’exposé et la qualification légale des faits, objet de l’accusation, et précise l’identité de l’accusé et la nature de sa responsabilité pénale, et est notifiée sans délai aux parties dont l’accusé.</w:t>
      </w:r>
    </w:p>
    <w:p w14:paraId="2D9FBF05" w14:textId="635D381B" w:rsidR="00F50F9D" w:rsidRPr="00953692" w:rsidRDefault="006F38E2" w:rsidP="00864BBF">
      <w:pPr>
        <w:spacing w:after="0" w:line="276" w:lineRule="auto"/>
        <w:ind w:firstLine="1134"/>
        <w:jc w:val="both"/>
        <w:rPr>
          <w:sz w:val="24"/>
          <w:szCs w:val="24"/>
          <w:lang w:val="fr-FR"/>
        </w:rPr>
      </w:pPr>
      <w:r w:rsidRPr="00953692">
        <w:rPr>
          <w:b/>
          <w:bCs/>
          <w:sz w:val="24"/>
          <w:szCs w:val="24"/>
          <w:lang w:val="fr-FR"/>
        </w:rPr>
        <w:t>82</w:t>
      </w:r>
      <w:r w:rsidR="007A2FB6" w:rsidRPr="00953692">
        <w:rPr>
          <w:b/>
          <w:bCs/>
          <w:sz w:val="24"/>
          <w:szCs w:val="24"/>
          <w:lang w:val="fr-FR"/>
        </w:rPr>
        <w:t>.</w:t>
      </w:r>
      <w:r w:rsidR="007A2FB6" w:rsidRPr="00953692">
        <w:rPr>
          <w:sz w:val="24"/>
          <w:szCs w:val="24"/>
          <w:lang w:val="fr-FR"/>
        </w:rPr>
        <w:t xml:space="preserve"> </w:t>
      </w:r>
      <w:r w:rsidR="00A6275B" w:rsidRPr="00953692">
        <w:rPr>
          <w:sz w:val="24"/>
          <w:szCs w:val="24"/>
          <w:lang w:val="fr-FR"/>
        </w:rPr>
        <w:t xml:space="preserve">Il en est de même avec la procédure prévue devant les </w:t>
      </w:r>
      <w:r w:rsidR="00F348AA" w:rsidRPr="00953692">
        <w:rPr>
          <w:sz w:val="24"/>
          <w:szCs w:val="24"/>
          <w:lang w:val="fr-FR"/>
        </w:rPr>
        <w:t>Chambres</w:t>
      </w:r>
      <w:r w:rsidR="00A6275B" w:rsidRPr="00953692">
        <w:rPr>
          <w:sz w:val="24"/>
          <w:szCs w:val="24"/>
          <w:lang w:val="fr-FR"/>
        </w:rPr>
        <w:t xml:space="preserve"> spécialisées pour le Kosovo</w:t>
      </w:r>
      <w:r w:rsidR="00BE16D4" w:rsidRPr="00953692">
        <w:rPr>
          <w:sz w:val="24"/>
          <w:szCs w:val="24"/>
          <w:lang w:val="fr-FR"/>
        </w:rPr>
        <w:t>, dont le juge de mise en état est chargé de confirmer ou de rejeter l’acte d’accusation établi par le procureur spécialisé.</w:t>
      </w:r>
      <w:r w:rsidR="00F12A5D" w:rsidRPr="00953692">
        <w:rPr>
          <w:sz w:val="24"/>
          <w:szCs w:val="24"/>
          <w:lang w:val="fr-FR"/>
        </w:rPr>
        <w:t xml:space="preserve"> </w:t>
      </w:r>
      <w:r w:rsidR="00541754" w:rsidRPr="00953692">
        <w:rPr>
          <w:sz w:val="24"/>
          <w:szCs w:val="24"/>
          <w:lang w:val="fr-FR"/>
        </w:rPr>
        <w:t>Une personne contre laquelle un acte d’accusation est confirmé doit être immédiatement informée des charges retenues contre elle.</w:t>
      </w:r>
      <w:r w:rsidR="00541754" w:rsidRPr="00953692">
        <w:rPr>
          <w:i/>
          <w:iCs/>
          <w:sz w:val="24"/>
          <w:szCs w:val="24"/>
          <w:lang w:val="fr-FR"/>
        </w:rPr>
        <w:t xml:space="preserve"> </w:t>
      </w:r>
      <w:r w:rsidR="004E4A2B" w:rsidRPr="00953692">
        <w:rPr>
          <w:rStyle w:val="grammar"/>
          <w:rFonts w:cs="Times New Roman"/>
          <w:i/>
          <w:iCs/>
          <w:sz w:val="24"/>
          <w:szCs w:val="24"/>
          <w:lang w:val="fr-FR"/>
        </w:rPr>
        <w:t>À</w:t>
      </w:r>
      <w:r w:rsidR="00F12A5D" w:rsidRPr="00953692">
        <w:rPr>
          <w:i/>
          <w:iCs/>
          <w:sz w:val="24"/>
          <w:szCs w:val="24"/>
          <w:lang w:val="fr-FR"/>
        </w:rPr>
        <w:t xml:space="preserve"> la comparution initiale, </w:t>
      </w:r>
      <w:r w:rsidR="00F71C5A" w:rsidRPr="00953692">
        <w:rPr>
          <w:i/>
          <w:iCs/>
          <w:sz w:val="24"/>
          <w:szCs w:val="24"/>
          <w:lang w:val="fr-FR"/>
        </w:rPr>
        <w:t>le juge de la mise en état lit à l’intention du suspect l’acte d’accusation et s’assure que toutes les pièces justificatives lui ont été remises</w:t>
      </w:r>
      <w:r w:rsidR="00F71C5A" w:rsidRPr="00953692">
        <w:rPr>
          <w:sz w:val="24"/>
          <w:szCs w:val="24"/>
          <w:lang w:val="fr-FR"/>
        </w:rPr>
        <w:t xml:space="preserve">. </w:t>
      </w:r>
      <w:r w:rsidR="00170768" w:rsidRPr="00953692">
        <w:rPr>
          <w:sz w:val="24"/>
          <w:szCs w:val="24"/>
          <w:lang w:val="fr-FR"/>
        </w:rPr>
        <w:t xml:space="preserve">Le juge de la mise en état organise une audience publique à laquelle assiste l’inculpé, qui devra plaider coupable </w:t>
      </w:r>
      <w:r w:rsidR="00F348AA" w:rsidRPr="00953692">
        <w:rPr>
          <w:sz w:val="24"/>
          <w:szCs w:val="24"/>
          <w:lang w:val="fr-FR"/>
        </w:rPr>
        <w:t xml:space="preserve">ou non </w:t>
      </w:r>
      <w:r w:rsidR="00170768" w:rsidRPr="00953692">
        <w:rPr>
          <w:sz w:val="24"/>
          <w:szCs w:val="24"/>
          <w:lang w:val="fr-FR"/>
        </w:rPr>
        <w:t>avant que l’acte d’accusation</w:t>
      </w:r>
      <w:r w:rsidR="004E4A2B" w:rsidRPr="00953692">
        <w:rPr>
          <w:sz w:val="24"/>
          <w:szCs w:val="24"/>
          <w:lang w:val="fr-FR"/>
        </w:rPr>
        <w:t>,</w:t>
      </w:r>
      <w:r w:rsidR="00170768" w:rsidRPr="00953692">
        <w:rPr>
          <w:sz w:val="24"/>
          <w:szCs w:val="24"/>
          <w:lang w:val="fr-FR"/>
        </w:rPr>
        <w:t xml:space="preserve"> soit éventuellement confirmé et que l’affaire soit renvoyée devant le juge de</w:t>
      </w:r>
      <w:r w:rsidRPr="00953692">
        <w:rPr>
          <w:sz w:val="24"/>
          <w:szCs w:val="24"/>
          <w:lang w:val="fr-FR"/>
        </w:rPr>
        <w:t xml:space="preserve"> fond</w:t>
      </w:r>
      <w:r w:rsidR="0096039E" w:rsidRPr="00953692">
        <w:rPr>
          <w:rStyle w:val="Appelnotedebasdep"/>
          <w:sz w:val="24"/>
          <w:szCs w:val="24"/>
          <w:lang w:val="fr-FR"/>
        </w:rPr>
        <w:footnoteReference w:customMarkFollows="1" w:id="78"/>
        <w:t>57</w:t>
      </w:r>
      <w:r w:rsidR="00170768" w:rsidRPr="00953692">
        <w:rPr>
          <w:sz w:val="24"/>
          <w:szCs w:val="24"/>
          <w:lang w:val="fr-FR"/>
        </w:rPr>
        <w:t xml:space="preserve">. </w:t>
      </w:r>
    </w:p>
    <w:p w14:paraId="40FEE481" w14:textId="0CAFB43B" w:rsidR="001D43C1" w:rsidRPr="00953692" w:rsidRDefault="006F38E2" w:rsidP="00864BBF">
      <w:pPr>
        <w:spacing w:after="0" w:line="276" w:lineRule="auto"/>
        <w:ind w:firstLine="1134"/>
        <w:jc w:val="both"/>
        <w:rPr>
          <w:sz w:val="24"/>
          <w:szCs w:val="24"/>
          <w:lang w:val="fr-FR"/>
        </w:rPr>
      </w:pPr>
      <w:r w:rsidRPr="00953692">
        <w:rPr>
          <w:b/>
          <w:bCs/>
          <w:sz w:val="24"/>
          <w:szCs w:val="24"/>
          <w:lang w:val="fr-FR"/>
        </w:rPr>
        <w:t>83</w:t>
      </w:r>
      <w:r w:rsidR="00131863" w:rsidRPr="00953692">
        <w:rPr>
          <w:b/>
          <w:bCs/>
          <w:sz w:val="24"/>
          <w:szCs w:val="24"/>
          <w:lang w:val="fr-FR"/>
        </w:rPr>
        <w:t>.</w:t>
      </w:r>
      <w:r w:rsidR="00131863" w:rsidRPr="00953692">
        <w:rPr>
          <w:sz w:val="24"/>
          <w:szCs w:val="24"/>
          <w:lang w:val="fr-FR"/>
        </w:rPr>
        <w:t xml:space="preserve"> Troisièmement, c</w:t>
      </w:r>
      <w:r w:rsidR="00EE73B9" w:rsidRPr="00953692">
        <w:rPr>
          <w:sz w:val="24"/>
          <w:szCs w:val="24"/>
          <w:lang w:val="fr-FR"/>
        </w:rPr>
        <w:t>ette procédure se rapproche un</w:t>
      </w:r>
      <w:r w:rsidR="0096039E" w:rsidRPr="00953692">
        <w:rPr>
          <w:sz w:val="24"/>
          <w:szCs w:val="24"/>
          <w:lang w:val="fr-FR"/>
        </w:rPr>
        <w:t xml:space="preserve"> peu</w:t>
      </w:r>
      <w:r w:rsidR="00EE73B9" w:rsidRPr="00953692">
        <w:rPr>
          <w:sz w:val="24"/>
          <w:szCs w:val="24"/>
          <w:lang w:val="fr-FR"/>
        </w:rPr>
        <w:t xml:space="preserve"> plus de celle applicable d</w:t>
      </w:r>
      <w:r w:rsidR="000B65AE" w:rsidRPr="00953692">
        <w:rPr>
          <w:sz w:val="24"/>
          <w:szCs w:val="24"/>
          <w:lang w:val="fr-FR"/>
        </w:rPr>
        <w:t>evant la CPI</w:t>
      </w:r>
      <w:r w:rsidR="00EE73B9" w:rsidRPr="00953692">
        <w:rPr>
          <w:sz w:val="24"/>
          <w:szCs w:val="24"/>
          <w:lang w:val="fr-FR"/>
        </w:rPr>
        <w:t xml:space="preserve"> qui place le Procureur dans une situation d’égalité avec l’inculpé devant la Chambre préliminaire. </w:t>
      </w:r>
      <w:r w:rsidR="00AF74DC" w:rsidRPr="00953692">
        <w:rPr>
          <w:sz w:val="24"/>
          <w:szCs w:val="24"/>
          <w:lang w:val="fr-FR"/>
        </w:rPr>
        <w:t xml:space="preserve">Dès l’entame de la procédure, c’est-à-dire lorsque la personne poursuivie est remise à la Cour ou comparait volontairement ou sur citation, la première </w:t>
      </w:r>
      <w:r w:rsidR="00352A3E" w:rsidRPr="00953692">
        <w:rPr>
          <w:sz w:val="24"/>
          <w:szCs w:val="24"/>
          <w:lang w:val="fr-FR"/>
        </w:rPr>
        <w:t>tâche</w:t>
      </w:r>
      <w:r w:rsidR="00AF74DC" w:rsidRPr="00953692">
        <w:rPr>
          <w:sz w:val="24"/>
          <w:szCs w:val="24"/>
          <w:lang w:val="fr-FR"/>
        </w:rPr>
        <w:t xml:space="preserve"> de la Chambre préliminaire est de vérifier</w:t>
      </w:r>
      <w:r w:rsidR="00352A3E" w:rsidRPr="00953692">
        <w:rPr>
          <w:sz w:val="24"/>
          <w:szCs w:val="24"/>
          <w:lang w:val="fr-FR"/>
        </w:rPr>
        <w:t xml:space="preserve"> si le droit à l’information a été respecté. Les actes constitutifs de la CPI font de la présence de l’inculpé une condition préalable de la tenue d’une audience de confirmation des charges. </w:t>
      </w:r>
      <w:bookmarkStart w:id="18" w:name="_Hlk119125935"/>
      <w:r w:rsidR="004E4A2B" w:rsidRPr="00953692">
        <w:rPr>
          <w:rStyle w:val="grammar"/>
          <w:rFonts w:cs="Times New Roman"/>
          <w:sz w:val="24"/>
          <w:szCs w:val="24"/>
          <w:lang w:val="fr-FR"/>
        </w:rPr>
        <w:t>À</w:t>
      </w:r>
      <w:bookmarkEnd w:id="18"/>
      <w:r w:rsidR="00352A3E" w:rsidRPr="00953692">
        <w:rPr>
          <w:sz w:val="24"/>
          <w:szCs w:val="24"/>
          <w:lang w:val="fr-FR"/>
        </w:rPr>
        <w:t xml:space="preserve"> cet effet, « dans un délai raisonnable</w:t>
      </w:r>
      <w:r w:rsidR="00CE6E91" w:rsidRPr="00953692">
        <w:rPr>
          <w:sz w:val="24"/>
          <w:szCs w:val="24"/>
          <w:lang w:val="fr-FR"/>
        </w:rPr>
        <w:t>, soit 30 jours</w:t>
      </w:r>
      <w:r w:rsidR="00352A3E" w:rsidRPr="00953692">
        <w:rPr>
          <w:sz w:val="24"/>
          <w:szCs w:val="24"/>
          <w:lang w:val="fr-FR"/>
        </w:rPr>
        <w:t xml:space="preserve"> avant cette audience, l’inculpé reçoit une notification écrite des charges sur lesquelles le Procureur entend se fonder pour requérir le renvoi en jugement ; et est informé des éléments de preuve sur lesquels le Procureur entend se </w:t>
      </w:r>
      <w:r w:rsidR="00352A3E" w:rsidRPr="00953692">
        <w:rPr>
          <w:sz w:val="24"/>
          <w:szCs w:val="24"/>
          <w:lang w:val="fr-FR"/>
        </w:rPr>
        <w:lastRenderedPageBreak/>
        <w:t>fonder à l'audience »</w:t>
      </w:r>
      <w:r w:rsidR="0096039E" w:rsidRPr="00953692">
        <w:rPr>
          <w:rStyle w:val="Appelnotedebasdep"/>
          <w:sz w:val="24"/>
          <w:szCs w:val="24"/>
          <w:lang w:val="fr-FR"/>
        </w:rPr>
        <w:footnoteReference w:customMarkFollows="1" w:id="79"/>
        <w:t>58</w:t>
      </w:r>
      <w:r w:rsidR="00352A3E" w:rsidRPr="00953692">
        <w:rPr>
          <w:sz w:val="24"/>
          <w:szCs w:val="24"/>
          <w:lang w:val="fr-FR"/>
        </w:rPr>
        <w:t>.</w:t>
      </w:r>
      <w:r w:rsidR="001D43C1" w:rsidRPr="00953692">
        <w:rPr>
          <w:sz w:val="24"/>
          <w:szCs w:val="24"/>
          <w:lang w:val="fr-FR"/>
        </w:rPr>
        <w:t xml:space="preserve"> La confirmation d</w:t>
      </w:r>
      <w:r w:rsidR="00131863" w:rsidRPr="00953692">
        <w:rPr>
          <w:sz w:val="24"/>
          <w:szCs w:val="24"/>
          <w:lang w:val="fr-FR"/>
        </w:rPr>
        <w:t>es charges</w:t>
      </w:r>
      <w:r w:rsidR="001D43C1" w:rsidRPr="00953692">
        <w:rPr>
          <w:sz w:val="24"/>
          <w:szCs w:val="24"/>
          <w:lang w:val="fr-FR"/>
        </w:rPr>
        <w:t xml:space="preserve"> a donc un caractère contradictoire qui exige que l’inculpé soit en possession d’une information suffisante afin d’apporter ses éléments de contradiction</w:t>
      </w:r>
      <w:r w:rsidR="0096039E" w:rsidRPr="00953692">
        <w:rPr>
          <w:rStyle w:val="Appelnotedebasdep"/>
          <w:sz w:val="24"/>
          <w:szCs w:val="24"/>
          <w:lang w:val="fr-FR"/>
        </w:rPr>
        <w:footnoteReference w:customMarkFollows="1" w:id="80"/>
        <w:t>59</w:t>
      </w:r>
      <w:r w:rsidR="001D43C1" w:rsidRPr="00953692">
        <w:rPr>
          <w:sz w:val="24"/>
          <w:szCs w:val="24"/>
          <w:lang w:val="fr-FR"/>
        </w:rPr>
        <w:t>.</w:t>
      </w:r>
    </w:p>
    <w:p w14:paraId="5E4EB897" w14:textId="71C20B46" w:rsidR="00A7156C" w:rsidRPr="00953692" w:rsidRDefault="006F38E2" w:rsidP="00864BBF">
      <w:pPr>
        <w:spacing w:line="276" w:lineRule="auto"/>
        <w:ind w:firstLine="1134"/>
        <w:jc w:val="both"/>
        <w:rPr>
          <w:sz w:val="24"/>
          <w:szCs w:val="24"/>
          <w:lang w:val="fr-FR"/>
        </w:rPr>
      </w:pPr>
      <w:r w:rsidRPr="00953692">
        <w:rPr>
          <w:b/>
          <w:bCs/>
          <w:sz w:val="24"/>
          <w:szCs w:val="24"/>
          <w:lang w:val="fr-FR"/>
        </w:rPr>
        <w:t>84</w:t>
      </w:r>
      <w:r w:rsidR="00131863" w:rsidRPr="00953692">
        <w:rPr>
          <w:b/>
          <w:bCs/>
          <w:sz w:val="24"/>
          <w:szCs w:val="24"/>
          <w:lang w:val="fr-FR"/>
        </w:rPr>
        <w:t>.</w:t>
      </w:r>
      <w:r w:rsidR="00131863" w:rsidRPr="00953692">
        <w:rPr>
          <w:sz w:val="24"/>
          <w:szCs w:val="24"/>
          <w:lang w:val="fr-FR"/>
        </w:rPr>
        <w:t xml:space="preserve"> </w:t>
      </w:r>
      <w:r w:rsidR="001D43C1" w:rsidRPr="00953692">
        <w:rPr>
          <w:sz w:val="24"/>
          <w:szCs w:val="24"/>
          <w:lang w:val="fr-FR"/>
        </w:rPr>
        <w:t>Le droit à l’information devant la CPI est primordial. Même lorsqu’elle entend tenir exceptionnellement une audience en l’absence de la personne poursuivie</w:t>
      </w:r>
      <w:r w:rsidR="000D791C" w:rsidRPr="00953692">
        <w:rPr>
          <w:sz w:val="24"/>
          <w:szCs w:val="24"/>
          <w:lang w:val="fr-FR"/>
        </w:rPr>
        <w:t xml:space="preserve"> </w:t>
      </w:r>
      <w:r w:rsidR="001B0FB0" w:rsidRPr="00953692">
        <w:rPr>
          <w:sz w:val="24"/>
          <w:szCs w:val="24"/>
          <w:lang w:val="fr-FR"/>
        </w:rPr>
        <w:t>(</w:t>
      </w:r>
      <w:r w:rsidR="000D791C" w:rsidRPr="00953692">
        <w:rPr>
          <w:sz w:val="24"/>
          <w:szCs w:val="24"/>
          <w:lang w:val="fr-FR"/>
        </w:rPr>
        <w:t>introuvable</w:t>
      </w:r>
      <w:r w:rsidR="001B0FB0" w:rsidRPr="00953692">
        <w:rPr>
          <w:sz w:val="24"/>
          <w:szCs w:val="24"/>
          <w:lang w:val="fr-FR"/>
        </w:rPr>
        <w:t xml:space="preserve"> ou en fuite)</w:t>
      </w:r>
      <w:r w:rsidR="001D43C1" w:rsidRPr="00953692">
        <w:rPr>
          <w:sz w:val="24"/>
          <w:szCs w:val="24"/>
          <w:lang w:val="fr-FR"/>
        </w:rPr>
        <w:t xml:space="preserve">, la </w:t>
      </w:r>
      <w:r w:rsidR="000D791C" w:rsidRPr="00953692">
        <w:rPr>
          <w:sz w:val="24"/>
          <w:szCs w:val="24"/>
          <w:lang w:val="fr-FR"/>
        </w:rPr>
        <w:t>C</w:t>
      </w:r>
      <w:r w:rsidR="001D43C1" w:rsidRPr="00953692">
        <w:rPr>
          <w:sz w:val="24"/>
          <w:szCs w:val="24"/>
          <w:lang w:val="fr-FR"/>
        </w:rPr>
        <w:t xml:space="preserve">hambre préliminaire s’assure </w:t>
      </w:r>
      <w:r w:rsidR="000D791C" w:rsidRPr="00953692">
        <w:rPr>
          <w:sz w:val="24"/>
          <w:szCs w:val="24"/>
          <w:lang w:val="fr-FR"/>
        </w:rPr>
        <w:t xml:space="preserve">que </w:t>
      </w:r>
      <w:r w:rsidR="00430934" w:rsidRPr="00953692">
        <w:rPr>
          <w:sz w:val="24"/>
          <w:szCs w:val="24"/>
          <w:lang w:val="fr-FR"/>
        </w:rPr>
        <w:t>celle-ci</w:t>
      </w:r>
      <w:r w:rsidR="005169B0" w:rsidRPr="00953692">
        <w:rPr>
          <w:sz w:val="24"/>
          <w:szCs w:val="24"/>
          <w:lang w:val="fr-FR"/>
        </w:rPr>
        <w:t>, par le biais du moins de son conseil,</w:t>
      </w:r>
      <w:r w:rsidR="00430934" w:rsidRPr="00953692">
        <w:rPr>
          <w:sz w:val="24"/>
          <w:szCs w:val="24"/>
          <w:lang w:val="fr-FR"/>
        </w:rPr>
        <w:t xml:space="preserve"> a été informé</w:t>
      </w:r>
      <w:r w:rsidR="004E4A2B" w:rsidRPr="00953692">
        <w:rPr>
          <w:sz w:val="24"/>
          <w:szCs w:val="24"/>
          <w:lang w:val="fr-FR"/>
        </w:rPr>
        <w:t>e</w:t>
      </w:r>
      <w:r w:rsidR="00430934" w:rsidRPr="00953692">
        <w:rPr>
          <w:sz w:val="24"/>
          <w:szCs w:val="24"/>
          <w:lang w:val="fr-FR"/>
        </w:rPr>
        <w:t xml:space="preserve"> des charges qui pèsent contre elle</w:t>
      </w:r>
      <w:r w:rsidR="005169B0" w:rsidRPr="00953692">
        <w:rPr>
          <w:rStyle w:val="Appelnotedebasdep"/>
          <w:sz w:val="24"/>
          <w:szCs w:val="24"/>
          <w:lang w:val="fr-FR"/>
        </w:rPr>
        <w:footnoteReference w:customMarkFollows="1" w:id="81"/>
        <w:t>60</w:t>
      </w:r>
      <w:r w:rsidR="00430934" w:rsidRPr="00953692">
        <w:rPr>
          <w:sz w:val="24"/>
          <w:szCs w:val="24"/>
          <w:lang w:val="fr-FR"/>
        </w:rPr>
        <w:t xml:space="preserve">. En d’autres termes, contrairement à la procédure </w:t>
      </w:r>
      <w:r w:rsidR="00430934" w:rsidRPr="00953692">
        <w:rPr>
          <w:i/>
          <w:iCs/>
          <w:sz w:val="24"/>
          <w:szCs w:val="24"/>
          <w:lang w:val="fr-FR"/>
        </w:rPr>
        <w:t>ex parte</w:t>
      </w:r>
      <w:r w:rsidR="00430934" w:rsidRPr="00953692">
        <w:rPr>
          <w:sz w:val="24"/>
          <w:szCs w:val="24"/>
          <w:lang w:val="fr-FR"/>
        </w:rPr>
        <w:t xml:space="preserve"> devant les TPI, aucune audience de confirmation des charges ne peut se tenir devant la CPI si le droit du suspect à être informé des charges retenues contre lui n’a pas été respecté</w:t>
      </w:r>
      <w:r w:rsidR="004E001E" w:rsidRPr="00953692">
        <w:rPr>
          <w:sz w:val="24"/>
          <w:szCs w:val="24"/>
          <w:lang w:val="fr-FR"/>
        </w:rPr>
        <w:t xml:space="preserve"> de </w:t>
      </w:r>
      <w:r w:rsidR="00B36137" w:rsidRPr="00953692">
        <w:rPr>
          <w:sz w:val="24"/>
          <w:szCs w:val="24"/>
          <w:lang w:val="fr-FR"/>
        </w:rPr>
        <w:t>cette</w:t>
      </w:r>
      <w:r w:rsidR="004E001E" w:rsidRPr="00953692">
        <w:rPr>
          <w:sz w:val="24"/>
          <w:szCs w:val="24"/>
          <w:lang w:val="fr-FR"/>
        </w:rPr>
        <w:t xml:space="preserve"> manière exceptionnelle que prévoit le statut de Rome</w:t>
      </w:r>
      <w:r w:rsidR="00430934" w:rsidRPr="00953692">
        <w:rPr>
          <w:sz w:val="24"/>
          <w:szCs w:val="24"/>
          <w:lang w:val="fr-FR"/>
        </w:rPr>
        <w:t>.</w:t>
      </w:r>
    </w:p>
    <w:p w14:paraId="118FDA7C" w14:textId="219E8278" w:rsidR="005453B6" w:rsidRPr="00ED789C" w:rsidRDefault="00664C3E" w:rsidP="004D61B4">
      <w:pPr>
        <w:pStyle w:val="Paragraphedeliste"/>
        <w:numPr>
          <w:ilvl w:val="0"/>
          <w:numId w:val="2"/>
        </w:numPr>
        <w:spacing w:before="240" w:line="276" w:lineRule="auto"/>
        <w:jc w:val="both"/>
        <w:outlineLvl w:val="2"/>
        <w:rPr>
          <w:rFonts w:cs="Times New Roman"/>
          <w:bCs/>
          <w:i/>
          <w:iCs/>
          <w:sz w:val="24"/>
          <w:szCs w:val="24"/>
          <w:lang w:val="fr-FR"/>
        </w:rPr>
      </w:pPr>
      <w:bookmarkStart w:id="19" w:name="_Toc195179411"/>
      <w:r w:rsidRPr="00ED789C">
        <w:rPr>
          <w:rFonts w:cs="Times New Roman"/>
          <w:bCs/>
          <w:i/>
          <w:iCs/>
          <w:sz w:val="24"/>
          <w:szCs w:val="24"/>
          <w:lang w:val="fr-FR"/>
        </w:rPr>
        <w:t>Au cours du procès</w:t>
      </w:r>
      <w:r w:rsidR="004D10D6" w:rsidRPr="00ED789C">
        <w:rPr>
          <w:rFonts w:cs="Times New Roman"/>
          <w:bCs/>
          <w:i/>
          <w:iCs/>
          <w:sz w:val="24"/>
          <w:szCs w:val="24"/>
          <w:lang w:val="fr-FR"/>
        </w:rPr>
        <w:t>,</w:t>
      </w:r>
      <w:r w:rsidRPr="00ED789C">
        <w:rPr>
          <w:rFonts w:cs="Times New Roman"/>
          <w:bCs/>
          <w:i/>
          <w:iCs/>
          <w:sz w:val="24"/>
          <w:szCs w:val="24"/>
          <w:lang w:val="fr-FR"/>
        </w:rPr>
        <w:t xml:space="preserve"> en cas de modification de l’acte d’accusation</w:t>
      </w:r>
      <w:bookmarkEnd w:id="19"/>
    </w:p>
    <w:p w14:paraId="6C29A393" w14:textId="4C30E8A3" w:rsidR="006E0A9F" w:rsidRPr="00953692" w:rsidRDefault="006F38E2" w:rsidP="00864BBF">
      <w:pPr>
        <w:spacing w:before="240" w:after="0" w:line="276" w:lineRule="auto"/>
        <w:ind w:firstLine="1134"/>
        <w:jc w:val="both"/>
        <w:rPr>
          <w:rFonts w:cs="Times New Roman"/>
          <w:sz w:val="24"/>
          <w:szCs w:val="24"/>
          <w:lang w:val="fr-FR"/>
        </w:rPr>
      </w:pPr>
      <w:r w:rsidRPr="00953692">
        <w:rPr>
          <w:rFonts w:cs="Times New Roman"/>
          <w:b/>
          <w:bCs/>
          <w:sz w:val="24"/>
          <w:szCs w:val="24"/>
          <w:lang w:val="fr-FR"/>
        </w:rPr>
        <w:t>85</w:t>
      </w:r>
      <w:r w:rsidR="006E0A9F" w:rsidRPr="00953692">
        <w:rPr>
          <w:rFonts w:cs="Times New Roman"/>
          <w:b/>
          <w:bCs/>
          <w:sz w:val="24"/>
          <w:szCs w:val="24"/>
          <w:lang w:val="fr-FR"/>
        </w:rPr>
        <w:t>.</w:t>
      </w:r>
      <w:r w:rsidR="006E0A9F" w:rsidRPr="00953692">
        <w:rPr>
          <w:rFonts w:cs="Times New Roman"/>
          <w:sz w:val="24"/>
          <w:szCs w:val="24"/>
          <w:lang w:val="fr-FR"/>
        </w:rPr>
        <w:t xml:space="preserve"> </w:t>
      </w:r>
      <w:r w:rsidR="00BD4EAC" w:rsidRPr="00953692">
        <w:rPr>
          <w:rFonts w:cs="Times New Roman"/>
          <w:sz w:val="24"/>
          <w:szCs w:val="24"/>
          <w:lang w:val="fr-FR"/>
        </w:rPr>
        <w:t>Contrairement aux deux précédents cas, ce troisième cas de figure relève plutôt de l’ordre de l’éventualité. La modification de l’acte d’accusation déjà confirmé rentre dans la logique de la continuité de l’enquête, qui peut nécessiter des changements</w:t>
      </w:r>
      <w:r w:rsidR="00DB670E" w:rsidRPr="00953692">
        <w:rPr>
          <w:rFonts w:cs="Times New Roman"/>
          <w:sz w:val="24"/>
          <w:szCs w:val="24"/>
          <w:lang w:val="fr-FR"/>
        </w:rPr>
        <w:t>, le cas échéant</w:t>
      </w:r>
      <w:r w:rsidR="00BD4EAC" w:rsidRPr="00953692">
        <w:rPr>
          <w:rFonts w:cs="Times New Roman"/>
          <w:sz w:val="24"/>
          <w:szCs w:val="24"/>
          <w:lang w:val="fr-FR"/>
        </w:rPr>
        <w:t xml:space="preserve">. </w:t>
      </w:r>
      <w:r w:rsidR="006E0A9F" w:rsidRPr="00953692">
        <w:rPr>
          <w:rFonts w:cs="Times New Roman"/>
          <w:sz w:val="24"/>
          <w:szCs w:val="24"/>
          <w:lang w:val="fr-FR"/>
        </w:rPr>
        <w:t>Et ceux-ci ont évidemment une incidence sur la réalisation du droit</w:t>
      </w:r>
      <w:r w:rsidR="00DB670E" w:rsidRPr="00953692">
        <w:rPr>
          <w:rFonts w:cs="Times New Roman"/>
          <w:sz w:val="24"/>
          <w:szCs w:val="24"/>
          <w:lang w:val="fr-FR"/>
        </w:rPr>
        <w:t xml:space="preserve"> d’un suspect</w:t>
      </w:r>
      <w:r w:rsidR="006E0A9F" w:rsidRPr="00953692">
        <w:rPr>
          <w:rFonts w:cs="Times New Roman"/>
          <w:sz w:val="24"/>
          <w:szCs w:val="24"/>
          <w:lang w:val="fr-FR"/>
        </w:rPr>
        <w:t xml:space="preserve"> d’être informé dans le plus court délai.</w:t>
      </w:r>
      <w:r w:rsidR="00BD4EAC" w:rsidRPr="00953692">
        <w:rPr>
          <w:rFonts w:cs="Times New Roman"/>
          <w:sz w:val="24"/>
          <w:szCs w:val="24"/>
          <w:lang w:val="fr-FR"/>
        </w:rPr>
        <w:t xml:space="preserve"> </w:t>
      </w:r>
      <w:r w:rsidR="006E0A9F" w:rsidRPr="00953692">
        <w:rPr>
          <w:rFonts w:cs="Times New Roman"/>
          <w:sz w:val="24"/>
          <w:szCs w:val="24"/>
          <w:lang w:val="fr-FR"/>
        </w:rPr>
        <w:t>Puisqu’en réalité, l’information à ce stade de la procédure, c’est-à-dire avant le début du procès</w:t>
      </w:r>
      <w:r w:rsidR="00BB38A5" w:rsidRPr="00953692">
        <w:rPr>
          <w:rFonts w:cs="Times New Roman"/>
          <w:sz w:val="24"/>
          <w:szCs w:val="24"/>
          <w:lang w:val="fr-FR"/>
        </w:rPr>
        <w:t>,</w:t>
      </w:r>
      <w:r w:rsidR="006E0A9F" w:rsidRPr="00953692">
        <w:rPr>
          <w:rFonts w:cs="Times New Roman"/>
          <w:sz w:val="24"/>
          <w:szCs w:val="24"/>
          <w:lang w:val="fr-FR"/>
        </w:rPr>
        <w:t xml:space="preserve"> ne concerne que le contenu de cet acte d’accusation. Le procès est envisageable et tenable qu’en fonction de l’acte d’accusation, autrement appelé (charges) décision relative à la confirmation des charges ou ordonnance de renvoi. </w:t>
      </w:r>
      <w:r w:rsidR="00BB38A5" w:rsidRPr="00953692">
        <w:rPr>
          <w:rStyle w:val="grammar"/>
          <w:rFonts w:cs="Times New Roman"/>
          <w:sz w:val="24"/>
          <w:szCs w:val="24"/>
          <w:lang w:val="fr-FR"/>
        </w:rPr>
        <w:t>À</w:t>
      </w:r>
      <w:r w:rsidR="006E0A9F" w:rsidRPr="00953692">
        <w:rPr>
          <w:rFonts w:cs="Times New Roman"/>
          <w:sz w:val="24"/>
          <w:szCs w:val="24"/>
          <w:lang w:val="fr-FR"/>
        </w:rPr>
        <w:t xml:space="preserve"> cet effet, lorsqu’il y a des changements</w:t>
      </w:r>
      <w:r w:rsidR="00BB38A5" w:rsidRPr="00953692">
        <w:rPr>
          <w:rFonts w:cs="Times New Roman"/>
          <w:sz w:val="24"/>
          <w:szCs w:val="24"/>
          <w:lang w:val="fr-FR"/>
        </w:rPr>
        <w:t>,</w:t>
      </w:r>
      <w:r w:rsidR="006E0A9F" w:rsidRPr="00953692">
        <w:rPr>
          <w:rFonts w:cs="Times New Roman"/>
          <w:sz w:val="24"/>
          <w:szCs w:val="24"/>
          <w:lang w:val="fr-FR"/>
        </w:rPr>
        <w:t xml:space="preserve"> si minimes soient-ils, il va de l’intérêt de la justice d’en informer la personne mise en cause et dans le plus court délai.</w:t>
      </w:r>
    </w:p>
    <w:p w14:paraId="2C74723E" w14:textId="5DE8339C" w:rsidR="00BC7BA8" w:rsidRPr="00953692" w:rsidRDefault="006F38E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86</w:t>
      </w:r>
      <w:r w:rsidR="00A20437" w:rsidRPr="00953692">
        <w:rPr>
          <w:rFonts w:cs="Times New Roman"/>
          <w:b/>
          <w:bCs/>
          <w:sz w:val="24"/>
          <w:szCs w:val="24"/>
          <w:lang w:val="fr-FR"/>
        </w:rPr>
        <w:t>.</w:t>
      </w:r>
      <w:r w:rsidR="00A20437" w:rsidRPr="00953692">
        <w:rPr>
          <w:rFonts w:cs="Times New Roman"/>
          <w:sz w:val="24"/>
          <w:szCs w:val="24"/>
          <w:lang w:val="fr-FR"/>
        </w:rPr>
        <w:t xml:space="preserve"> </w:t>
      </w:r>
      <w:r w:rsidR="006E0A9F" w:rsidRPr="00953692">
        <w:rPr>
          <w:rFonts w:cs="Times New Roman"/>
          <w:sz w:val="24"/>
          <w:szCs w:val="24"/>
          <w:lang w:val="fr-FR"/>
        </w:rPr>
        <w:t>Cependant, compte tenu de son caractère perturbateur, les actes constitutifs des juridictions pénales internationales en limite</w:t>
      </w:r>
      <w:r w:rsidR="00DB670E" w:rsidRPr="00953692">
        <w:rPr>
          <w:rFonts w:cs="Times New Roman"/>
          <w:sz w:val="24"/>
          <w:szCs w:val="24"/>
          <w:lang w:val="fr-FR"/>
        </w:rPr>
        <w:t>nt</w:t>
      </w:r>
      <w:r w:rsidR="006E0A9F" w:rsidRPr="00953692">
        <w:rPr>
          <w:rFonts w:cs="Times New Roman"/>
          <w:sz w:val="24"/>
          <w:szCs w:val="24"/>
          <w:lang w:val="fr-FR"/>
        </w:rPr>
        <w:t xml:space="preserve"> le recours</w:t>
      </w:r>
      <w:r w:rsidR="002B186B" w:rsidRPr="00953692">
        <w:rPr>
          <w:rFonts w:cs="Times New Roman"/>
          <w:sz w:val="24"/>
          <w:szCs w:val="24"/>
          <w:lang w:val="fr-FR"/>
        </w:rPr>
        <w:t xml:space="preserve"> de manière plus ou moins claire. Le RPP du TSL précise d’ailleurs que les juges autorisent la modification de l’acte d’accusation que dans la mesure où ladite modification n’entraine aucun préjudice indu à l’accusé. En effet, </w:t>
      </w:r>
      <w:r w:rsidR="00AD27FF" w:rsidRPr="00953692">
        <w:rPr>
          <w:rFonts w:cs="Times New Roman"/>
          <w:sz w:val="24"/>
          <w:szCs w:val="24"/>
          <w:lang w:val="fr-FR"/>
        </w:rPr>
        <w:t>entre la confirmation de l’acte d’accusation ou des charges et le début du procès, le procureur peut modifier l’acte d’accusation sur autorisation du juge qui l’a confirmé. Devant les TPI</w:t>
      </w:r>
      <w:r w:rsidR="00BB38A5" w:rsidRPr="00953692">
        <w:rPr>
          <w:rFonts w:cs="Times New Roman"/>
          <w:sz w:val="24"/>
          <w:szCs w:val="24"/>
          <w:lang w:val="fr-FR"/>
        </w:rPr>
        <w:t>,</w:t>
      </w:r>
      <w:r w:rsidR="00AD27FF" w:rsidRPr="00953692">
        <w:rPr>
          <w:rFonts w:cs="Times New Roman"/>
          <w:sz w:val="24"/>
          <w:szCs w:val="24"/>
          <w:lang w:val="fr-FR"/>
        </w:rPr>
        <w:t xml:space="preserve"> il s’agissait du juge de la Chambre de première instance ou d’un juge spécialement désigné par le président</w:t>
      </w:r>
      <w:r w:rsidR="00B7258D" w:rsidRPr="00953692">
        <w:rPr>
          <w:rStyle w:val="Appelnotedebasdep"/>
          <w:rFonts w:cs="Times New Roman"/>
          <w:sz w:val="24"/>
          <w:szCs w:val="24"/>
          <w:lang w:val="fr-FR"/>
        </w:rPr>
        <w:footnoteReference w:customMarkFollows="1" w:id="82"/>
        <w:t>61</w:t>
      </w:r>
      <w:r w:rsidR="00AD27FF" w:rsidRPr="00953692">
        <w:rPr>
          <w:rFonts w:cs="Times New Roman"/>
          <w:sz w:val="24"/>
          <w:szCs w:val="24"/>
          <w:lang w:val="fr-FR"/>
        </w:rPr>
        <w:t> ; devant le TSL, la compétence est attribuée au juge de la mise en état</w:t>
      </w:r>
      <w:r w:rsidR="009D2205" w:rsidRPr="00953692">
        <w:rPr>
          <w:rStyle w:val="Appelnotedebasdep"/>
          <w:rFonts w:cs="Times New Roman"/>
          <w:sz w:val="24"/>
          <w:szCs w:val="24"/>
          <w:lang w:val="fr-FR"/>
        </w:rPr>
        <w:footnoteReference w:customMarkFollows="1" w:id="83"/>
        <w:t>62</w:t>
      </w:r>
      <w:r w:rsidR="00AD27FF" w:rsidRPr="00953692">
        <w:rPr>
          <w:rFonts w:cs="Times New Roman"/>
          <w:sz w:val="24"/>
          <w:szCs w:val="24"/>
          <w:lang w:val="fr-FR"/>
        </w:rPr>
        <w:t> ; et devant la CPI, c’est la Chambre préliminaire qui s’en charge</w:t>
      </w:r>
      <w:r w:rsidR="009D2205" w:rsidRPr="00953692">
        <w:rPr>
          <w:rStyle w:val="Appelnotedebasdep"/>
          <w:rFonts w:cs="Times New Roman"/>
          <w:sz w:val="24"/>
          <w:szCs w:val="24"/>
          <w:lang w:val="fr-FR"/>
        </w:rPr>
        <w:footnoteReference w:customMarkFollows="1" w:id="84"/>
        <w:t>63</w:t>
      </w:r>
      <w:r w:rsidR="00AD27FF" w:rsidRPr="00953692">
        <w:rPr>
          <w:rFonts w:cs="Times New Roman"/>
          <w:sz w:val="24"/>
          <w:szCs w:val="24"/>
          <w:lang w:val="fr-FR"/>
        </w:rPr>
        <w:t xml:space="preserve">. Devant les TPI et le TSL, si l’affaire a été attribuée à une </w:t>
      </w:r>
      <w:r w:rsidR="00AD27FF" w:rsidRPr="00953692">
        <w:rPr>
          <w:rFonts w:cs="Times New Roman"/>
          <w:sz w:val="24"/>
          <w:szCs w:val="24"/>
          <w:lang w:val="fr-FR"/>
        </w:rPr>
        <w:lastRenderedPageBreak/>
        <w:t>chambre de première instance constituée, il appartiendrait à celle-ci d’autoriser la modification</w:t>
      </w:r>
      <w:r w:rsidR="00DB670E" w:rsidRPr="00953692">
        <w:rPr>
          <w:rFonts w:cs="Times New Roman"/>
          <w:sz w:val="24"/>
          <w:szCs w:val="24"/>
          <w:lang w:val="fr-FR"/>
        </w:rPr>
        <w:t xml:space="preserve"> souhaitée par le procureur</w:t>
      </w:r>
      <w:r w:rsidR="00AD27FF" w:rsidRPr="00953692">
        <w:rPr>
          <w:rFonts w:cs="Times New Roman"/>
          <w:sz w:val="24"/>
          <w:szCs w:val="24"/>
          <w:lang w:val="fr-FR"/>
        </w:rPr>
        <w:t>.</w:t>
      </w:r>
    </w:p>
    <w:p w14:paraId="2459B2DD" w14:textId="4649BACA" w:rsidR="00A7156C" w:rsidRPr="00953692" w:rsidRDefault="006F38E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87</w:t>
      </w:r>
      <w:r w:rsidR="00A425CF" w:rsidRPr="00953692">
        <w:rPr>
          <w:rFonts w:cs="Times New Roman"/>
          <w:b/>
          <w:bCs/>
          <w:sz w:val="24"/>
          <w:szCs w:val="24"/>
          <w:lang w:val="fr-FR"/>
        </w:rPr>
        <w:t>.</w:t>
      </w:r>
      <w:r w:rsidR="00A425CF" w:rsidRPr="00953692">
        <w:rPr>
          <w:rFonts w:cs="Times New Roman"/>
          <w:sz w:val="24"/>
          <w:szCs w:val="24"/>
          <w:lang w:val="fr-FR"/>
        </w:rPr>
        <w:t xml:space="preserve"> </w:t>
      </w:r>
      <w:r w:rsidR="00AD27FF" w:rsidRPr="00953692">
        <w:rPr>
          <w:rFonts w:cs="Times New Roman"/>
          <w:sz w:val="24"/>
          <w:szCs w:val="24"/>
          <w:lang w:val="fr-FR"/>
        </w:rPr>
        <w:t xml:space="preserve">Conformément à la procédure prévue par les actes constitutifs de ces juridictions, lorsqu’il y a des nouveaux éléments </w:t>
      </w:r>
      <w:r w:rsidR="00DB670E" w:rsidRPr="00953692">
        <w:rPr>
          <w:rFonts w:cs="Times New Roman"/>
          <w:sz w:val="24"/>
          <w:szCs w:val="24"/>
          <w:lang w:val="fr-FR"/>
        </w:rPr>
        <w:t>résultant de</w:t>
      </w:r>
      <w:r w:rsidR="00AD27FF" w:rsidRPr="00953692">
        <w:rPr>
          <w:rFonts w:cs="Times New Roman"/>
          <w:sz w:val="24"/>
          <w:szCs w:val="24"/>
          <w:lang w:val="fr-FR"/>
        </w:rPr>
        <w:t xml:space="preserve"> la modification, l’accusé devra procéder à une nouvelle comparution initiale</w:t>
      </w:r>
      <w:r w:rsidR="00EA07F7" w:rsidRPr="00953692">
        <w:rPr>
          <w:rFonts w:cs="Times New Roman"/>
          <w:sz w:val="24"/>
          <w:szCs w:val="24"/>
          <w:lang w:val="fr-FR"/>
        </w:rPr>
        <w:t xml:space="preserve"> (l’article 71 E) du RPP du TSL ; article 50 B) du RPP du TPIY.)</w:t>
      </w:r>
      <w:r w:rsidR="00AD27FF" w:rsidRPr="00953692">
        <w:rPr>
          <w:rFonts w:cs="Times New Roman"/>
          <w:sz w:val="24"/>
          <w:szCs w:val="24"/>
          <w:lang w:val="fr-FR"/>
        </w:rPr>
        <w:t xml:space="preserve">. </w:t>
      </w:r>
      <w:r w:rsidR="00B7258D" w:rsidRPr="00953692">
        <w:rPr>
          <w:rFonts w:cs="Times New Roman"/>
          <w:sz w:val="24"/>
          <w:szCs w:val="24"/>
          <w:lang w:val="fr-FR"/>
        </w:rPr>
        <w:t>Ces changements ne seront pas soumis à une procédure de confirmation, car il s’agit d’un même acte confirmé</w:t>
      </w:r>
      <w:r w:rsidR="00BB38A5" w:rsidRPr="00953692">
        <w:rPr>
          <w:rFonts w:cs="Times New Roman"/>
          <w:sz w:val="24"/>
          <w:szCs w:val="24"/>
          <w:lang w:val="fr-FR"/>
        </w:rPr>
        <w:t>,</w:t>
      </w:r>
      <w:r w:rsidR="00B7258D" w:rsidRPr="00953692">
        <w:rPr>
          <w:rFonts w:cs="Times New Roman"/>
          <w:sz w:val="24"/>
          <w:szCs w:val="24"/>
          <w:lang w:val="fr-FR"/>
        </w:rPr>
        <w:t xml:space="preserve"> mais qui est modifié</w:t>
      </w:r>
      <w:r w:rsidR="00DB670E" w:rsidRPr="00953692">
        <w:rPr>
          <w:rStyle w:val="Appelnotedebasdep"/>
          <w:rFonts w:cs="Times New Roman"/>
          <w:sz w:val="24"/>
          <w:szCs w:val="24"/>
          <w:lang w:val="fr-FR"/>
        </w:rPr>
        <w:footnoteReference w:customMarkFollows="1" w:id="85"/>
        <w:t>64</w:t>
      </w:r>
      <w:r w:rsidR="00B7258D" w:rsidRPr="00953692">
        <w:rPr>
          <w:rFonts w:cs="Times New Roman"/>
          <w:sz w:val="24"/>
          <w:szCs w:val="24"/>
          <w:lang w:val="fr-FR"/>
        </w:rPr>
        <w:t>. Par contre</w:t>
      </w:r>
      <w:r w:rsidR="00BB38A5" w:rsidRPr="00953692">
        <w:rPr>
          <w:rFonts w:cs="Times New Roman"/>
          <w:sz w:val="24"/>
          <w:szCs w:val="24"/>
          <w:lang w:val="fr-FR"/>
        </w:rPr>
        <w:t>,</w:t>
      </w:r>
      <w:r w:rsidR="00B7258D" w:rsidRPr="00953692">
        <w:rPr>
          <w:rFonts w:cs="Times New Roman"/>
          <w:sz w:val="24"/>
          <w:szCs w:val="24"/>
          <w:lang w:val="fr-FR"/>
        </w:rPr>
        <w:t xml:space="preserve"> devant la CPI, lorsqu’il y a des nouveaux éléments, c’est-à-dire ajouter des charges supplémentaires ou substituer aux charges des charges plus graves, une audience devrait se tenir devant la Chambre préliminaire pour confirmer les nouvelles charges</w:t>
      </w:r>
      <w:r w:rsidR="00F20014" w:rsidRPr="00953692">
        <w:rPr>
          <w:rStyle w:val="Appelnotedebasdep"/>
          <w:rFonts w:cs="Times New Roman"/>
          <w:sz w:val="24"/>
          <w:szCs w:val="24"/>
          <w:lang w:val="fr-FR"/>
        </w:rPr>
        <w:footnoteReference w:customMarkFollows="1" w:id="86"/>
        <w:t>65</w:t>
      </w:r>
      <w:r w:rsidR="00B7258D" w:rsidRPr="00953692">
        <w:rPr>
          <w:rFonts w:cs="Times New Roman"/>
          <w:sz w:val="24"/>
          <w:szCs w:val="24"/>
          <w:lang w:val="fr-FR"/>
        </w:rPr>
        <w:t xml:space="preserve">. </w:t>
      </w:r>
      <w:r w:rsidR="00A20437" w:rsidRPr="00953692">
        <w:rPr>
          <w:rFonts w:cs="Times New Roman"/>
          <w:sz w:val="24"/>
          <w:szCs w:val="24"/>
          <w:lang w:val="fr-FR"/>
        </w:rPr>
        <w:t>Dans tous les cas, il se profile à l’horizon une sinuosité susceptible d</w:t>
      </w:r>
      <w:r w:rsidR="00A425CF" w:rsidRPr="00953692">
        <w:rPr>
          <w:rFonts w:cs="Times New Roman"/>
          <w:sz w:val="24"/>
          <w:szCs w:val="24"/>
          <w:lang w:val="fr-FR"/>
        </w:rPr>
        <w:t>’influer sur la durée globale du procès, d’autant plus que l’obligation de respecter le droit à l’information exigerait</w:t>
      </w:r>
      <w:r w:rsidR="00BB38A5" w:rsidRPr="00953692">
        <w:rPr>
          <w:rFonts w:cs="Times New Roman"/>
          <w:sz w:val="24"/>
          <w:szCs w:val="24"/>
          <w:lang w:val="fr-FR"/>
        </w:rPr>
        <w:t>,</w:t>
      </w:r>
      <w:r w:rsidR="00A425CF" w:rsidRPr="00953692">
        <w:rPr>
          <w:rFonts w:cs="Times New Roman"/>
          <w:sz w:val="24"/>
          <w:szCs w:val="24"/>
          <w:lang w:val="fr-FR"/>
        </w:rPr>
        <w:t xml:space="preserve"> en plus, le temps de préparation. Dans ce cas, le respect ou non de ce droit devra donc déterminer si le procès se tiendra sans retard excessif évidemment à l’égard de l’accusé.</w:t>
      </w:r>
    </w:p>
    <w:p w14:paraId="776EC877" w14:textId="5E68A40E" w:rsidR="00082BD5" w:rsidRPr="00ED789C" w:rsidRDefault="00ED789C" w:rsidP="004D61B4">
      <w:pPr>
        <w:pStyle w:val="Titre3"/>
        <w:ind w:left="1134"/>
        <w:rPr>
          <w:rFonts w:ascii="Times New Roman" w:hAnsi="Times New Roman"/>
          <w:b w:val="0"/>
          <w:bCs/>
          <w:i/>
          <w:iCs/>
          <w:color w:val="auto"/>
          <w:sz w:val="24"/>
          <w:szCs w:val="24"/>
          <w:lang w:val="fr-FR"/>
        </w:rPr>
      </w:pPr>
      <w:bookmarkStart w:id="20" w:name="_Toc195179412"/>
      <w:bookmarkStart w:id="21" w:name="_Hlk148867259"/>
      <w:r w:rsidRPr="00ED789C">
        <w:rPr>
          <w:rFonts w:ascii="Times New Roman" w:hAnsi="Times New Roman"/>
          <w:b w:val="0"/>
          <w:bCs/>
          <w:i/>
          <w:iCs/>
          <w:color w:val="auto"/>
          <w:sz w:val="24"/>
          <w:szCs w:val="24"/>
          <w:lang w:val="fr-FR"/>
        </w:rPr>
        <w:t xml:space="preserve">Paragraphe </w:t>
      </w:r>
      <w:r w:rsidR="00131281" w:rsidRPr="00ED789C">
        <w:rPr>
          <w:rFonts w:ascii="Times New Roman" w:hAnsi="Times New Roman"/>
          <w:b w:val="0"/>
          <w:bCs/>
          <w:i/>
          <w:iCs/>
          <w:color w:val="auto"/>
          <w:sz w:val="24"/>
          <w:szCs w:val="24"/>
          <w:lang w:val="fr-FR"/>
        </w:rPr>
        <w:t xml:space="preserve">2. </w:t>
      </w:r>
      <w:r w:rsidR="008548DE" w:rsidRPr="00ED789C">
        <w:rPr>
          <w:rFonts w:ascii="Times New Roman" w:hAnsi="Times New Roman"/>
          <w:b w:val="0"/>
          <w:bCs/>
          <w:i/>
          <w:iCs/>
          <w:color w:val="auto"/>
          <w:sz w:val="24"/>
          <w:szCs w:val="24"/>
          <w:lang w:val="fr-FR"/>
        </w:rPr>
        <w:t xml:space="preserve">Implication du droit </w:t>
      </w:r>
      <w:r w:rsidR="003439C0" w:rsidRPr="00ED789C">
        <w:rPr>
          <w:rFonts w:ascii="Times New Roman" w:hAnsi="Times New Roman"/>
          <w:b w:val="0"/>
          <w:bCs/>
          <w:i/>
          <w:iCs/>
          <w:color w:val="auto"/>
          <w:sz w:val="24"/>
          <w:szCs w:val="24"/>
          <w:lang w:val="fr-FR"/>
        </w:rPr>
        <w:t>d’être informé dans le plus court délai</w:t>
      </w:r>
      <w:r w:rsidR="00131281" w:rsidRPr="00ED789C">
        <w:rPr>
          <w:rFonts w:ascii="Times New Roman" w:hAnsi="Times New Roman"/>
          <w:b w:val="0"/>
          <w:bCs/>
          <w:i/>
          <w:iCs/>
          <w:color w:val="auto"/>
          <w:sz w:val="24"/>
          <w:szCs w:val="24"/>
          <w:lang w:val="fr-FR"/>
        </w:rPr>
        <w:t xml:space="preserve"> sur le délai raisonnable du procès</w:t>
      </w:r>
      <w:bookmarkEnd w:id="20"/>
    </w:p>
    <w:bookmarkEnd w:id="21"/>
    <w:p w14:paraId="3309508D" w14:textId="3AFD0918" w:rsidR="00A7156C" w:rsidRPr="00953692" w:rsidRDefault="006F38E2" w:rsidP="00864BBF">
      <w:pPr>
        <w:spacing w:before="240" w:line="276" w:lineRule="auto"/>
        <w:ind w:firstLine="1134"/>
        <w:jc w:val="both"/>
        <w:rPr>
          <w:rFonts w:cs="Times New Roman"/>
          <w:sz w:val="24"/>
          <w:szCs w:val="24"/>
          <w:lang w:val="fr-FR"/>
        </w:rPr>
      </w:pPr>
      <w:r w:rsidRPr="00953692">
        <w:rPr>
          <w:rFonts w:cs="Times New Roman"/>
          <w:b/>
          <w:bCs/>
          <w:sz w:val="24"/>
          <w:szCs w:val="24"/>
          <w:lang w:val="fr-FR"/>
        </w:rPr>
        <w:t>88</w:t>
      </w:r>
      <w:r w:rsidR="00A865C0" w:rsidRPr="00953692">
        <w:rPr>
          <w:rFonts w:cs="Times New Roman"/>
          <w:b/>
          <w:bCs/>
          <w:sz w:val="24"/>
          <w:szCs w:val="24"/>
          <w:lang w:val="fr-FR"/>
        </w:rPr>
        <w:t>.</w:t>
      </w:r>
      <w:r w:rsidR="00A865C0" w:rsidRPr="00953692">
        <w:rPr>
          <w:rFonts w:cs="Times New Roman"/>
          <w:sz w:val="24"/>
          <w:szCs w:val="24"/>
          <w:lang w:val="fr-FR"/>
        </w:rPr>
        <w:t xml:space="preserve"> </w:t>
      </w:r>
      <w:r w:rsidR="00B420BF" w:rsidRPr="00953692">
        <w:rPr>
          <w:rFonts w:cs="Times New Roman"/>
          <w:sz w:val="24"/>
          <w:szCs w:val="24"/>
          <w:lang w:val="fr-FR"/>
        </w:rPr>
        <w:t xml:space="preserve">Comme </w:t>
      </w:r>
      <w:r w:rsidR="00922A41" w:rsidRPr="00953692">
        <w:rPr>
          <w:rFonts w:cs="Times New Roman"/>
          <w:sz w:val="24"/>
          <w:szCs w:val="24"/>
          <w:lang w:val="fr-FR"/>
        </w:rPr>
        <w:t>nous</w:t>
      </w:r>
      <w:r w:rsidR="00B420BF" w:rsidRPr="00953692">
        <w:rPr>
          <w:rFonts w:cs="Times New Roman"/>
          <w:sz w:val="24"/>
          <w:szCs w:val="24"/>
          <w:lang w:val="fr-FR"/>
        </w:rPr>
        <w:t xml:space="preserve"> l’aur</w:t>
      </w:r>
      <w:r w:rsidR="00922A41" w:rsidRPr="00953692">
        <w:rPr>
          <w:rFonts w:cs="Times New Roman"/>
          <w:sz w:val="24"/>
          <w:szCs w:val="24"/>
          <w:lang w:val="fr-FR"/>
        </w:rPr>
        <w:t>ons</w:t>
      </w:r>
      <w:r w:rsidR="00B420BF" w:rsidRPr="00953692">
        <w:rPr>
          <w:rFonts w:cs="Times New Roman"/>
          <w:sz w:val="24"/>
          <w:szCs w:val="24"/>
          <w:lang w:val="fr-FR"/>
        </w:rPr>
        <w:t xml:space="preserve"> remarqué, le droit à l’information conserve tout son sens dès le moment où il demeure</w:t>
      </w:r>
      <w:r w:rsidR="0015505C" w:rsidRPr="00953692">
        <w:rPr>
          <w:rFonts w:cs="Times New Roman"/>
          <w:sz w:val="24"/>
          <w:szCs w:val="24"/>
          <w:lang w:val="fr-FR"/>
        </w:rPr>
        <w:t>, quelle que soit sa progressivité,</w:t>
      </w:r>
      <w:r w:rsidR="00B420BF" w:rsidRPr="00953692">
        <w:rPr>
          <w:rFonts w:cs="Times New Roman"/>
          <w:sz w:val="24"/>
          <w:szCs w:val="24"/>
          <w:lang w:val="fr-FR"/>
        </w:rPr>
        <w:t xml:space="preserve"> dans une temporalité plus ou moins courte de l’activité judiciaire. Il s’agit d’une condition préalable à l’avancement du proc</w:t>
      </w:r>
      <w:r w:rsidRPr="00953692">
        <w:rPr>
          <w:rFonts w:cs="Times New Roman"/>
          <w:sz w:val="24"/>
          <w:szCs w:val="24"/>
          <w:lang w:val="fr-FR"/>
        </w:rPr>
        <w:t>ès</w:t>
      </w:r>
      <w:r w:rsidR="00240B47" w:rsidRPr="00953692">
        <w:rPr>
          <w:rFonts w:cs="Times New Roman"/>
          <w:sz w:val="24"/>
          <w:szCs w:val="24"/>
          <w:lang w:val="fr-FR"/>
        </w:rPr>
        <w:t>, d’où son caractère introductif d’instance</w:t>
      </w:r>
      <w:r w:rsidR="00B420BF" w:rsidRPr="00953692">
        <w:rPr>
          <w:rFonts w:cs="Times New Roman"/>
          <w:sz w:val="24"/>
          <w:szCs w:val="24"/>
          <w:lang w:val="fr-FR"/>
        </w:rPr>
        <w:t xml:space="preserve">. </w:t>
      </w:r>
      <w:r w:rsidR="00240B47" w:rsidRPr="00953692">
        <w:rPr>
          <w:rFonts w:cs="Times New Roman"/>
          <w:sz w:val="24"/>
          <w:szCs w:val="24"/>
          <w:lang w:val="fr-FR"/>
        </w:rPr>
        <w:t>Son</w:t>
      </w:r>
      <w:r w:rsidR="00B420BF" w:rsidRPr="00953692">
        <w:rPr>
          <w:rFonts w:cs="Times New Roman"/>
          <w:sz w:val="24"/>
          <w:szCs w:val="24"/>
          <w:lang w:val="fr-FR"/>
        </w:rPr>
        <w:t xml:space="preserve"> influence sur le délai raisonnable est</w:t>
      </w:r>
      <w:r w:rsidR="00240B47" w:rsidRPr="00953692">
        <w:rPr>
          <w:rFonts w:cs="Times New Roman"/>
          <w:sz w:val="24"/>
          <w:szCs w:val="24"/>
          <w:lang w:val="fr-FR"/>
        </w:rPr>
        <w:t>, à vue d’œil</w:t>
      </w:r>
      <w:r w:rsidRPr="00953692">
        <w:rPr>
          <w:rFonts w:cs="Times New Roman"/>
          <w:sz w:val="24"/>
          <w:szCs w:val="24"/>
          <w:lang w:val="fr-FR"/>
        </w:rPr>
        <w:t>,</w:t>
      </w:r>
      <w:r w:rsidR="00240B47" w:rsidRPr="00953692">
        <w:rPr>
          <w:rFonts w:cs="Times New Roman"/>
          <w:sz w:val="24"/>
          <w:szCs w:val="24"/>
          <w:lang w:val="fr-FR"/>
        </w:rPr>
        <w:t xml:space="preserve"> </w:t>
      </w:r>
      <w:r w:rsidR="00B420BF" w:rsidRPr="00953692">
        <w:rPr>
          <w:rFonts w:cs="Times New Roman"/>
          <w:sz w:val="24"/>
          <w:szCs w:val="24"/>
          <w:lang w:val="fr-FR"/>
        </w:rPr>
        <w:t>remarquable</w:t>
      </w:r>
      <w:r w:rsidR="00922A41" w:rsidRPr="00953692">
        <w:rPr>
          <w:rFonts w:cs="Times New Roman"/>
          <w:sz w:val="24"/>
          <w:szCs w:val="24"/>
          <w:lang w:val="fr-FR"/>
        </w:rPr>
        <w:t>. Sa réalisation</w:t>
      </w:r>
      <w:r w:rsidR="00B420BF" w:rsidRPr="00953692">
        <w:rPr>
          <w:rFonts w:cs="Times New Roman"/>
          <w:sz w:val="24"/>
          <w:szCs w:val="24"/>
          <w:lang w:val="fr-FR"/>
        </w:rPr>
        <w:t xml:space="preserve"> constitue un </w:t>
      </w:r>
      <w:r w:rsidR="00922A41" w:rsidRPr="00953692">
        <w:rPr>
          <w:rFonts w:cs="Times New Roman"/>
          <w:sz w:val="24"/>
          <w:szCs w:val="24"/>
          <w:lang w:val="fr-FR"/>
        </w:rPr>
        <w:t xml:space="preserve">véritable </w:t>
      </w:r>
      <w:r w:rsidR="00B420BF" w:rsidRPr="00953692">
        <w:rPr>
          <w:rFonts w:cs="Times New Roman"/>
          <w:sz w:val="24"/>
          <w:szCs w:val="24"/>
          <w:lang w:val="fr-FR"/>
        </w:rPr>
        <w:t>indicateur de la rapidité</w:t>
      </w:r>
      <w:r w:rsidR="00DC2A13" w:rsidRPr="00953692">
        <w:rPr>
          <w:rFonts w:cs="Times New Roman"/>
          <w:sz w:val="24"/>
          <w:szCs w:val="24"/>
          <w:lang w:val="fr-FR"/>
        </w:rPr>
        <w:t xml:space="preserve"> d</w:t>
      </w:r>
      <w:r w:rsidRPr="00953692">
        <w:rPr>
          <w:rFonts w:cs="Times New Roman"/>
          <w:sz w:val="24"/>
          <w:szCs w:val="24"/>
          <w:lang w:val="fr-FR"/>
        </w:rPr>
        <w:t>u procès</w:t>
      </w:r>
      <w:r w:rsidR="00B420BF" w:rsidRPr="00953692">
        <w:rPr>
          <w:rFonts w:cs="Times New Roman"/>
          <w:sz w:val="24"/>
          <w:szCs w:val="24"/>
          <w:lang w:val="fr-FR"/>
        </w:rPr>
        <w:t>,</w:t>
      </w:r>
      <w:r w:rsidR="00922A41" w:rsidRPr="00953692">
        <w:rPr>
          <w:rFonts w:cs="Times New Roman"/>
          <w:sz w:val="24"/>
          <w:szCs w:val="24"/>
          <w:lang w:val="fr-FR"/>
        </w:rPr>
        <w:t xml:space="preserve"> </w:t>
      </w:r>
      <w:r w:rsidR="007158B9" w:rsidRPr="00953692">
        <w:rPr>
          <w:rFonts w:cs="Times New Roman"/>
          <w:sz w:val="24"/>
          <w:szCs w:val="24"/>
          <w:lang w:val="fr-FR"/>
        </w:rPr>
        <w:t xml:space="preserve">car </w:t>
      </w:r>
      <w:r w:rsidR="00922A41" w:rsidRPr="00953692">
        <w:rPr>
          <w:rFonts w:cs="Times New Roman"/>
          <w:sz w:val="24"/>
          <w:szCs w:val="24"/>
          <w:lang w:val="fr-FR"/>
        </w:rPr>
        <w:t xml:space="preserve">plus </w:t>
      </w:r>
      <w:r w:rsidRPr="00953692">
        <w:rPr>
          <w:rFonts w:cs="Times New Roman"/>
          <w:sz w:val="24"/>
          <w:szCs w:val="24"/>
          <w:lang w:val="fr-FR"/>
        </w:rPr>
        <w:t xml:space="preserve">rapidement est informé </w:t>
      </w:r>
      <w:r w:rsidR="00922A41" w:rsidRPr="00953692">
        <w:rPr>
          <w:rFonts w:cs="Times New Roman"/>
          <w:sz w:val="24"/>
          <w:szCs w:val="24"/>
          <w:lang w:val="fr-FR"/>
        </w:rPr>
        <w:t>l’accusé, moins il sentirait l</w:t>
      </w:r>
      <w:r w:rsidR="00441AA9" w:rsidRPr="00953692">
        <w:rPr>
          <w:rFonts w:cs="Times New Roman"/>
          <w:sz w:val="24"/>
          <w:szCs w:val="24"/>
          <w:lang w:val="fr-FR"/>
        </w:rPr>
        <w:t>’</w:t>
      </w:r>
      <w:r w:rsidR="00C45144" w:rsidRPr="00953692">
        <w:rPr>
          <w:rFonts w:cs="Times New Roman"/>
          <w:sz w:val="24"/>
          <w:szCs w:val="24"/>
          <w:lang w:val="fr-FR"/>
        </w:rPr>
        <w:t>i</w:t>
      </w:r>
      <w:r w:rsidR="00441AA9" w:rsidRPr="00953692">
        <w:rPr>
          <w:rFonts w:cs="Times New Roman"/>
          <w:sz w:val="24"/>
          <w:szCs w:val="24"/>
          <w:lang w:val="fr-FR"/>
        </w:rPr>
        <w:t>mpression</w:t>
      </w:r>
      <w:r w:rsidR="00922A41" w:rsidRPr="00953692">
        <w:rPr>
          <w:rFonts w:cs="Times New Roman"/>
          <w:sz w:val="24"/>
          <w:szCs w:val="24"/>
          <w:lang w:val="fr-FR"/>
        </w:rPr>
        <w:t xml:space="preserve"> d’une justice lente</w:t>
      </w:r>
      <w:r w:rsidR="00EA11D9" w:rsidRPr="00953692">
        <w:rPr>
          <w:rFonts w:cs="Times New Roman"/>
          <w:sz w:val="24"/>
          <w:szCs w:val="24"/>
          <w:lang w:val="fr-FR"/>
        </w:rPr>
        <w:t xml:space="preserve"> (A)</w:t>
      </w:r>
      <w:r w:rsidR="00922A41" w:rsidRPr="00953692">
        <w:rPr>
          <w:rFonts w:cs="Times New Roman"/>
          <w:sz w:val="24"/>
          <w:szCs w:val="24"/>
          <w:lang w:val="fr-FR"/>
        </w:rPr>
        <w:t xml:space="preserve">. Dans ce paragraphe, nous verrons </w:t>
      </w:r>
      <w:r w:rsidR="009A1220" w:rsidRPr="00953692">
        <w:rPr>
          <w:rFonts w:cs="Times New Roman"/>
          <w:sz w:val="24"/>
          <w:szCs w:val="24"/>
          <w:lang w:val="fr-FR"/>
        </w:rPr>
        <w:t xml:space="preserve">par ailleurs </w:t>
      </w:r>
      <w:r w:rsidR="00922A41" w:rsidRPr="00953692">
        <w:rPr>
          <w:rFonts w:cs="Times New Roman"/>
          <w:sz w:val="24"/>
          <w:szCs w:val="24"/>
          <w:lang w:val="fr-FR"/>
        </w:rPr>
        <w:t>que, dans beaucoup des cas, les accusés se plaignent du fait de n'avoir pas été informé dans le plus court délai, et n’hésitent pas</w:t>
      </w:r>
      <w:r w:rsidR="00C45144" w:rsidRPr="00953692">
        <w:rPr>
          <w:rFonts w:cs="Times New Roman"/>
          <w:sz w:val="24"/>
          <w:szCs w:val="24"/>
          <w:lang w:val="fr-FR"/>
        </w:rPr>
        <w:t xml:space="preserve"> </w:t>
      </w:r>
      <w:r w:rsidR="00922A41" w:rsidRPr="00953692">
        <w:rPr>
          <w:rFonts w:cs="Times New Roman"/>
          <w:sz w:val="24"/>
          <w:szCs w:val="24"/>
          <w:lang w:val="fr-FR"/>
        </w:rPr>
        <w:t xml:space="preserve">possiblement </w:t>
      </w:r>
      <w:r w:rsidR="00EA11D9" w:rsidRPr="00953692">
        <w:rPr>
          <w:rFonts w:cs="Times New Roman"/>
          <w:sz w:val="24"/>
          <w:szCs w:val="24"/>
          <w:lang w:val="fr-FR"/>
        </w:rPr>
        <w:t xml:space="preserve">à </w:t>
      </w:r>
      <w:r w:rsidR="00922A41" w:rsidRPr="00953692">
        <w:rPr>
          <w:rFonts w:cs="Times New Roman"/>
          <w:sz w:val="24"/>
          <w:szCs w:val="24"/>
          <w:lang w:val="fr-FR"/>
        </w:rPr>
        <w:t>associer ce</w:t>
      </w:r>
      <w:r w:rsidR="00C45144" w:rsidRPr="00953692">
        <w:rPr>
          <w:rFonts w:cs="Times New Roman"/>
          <w:sz w:val="24"/>
          <w:szCs w:val="24"/>
          <w:lang w:val="fr-FR"/>
        </w:rPr>
        <w:t>s</w:t>
      </w:r>
      <w:r w:rsidR="00922A41" w:rsidRPr="00953692">
        <w:rPr>
          <w:rFonts w:cs="Times New Roman"/>
          <w:sz w:val="24"/>
          <w:szCs w:val="24"/>
          <w:lang w:val="fr-FR"/>
        </w:rPr>
        <w:t xml:space="preserve"> retard</w:t>
      </w:r>
      <w:r w:rsidR="00C45144" w:rsidRPr="00953692">
        <w:rPr>
          <w:rFonts w:cs="Times New Roman"/>
          <w:sz w:val="24"/>
          <w:szCs w:val="24"/>
          <w:lang w:val="fr-FR"/>
        </w:rPr>
        <w:t>s</w:t>
      </w:r>
      <w:r w:rsidR="00922A41" w:rsidRPr="00953692">
        <w:rPr>
          <w:rFonts w:cs="Times New Roman"/>
          <w:sz w:val="24"/>
          <w:szCs w:val="24"/>
          <w:lang w:val="fr-FR"/>
        </w:rPr>
        <w:t xml:space="preserve"> accumulé</w:t>
      </w:r>
      <w:r w:rsidR="00C45144" w:rsidRPr="00953692">
        <w:rPr>
          <w:rFonts w:cs="Times New Roman"/>
          <w:sz w:val="24"/>
          <w:szCs w:val="24"/>
          <w:lang w:val="fr-FR"/>
        </w:rPr>
        <w:t>s</w:t>
      </w:r>
      <w:r w:rsidR="00922A41" w:rsidRPr="00953692">
        <w:rPr>
          <w:rFonts w:cs="Times New Roman"/>
          <w:sz w:val="24"/>
          <w:szCs w:val="24"/>
          <w:lang w:val="fr-FR"/>
        </w:rPr>
        <w:t xml:space="preserve"> à leur droit d’être jugé sans retard excessif</w:t>
      </w:r>
      <w:r w:rsidR="00EA11D9" w:rsidRPr="00953692">
        <w:rPr>
          <w:rFonts w:cs="Times New Roman"/>
          <w:sz w:val="24"/>
          <w:szCs w:val="24"/>
          <w:lang w:val="fr-FR"/>
        </w:rPr>
        <w:t xml:space="preserve"> (B)</w:t>
      </w:r>
      <w:r w:rsidR="00922A41" w:rsidRPr="00953692">
        <w:rPr>
          <w:rFonts w:cs="Times New Roman"/>
          <w:sz w:val="24"/>
          <w:szCs w:val="24"/>
          <w:lang w:val="fr-FR"/>
        </w:rPr>
        <w:t>.</w:t>
      </w:r>
    </w:p>
    <w:p w14:paraId="2144AEAA" w14:textId="6DD37FBE" w:rsidR="00CF62C7" w:rsidRPr="00ED789C" w:rsidRDefault="00CB2FD6" w:rsidP="004D61B4">
      <w:pPr>
        <w:pStyle w:val="Paragraphedeliste"/>
        <w:numPr>
          <w:ilvl w:val="0"/>
          <w:numId w:val="12"/>
        </w:numPr>
        <w:spacing w:before="240" w:line="276" w:lineRule="auto"/>
        <w:jc w:val="both"/>
        <w:outlineLvl w:val="2"/>
        <w:rPr>
          <w:rFonts w:cs="Times New Roman"/>
          <w:bCs/>
          <w:i/>
          <w:iCs/>
          <w:sz w:val="24"/>
          <w:szCs w:val="24"/>
          <w:lang w:val="fr-FR"/>
        </w:rPr>
      </w:pPr>
      <w:bookmarkStart w:id="22" w:name="_Toc195179413"/>
      <w:r w:rsidRPr="00ED789C">
        <w:rPr>
          <w:rFonts w:cs="Times New Roman"/>
          <w:bCs/>
          <w:i/>
          <w:iCs/>
          <w:sz w:val="24"/>
          <w:szCs w:val="24"/>
          <w:lang w:val="fr-FR"/>
        </w:rPr>
        <w:t>Implication</w:t>
      </w:r>
      <w:r w:rsidR="00131281" w:rsidRPr="00ED789C">
        <w:rPr>
          <w:rFonts w:cs="Times New Roman"/>
          <w:bCs/>
          <w:i/>
          <w:iCs/>
          <w:sz w:val="24"/>
          <w:szCs w:val="24"/>
          <w:lang w:val="fr-FR"/>
        </w:rPr>
        <w:t xml:space="preserve"> positive</w:t>
      </w:r>
      <w:bookmarkEnd w:id="22"/>
    </w:p>
    <w:p w14:paraId="2975AD6E" w14:textId="5F1CA944" w:rsidR="00414154" w:rsidRPr="00953692" w:rsidRDefault="006F38E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89</w:t>
      </w:r>
      <w:r w:rsidR="00165C36" w:rsidRPr="00953692">
        <w:rPr>
          <w:rFonts w:cs="Times New Roman"/>
          <w:b/>
          <w:bCs/>
          <w:sz w:val="24"/>
          <w:szCs w:val="24"/>
          <w:lang w:val="fr-FR"/>
        </w:rPr>
        <w:t>.</w:t>
      </w:r>
      <w:r w:rsidR="00165C36" w:rsidRPr="00953692">
        <w:rPr>
          <w:rFonts w:cs="Times New Roman"/>
          <w:sz w:val="24"/>
          <w:szCs w:val="24"/>
          <w:lang w:val="fr-FR"/>
        </w:rPr>
        <w:t xml:space="preserve"> </w:t>
      </w:r>
      <w:r w:rsidR="00BA3A7F" w:rsidRPr="00953692">
        <w:rPr>
          <w:rFonts w:cs="Times New Roman"/>
          <w:sz w:val="24"/>
          <w:szCs w:val="24"/>
          <w:lang w:val="fr-FR"/>
        </w:rPr>
        <w:t>Par sa formulation</w:t>
      </w:r>
      <w:r w:rsidR="009B5BC8" w:rsidRPr="00953692">
        <w:rPr>
          <w:rFonts w:cs="Times New Roman"/>
          <w:sz w:val="24"/>
          <w:szCs w:val="24"/>
          <w:lang w:val="fr-FR"/>
        </w:rPr>
        <w:t xml:space="preserve"> en droit international pénal</w:t>
      </w:r>
      <w:r w:rsidR="00BA3A7F" w:rsidRPr="00953692">
        <w:rPr>
          <w:rFonts w:cs="Times New Roman"/>
          <w:sz w:val="24"/>
          <w:szCs w:val="24"/>
          <w:lang w:val="fr-FR"/>
        </w:rPr>
        <w:t>, l</w:t>
      </w:r>
      <w:r w:rsidR="0015505C" w:rsidRPr="00953692">
        <w:rPr>
          <w:rFonts w:cs="Times New Roman"/>
          <w:sz w:val="24"/>
          <w:szCs w:val="24"/>
          <w:lang w:val="fr-FR"/>
        </w:rPr>
        <w:t xml:space="preserve">e droit </w:t>
      </w:r>
      <w:r w:rsidR="00240B47" w:rsidRPr="00953692">
        <w:rPr>
          <w:rFonts w:cs="Times New Roman"/>
          <w:sz w:val="24"/>
          <w:szCs w:val="24"/>
          <w:lang w:val="fr-FR"/>
        </w:rPr>
        <w:t>d’être informé dans le plus court délai</w:t>
      </w:r>
      <w:r w:rsidR="00BA3A7F" w:rsidRPr="00953692">
        <w:rPr>
          <w:rFonts w:cs="Times New Roman"/>
          <w:sz w:val="24"/>
          <w:szCs w:val="24"/>
          <w:lang w:val="fr-FR"/>
        </w:rPr>
        <w:t xml:space="preserve">, </w:t>
      </w:r>
      <w:r w:rsidR="0015505C" w:rsidRPr="00953692">
        <w:rPr>
          <w:rFonts w:cs="Times New Roman"/>
          <w:sz w:val="24"/>
          <w:szCs w:val="24"/>
          <w:lang w:val="fr-FR"/>
        </w:rPr>
        <w:t>sous toutes ses formes</w:t>
      </w:r>
      <w:r w:rsidR="00214CD1" w:rsidRPr="00953692">
        <w:rPr>
          <w:rFonts w:cs="Times New Roman"/>
          <w:sz w:val="24"/>
          <w:szCs w:val="24"/>
          <w:lang w:val="fr-FR"/>
        </w:rPr>
        <w:t xml:space="preserve"> ou dans sa progressivité</w:t>
      </w:r>
      <w:r w:rsidR="00BA3A7F" w:rsidRPr="00953692">
        <w:rPr>
          <w:rFonts w:cs="Times New Roman"/>
          <w:sz w:val="24"/>
          <w:szCs w:val="24"/>
          <w:lang w:val="fr-FR"/>
        </w:rPr>
        <w:t xml:space="preserve">, entretient </w:t>
      </w:r>
      <w:r w:rsidR="00214CD1" w:rsidRPr="00953692">
        <w:rPr>
          <w:rFonts w:cs="Times New Roman"/>
          <w:sz w:val="24"/>
          <w:szCs w:val="24"/>
          <w:lang w:val="fr-FR"/>
        </w:rPr>
        <w:t xml:space="preserve">évidemment </w:t>
      </w:r>
      <w:r w:rsidR="00BA3A7F" w:rsidRPr="00953692">
        <w:rPr>
          <w:rFonts w:cs="Times New Roman"/>
          <w:sz w:val="24"/>
          <w:szCs w:val="24"/>
          <w:lang w:val="fr-FR"/>
        </w:rPr>
        <w:t>des rapports de complémentarité avec le délai raisonnable du procès</w:t>
      </w:r>
      <w:r w:rsidR="00214CD1" w:rsidRPr="00953692">
        <w:rPr>
          <w:rFonts w:cs="Times New Roman"/>
          <w:sz w:val="24"/>
          <w:szCs w:val="24"/>
          <w:lang w:val="fr-FR"/>
        </w:rPr>
        <w:t xml:space="preserve"> pénal</w:t>
      </w:r>
      <w:r w:rsidR="00BA3A7F" w:rsidRPr="00953692">
        <w:rPr>
          <w:rFonts w:cs="Times New Roman"/>
          <w:sz w:val="24"/>
          <w:szCs w:val="24"/>
          <w:lang w:val="fr-FR"/>
        </w:rPr>
        <w:t>. Les expressions telles que ‘</w:t>
      </w:r>
      <w:r w:rsidR="00BA3A7F" w:rsidRPr="00953692">
        <w:rPr>
          <w:rFonts w:cs="Times New Roman"/>
          <w:i/>
          <w:iCs/>
          <w:sz w:val="24"/>
          <w:szCs w:val="24"/>
          <w:lang w:val="fr-FR"/>
        </w:rPr>
        <w:t>’</w:t>
      </w:r>
      <w:r w:rsidR="00214CD1" w:rsidRPr="00953692">
        <w:rPr>
          <w:rFonts w:cs="Times New Roman"/>
          <w:i/>
          <w:iCs/>
          <w:sz w:val="24"/>
          <w:szCs w:val="24"/>
          <w:lang w:val="fr-FR"/>
        </w:rPr>
        <w:t xml:space="preserve">(informations) </w:t>
      </w:r>
      <w:r w:rsidR="00BA3A7F" w:rsidRPr="00953692">
        <w:rPr>
          <w:rFonts w:cs="Times New Roman"/>
          <w:i/>
          <w:iCs/>
          <w:sz w:val="24"/>
          <w:szCs w:val="24"/>
          <w:lang w:val="fr-FR"/>
        </w:rPr>
        <w:t>dans le plus bref délai, dans le plus court délai, sans délai, rapidement ou dans un délai raisonnable’’</w:t>
      </w:r>
      <w:r w:rsidR="00BA3A7F" w:rsidRPr="00953692">
        <w:rPr>
          <w:rFonts w:cs="Times New Roman"/>
          <w:sz w:val="24"/>
          <w:szCs w:val="24"/>
          <w:lang w:val="fr-FR"/>
        </w:rPr>
        <w:t>,</w:t>
      </w:r>
      <w:r w:rsidR="009B5BC8" w:rsidRPr="00953692">
        <w:rPr>
          <w:rFonts w:cs="Times New Roman"/>
          <w:sz w:val="24"/>
          <w:szCs w:val="24"/>
          <w:lang w:val="fr-FR"/>
        </w:rPr>
        <w:t xml:space="preserve"> consacrés</w:t>
      </w:r>
      <w:r w:rsidR="00BA3A7F" w:rsidRPr="00953692">
        <w:rPr>
          <w:rFonts w:cs="Times New Roman"/>
          <w:sz w:val="24"/>
          <w:szCs w:val="24"/>
          <w:lang w:val="fr-FR"/>
        </w:rPr>
        <w:t xml:space="preserve"> dans </w:t>
      </w:r>
      <w:r w:rsidR="00A865C0" w:rsidRPr="00953692">
        <w:rPr>
          <w:rFonts w:cs="Times New Roman"/>
          <w:sz w:val="24"/>
          <w:szCs w:val="24"/>
          <w:lang w:val="fr-FR"/>
        </w:rPr>
        <w:t>différents textes</w:t>
      </w:r>
      <w:r w:rsidR="009B5BC8" w:rsidRPr="00953692">
        <w:rPr>
          <w:rFonts w:cs="Times New Roman"/>
          <w:sz w:val="24"/>
          <w:szCs w:val="24"/>
          <w:lang w:val="fr-FR"/>
        </w:rPr>
        <w:t xml:space="preserve"> juridiques</w:t>
      </w:r>
      <w:r w:rsidR="00C34AF0" w:rsidRPr="00953692">
        <w:rPr>
          <w:rFonts w:cs="Times New Roman"/>
          <w:sz w:val="24"/>
          <w:szCs w:val="24"/>
          <w:lang w:val="fr-FR"/>
        </w:rPr>
        <w:t xml:space="preserve"> internationaux</w:t>
      </w:r>
      <w:r w:rsidR="00A865C0" w:rsidRPr="00953692">
        <w:rPr>
          <w:rFonts w:cs="Times New Roman"/>
          <w:sz w:val="24"/>
          <w:szCs w:val="24"/>
          <w:lang w:val="fr-FR"/>
        </w:rPr>
        <w:t xml:space="preserve"> précités,</w:t>
      </w:r>
      <w:r w:rsidR="00BA3A7F" w:rsidRPr="00953692">
        <w:rPr>
          <w:rFonts w:cs="Times New Roman"/>
          <w:sz w:val="24"/>
          <w:szCs w:val="24"/>
          <w:lang w:val="fr-FR"/>
        </w:rPr>
        <w:t xml:space="preserve"> illustrent parfaitement</w:t>
      </w:r>
      <w:r w:rsidR="00006FB6" w:rsidRPr="00953692">
        <w:rPr>
          <w:rFonts w:cs="Times New Roman"/>
          <w:sz w:val="24"/>
          <w:szCs w:val="24"/>
          <w:lang w:val="fr-FR"/>
        </w:rPr>
        <w:t xml:space="preserve"> dès le début</w:t>
      </w:r>
      <w:r w:rsidR="00BA3A7F" w:rsidRPr="00953692">
        <w:rPr>
          <w:rFonts w:cs="Times New Roman"/>
          <w:sz w:val="24"/>
          <w:szCs w:val="24"/>
          <w:lang w:val="fr-FR"/>
        </w:rPr>
        <w:t xml:space="preserve"> ce souci d’organiser un procès dans un délai raisonnable</w:t>
      </w:r>
      <w:r w:rsidR="00A865C0" w:rsidRPr="00953692">
        <w:rPr>
          <w:rFonts w:cs="Times New Roman"/>
          <w:sz w:val="24"/>
          <w:szCs w:val="24"/>
          <w:lang w:val="fr-FR"/>
        </w:rPr>
        <w:t xml:space="preserve"> ou rapide</w:t>
      </w:r>
      <w:r w:rsidR="00BA3A7F" w:rsidRPr="00953692">
        <w:rPr>
          <w:rFonts w:cs="Times New Roman"/>
          <w:sz w:val="24"/>
          <w:szCs w:val="24"/>
          <w:lang w:val="fr-FR"/>
        </w:rPr>
        <w:t xml:space="preserve">. </w:t>
      </w:r>
    </w:p>
    <w:p w14:paraId="2D21FB23" w14:textId="578E489D" w:rsidR="009B5BC8" w:rsidRPr="00953692" w:rsidRDefault="006F38E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90</w:t>
      </w:r>
      <w:r w:rsidRPr="00953692">
        <w:rPr>
          <w:rFonts w:cs="Times New Roman"/>
          <w:sz w:val="24"/>
          <w:szCs w:val="24"/>
          <w:lang w:val="fr-FR"/>
        </w:rPr>
        <w:t xml:space="preserve">. </w:t>
      </w:r>
      <w:r w:rsidR="007579B2" w:rsidRPr="00953692">
        <w:rPr>
          <w:rFonts w:cs="Times New Roman"/>
          <w:sz w:val="24"/>
          <w:szCs w:val="24"/>
          <w:lang w:val="fr-FR"/>
        </w:rPr>
        <w:t>Le premier rapport insoupçonnable</w:t>
      </w:r>
      <w:r w:rsidR="00C34AF0" w:rsidRPr="00953692">
        <w:rPr>
          <w:rFonts w:cs="Times New Roman"/>
          <w:sz w:val="24"/>
          <w:szCs w:val="24"/>
          <w:lang w:val="fr-FR"/>
        </w:rPr>
        <w:t xml:space="preserve"> qui s’établit</w:t>
      </w:r>
      <w:r w:rsidR="007579B2" w:rsidRPr="00953692">
        <w:rPr>
          <w:rFonts w:cs="Times New Roman"/>
          <w:sz w:val="24"/>
          <w:szCs w:val="24"/>
          <w:lang w:val="fr-FR"/>
        </w:rPr>
        <w:t xml:space="preserve">, c’est la présence d’un individu mis en cause. </w:t>
      </w:r>
      <w:r w:rsidR="001369A7" w:rsidRPr="00953692">
        <w:rPr>
          <w:rFonts w:cs="Times New Roman"/>
          <w:sz w:val="24"/>
          <w:szCs w:val="24"/>
          <w:lang w:val="fr-FR"/>
        </w:rPr>
        <w:t>En effet, aussi longtemps que la justice n’implique</w:t>
      </w:r>
      <w:r w:rsidR="00A865C0" w:rsidRPr="00953692">
        <w:rPr>
          <w:rFonts w:cs="Times New Roman"/>
          <w:sz w:val="24"/>
          <w:szCs w:val="24"/>
          <w:lang w:val="fr-FR"/>
        </w:rPr>
        <w:t>ra</w:t>
      </w:r>
      <w:r w:rsidR="001369A7" w:rsidRPr="00953692">
        <w:rPr>
          <w:rFonts w:cs="Times New Roman"/>
          <w:sz w:val="24"/>
          <w:szCs w:val="24"/>
          <w:lang w:val="fr-FR"/>
        </w:rPr>
        <w:t xml:space="preserve"> pas un </w:t>
      </w:r>
      <w:r w:rsidR="001369A7" w:rsidRPr="00953692">
        <w:rPr>
          <w:rFonts w:cs="Times New Roman"/>
          <w:sz w:val="24"/>
          <w:szCs w:val="24"/>
          <w:lang w:val="fr-FR"/>
        </w:rPr>
        <w:lastRenderedPageBreak/>
        <w:t>individu</w:t>
      </w:r>
      <w:r w:rsidR="00A865C0" w:rsidRPr="00953692">
        <w:rPr>
          <w:rFonts w:cs="Times New Roman"/>
          <w:sz w:val="24"/>
          <w:szCs w:val="24"/>
          <w:lang w:val="fr-FR"/>
        </w:rPr>
        <w:t xml:space="preserve"> bien identifié</w:t>
      </w:r>
      <w:r w:rsidR="001369A7" w:rsidRPr="00953692">
        <w:rPr>
          <w:rFonts w:cs="Times New Roman"/>
          <w:sz w:val="24"/>
          <w:szCs w:val="24"/>
          <w:lang w:val="fr-FR"/>
        </w:rPr>
        <w:t xml:space="preserve"> dans sa démarche, le droit </w:t>
      </w:r>
      <w:r w:rsidR="009B5BC8" w:rsidRPr="00953692">
        <w:rPr>
          <w:rFonts w:cs="Times New Roman"/>
          <w:sz w:val="24"/>
          <w:szCs w:val="24"/>
          <w:lang w:val="fr-FR"/>
        </w:rPr>
        <w:t>d’être informé dans le plus court délai</w:t>
      </w:r>
      <w:r w:rsidR="001369A7" w:rsidRPr="00953692">
        <w:rPr>
          <w:rFonts w:cs="Times New Roman"/>
          <w:sz w:val="24"/>
          <w:szCs w:val="24"/>
          <w:lang w:val="fr-FR"/>
        </w:rPr>
        <w:t xml:space="preserve"> n’existe pas. Il en est de même avec le délai raisonnable du procès</w:t>
      </w:r>
      <w:r w:rsidR="00A865C0" w:rsidRPr="00953692">
        <w:rPr>
          <w:rFonts w:cs="Times New Roman"/>
          <w:sz w:val="24"/>
          <w:szCs w:val="24"/>
          <w:lang w:val="fr-FR"/>
        </w:rPr>
        <w:t xml:space="preserve"> pénal international</w:t>
      </w:r>
      <w:r w:rsidR="001369A7" w:rsidRPr="00953692">
        <w:rPr>
          <w:rFonts w:cs="Times New Roman"/>
          <w:sz w:val="24"/>
          <w:szCs w:val="24"/>
          <w:lang w:val="fr-FR"/>
        </w:rPr>
        <w:t xml:space="preserve">, qui n’est possible que si la justice décide finalement de poursuivre un individu nommément identifié. </w:t>
      </w:r>
      <w:r w:rsidR="0011540B" w:rsidRPr="00953692">
        <w:rPr>
          <w:rFonts w:cs="Times New Roman"/>
          <w:sz w:val="24"/>
          <w:szCs w:val="24"/>
          <w:lang w:val="fr-FR"/>
        </w:rPr>
        <w:t xml:space="preserve">On en vient à la conclusion selon laquelle, ces deux prérogatives à caractère impératif </w:t>
      </w:r>
      <w:r w:rsidR="00CF62C7" w:rsidRPr="00953692">
        <w:rPr>
          <w:rFonts w:cs="Times New Roman"/>
          <w:sz w:val="24"/>
          <w:szCs w:val="24"/>
          <w:lang w:val="fr-FR"/>
        </w:rPr>
        <w:t xml:space="preserve">visent </w:t>
      </w:r>
      <w:r w:rsidR="0011540B" w:rsidRPr="00953692">
        <w:rPr>
          <w:rFonts w:cs="Times New Roman"/>
          <w:sz w:val="24"/>
          <w:szCs w:val="24"/>
          <w:lang w:val="fr-FR"/>
        </w:rPr>
        <w:t>à protéger</w:t>
      </w:r>
      <w:r w:rsidR="00A865C0" w:rsidRPr="00953692">
        <w:rPr>
          <w:rFonts w:cs="Times New Roman"/>
          <w:sz w:val="24"/>
          <w:szCs w:val="24"/>
          <w:lang w:val="fr-FR"/>
        </w:rPr>
        <w:t xml:space="preserve"> uniquement l’individu mis en cause</w:t>
      </w:r>
      <w:r w:rsidR="0011540B" w:rsidRPr="00953692">
        <w:rPr>
          <w:rFonts w:cs="Times New Roman"/>
          <w:sz w:val="24"/>
          <w:szCs w:val="24"/>
          <w:lang w:val="fr-FR"/>
        </w:rPr>
        <w:t xml:space="preserve"> contre les lenteurs judiciaires.</w:t>
      </w:r>
      <w:r w:rsidR="009B5BC8" w:rsidRPr="00953692">
        <w:rPr>
          <w:rFonts w:cs="Times New Roman"/>
          <w:sz w:val="24"/>
          <w:szCs w:val="24"/>
          <w:lang w:val="fr-FR"/>
        </w:rPr>
        <w:t xml:space="preserve"> Dans ce sens, on peut donc relever une forme de complémentarité substantielle entre les deux prérogatives de l’accusé</w:t>
      </w:r>
      <w:r w:rsidR="006E15DF" w:rsidRPr="00953692">
        <w:rPr>
          <w:rFonts w:cs="Times New Roman"/>
          <w:sz w:val="24"/>
          <w:szCs w:val="24"/>
          <w:lang w:val="fr-FR"/>
        </w:rPr>
        <w:t xml:space="preserve"> qui misent toutes sur la temporalité de leur réalisation respective</w:t>
      </w:r>
      <w:r w:rsidR="009B5BC8" w:rsidRPr="00953692">
        <w:rPr>
          <w:rFonts w:cs="Times New Roman"/>
          <w:sz w:val="24"/>
          <w:szCs w:val="24"/>
          <w:lang w:val="fr-FR"/>
        </w:rPr>
        <w:t>.</w:t>
      </w:r>
    </w:p>
    <w:p w14:paraId="406AB369" w14:textId="0F5AA5F9" w:rsidR="00414154" w:rsidRPr="00953692" w:rsidRDefault="006F38E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91</w:t>
      </w:r>
      <w:r w:rsidR="00A81D35" w:rsidRPr="00953692">
        <w:rPr>
          <w:rFonts w:cs="Times New Roman"/>
          <w:b/>
          <w:bCs/>
          <w:sz w:val="24"/>
          <w:szCs w:val="24"/>
          <w:lang w:val="fr-FR"/>
        </w:rPr>
        <w:t>.</w:t>
      </w:r>
      <w:r w:rsidR="00A81D35" w:rsidRPr="00953692">
        <w:rPr>
          <w:rFonts w:cs="Times New Roman"/>
          <w:sz w:val="24"/>
          <w:szCs w:val="24"/>
          <w:lang w:val="fr-FR"/>
        </w:rPr>
        <w:t xml:space="preserve"> </w:t>
      </w:r>
      <w:r w:rsidR="00CF62C7" w:rsidRPr="00953692">
        <w:rPr>
          <w:rFonts w:cs="Times New Roman"/>
          <w:sz w:val="24"/>
          <w:szCs w:val="24"/>
          <w:lang w:val="fr-FR"/>
        </w:rPr>
        <w:t>En parallèle, dans l’affaire Barayagwiza, la Chambre d’appel du TPIR</w:t>
      </w:r>
      <w:r w:rsidR="009B5BC8" w:rsidRPr="00953692">
        <w:rPr>
          <w:rFonts w:cs="Times New Roman"/>
          <w:sz w:val="24"/>
          <w:szCs w:val="24"/>
          <w:lang w:val="fr-FR"/>
        </w:rPr>
        <w:t>,</w:t>
      </w:r>
      <w:r w:rsidR="00CF62C7" w:rsidRPr="00953692">
        <w:rPr>
          <w:rFonts w:cs="Times New Roman"/>
          <w:sz w:val="24"/>
          <w:szCs w:val="24"/>
          <w:lang w:val="fr-FR"/>
        </w:rPr>
        <w:t xml:space="preserve"> dans sa décision du 3 novembre 1999</w:t>
      </w:r>
      <w:r w:rsidR="00A81D35" w:rsidRPr="00953692">
        <w:rPr>
          <w:rFonts w:cs="Times New Roman"/>
          <w:sz w:val="24"/>
          <w:szCs w:val="24"/>
          <w:lang w:val="fr-FR"/>
        </w:rPr>
        <w:t>,</w:t>
      </w:r>
      <w:r w:rsidR="00CF62C7" w:rsidRPr="00953692">
        <w:rPr>
          <w:rFonts w:cs="Times New Roman"/>
          <w:sz w:val="24"/>
          <w:szCs w:val="24"/>
          <w:lang w:val="fr-FR"/>
        </w:rPr>
        <w:t xml:space="preserve"> a associé</w:t>
      </w:r>
      <w:r w:rsidR="000349F6" w:rsidRPr="00953692">
        <w:rPr>
          <w:rFonts w:cs="Times New Roman"/>
          <w:sz w:val="24"/>
          <w:szCs w:val="24"/>
          <w:lang w:val="fr-FR"/>
        </w:rPr>
        <w:t xml:space="preserve"> clairement</w:t>
      </w:r>
      <w:r w:rsidR="00CF62C7" w:rsidRPr="00953692">
        <w:rPr>
          <w:rFonts w:cs="Times New Roman"/>
          <w:sz w:val="24"/>
          <w:szCs w:val="24"/>
          <w:lang w:val="fr-FR"/>
        </w:rPr>
        <w:t xml:space="preserve"> cette règle à la détention du suspect d’une part, et à sa défense d’autre part</w:t>
      </w:r>
      <w:r w:rsidR="00BE1250" w:rsidRPr="00953692">
        <w:rPr>
          <w:rStyle w:val="Appelnotedebasdep"/>
          <w:rFonts w:cs="Times New Roman"/>
          <w:sz w:val="24"/>
          <w:szCs w:val="24"/>
          <w:lang w:val="fr-FR"/>
        </w:rPr>
        <w:footnoteReference w:customMarkFollows="1" w:id="87"/>
        <w:t>66</w:t>
      </w:r>
      <w:r w:rsidR="00CF62C7" w:rsidRPr="00953692">
        <w:rPr>
          <w:rFonts w:cs="Times New Roman"/>
          <w:sz w:val="24"/>
          <w:szCs w:val="24"/>
          <w:lang w:val="fr-FR"/>
        </w:rPr>
        <w:t xml:space="preserve">. </w:t>
      </w:r>
      <w:r w:rsidR="00060EFE" w:rsidRPr="00953692">
        <w:rPr>
          <w:rFonts w:cs="Times New Roman"/>
          <w:sz w:val="24"/>
          <w:szCs w:val="24"/>
          <w:lang w:val="fr-FR"/>
        </w:rPr>
        <w:t>Dans tous les deux cas</w:t>
      </w:r>
      <w:r w:rsidR="000D7BD3" w:rsidRPr="00953692">
        <w:rPr>
          <w:rFonts w:cs="Times New Roman"/>
          <w:sz w:val="24"/>
          <w:szCs w:val="24"/>
          <w:lang w:val="fr-FR"/>
        </w:rPr>
        <w:t>,</w:t>
      </w:r>
      <w:r w:rsidR="00060EFE" w:rsidRPr="00953692">
        <w:rPr>
          <w:rFonts w:cs="Times New Roman"/>
          <w:sz w:val="24"/>
          <w:szCs w:val="24"/>
          <w:lang w:val="fr-FR"/>
        </w:rPr>
        <w:t xml:space="preserve"> la pertinence d’une telle association est de mise dans la mesure où </w:t>
      </w:r>
      <w:r w:rsidR="00DD6213" w:rsidRPr="00953692">
        <w:rPr>
          <w:rFonts w:cs="Times New Roman"/>
          <w:sz w:val="24"/>
          <w:szCs w:val="24"/>
          <w:lang w:val="fr-FR"/>
        </w:rPr>
        <w:t xml:space="preserve">les informations à fournir à la personne arrêtée et détenue devront </w:t>
      </w:r>
      <w:r w:rsidR="00847DD3" w:rsidRPr="00953692">
        <w:rPr>
          <w:rFonts w:cs="Times New Roman"/>
          <w:sz w:val="24"/>
          <w:szCs w:val="24"/>
          <w:lang w:val="fr-FR"/>
        </w:rPr>
        <w:t xml:space="preserve">lui </w:t>
      </w:r>
      <w:r w:rsidR="00DD6213" w:rsidRPr="00953692">
        <w:rPr>
          <w:rFonts w:cs="Times New Roman"/>
          <w:sz w:val="24"/>
          <w:szCs w:val="24"/>
          <w:lang w:val="fr-FR"/>
        </w:rPr>
        <w:t>servir</w:t>
      </w:r>
      <w:r w:rsidR="00AF5BBB" w:rsidRPr="00953692">
        <w:rPr>
          <w:rFonts w:cs="Times New Roman"/>
          <w:sz w:val="24"/>
          <w:szCs w:val="24"/>
          <w:lang w:val="fr-FR"/>
        </w:rPr>
        <w:t xml:space="preserve"> indispensablement</w:t>
      </w:r>
      <w:r w:rsidR="00D16054" w:rsidRPr="00953692">
        <w:rPr>
          <w:rFonts w:cs="Times New Roman"/>
          <w:sz w:val="24"/>
          <w:szCs w:val="24"/>
          <w:lang w:val="fr-FR"/>
        </w:rPr>
        <w:t xml:space="preserve">, comme l’explique la </w:t>
      </w:r>
      <w:r w:rsidR="005E6BF4" w:rsidRPr="00953692">
        <w:rPr>
          <w:rFonts w:cs="Times New Roman"/>
          <w:sz w:val="24"/>
          <w:szCs w:val="24"/>
          <w:lang w:val="fr-FR"/>
        </w:rPr>
        <w:t>C</w:t>
      </w:r>
      <w:r w:rsidR="00D16054" w:rsidRPr="00953692">
        <w:rPr>
          <w:rFonts w:cs="Times New Roman"/>
          <w:sz w:val="24"/>
          <w:szCs w:val="24"/>
          <w:lang w:val="fr-FR"/>
        </w:rPr>
        <w:t xml:space="preserve">hambre d’appel, </w:t>
      </w:r>
      <w:r w:rsidR="009B5BC8" w:rsidRPr="00953692">
        <w:rPr>
          <w:rFonts w:cs="Times New Roman"/>
          <w:sz w:val="24"/>
          <w:szCs w:val="24"/>
          <w:lang w:val="fr-FR"/>
        </w:rPr>
        <w:t>« </w:t>
      </w:r>
      <w:r w:rsidR="00D16054" w:rsidRPr="00953692">
        <w:rPr>
          <w:rFonts w:cs="Times New Roman"/>
          <w:i/>
          <w:iCs/>
          <w:sz w:val="24"/>
          <w:szCs w:val="24"/>
          <w:lang w:val="fr-FR"/>
        </w:rPr>
        <w:t xml:space="preserve">à contester la décision de placement en détention fondée sur la gravité des charges, mais également </w:t>
      </w:r>
      <w:r w:rsidR="00847DD3" w:rsidRPr="00953692">
        <w:rPr>
          <w:rFonts w:cs="Times New Roman"/>
          <w:i/>
          <w:iCs/>
          <w:sz w:val="24"/>
          <w:szCs w:val="24"/>
          <w:lang w:val="fr-FR"/>
        </w:rPr>
        <w:t>à</w:t>
      </w:r>
      <w:r w:rsidR="00D16054" w:rsidRPr="00953692">
        <w:rPr>
          <w:rFonts w:cs="Times New Roman"/>
          <w:i/>
          <w:iCs/>
          <w:sz w:val="24"/>
          <w:szCs w:val="24"/>
          <w:lang w:val="fr-FR"/>
        </w:rPr>
        <w:t xml:space="preserve"> préparer sa défense</w:t>
      </w:r>
      <w:r w:rsidR="009B5BC8" w:rsidRPr="00953692">
        <w:rPr>
          <w:rFonts w:cs="Times New Roman"/>
          <w:i/>
          <w:iCs/>
          <w:sz w:val="24"/>
          <w:szCs w:val="24"/>
          <w:lang w:val="fr-FR"/>
        </w:rPr>
        <w:t> »</w:t>
      </w:r>
      <w:r w:rsidR="00D16054" w:rsidRPr="00953692">
        <w:rPr>
          <w:rFonts w:cs="Times New Roman"/>
          <w:sz w:val="24"/>
          <w:szCs w:val="24"/>
          <w:lang w:val="fr-FR"/>
        </w:rPr>
        <w:t>.</w:t>
      </w:r>
    </w:p>
    <w:p w14:paraId="559A4A10" w14:textId="2B1D4D68" w:rsidR="00A81D35" w:rsidRPr="00953692" w:rsidRDefault="006F38E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92.</w:t>
      </w:r>
      <w:r w:rsidRPr="00953692">
        <w:rPr>
          <w:rFonts w:cs="Times New Roman"/>
          <w:sz w:val="24"/>
          <w:szCs w:val="24"/>
          <w:lang w:val="fr-FR"/>
        </w:rPr>
        <w:t xml:space="preserve"> </w:t>
      </w:r>
      <w:r w:rsidR="00837991" w:rsidRPr="00953692">
        <w:rPr>
          <w:rFonts w:cs="Times New Roman"/>
          <w:sz w:val="24"/>
          <w:szCs w:val="24"/>
          <w:lang w:val="fr-FR"/>
        </w:rPr>
        <w:t>A partir de ce moment il est possible de constater le début d’une procédure à l’égard de l’accusé dont la suite logique devra être son cheminement</w:t>
      </w:r>
      <w:r w:rsidR="0055697B" w:rsidRPr="00953692">
        <w:rPr>
          <w:rFonts w:cs="Times New Roman"/>
          <w:sz w:val="24"/>
          <w:szCs w:val="24"/>
          <w:lang w:val="fr-FR"/>
        </w:rPr>
        <w:t xml:space="preserve"> rapide</w:t>
      </w:r>
      <w:r w:rsidR="00837991" w:rsidRPr="00953692">
        <w:rPr>
          <w:rFonts w:cs="Times New Roman"/>
          <w:sz w:val="24"/>
          <w:szCs w:val="24"/>
          <w:lang w:val="fr-FR"/>
        </w:rPr>
        <w:t xml:space="preserve"> vers une décision</w:t>
      </w:r>
      <w:r w:rsidRPr="00953692">
        <w:rPr>
          <w:rFonts w:cs="Times New Roman"/>
          <w:sz w:val="24"/>
          <w:szCs w:val="24"/>
          <w:lang w:val="fr-FR"/>
        </w:rPr>
        <w:t xml:space="preserve"> judiciaire</w:t>
      </w:r>
      <w:r w:rsidR="00837991" w:rsidRPr="00953692">
        <w:rPr>
          <w:rFonts w:cs="Times New Roman"/>
          <w:sz w:val="24"/>
          <w:szCs w:val="24"/>
          <w:lang w:val="fr-FR"/>
        </w:rPr>
        <w:t xml:space="preserve"> définitive. En termes simples, pas de procès sans que l’accusé soit </w:t>
      </w:r>
      <w:r w:rsidR="00DD3431" w:rsidRPr="00953692">
        <w:rPr>
          <w:rFonts w:cs="Times New Roman"/>
          <w:sz w:val="24"/>
          <w:szCs w:val="24"/>
          <w:lang w:val="fr-FR"/>
        </w:rPr>
        <w:t>informé dans le plus court délai de la nature des faits lui sont reprochés.</w:t>
      </w:r>
      <w:r w:rsidR="00C34AF0" w:rsidRPr="00953692">
        <w:rPr>
          <w:rFonts w:cs="Times New Roman"/>
          <w:sz w:val="24"/>
          <w:szCs w:val="24"/>
          <w:lang w:val="fr-FR"/>
        </w:rPr>
        <w:t xml:space="preserve"> Cette complémentarité substantielle s’explique davantage dans le fait que l’individu ainsi mise en cause </w:t>
      </w:r>
      <w:r w:rsidR="00C34AF0" w:rsidRPr="00953692">
        <w:rPr>
          <w:rFonts w:cs="Times New Roman"/>
          <w:i/>
          <w:iCs/>
          <w:sz w:val="24"/>
          <w:szCs w:val="24"/>
          <w:lang w:val="fr-FR"/>
        </w:rPr>
        <w:t>devra être rapidement informé afin d’être rapidement jugé</w:t>
      </w:r>
      <w:r w:rsidR="00C34AF0" w:rsidRPr="00953692">
        <w:rPr>
          <w:rFonts w:cs="Times New Roman"/>
          <w:sz w:val="24"/>
          <w:szCs w:val="24"/>
          <w:lang w:val="fr-FR"/>
        </w:rPr>
        <w:t>.</w:t>
      </w:r>
    </w:p>
    <w:p w14:paraId="1B638CEB" w14:textId="798E42BC" w:rsidR="00414154" w:rsidRPr="00953692" w:rsidRDefault="00D77B33"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93</w:t>
      </w:r>
      <w:r w:rsidR="00A81D35" w:rsidRPr="00953692">
        <w:rPr>
          <w:rFonts w:cs="Times New Roman"/>
          <w:b/>
          <w:bCs/>
          <w:sz w:val="24"/>
          <w:szCs w:val="24"/>
          <w:lang w:val="fr-FR"/>
        </w:rPr>
        <w:t>.</w:t>
      </w:r>
      <w:r w:rsidR="00A81D35" w:rsidRPr="00953692">
        <w:rPr>
          <w:rFonts w:cs="Times New Roman"/>
          <w:sz w:val="24"/>
          <w:szCs w:val="24"/>
          <w:lang w:val="fr-FR"/>
        </w:rPr>
        <w:t xml:space="preserve"> </w:t>
      </w:r>
      <w:r w:rsidR="0055697B" w:rsidRPr="00953692">
        <w:rPr>
          <w:rFonts w:cs="Times New Roman"/>
          <w:sz w:val="24"/>
          <w:szCs w:val="24"/>
          <w:lang w:val="fr-FR"/>
        </w:rPr>
        <w:t>C’est ainsi que l</w:t>
      </w:r>
      <w:r w:rsidR="00416C66" w:rsidRPr="00953692">
        <w:rPr>
          <w:rFonts w:cs="Times New Roman"/>
          <w:sz w:val="24"/>
          <w:szCs w:val="24"/>
          <w:lang w:val="fr-FR"/>
        </w:rPr>
        <w:t xml:space="preserve">e </w:t>
      </w:r>
      <w:r w:rsidR="00841301" w:rsidRPr="00953692">
        <w:rPr>
          <w:rFonts w:cs="Times New Roman"/>
          <w:sz w:val="24"/>
          <w:szCs w:val="24"/>
          <w:lang w:val="fr-FR"/>
        </w:rPr>
        <w:t>deuxième</w:t>
      </w:r>
      <w:r w:rsidR="00416C66" w:rsidRPr="00953692">
        <w:rPr>
          <w:rFonts w:cs="Times New Roman"/>
          <w:sz w:val="24"/>
          <w:szCs w:val="24"/>
          <w:lang w:val="fr-FR"/>
        </w:rPr>
        <w:t xml:space="preserve"> rapport visible et direct </w:t>
      </w:r>
      <w:r w:rsidR="0055697B" w:rsidRPr="00953692">
        <w:rPr>
          <w:rFonts w:cs="Times New Roman"/>
          <w:sz w:val="24"/>
          <w:szCs w:val="24"/>
          <w:lang w:val="fr-FR"/>
        </w:rPr>
        <w:t xml:space="preserve">est formel et </w:t>
      </w:r>
      <w:r w:rsidR="00416C66" w:rsidRPr="00953692">
        <w:rPr>
          <w:rFonts w:cs="Times New Roman"/>
          <w:sz w:val="24"/>
          <w:szCs w:val="24"/>
          <w:lang w:val="fr-FR"/>
        </w:rPr>
        <w:t xml:space="preserve">s’établit à partir de la notion du temps. </w:t>
      </w:r>
      <w:r w:rsidR="00D71E7C" w:rsidRPr="00953692">
        <w:rPr>
          <w:rFonts w:cs="Times New Roman"/>
          <w:sz w:val="24"/>
          <w:szCs w:val="24"/>
          <w:lang w:val="fr-FR"/>
        </w:rPr>
        <w:t>La rapidité de l’information renvoie bien l’image d’une procédure qui ne devra pas trop durée à son</w:t>
      </w:r>
      <w:r w:rsidR="00C34AF0" w:rsidRPr="00953692">
        <w:rPr>
          <w:rFonts w:cs="Times New Roman"/>
          <w:sz w:val="24"/>
          <w:szCs w:val="24"/>
          <w:lang w:val="fr-FR"/>
        </w:rPr>
        <w:t xml:space="preserve"> tout </w:t>
      </w:r>
      <w:r w:rsidR="00D71E7C" w:rsidRPr="00953692">
        <w:rPr>
          <w:rFonts w:cs="Times New Roman"/>
          <w:sz w:val="24"/>
          <w:szCs w:val="24"/>
          <w:lang w:val="fr-FR"/>
        </w:rPr>
        <w:t xml:space="preserve">début, car l’on présuppose que l’organe des poursuites agit avec </w:t>
      </w:r>
      <w:r w:rsidR="00C34AF0" w:rsidRPr="00953692">
        <w:rPr>
          <w:rFonts w:cs="Times New Roman"/>
          <w:sz w:val="24"/>
          <w:szCs w:val="24"/>
          <w:lang w:val="fr-FR"/>
        </w:rPr>
        <w:t xml:space="preserve">une </w:t>
      </w:r>
      <w:r w:rsidR="00D71E7C" w:rsidRPr="00953692">
        <w:rPr>
          <w:rFonts w:cs="Times New Roman"/>
          <w:sz w:val="24"/>
          <w:szCs w:val="24"/>
          <w:lang w:val="fr-FR"/>
        </w:rPr>
        <w:t>assurance</w:t>
      </w:r>
      <w:r w:rsidR="00A81D35" w:rsidRPr="00953692">
        <w:rPr>
          <w:rFonts w:cs="Times New Roman"/>
          <w:sz w:val="24"/>
          <w:szCs w:val="24"/>
          <w:lang w:val="fr-FR"/>
        </w:rPr>
        <w:t>,</w:t>
      </w:r>
      <w:r w:rsidR="00D71E7C" w:rsidRPr="00953692">
        <w:rPr>
          <w:rFonts w:cs="Times New Roman"/>
          <w:sz w:val="24"/>
          <w:szCs w:val="24"/>
          <w:lang w:val="fr-FR"/>
        </w:rPr>
        <w:t xml:space="preserve"> qu’il</w:t>
      </w:r>
      <w:r w:rsidR="00C34AF0" w:rsidRPr="00953692">
        <w:rPr>
          <w:rFonts w:cs="Times New Roman"/>
          <w:sz w:val="24"/>
          <w:szCs w:val="24"/>
          <w:lang w:val="fr-FR"/>
        </w:rPr>
        <w:t xml:space="preserve"> en</w:t>
      </w:r>
      <w:r w:rsidR="00D71E7C" w:rsidRPr="00953692">
        <w:rPr>
          <w:rFonts w:cs="Times New Roman"/>
          <w:sz w:val="24"/>
          <w:szCs w:val="24"/>
          <w:lang w:val="fr-FR"/>
        </w:rPr>
        <w:t xml:space="preserve"> </w:t>
      </w:r>
      <w:r w:rsidR="00A81D35" w:rsidRPr="00953692">
        <w:rPr>
          <w:rFonts w:cs="Times New Roman"/>
          <w:sz w:val="24"/>
          <w:szCs w:val="24"/>
          <w:lang w:val="fr-FR"/>
        </w:rPr>
        <w:t xml:space="preserve">tire </w:t>
      </w:r>
      <w:r w:rsidR="00D71E7C" w:rsidRPr="00953692">
        <w:rPr>
          <w:rFonts w:cs="Times New Roman"/>
          <w:sz w:val="24"/>
          <w:szCs w:val="24"/>
          <w:lang w:val="fr-FR"/>
        </w:rPr>
        <w:t>des éléments de preuves tangibles lui permettant de qualifier de criminel</w:t>
      </w:r>
      <w:r w:rsidR="00A81D35" w:rsidRPr="00953692">
        <w:rPr>
          <w:rFonts w:cs="Times New Roman"/>
          <w:sz w:val="24"/>
          <w:szCs w:val="24"/>
          <w:lang w:val="fr-FR"/>
        </w:rPr>
        <w:t>,</w:t>
      </w:r>
      <w:r w:rsidR="00D71E7C" w:rsidRPr="00953692">
        <w:rPr>
          <w:rFonts w:cs="Times New Roman"/>
          <w:sz w:val="24"/>
          <w:szCs w:val="24"/>
          <w:lang w:val="fr-FR"/>
        </w:rPr>
        <w:t xml:space="preserve"> le comportement attribué à </w:t>
      </w:r>
      <w:r w:rsidR="00C34AF0" w:rsidRPr="00953692">
        <w:rPr>
          <w:rFonts w:cs="Times New Roman"/>
          <w:sz w:val="24"/>
          <w:szCs w:val="24"/>
          <w:lang w:val="fr-FR"/>
        </w:rPr>
        <w:t>cette</w:t>
      </w:r>
      <w:r w:rsidR="00D71E7C" w:rsidRPr="00953692">
        <w:rPr>
          <w:rFonts w:cs="Times New Roman"/>
          <w:sz w:val="24"/>
          <w:szCs w:val="24"/>
          <w:lang w:val="fr-FR"/>
        </w:rPr>
        <w:t xml:space="preserve"> personne arrêté</w:t>
      </w:r>
      <w:r w:rsidR="00C2015C" w:rsidRPr="00953692">
        <w:rPr>
          <w:rFonts w:cs="Times New Roman"/>
          <w:sz w:val="24"/>
          <w:szCs w:val="24"/>
          <w:lang w:val="fr-FR"/>
        </w:rPr>
        <w:t>e</w:t>
      </w:r>
      <w:r w:rsidR="00D71E7C" w:rsidRPr="00953692">
        <w:rPr>
          <w:rFonts w:cs="Times New Roman"/>
          <w:sz w:val="24"/>
          <w:szCs w:val="24"/>
          <w:lang w:val="fr-FR"/>
        </w:rPr>
        <w:t xml:space="preserve"> ou mis</w:t>
      </w:r>
      <w:r w:rsidR="00C2015C" w:rsidRPr="00953692">
        <w:rPr>
          <w:rFonts w:cs="Times New Roman"/>
          <w:sz w:val="24"/>
          <w:szCs w:val="24"/>
          <w:lang w:val="fr-FR"/>
        </w:rPr>
        <w:t>e</w:t>
      </w:r>
      <w:r w:rsidR="00D71E7C" w:rsidRPr="00953692">
        <w:rPr>
          <w:rFonts w:cs="Times New Roman"/>
          <w:sz w:val="24"/>
          <w:szCs w:val="24"/>
          <w:lang w:val="fr-FR"/>
        </w:rPr>
        <w:t xml:space="preserve"> en cause. </w:t>
      </w:r>
    </w:p>
    <w:p w14:paraId="7820B5DC" w14:textId="2F0F3400" w:rsidR="00780030" w:rsidRPr="00953692" w:rsidRDefault="00D77B33"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94.</w:t>
      </w:r>
      <w:r w:rsidRPr="00953692">
        <w:rPr>
          <w:rFonts w:cs="Times New Roman"/>
          <w:sz w:val="24"/>
          <w:szCs w:val="24"/>
          <w:lang w:val="fr-FR"/>
        </w:rPr>
        <w:t xml:space="preserve"> </w:t>
      </w:r>
      <w:r w:rsidR="002F29A2" w:rsidRPr="00953692">
        <w:rPr>
          <w:rFonts w:cs="Times New Roman"/>
          <w:sz w:val="24"/>
          <w:szCs w:val="24"/>
          <w:lang w:val="fr-FR"/>
        </w:rPr>
        <w:t>Ceci se révèle bien évidemment dans le contenu du mandat d’arrêt ou de la citation à comparaitre, ou encore de l’acte d’accusation. Point n’est besoin de rappeler que ces actes de procédure ne sont valablement établis que s’ils mentionnent un résumé des faits</w:t>
      </w:r>
      <w:r w:rsidR="000D7BD3" w:rsidRPr="00953692">
        <w:rPr>
          <w:rFonts w:cs="Times New Roman"/>
          <w:sz w:val="24"/>
          <w:szCs w:val="24"/>
          <w:lang w:val="fr-FR"/>
        </w:rPr>
        <w:t>,</w:t>
      </w:r>
      <w:r w:rsidR="002F29A2" w:rsidRPr="00953692">
        <w:rPr>
          <w:rFonts w:cs="Times New Roman"/>
          <w:sz w:val="24"/>
          <w:szCs w:val="24"/>
          <w:lang w:val="fr-FR"/>
        </w:rPr>
        <w:t xml:space="preserve"> une qualification, du moins provisoire, de ces faits</w:t>
      </w:r>
      <w:r w:rsidR="00C34AF0" w:rsidRPr="00953692">
        <w:rPr>
          <w:rFonts w:cs="Times New Roman"/>
          <w:sz w:val="24"/>
          <w:szCs w:val="24"/>
          <w:lang w:val="fr-FR"/>
        </w:rPr>
        <w:t> ;</w:t>
      </w:r>
      <w:r w:rsidR="000D2B60" w:rsidRPr="00953692">
        <w:rPr>
          <w:rFonts w:cs="Times New Roman"/>
          <w:sz w:val="24"/>
          <w:szCs w:val="24"/>
          <w:lang w:val="fr-FR"/>
        </w:rPr>
        <w:t xml:space="preserve"> montr</w:t>
      </w:r>
      <w:r w:rsidR="00C34AF0" w:rsidRPr="00953692">
        <w:rPr>
          <w:rFonts w:cs="Times New Roman"/>
          <w:sz w:val="24"/>
          <w:szCs w:val="24"/>
          <w:lang w:val="fr-FR"/>
        </w:rPr>
        <w:t>ant ainsi</w:t>
      </w:r>
      <w:r w:rsidR="000D2B60" w:rsidRPr="00953692">
        <w:rPr>
          <w:rFonts w:cs="Times New Roman"/>
          <w:sz w:val="24"/>
          <w:szCs w:val="24"/>
          <w:lang w:val="fr-FR"/>
        </w:rPr>
        <w:t xml:space="preserve"> que la décision d’impliquer une personne dans la démarche judiciaire devra être </w:t>
      </w:r>
      <w:r w:rsidR="00C34AF0" w:rsidRPr="00953692">
        <w:rPr>
          <w:rFonts w:cs="Times New Roman"/>
          <w:sz w:val="24"/>
          <w:szCs w:val="24"/>
          <w:lang w:val="fr-FR"/>
        </w:rPr>
        <w:t xml:space="preserve">réfléchie et </w:t>
      </w:r>
      <w:r w:rsidR="000D2B60" w:rsidRPr="00953692">
        <w:rPr>
          <w:rFonts w:cs="Times New Roman"/>
          <w:sz w:val="24"/>
          <w:szCs w:val="24"/>
          <w:lang w:val="fr-FR"/>
        </w:rPr>
        <w:t>conséquente</w:t>
      </w:r>
      <w:r w:rsidR="00C34AF0" w:rsidRPr="00953692">
        <w:rPr>
          <w:rFonts w:cs="Times New Roman"/>
          <w:sz w:val="24"/>
          <w:szCs w:val="24"/>
          <w:lang w:val="fr-FR"/>
        </w:rPr>
        <w:t>,</w:t>
      </w:r>
      <w:r w:rsidR="000D2B60" w:rsidRPr="00953692">
        <w:rPr>
          <w:rFonts w:cs="Times New Roman"/>
          <w:sz w:val="24"/>
          <w:szCs w:val="24"/>
          <w:lang w:val="fr-FR"/>
        </w:rPr>
        <w:t xml:space="preserve"> s’inscri</w:t>
      </w:r>
      <w:r w:rsidR="00C34AF0" w:rsidRPr="00953692">
        <w:rPr>
          <w:rFonts w:cs="Times New Roman"/>
          <w:sz w:val="24"/>
          <w:szCs w:val="24"/>
          <w:lang w:val="fr-FR"/>
        </w:rPr>
        <w:t>vant</w:t>
      </w:r>
      <w:r w:rsidR="000D2B60" w:rsidRPr="00953692">
        <w:rPr>
          <w:rFonts w:cs="Times New Roman"/>
          <w:sz w:val="24"/>
          <w:szCs w:val="24"/>
          <w:lang w:val="fr-FR"/>
        </w:rPr>
        <w:t xml:space="preserve"> dans une logique de continuité </w:t>
      </w:r>
      <w:r w:rsidR="00841301" w:rsidRPr="00953692">
        <w:rPr>
          <w:rFonts w:cs="Times New Roman"/>
          <w:sz w:val="24"/>
          <w:szCs w:val="24"/>
          <w:lang w:val="fr-FR"/>
        </w:rPr>
        <w:t>du procès</w:t>
      </w:r>
      <w:r w:rsidR="000D2B60" w:rsidRPr="00953692">
        <w:rPr>
          <w:rFonts w:cs="Times New Roman"/>
          <w:sz w:val="24"/>
          <w:szCs w:val="24"/>
          <w:lang w:val="fr-FR"/>
        </w:rPr>
        <w:t>. Ceci est sans préjudice de la possibilité offerte au procureur de modifier son acte d’accusation ou de le retirer à la lumière de l’évolution de son enquête continue</w:t>
      </w:r>
      <w:r w:rsidR="00BE1250" w:rsidRPr="00953692">
        <w:rPr>
          <w:rStyle w:val="Appelnotedebasdep"/>
          <w:rFonts w:cs="Times New Roman"/>
          <w:sz w:val="24"/>
          <w:szCs w:val="24"/>
          <w:lang w:val="fr-FR"/>
        </w:rPr>
        <w:footnoteReference w:customMarkFollows="1" w:id="88"/>
        <w:t>67</w:t>
      </w:r>
      <w:r w:rsidR="000D2B60" w:rsidRPr="00953692">
        <w:rPr>
          <w:rFonts w:cs="Times New Roman"/>
          <w:sz w:val="24"/>
          <w:szCs w:val="24"/>
          <w:lang w:val="fr-FR"/>
        </w:rPr>
        <w:t>.</w:t>
      </w:r>
    </w:p>
    <w:p w14:paraId="63AC8AD3" w14:textId="6CDA53BC" w:rsidR="00A7156C" w:rsidRPr="00953692" w:rsidRDefault="00D77B33"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lastRenderedPageBreak/>
        <w:t>95</w:t>
      </w:r>
      <w:r w:rsidR="00A81D35" w:rsidRPr="00953692">
        <w:rPr>
          <w:rFonts w:cs="Times New Roman"/>
          <w:b/>
          <w:bCs/>
          <w:sz w:val="24"/>
          <w:szCs w:val="24"/>
          <w:lang w:val="fr-FR"/>
        </w:rPr>
        <w:t>.</w:t>
      </w:r>
      <w:r w:rsidR="00A81D35" w:rsidRPr="00953692">
        <w:rPr>
          <w:rFonts w:cs="Times New Roman"/>
          <w:sz w:val="24"/>
          <w:szCs w:val="24"/>
          <w:lang w:val="fr-FR"/>
        </w:rPr>
        <w:t xml:space="preserve"> </w:t>
      </w:r>
      <w:r w:rsidR="004B6F57" w:rsidRPr="00953692">
        <w:rPr>
          <w:rFonts w:cs="Times New Roman"/>
          <w:sz w:val="24"/>
          <w:szCs w:val="24"/>
          <w:lang w:val="fr-FR"/>
        </w:rPr>
        <w:t>Il faut dire enfin que, la continuité procédurale entre dans la droite ligne du délai raisonnable du procès</w:t>
      </w:r>
      <w:r w:rsidR="00B7035E" w:rsidRPr="00953692">
        <w:rPr>
          <w:rFonts w:cs="Times New Roman"/>
          <w:sz w:val="24"/>
          <w:szCs w:val="24"/>
          <w:lang w:val="fr-FR"/>
        </w:rPr>
        <w:t xml:space="preserve">, </w:t>
      </w:r>
      <w:r w:rsidR="00685D0F" w:rsidRPr="00953692">
        <w:rPr>
          <w:rFonts w:cs="Times New Roman"/>
          <w:sz w:val="24"/>
          <w:szCs w:val="24"/>
          <w:lang w:val="fr-FR"/>
        </w:rPr>
        <w:t xml:space="preserve">incompatible avec les lenteurs ou </w:t>
      </w:r>
      <w:r w:rsidR="000D7BD3" w:rsidRPr="00953692">
        <w:rPr>
          <w:rFonts w:cs="Times New Roman"/>
          <w:sz w:val="24"/>
          <w:szCs w:val="24"/>
          <w:lang w:val="fr-FR"/>
        </w:rPr>
        <w:t xml:space="preserve">les </w:t>
      </w:r>
      <w:r w:rsidR="00685D0F" w:rsidRPr="00953692">
        <w:rPr>
          <w:rFonts w:cs="Times New Roman"/>
          <w:sz w:val="24"/>
          <w:szCs w:val="24"/>
          <w:lang w:val="fr-FR"/>
        </w:rPr>
        <w:t>retards pouvant résulter notamment</w:t>
      </w:r>
      <w:r w:rsidR="00B5271B" w:rsidRPr="00953692">
        <w:rPr>
          <w:rFonts w:cs="Times New Roman"/>
          <w:sz w:val="24"/>
          <w:szCs w:val="24"/>
          <w:lang w:val="fr-FR"/>
        </w:rPr>
        <w:t xml:space="preserve"> de l’inobservation d</w:t>
      </w:r>
      <w:r w:rsidR="00F8719B" w:rsidRPr="00953692">
        <w:rPr>
          <w:rFonts w:cs="Times New Roman"/>
          <w:sz w:val="24"/>
          <w:szCs w:val="24"/>
          <w:lang w:val="fr-FR"/>
        </w:rPr>
        <w:t xml:space="preserve">u droit à l’information. Ces retards, lorsqu’ils sont </w:t>
      </w:r>
      <w:r w:rsidR="009F778D" w:rsidRPr="00953692">
        <w:rPr>
          <w:rFonts w:cs="Times New Roman"/>
          <w:sz w:val="24"/>
          <w:szCs w:val="24"/>
          <w:lang w:val="fr-FR"/>
        </w:rPr>
        <w:t xml:space="preserve">si </w:t>
      </w:r>
      <w:r w:rsidR="00F8719B" w:rsidRPr="00953692">
        <w:rPr>
          <w:rFonts w:cs="Times New Roman"/>
          <w:sz w:val="24"/>
          <w:szCs w:val="24"/>
          <w:lang w:val="fr-FR"/>
        </w:rPr>
        <w:t>importants ou accumulés à d’autre</w:t>
      </w:r>
      <w:r w:rsidR="00157823" w:rsidRPr="00953692">
        <w:rPr>
          <w:rFonts w:cs="Times New Roman"/>
          <w:sz w:val="24"/>
          <w:szCs w:val="24"/>
          <w:lang w:val="fr-FR"/>
        </w:rPr>
        <w:t>s</w:t>
      </w:r>
      <w:r w:rsidR="00F8719B" w:rsidRPr="00953692">
        <w:rPr>
          <w:rFonts w:cs="Times New Roman"/>
          <w:sz w:val="24"/>
          <w:szCs w:val="24"/>
          <w:lang w:val="fr-FR"/>
        </w:rPr>
        <w:t xml:space="preserve"> retards dus</w:t>
      </w:r>
      <w:r w:rsidR="000D7BD3" w:rsidRPr="00953692">
        <w:rPr>
          <w:rFonts w:cs="Times New Roman"/>
          <w:sz w:val="24"/>
          <w:szCs w:val="24"/>
          <w:lang w:val="fr-FR"/>
        </w:rPr>
        <w:t>,</w:t>
      </w:r>
      <w:r w:rsidR="00F8719B" w:rsidRPr="00953692">
        <w:rPr>
          <w:rFonts w:cs="Times New Roman"/>
          <w:sz w:val="24"/>
          <w:szCs w:val="24"/>
          <w:lang w:val="fr-FR"/>
        </w:rPr>
        <w:t xml:space="preserve"> </w:t>
      </w:r>
      <w:r w:rsidR="00157823" w:rsidRPr="00953692">
        <w:rPr>
          <w:rFonts w:cs="Times New Roman"/>
          <w:sz w:val="24"/>
          <w:szCs w:val="24"/>
          <w:lang w:val="fr-FR"/>
        </w:rPr>
        <w:t>par exemple</w:t>
      </w:r>
      <w:r w:rsidR="000D7BD3" w:rsidRPr="00953692">
        <w:rPr>
          <w:rFonts w:cs="Times New Roman"/>
          <w:sz w:val="24"/>
          <w:szCs w:val="24"/>
          <w:lang w:val="fr-FR"/>
        </w:rPr>
        <w:t>,</w:t>
      </w:r>
      <w:r w:rsidR="00157823" w:rsidRPr="00953692">
        <w:rPr>
          <w:rFonts w:cs="Times New Roman"/>
          <w:sz w:val="24"/>
          <w:szCs w:val="24"/>
          <w:lang w:val="fr-FR"/>
        </w:rPr>
        <w:t xml:space="preserve"> </w:t>
      </w:r>
      <w:r w:rsidR="00F8719B" w:rsidRPr="00953692">
        <w:rPr>
          <w:rFonts w:cs="Times New Roman"/>
          <w:sz w:val="24"/>
          <w:szCs w:val="24"/>
          <w:lang w:val="fr-FR"/>
        </w:rPr>
        <w:t xml:space="preserve">à la détention provisoire ou </w:t>
      </w:r>
      <w:r w:rsidR="00157823" w:rsidRPr="00953692">
        <w:rPr>
          <w:rFonts w:cs="Times New Roman"/>
          <w:sz w:val="24"/>
          <w:szCs w:val="24"/>
          <w:lang w:val="fr-FR"/>
        </w:rPr>
        <w:t xml:space="preserve">à </w:t>
      </w:r>
      <w:r w:rsidR="00AB7319" w:rsidRPr="00953692">
        <w:rPr>
          <w:rFonts w:cs="Times New Roman"/>
          <w:sz w:val="24"/>
          <w:szCs w:val="24"/>
          <w:lang w:val="fr-FR"/>
        </w:rPr>
        <w:t xml:space="preserve">la comparution </w:t>
      </w:r>
      <w:r w:rsidR="009F778D" w:rsidRPr="00953692">
        <w:rPr>
          <w:rFonts w:cs="Times New Roman"/>
          <w:sz w:val="24"/>
          <w:szCs w:val="24"/>
          <w:lang w:val="fr-FR"/>
        </w:rPr>
        <w:t>initiale</w:t>
      </w:r>
      <w:r w:rsidR="00157823" w:rsidRPr="00953692">
        <w:rPr>
          <w:rFonts w:cs="Times New Roman"/>
          <w:sz w:val="24"/>
          <w:szCs w:val="24"/>
          <w:lang w:val="fr-FR"/>
        </w:rPr>
        <w:t xml:space="preserve">, peuvent être insérés </w:t>
      </w:r>
      <w:r w:rsidR="00774282" w:rsidRPr="00953692">
        <w:rPr>
          <w:rFonts w:cs="Times New Roman"/>
          <w:sz w:val="24"/>
          <w:szCs w:val="24"/>
          <w:lang w:val="fr-FR"/>
        </w:rPr>
        <w:t>dans l’évaluation d</w:t>
      </w:r>
      <w:r w:rsidR="00841301" w:rsidRPr="00953692">
        <w:rPr>
          <w:rFonts w:cs="Times New Roman"/>
          <w:sz w:val="24"/>
          <w:szCs w:val="24"/>
          <w:lang w:val="fr-FR"/>
        </w:rPr>
        <w:t xml:space="preserve">e la </w:t>
      </w:r>
      <w:r w:rsidR="00774282" w:rsidRPr="00953692">
        <w:rPr>
          <w:rFonts w:cs="Times New Roman"/>
          <w:sz w:val="24"/>
          <w:szCs w:val="24"/>
          <w:lang w:val="fr-FR"/>
        </w:rPr>
        <w:t>raisonnab</w:t>
      </w:r>
      <w:r w:rsidR="00841301" w:rsidRPr="00953692">
        <w:rPr>
          <w:rFonts w:cs="Times New Roman"/>
          <w:sz w:val="24"/>
          <w:szCs w:val="24"/>
          <w:lang w:val="fr-FR"/>
        </w:rPr>
        <w:t>ilité du délai</w:t>
      </w:r>
      <w:r w:rsidR="00774282" w:rsidRPr="00953692">
        <w:rPr>
          <w:rFonts w:cs="Times New Roman"/>
          <w:sz w:val="24"/>
          <w:szCs w:val="24"/>
          <w:lang w:val="fr-FR"/>
        </w:rPr>
        <w:t>. Ainsi, l’accusé peut invoquer la violation de son droit à être jugé sans retard excessif en prenant également</w:t>
      </w:r>
      <w:r w:rsidR="00A81D35" w:rsidRPr="00953692">
        <w:rPr>
          <w:rFonts w:cs="Times New Roman"/>
          <w:sz w:val="24"/>
          <w:szCs w:val="24"/>
          <w:lang w:val="fr-FR"/>
        </w:rPr>
        <w:t xml:space="preserve"> pour motif valable, la réalisation tardive</w:t>
      </w:r>
      <w:r w:rsidR="00774282" w:rsidRPr="00953692">
        <w:rPr>
          <w:rFonts w:cs="Times New Roman"/>
          <w:sz w:val="24"/>
          <w:szCs w:val="24"/>
          <w:lang w:val="fr-FR"/>
        </w:rPr>
        <w:t xml:space="preserve"> de son droit à l’information</w:t>
      </w:r>
      <w:r w:rsidR="00A81D35" w:rsidRPr="00953692">
        <w:rPr>
          <w:rFonts w:cs="Times New Roman"/>
          <w:sz w:val="24"/>
          <w:szCs w:val="24"/>
          <w:lang w:val="fr-FR"/>
        </w:rPr>
        <w:t>. Dans ce cas,</w:t>
      </w:r>
      <w:r w:rsidR="00774282" w:rsidRPr="00953692">
        <w:rPr>
          <w:rFonts w:cs="Times New Roman"/>
          <w:sz w:val="24"/>
          <w:szCs w:val="24"/>
          <w:lang w:val="fr-FR"/>
        </w:rPr>
        <w:t xml:space="preserve"> </w:t>
      </w:r>
      <w:r w:rsidR="00A81D35" w:rsidRPr="00953692">
        <w:rPr>
          <w:rFonts w:cs="Times New Roman"/>
          <w:sz w:val="24"/>
          <w:szCs w:val="24"/>
          <w:lang w:val="fr-FR"/>
        </w:rPr>
        <w:t>il</w:t>
      </w:r>
      <w:r w:rsidR="00774282" w:rsidRPr="00953692">
        <w:rPr>
          <w:rFonts w:cs="Times New Roman"/>
          <w:sz w:val="24"/>
          <w:szCs w:val="24"/>
          <w:lang w:val="fr-FR"/>
        </w:rPr>
        <w:t xml:space="preserve"> en résulterait un</w:t>
      </w:r>
      <w:r w:rsidR="00841301" w:rsidRPr="00953692">
        <w:rPr>
          <w:rFonts w:cs="Times New Roman"/>
          <w:sz w:val="24"/>
          <w:szCs w:val="24"/>
          <w:lang w:val="fr-FR"/>
        </w:rPr>
        <w:t xml:space="preserve"> troisième</w:t>
      </w:r>
      <w:r w:rsidR="00774282" w:rsidRPr="00953692">
        <w:rPr>
          <w:rFonts w:cs="Times New Roman"/>
          <w:sz w:val="24"/>
          <w:szCs w:val="24"/>
          <w:lang w:val="fr-FR"/>
        </w:rPr>
        <w:t xml:space="preserve"> </w:t>
      </w:r>
      <w:r w:rsidR="00841301" w:rsidRPr="00953692">
        <w:rPr>
          <w:rFonts w:cs="Times New Roman"/>
          <w:sz w:val="24"/>
          <w:szCs w:val="24"/>
          <w:lang w:val="fr-FR"/>
        </w:rPr>
        <w:t>rapport</w:t>
      </w:r>
      <w:r w:rsidR="00774282" w:rsidRPr="00953692">
        <w:rPr>
          <w:rFonts w:cs="Times New Roman"/>
          <w:sz w:val="24"/>
          <w:szCs w:val="24"/>
          <w:lang w:val="fr-FR"/>
        </w:rPr>
        <w:t xml:space="preserve"> </w:t>
      </w:r>
      <w:r w:rsidR="00A81D35" w:rsidRPr="00953692">
        <w:rPr>
          <w:rFonts w:cs="Times New Roman"/>
          <w:sz w:val="24"/>
          <w:szCs w:val="24"/>
          <w:lang w:val="fr-FR"/>
        </w:rPr>
        <w:t xml:space="preserve">plutôt </w:t>
      </w:r>
      <w:r w:rsidR="00774282" w:rsidRPr="00953692">
        <w:rPr>
          <w:rFonts w:cs="Times New Roman"/>
          <w:sz w:val="24"/>
          <w:szCs w:val="24"/>
          <w:lang w:val="fr-FR"/>
        </w:rPr>
        <w:t>négati</w:t>
      </w:r>
      <w:r w:rsidR="00841301" w:rsidRPr="00953692">
        <w:rPr>
          <w:rFonts w:cs="Times New Roman"/>
          <w:sz w:val="24"/>
          <w:szCs w:val="24"/>
          <w:lang w:val="fr-FR"/>
        </w:rPr>
        <w:t>f</w:t>
      </w:r>
      <w:r w:rsidR="00774282" w:rsidRPr="00953692">
        <w:rPr>
          <w:rFonts w:cs="Times New Roman"/>
          <w:sz w:val="24"/>
          <w:szCs w:val="24"/>
          <w:lang w:val="fr-FR"/>
        </w:rPr>
        <w:t xml:space="preserve"> que nous tenterons d’aborder dans les lignes qui suivent </w:t>
      </w:r>
      <w:r w:rsidR="00CB2FD6" w:rsidRPr="00953692">
        <w:rPr>
          <w:rFonts w:cs="Times New Roman"/>
          <w:sz w:val="24"/>
          <w:szCs w:val="24"/>
          <w:lang w:val="fr-FR"/>
        </w:rPr>
        <w:t>à la lumière de quelques décisions prises par différentes juridictions pénales internationales.</w:t>
      </w:r>
    </w:p>
    <w:p w14:paraId="32FB49C5" w14:textId="6BDDA85E" w:rsidR="00131281" w:rsidRPr="00ED789C" w:rsidRDefault="00CB2FD6" w:rsidP="004D61B4">
      <w:pPr>
        <w:pStyle w:val="Paragraphedeliste"/>
        <w:numPr>
          <w:ilvl w:val="0"/>
          <w:numId w:val="12"/>
        </w:numPr>
        <w:spacing w:before="240" w:line="276" w:lineRule="auto"/>
        <w:jc w:val="both"/>
        <w:outlineLvl w:val="2"/>
        <w:rPr>
          <w:rFonts w:cs="Times New Roman"/>
          <w:bCs/>
          <w:i/>
          <w:iCs/>
          <w:sz w:val="24"/>
          <w:szCs w:val="24"/>
          <w:lang w:val="fr-FR"/>
        </w:rPr>
      </w:pPr>
      <w:bookmarkStart w:id="23" w:name="_Toc195179414"/>
      <w:r w:rsidRPr="00ED789C">
        <w:rPr>
          <w:rFonts w:cs="Times New Roman"/>
          <w:bCs/>
          <w:i/>
          <w:iCs/>
          <w:sz w:val="24"/>
          <w:szCs w:val="24"/>
          <w:lang w:val="fr-FR"/>
        </w:rPr>
        <w:t>Implication</w:t>
      </w:r>
      <w:r w:rsidR="00131281" w:rsidRPr="00ED789C">
        <w:rPr>
          <w:rFonts w:cs="Times New Roman"/>
          <w:bCs/>
          <w:i/>
          <w:iCs/>
          <w:sz w:val="24"/>
          <w:szCs w:val="24"/>
          <w:lang w:val="fr-FR"/>
        </w:rPr>
        <w:t xml:space="preserve"> négative</w:t>
      </w:r>
      <w:bookmarkEnd w:id="23"/>
    </w:p>
    <w:bookmarkEnd w:id="9"/>
    <w:p w14:paraId="18833CE8" w14:textId="475987CD" w:rsidR="008F14FF" w:rsidRPr="00953692" w:rsidRDefault="00D77B33" w:rsidP="00864BBF">
      <w:pPr>
        <w:spacing w:before="240" w:after="0" w:line="276" w:lineRule="auto"/>
        <w:ind w:firstLine="1134"/>
        <w:jc w:val="both"/>
        <w:rPr>
          <w:rFonts w:cs="Times New Roman"/>
          <w:sz w:val="24"/>
          <w:szCs w:val="24"/>
          <w:lang w:val="fr-FR"/>
        </w:rPr>
      </w:pPr>
      <w:r w:rsidRPr="00953692">
        <w:rPr>
          <w:rFonts w:cs="Times New Roman"/>
          <w:b/>
          <w:bCs/>
          <w:sz w:val="24"/>
          <w:szCs w:val="24"/>
          <w:lang w:val="fr-FR"/>
        </w:rPr>
        <w:t>96</w:t>
      </w:r>
      <w:r w:rsidR="00565B4B" w:rsidRPr="00953692">
        <w:rPr>
          <w:rFonts w:cs="Times New Roman"/>
          <w:b/>
          <w:bCs/>
          <w:sz w:val="24"/>
          <w:szCs w:val="24"/>
          <w:lang w:val="fr-FR"/>
        </w:rPr>
        <w:t>.</w:t>
      </w:r>
      <w:r w:rsidR="00565B4B" w:rsidRPr="00953692">
        <w:rPr>
          <w:rFonts w:cs="Times New Roman"/>
          <w:sz w:val="24"/>
          <w:szCs w:val="24"/>
          <w:lang w:val="fr-FR"/>
        </w:rPr>
        <w:t xml:space="preserve"> </w:t>
      </w:r>
      <w:r w:rsidR="00B8510F" w:rsidRPr="00953692">
        <w:rPr>
          <w:rFonts w:cs="Times New Roman"/>
          <w:sz w:val="24"/>
          <w:szCs w:val="24"/>
          <w:lang w:val="fr-FR"/>
        </w:rPr>
        <w:t>L’idée d’une implication négative résulte du fait que le droit à l’information n’a pas été observé et aurait rallongé présumément la durée d</w:t>
      </w:r>
      <w:r w:rsidR="003B36BB" w:rsidRPr="00953692">
        <w:rPr>
          <w:rFonts w:cs="Times New Roman"/>
          <w:sz w:val="24"/>
          <w:szCs w:val="24"/>
          <w:lang w:val="fr-FR"/>
        </w:rPr>
        <w:t>u</w:t>
      </w:r>
      <w:r w:rsidR="00B8510F" w:rsidRPr="00953692">
        <w:rPr>
          <w:rFonts w:cs="Times New Roman"/>
          <w:sz w:val="24"/>
          <w:szCs w:val="24"/>
          <w:lang w:val="fr-FR"/>
        </w:rPr>
        <w:t xml:space="preserve"> procès. </w:t>
      </w:r>
      <w:r w:rsidR="00AF7ED3" w:rsidRPr="00953692">
        <w:rPr>
          <w:rStyle w:val="grammar"/>
          <w:rFonts w:cs="Times New Roman"/>
          <w:sz w:val="24"/>
          <w:szCs w:val="24"/>
          <w:lang w:val="fr-FR"/>
        </w:rPr>
        <w:t>À partir</w:t>
      </w:r>
      <w:r w:rsidR="00AF7ED3" w:rsidRPr="00953692">
        <w:rPr>
          <w:rFonts w:cs="Times New Roman"/>
          <w:sz w:val="24"/>
          <w:szCs w:val="24"/>
          <w:shd w:val="clear" w:color="auto" w:fill="FFFFFF"/>
          <w:lang w:val="fr-FR"/>
        </w:rPr>
        <w:t xml:space="preserve"> </w:t>
      </w:r>
      <w:r w:rsidR="00B8510F" w:rsidRPr="00953692">
        <w:rPr>
          <w:rFonts w:cs="Times New Roman"/>
          <w:sz w:val="24"/>
          <w:szCs w:val="24"/>
          <w:lang w:val="fr-FR"/>
        </w:rPr>
        <w:t xml:space="preserve">de ce moment, il est </w:t>
      </w:r>
      <w:r w:rsidR="00841301" w:rsidRPr="00953692">
        <w:rPr>
          <w:rFonts w:cs="Times New Roman"/>
          <w:sz w:val="24"/>
          <w:szCs w:val="24"/>
          <w:lang w:val="fr-FR"/>
        </w:rPr>
        <w:t xml:space="preserve">toujours </w:t>
      </w:r>
      <w:r w:rsidR="00B8510F" w:rsidRPr="00953692">
        <w:rPr>
          <w:rFonts w:cs="Times New Roman"/>
          <w:sz w:val="24"/>
          <w:szCs w:val="24"/>
          <w:lang w:val="fr-FR"/>
        </w:rPr>
        <w:t>possible de maintenir cette association</w:t>
      </w:r>
      <w:r w:rsidR="00841301" w:rsidRPr="00953692">
        <w:rPr>
          <w:rFonts w:cs="Times New Roman"/>
          <w:sz w:val="24"/>
          <w:szCs w:val="24"/>
          <w:lang w:val="fr-FR"/>
        </w:rPr>
        <w:t xml:space="preserve"> ou cette complémentarité</w:t>
      </w:r>
      <w:r w:rsidR="00B8510F" w:rsidRPr="00953692">
        <w:rPr>
          <w:rFonts w:cs="Times New Roman"/>
          <w:sz w:val="24"/>
          <w:szCs w:val="24"/>
          <w:lang w:val="fr-FR"/>
        </w:rPr>
        <w:t xml:space="preserve"> entre ce droit</w:t>
      </w:r>
      <w:r w:rsidR="00106021" w:rsidRPr="00953692">
        <w:rPr>
          <w:rFonts w:cs="Times New Roman"/>
          <w:sz w:val="24"/>
          <w:szCs w:val="24"/>
          <w:lang w:val="fr-FR"/>
        </w:rPr>
        <w:t xml:space="preserve"> à l’information</w:t>
      </w:r>
      <w:r w:rsidR="00B8510F" w:rsidRPr="00953692">
        <w:rPr>
          <w:rFonts w:cs="Times New Roman"/>
          <w:sz w:val="24"/>
          <w:szCs w:val="24"/>
          <w:lang w:val="fr-FR"/>
        </w:rPr>
        <w:t xml:space="preserve"> et la notion du délai raisonnable. </w:t>
      </w:r>
      <w:r w:rsidR="00737C3E" w:rsidRPr="00953692">
        <w:rPr>
          <w:rFonts w:cs="Times New Roman"/>
          <w:sz w:val="24"/>
          <w:szCs w:val="24"/>
          <w:lang w:val="fr-FR"/>
        </w:rPr>
        <w:t>En fait, la violation de ce droit à l’information signifie que la personne mise en cause n’a pas été informé</w:t>
      </w:r>
      <w:r w:rsidR="00106021" w:rsidRPr="00953692">
        <w:rPr>
          <w:rFonts w:cs="Times New Roman"/>
          <w:sz w:val="24"/>
          <w:szCs w:val="24"/>
          <w:lang w:val="fr-FR"/>
        </w:rPr>
        <w:t>e</w:t>
      </w:r>
      <w:r w:rsidR="00737C3E" w:rsidRPr="00953692">
        <w:rPr>
          <w:rFonts w:cs="Times New Roman"/>
          <w:sz w:val="24"/>
          <w:szCs w:val="24"/>
          <w:lang w:val="fr-FR"/>
        </w:rPr>
        <w:t xml:space="preserve"> dans le plus bref ou</w:t>
      </w:r>
      <w:r w:rsidR="00106021" w:rsidRPr="00953692">
        <w:rPr>
          <w:rFonts w:cs="Times New Roman"/>
          <w:sz w:val="24"/>
          <w:szCs w:val="24"/>
          <w:lang w:val="fr-FR"/>
        </w:rPr>
        <w:t xml:space="preserve"> plus</w:t>
      </w:r>
      <w:r w:rsidR="00737C3E" w:rsidRPr="00953692">
        <w:rPr>
          <w:rFonts w:cs="Times New Roman"/>
          <w:sz w:val="24"/>
          <w:szCs w:val="24"/>
          <w:lang w:val="fr-FR"/>
        </w:rPr>
        <w:t xml:space="preserve"> court délai, rapidement ou</w:t>
      </w:r>
      <w:r w:rsidR="00106021" w:rsidRPr="00953692">
        <w:rPr>
          <w:rFonts w:cs="Times New Roman"/>
          <w:sz w:val="24"/>
          <w:szCs w:val="24"/>
          <w:lang w:val="fr-FR"/>
        </w:rPr>
        <w:t xml:space="preserve"> encore</w:t>
      </w:r>
      <w:r w:rsidR="00737C3E" w:rsidRPr="00953692">
        <w:rPr>
          <w:rFonts w:cs="Times New Roman"/>
          <w:sz w:val="24"/>
          <w:szCs w:val="24"/>
          <w:lang w:val="fr-FR"/>
        </w:rPr>
        <w:t xml:space="preserve"> sans délai</w:t>
      </w:r>
      <w:r w:rsidR="00AF7ED3" w:rsidRPr="00953692">
        <w:rPr>
          <w:rFonts w:cs="Times New Roman"/>
          <w:sz w:val="24"/>
          <w:szCs w:val="24"/>
          <w:lang w:val="fr-FR"/>
        </w:rPr>
        <w:t>,</w:t>
      </w:r>
      <w:r w:rsidR="00737C3E" w:rsidRPr="00953692">
        <w:rPr>
          <w:rFonts w:cs="Times New Roman"/>
          <w:sz w:val="24"/>
          <w:szCs w:val="24"/>
          <w:lang w:val="fr-FR"/>
        </w:rPr>
        <w:t xml:space="preserve"> des charges retenues contre elle. Il se pose à cet effet la question de l’intervalle de temps nécessaire à la réalisation de cette obligation. </w:t>
      </w:r>
    </w:p>
    <w:p w14:paraId="0FEF365A" w14:textId="46E3AA7B" w:rsidR="00B941A8" w:rsidRPr="00953692" w:rsidRDefault="00D77B33"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97</w:t>
      </w:r>
      <w:r w:rsidR="00565B4B" w:rsidRPr="00953692">
        <w:rPr>
          <w:rFonts w:cs="Times New Roman"/>
          <w:b/>
          <w:bCs/>
          <w:sz w:val="24"/>
          <w:szCs w:val="24"/>
          <w:lang w:val="fr-FR"/>
        </w:rPr>
        <w:t>.</w:t>
      </w:r>
      <w:r w:rsidR="00565B4B" w:rsidRPr="00953692">
        <w:rPr>
          <w:rFonts w:cs="Times New Roman"/>
          <w:sz w:val="24"/>
          <w:szCs w:val="24"/>
          <w:lang w:val="fr-FR"/>
        </w:rPr>
        <w:t xml:space="preserve"> </w:t>
      </w:r>
      <w:r w:rsidR="00737C3E" w:rsidRPr="00953692">
        <w:rPr>
          <w:rFonts w:cs="Times New Roman"/>
          <w:sz w:val="24"/>
          <w:szCs w:val="24"/>
          <w:lang w:val="fr-FR"/>
        </w:rPr>
        <w:t xml:space="preserve">Il faut dire que, sur le plan théorique, toutes ces expressions renvoient à une rapidité particulière, à une promptitude qui confine l’immédiateté. </w:t>
      </w:r>
      <w:r w:rsidR="00565B4B" w:rsidRPr="00953692">
        <w:rPr>
          <w:rFonts w:cs="Times New Roman"/>
          <w:sz w:val="24"/>
          <w:szCs w:val="24"/>
          <w:lang w:val="fr-FR"/>
        </w:rPr>
        <w:t>Voyons</w:t>
      </w:r>
      <w:r w:rsidR="00AF7ED3" w:rsidRPr="00953692">
        <w:rPr>
          <w:rFonts w:cs="Times New Roman"/>
          <w:sz w:val="24"/>
          <w:szCs w:val="24"/>
          <w:lang w:val="fr-FR"/>
        </w:rPr>
        <w:t>,</w:t>
      </w:r>
      <w:r w:rsidR="00565B4B" w:rsidRPr="00953692">
        <w:rPr>
          <w:rFonts w:cs="Times New Roman"/>
          <w:sz w:val="24"/>
          <w:szCs w:val="24"/>
          <w:lang w:val="fr-FR"/>
        </w:rPr>
        <w:t xml:space="preserve"> par exemple, qu’en a</w:t>
      </w:r>
      <w:r w:rsidR="003A4832" w:rsidRPr="00953692">
        <w:rPr>
          <w:rFonts w:cs="Times New Roman"/>
          <w:sz w:val="24"/>
          <w:szCs w:val="24"/>
          <w:lang w:val="fr-FR"/>
        </w:rPr>
        <w:t xml:space="preserve">ssociant l’article 40bis du RPP </w:t>
      </w:r>
      <w:r w:rsidR="00565B4B" w:rsidRPr="00953692">
        <w:rPr>
          <w:rFonts w:cs="Times New Roman"/>
          <w:sz w:val="24"/>
          <w:szCs w:val="24"/>
          <w:lang w:val="fr-FR"/>
        </w:rPr>
        <w:t>à</w:t>
      </w:r>
      <w:r w:rsidR="003A4832" w:rsidRPr="00953692">
        <w:rPr>
          <w:rFonts w:cs="Times New Roman"/>
          <w:sz w:val="24"/>
          <w:szCs w:val="24"/>
          <w:lang w:val="fr-FR"/>
        </w:rPr>
        <w:t xml:space="preserve"> l’article 14-3-a du PIDCP, la Chambre de première instance II </w:t>
      </w:r>
      <w:r w:rsidR="00780030" w:rsidRPr="00953692">
        <w:rPr>
          <w:rFonts w:cs="Times New Roman"/>
          <w:sz w:val="24"/>
          <w:szCs w:val="24"/>
          <w:lang w:val="fr-FR"/>
        </w:rPr>
        <w:t xml:space="preserve">du TPIR </w:t>
      </w:r>
      <w:r w:rsidR="003A4832" w:rsidRPr="00953692">
        <w:rPr>
          <w:rFonts w:cs="Times New Roman"/>
          <w:sz w:val="24"/>
          <w:szCs w:val="24"/>
          <w:lang w:val="fr-FR"/>
        </w:rPr>
        <w:t xml:space="preserve">a précisé, dans l’affaire Joseph </w:t>
      </w:r>
      <w:r w:rsidR="00B941A8" w:rsidRPr="00953692">
        <w:rPr>
          <w:sz w:val="24"/>
          <w:szCs w:val="24"/>
          <w:lang w:val="fr-FR"/>
        </w:rPr>
        <w:t>Kanyabashi</w:t>
      </w:r>
      <w:r w:rsidR="003A4832" w:rsidRPr="00953692">
        <w:rPr>
          <w:rFonts w:cs="Times New Roman"/>
          <w:sz w:val="24"/>
          <w:szCs w:val="24"/>
          <w:lang w:val="fr-FR"/>
        </w:rPr>
        <w:t>,</w:t>
      </w:r>
      <w:r w:rsidR="003E1642" w:rsidRPr="00953692">
        <w:rPr>
          <w:rFonts w:cs="Times New Roman"/>
          <w:sz w:val="24"/>
          <w:szCs w:val="24"/>
          <w:lang w:val="fr-FR"/>
        </w:rPr>
        <w:t xml:space="preserve"> que cette information devra être mise à la disposition de l’intéressé </w:t>
      </w:r>
      <w:r w:rsidR="006300CD" w:rsidRPr="00953692">
        <w:rPr>
          <w:rFonts w:cs="Times New Roman"/>
          <w:sz w:val="24"/>
          <w:szCs w:val="24"/>
          <w:lang w:val="fr-FR"/>
        </w:rPr>
        <w:t xml:space="preserve">au moment de l’inculpation ou </w:t>
      </w:r>
      <w:r w:rsidR="003E1642" w:rsidRPr="00953692">
        <w:rPr>
          <w:rFonts w:cs="Times New Roman"/>
          <w:sz w:val="24"/>
          <w:szCs w:val="24"/>
          <w:lang w:val="fr-FR"/>
        </w:rPr>
        <w:t>immédiatement</w:t>
      </w:r>
      <w:r w:rsidR="006300CD" w:rsidRPr="00953692">
        <w:rPr>
          <w:rFonts w:cs="Times New Roman"/>
          <w:sz w:val="24"/>
          <w:szCs w:val="24"/>
          <w:lang w:val="fr-FR"/>
        </w:rPr>
        <w:t xml:space="preserve"> après</w:t>
      </w:r>
      <w:r w:rsidR="00BE1250" w:rsidRPr="00953692">
        <w:rPr>
          <w:rStyle w:val="Appelnotedebasdep"/>
          <w:rFonts w:cs="Times New Roman"/>
          <w:sz w:val="24"/>
          <w:szCs w:val="24"/>
          <w:lang w:val="fr-FR"/>
        </w:rPr>
        <w:footnoteReference w:customMarkFollows="1" w:id="89"/>
        <w:t>68</w:t>
      </w:r>
      <w:r w:rsidR="003E1642" w:rsidRPr="00953692">
        <w:rPr>
          <w:rFonts w:cs="Times New Roman"/>
          <w:sz w:val="24"/>
          <w:szCs w:val="24"/>
          <w:lang w:val="fr-FR"/>
        </w:rPr>
        <w:t>.</w:t>
      </w:r>
      <w:r w:rsidR="00C806FD" w:rsidRPr="00953692">
        <w:rPr>
          <w:rFonts w:cs="Times New Roman"/>
          <w:sz w:val="24"/>
          <w:szCs w:val="24"/>
          <w:lang w:val="fr-FR"/>
        </w:rPr>
        <w:t xml:space="preserve"> </w:t>
      </w:r>
      <w:r w:rsidR="00E630CB" w:rsidRPr="00953692">
        <w:rPr>
          <w:rFonts w:cs="Times New Roman"/>
          <w:sz w:val="24"/>
          <w:szCs w:val="24"/>
          <w:lang w:val="fr-FR"/>
        </w:rPr>
        <w:t xml:space="preserve">Dans le même ordre d’idées, </w:t>
      </w:r>
      <w:r w:rsidR="00724BD4" w:rsidRPr="00953692">
        <w:rPr>
          <w:rFonts w:cs="Times New Roman"/>
          <w:sz w:val="24"/>
          <w:szCs w:val="24"/>
          <w:lang w:val="fr-FR"/>
        </w:rPr>
        <w:t>la jurisprudence de la Cour européenne des droits de l’homme a jugé conformes</w:t>
      </w:r>
      <w:r w:rsidR="00565B4B" w:rsidRPr="00953692">
        <w:rPr>
          <w:rFonts w:cs="Times New Roman"/>
          <w:sz w:val="24"/>
          <w:szCs w:val="24"/>
          <w:lang w:val="fr-FR"/>
        </w:rPr>
        <w:t>,</w:t>
      </w:r>
      <w:r w:rsidR="00724BD4" w:rsidRPr="00953692">
        <w:rPr>
          <w:rFonts w:cs="Times New Roman"/>
          <w:sz w:val="24"/>
          <w:szCs w:val="24"/>
          <w:lang w:val="fr-FR"/>
        </w:rPr>
        <w:t xml:space="preserve"> des intervalles allant jusqu’à 24 heures. Par contre, un délai de 10 jours a été jugé non conforme aux dispositions de l’article 5-2 de la Convention européenne</w:t>
      </w:r>
      <w:r w:rsidR="00BE1250" w:rsidRPr="00953692">
        <w:rPr>
          <w:rStyle w:val="Appelnotedebasdep"/>
          <w:rFonts w:cs="Times New Roman"/>
          <w:sz w:val="24"/>
          <w:szCs w:val="24"/>
          <w:lang w:val="fr-FR"/>
        </w:rPr>
        <w:footnoteReference w:customMarkFollows="1" w:id="90"/>
        <w:t>69</w:t>
      </w:r>
      <w:r w:rsidR="00724BD4" w:rsidRPr="00953692">
        <w:rPr>
          <w:rFonts w:cs="Times New Roman"/>
          <w:sz w:val="24"/>
          <w:szCs w:val="24"/>
          <w:lang w:val="fr-FR"/>
        </w:rPr>
        <w:t xml:space="preserve">. </w:t>
      </w:r>
      <w:r w:rsidR="00567C99" w:rsidRPr="00953692">
        <w:rPr>
          <w:rFonts w:cs="Times New Roman"/>
          <w:sz w:val="24"/>
          <w:szCs w:val="24"/>
          <w:lang w:val="fr-FR"/>
        </w:rPr>
        <w:t>Dans l’affaire Nyiramasuhuko, arrêtée au Kenya et transférée sous la garde du TPIR le 18 juillet 1997, le juge de la première instance</w:t>
      </w:r>
      <w:r w:rsidR="00B941A8" w:rsidRPr="00953692">
        <w:rPr>
          <w:rFonts w:cs="Times New Roman"/>
          <w:sz w:val="24"/>
          <w:szCs w:val="24"/>
          <w:lang w:val="fr-FR"/>
        </w:rPr>
        <w:t>,</w:t>
      </w:r>
      <w:r w:rsidR="00567C99" w:rsidRPr="00953692">
        <w:rPr>
          <w:rFonts w:cs="Times New Roman"/>
          <w:sz w:val="24"/>
          <w:szCs w:val="24"/>
          <w:lang w:val="fr-FR"/>
        </w:rPr>
        <w:t xml:space="preserve"> saisi</w:t>
      </w:r>
      <w:r w:rsidR="00B941A8" w:rsidRPr="00953692">
        <w:rPr>
          <w:rFonts w:cs="Times New Roman"/>
          <w:sz w:val="24"/>
          <w:szCs w:val="24"/>
          <w:lang w:val="fr-FR"/>
        </w:rPr>
        <w:t>e</w:t>
      </w:r>
      <w:r w:rsidR="00567C99" w:rsidRPr="00953692">
        <w:rPr>
          <w:rFonts w:cs="Times New Roman"/>
          <w:sz w:val="24"/>
          <w:szCs w:val="24"/>
          <w:lang w:val="fr-FR"/>
        </w:rPr>
        <w:t xml:space="preserve"> par la requête de cette dernière, a constaté qu’un délai de 8 jours entre l’arrestation, le transfert et la notification des accusations le 26 juillet 1997</w:t>
      </w:r>
      <w:r w:rsidR="00780030" w:rsidRPr="00953692">
        <w:rPr>
          <w:rFonts w:cs="Times New Roman"/>
          <w:sz w:val="24"/>
          <w:szCs w:val="24"/>
          <w:lang w:val="fr-FR"/>
        </w:rPr>
        <w:t>,</w:t>
      </w:r>
      <w:r w:rsidR="00567C99" w:rsidRPr="00953692">
        <w:rPr>
          <w:rFonts w:cs="Times New Roman"/>
          <w:sz w:val="24"/>
          <w:szCs w:val="24"/>
          <w:lang w:val="fr-FR"/>
        </w:rPr>
        <w:t xml:space="preserve"> constituait un </w:t>
      </w:r>
      <w:r w:rsidR="00567C99" w:rsidRPr="00953692">
        <w:rPr>
          <w:rFonts w:cs="Times New Roman"/>
          <w:sz w:val="24"/>
          <w:szCs w:val="24"/>
          <w:lang w:val="fr-FR"/>
        </w:rPr>
        <w:lastRenderedPageBreak/>
        <w:t>retard déplorable</w:t>
      </w:r>
      <w:r w:rsidR="00BE1250" w:rsidRPr="00953692">
        <w:rPr>
          <w:rStyle w:val="Appelnotedebasdep"/>
          <w:rFonts w:cs="Times New Roman"/>
          <w:sz w:val="24"/>
          <w:szCs w:val="24"/>
          <w:lang w:val="fr-FR"/>
        </w:rPr>
        <w:footnoteReference w:customMarkFollows="1" w:id="91"/>
        <w:t>70</w:t>
      </w:r>
      <w:r w:rsidR="00567C99" w:rsidRPr="00953692">
        <w:rPr>
          <w:rFonts w:cs="Times New Roman"/>
          <w:sz w:val="24"/>
          <w:szCs w:val="24"/>
          <w:lang w:val="fr-FR"/>
        </w:rPr>
        <w:t>.</w:t>
      </w:r>
      <w:r w:rsidR="00B941A8" w:rsidRPr="00953692">
        <w:rPr>
          <w:rFonts w:cs="Times New Roman"/>
          <w:sz w:val="24"/>
          <w:szCs w:val="24"/>
          <w:lang w:val="fr-FR"/>
        </w:rPr>
        <w:t xml:space="preserve"> Il en découle conséquemment, que l’</w:t>
      </w:r>
      <w:r w:rsidR="00957AC6" w:rsidRPr="00953692">
        <w:rPr>
          <w:rFonts w:cs="Times New Roman"/>
          <w:sz w:val="24"/>
          <w:szCs w:val="24"/>
          <w:lang w:val="fr-FR"/>
        </w:rPr>
        <w:t>appréciation</w:t>
      </w:r>
      <w:r w:rsidR="00CE276E" w:rsidRPr="00953692">
        <w:rPr>
          <w:rFonts w:cs="Times New Roman"/>
          <w:sz w:val="24"/>
          <w:szCs w:val="24"/>
          <w:lang w:val="fr-FR"/>
        </w:rPr>
        <w:t xml:space="preserve"> de cet intervalle de temps devra être faite</w:t>
      </w:r>
      <w:r w:rsidR="00957AC6" w:rsidRPr="00953692">
        <w:rPr>
          <w:rFonts w:cs="Times New Roman"/>
          <w:sz w:val="24"/>
          <w:szCs w:val="24"/>
          <w:lang w:val="fr-FR"/>
        </w:rPr>
        <w:t xml:space="preserve"> au cas par cas, comme l’a précisé la Chambre d’appel du TPIR</w:t>
      </w:r>
      <w:r w:rsidR="00BE1250" w:rsidRPr="00953692">
        <w:rPr>
          <w:rStyle w:val="Appelnotedebasdep"/>
          <w:rFonts w:cs="Times New Roman"/>
          <w:sz w:val="24"/>
          <w:szCs w:val="24"/>
          <w:lang w:val="fr-FR"/>
        </w:rPr>
        <w:footnoteReference w:customMarkFollows="1" w:id="92"/>
        <w:t>71</w:t>
      </w:r>
      <w:r w:rsidR="00CE276E" w:rsidRPr="00953692">
        <w:rPr>
          <w:rFonts w:cs="Times New Roman"/>
          <w:sz w:val="24"/>
          <w:szCs w:val="24"/>
          <w:lang w:val="fr-FR"/>
        </w:rPr>
        <w:t>.</w:t>
      </w:r>
    </w:p>
    <w:p w14:paraId="6F5BE34C" w14:textId="2E84E313" w:rsidR="00E43D71" w:rsidRPr="00953692" w:rsidRDefault="00D77B33"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98</w:t>
      </w:r>
      <w:r w:rsidR="00895D6C" w:rsidRPr="00953692">
        <w:rPr>
          <w:rFonts w:cs="Times New Roman"/>
          <w:b/>
          <w:bCs/>
          <w:sz w:val="24"/>
          <w:szCs w:val="24"/>
          <w:lang w:val="fr-FR"/>
        </w:rPr>
        <w:t>.</w:t>
      </w:r>
      <w:r w:rsidR="00895D6C" w:rsidRPr="00953692">
        <w:rPr>
          <w:rFonts w:cs="Times New Roman"/>
          <w:sz w:val="24"/>
          <w:szCs w:val="24"/>
          <w:lang w:val="fr-FR"/>
        </w:rPr>
        <w:t xml:space="preserve"> </w:t>
      </w:r>
      <w:r w:rsidR="00B941A8" w:rsidRPr="00953692">
        <w:rPr>
          <w:rFonts w:cs="Times New Roman"/>
          <w:sz w:val="24"/>
          <w:szCs w:val="24"/>
          <w:lang w:val="fr-FR"/>
        </w:rPr>
        <w:t>Sur le plan pratique,</w:t>
      </w:r>
      <w:r w:rsidR="00D352CA" w:rsidRPr="00953692">
        <w:rPr>
          <w:rFonts w:cs="Times New Roman"/>
          <w:sz w:val="24"/>
          <w:szCs w:val="24"/>
          <w:lang w:val="fr-FR"/>
        </w:rPr>
        <w:t xml:space="preserve"> ce type d’expression</w:t>
      </w:r>
      <w:r w:rsidR="00B941A8" w:rsidRPr="00953692">
        <w:rPr>
          <w:rFonts w:cs="Times New Roman"/>
          <w:sz w:val="24"/>
          <w:szCs w:val="24"/>
          <w:lang w:val="fr-FR"/>
        </w:rPr>
        <w:t xml:space="preserve">s (dans le plus bref délai, dans le plus court délai, sans délai, rapidement ou dans un délai raisonnable) et la solution de les interpréter in concreto est toujours sujet à discussion. Cependant, </w:t>
      </w:r>
      <w:r w:rsidR="00895D6C" w:rsidRPr="00953692">
        <w:rPr>
          <w:rFonts w:cs="Times New Roman"/>
          <w:sz w:val="24"/>
          <w:szCs w:val="24"/>
          <w:lang w:val="fr-FR"/>
        </w:rPr>
        <w:t>cette question de l’intervalle de temps ne devait pas se poser</w:t>
      </w:r>
      <w:r w:rsidR="00977C47" w:rsidRPr="00953692">
        <w:rPr>
          <w:rFonts w:cs="Times New Roman"/>
          <w:sz w:val="24"/>
          <w:szCs w:val="24"/>
          <w:lang w:val="fr-FR"/>
        </w:rPr>
        <w:t xml:space="preserve"> dès </w:t>
      </w:r>
      <w:r w:rsidR="00895D6C" w:rsidRPr="00953692">
        <w:rPr>
          <w:rFonts w:cs="Times New Roman"/>
          <w:sz w:val="24"/>
          <w:szCs w:val="24"/>
          <w:lang w:val="fr-FR"/>
        </w:rPr>
        <w:t>lors que</w:t>
      </w:r>
      <w:r w:rsidR="00977C47" w:rsidRPr="00953692">
        <w:rPr>
          <w:rFonts w:cs="Times New Roman"/>
          <w:sz w:val="24"/>
          <w:szCs w:val="24"/>
          <w:lang w:val="fr-FR"/>
        </w:rPr>
        <w:t xml:space="preserve"> la signification du mandat d’arrêt ou de la citation</w:t>
      </w:r>
      <w:r w:rsidR="00780030" w:rsidRPr="00953692">
        <w:rPr>
          <w:rFonts w:cs="Times New Roman"/>
          <w:sz w:val="24"/>
          <w:szCs w:val="24"/>
          <w:lang w:val="fr-FR"/>
        </w:rPr>
        <w:t xml:space="preserve"> est effectuée</w:t>
      </w:r>
      <w:r w:rsidR="00977C47" w:rsidRPr="00953692">
        <w:rPr>
          <w:rFonts w:cs="Times New Roman"/>
          <w:sz w:val="24"/>
          <w:szCs w:val="24"/>
          <w:lang w:val="fr-FR"/>
        </w:rPr>
        <w:t xml:space="preserve"> au moment </w:t>
      </w:r>
      <w:r w:rsidR="00FC78B5" w:rsidRPr="00953692">
        <w:rPr>
          <w:rFonts w:cs="Times New Roman"/>
          <w:sz w:val="24"/>
          <w:szCs w:val="24"/>
          <w:lang w:val="fr-FR"/>
        </w:rPr>
        <w:t xml:space="preserve">même </w:t>
      </w:r>
      <w:r w:rsidR="00977C47" w:rsidRPr="00953692">
        <w:rPr>
          <w:rFonts w:cs="Times New Roman"/>
          <w:sz w:val="24"/>
          <w:szCs w:val="24"/>
          <w:lang w:val="fr-FR"/>
        </w:rPr>
        <w:t xml:space="preserve">de l’arrestation de la personne </w:t>
      </w:r>
      <w:r w:rsidR="00895D6C" w:rsidRPr="00953692">
        <w:rPr>
          <w:rFonts w:cs="Times New Roman"/>
          <w:sz w:val="24"/>
          <w:szCs w:val="24"/>
          <w:lang w:val="fr-FR"/>
        </w:rPr>
        <w:t xml:space="preserve">qui en </w:t>
      </w:r>
      <w:r w:rsidR="00780030" w:rsidRPr="00953692">
        <w:rPr>
          <w:rFonts w:cs="Times New Roman"/>
          <w:sz w:val="24"/>
          <w:szCs w:val="24"/>
          <w:lang w:val="fr-FR"/>
        </w:rPr>
        <w:t>est</w:t>
      </w:r>
      <w:r w:rsidR="00895D6C" w:rsidRPr="00953692">
        <w:rPr>
          <w:rFonts w:cs="Times New Roman"/>
          <w:sz w:val="24"/>
          <w:szCs w:val="24"/>
          <w:lang w:val="fr-FR"/>
        </w:rPr>
        <w:t xml:space="preserve"> l’objet</w:t>
      </w:r>
      <w:r w:rsidR="00977C47" w:rsidRPr="00953692">
        <w:rPr>
          <w:rFonts w:cs="Times New Roman"/>
          <w:sz w:val="24"/>
          <w:szCs w:val="24"/>
          <w:lang w:val="fr-FR"/>
        </w:rPr>
        <w:t xml:space="preserve">. </w:t>
      </w:r>
      <w:r w:rsidR="00895D6C" w:rsidRPr="00953692">
        <w:rPr>
          <w:rFonts w:cs="Times New Roman"/>
          <w:sz w:val="24"/>
          <w:szCs w:val="24"/>
          <w:lang w:val="fr-FR"/>
        </w:rPr>
        <w:t>Si c</w:t>
      </w:r>
      <w:r w:rsidR="0018285D" w:rsidRPr="00953692">
        <w:rPr>
          <w:rFonts w:cs="Times New Roman"/>
          <w:sz w:val="24"/>
          <w:szCs w:val="24"/>
          <w:lang w:val="fr-FR"/>
        </w:rPr>
        <w:t>es actes de procédure sont par nature révélateurs de</w:t>
      </w:r>
      <w:r w:rsidR="007F4850" w:rsidRPr="00953692">
        <w:rPr>
          <w:rFonts w:cs="Times New Roman"/>
          <w:sz w:val="24"/>
          <w:szCs w:val="24"/>
          <w:lang w:val="fr-FR"/>
        </w:rPr>
        <w:t xml:space="preserve">s faits et </w:t>
      </w:r>
      <w:r w:rsidR="00AF7ED3" w:rsidRPr="00953692">
        <w:rPr>
          <w:rFonts w:cs="Times New Roman"/>
          <w:sz w:val="24"/>
          <w:szCs w:val="24"/>
          <w:lang w:val="fr-FR"/>
        </w:rPr>
        <w:t xml:space="preserve">des </w:t>
      </w:r>
      <w:r w:rsidR="007F4850" w:rsidRPr="00953692">
        <w:rPr>
          <w:rFonts w:cs="Times New Roman"/>
          <w:sz w:val="24"/>
          <w:szCs w:val="24"/>
          <w:lang w:val="fr-FR"/>
        </w:rPr>
        <w:t>accusations,</w:t>
      </w:r>
      <w:r w:rsidR="00895D6C" w:rsidRPr="00953692">
        <w:rPr>
          <w:rFonts w:cs="Times New Roman"/>
          <w:sz w:val="24"/>
          <w:szCs w:val="24"/>
          <w:lang w:val="fr-FR"/>
        </w:rPr>
        <w:t xml:space="preserve"> informations dont l’accusé a besoin</w:t>
      </w:r>
      <w:r w:rsidR="00C77181" w:rsidRPr="00953692">
        <w:rPr>
          <w:rFonts w:cs="Times New Roman"/>
          <w:sz w:val="24"/>
          <w:szCs w:val="24"/>
          <w:lang w:val="fr-FR"/>
        </w:rPr>
        <w:t xml:space="preserve"> de prime abord</w:t>
      </w:r>
      <w:r w:rsidR="00895D6C" w:rsidRPr="00953692">
        <w:rPr>
          <w:rFonts w:cs="Times New Roman"/>
          <w:sz w:val="24"/>
          <w:szCs w:val="24"/>
          <w:lang w:val="fr-FR"/>
        </w:rPr>
        <w:t>,</w:t>
      </w:r>
      <w:r w:rsidR="007F4850" w:rsidRPr="00953692">
        <w:rPr>
          <w:rFonts w:cs="Times New Roman"/>
          <w:sz w:val="24"/>
          <w:szCs w:val="24"/>
          <w:lang w:val="fr-FR"/>
        </w:rPr>
        <w:t xml:space="preserve"> leur signification indique </w:t>
      </w:r>
      <w:r w:rsidR="00895D6C" w:rsidRPr="00953692">
        <w:rPr>
          <w:rFonts w:cs="Times New Roman"/>
          <w:sz w:val="24"/>
          <w:szCs w:val="24"/>
          <w:lang w:val="fr-FR"/>
        </w:rPr>
        <w:t>plutôt</w:t>
      </w:r>
      <w:r w:rsidR="007F4850" w:rsidRPr="00953692">
        <w:rPr>
          <w:rFonts w:cs="Times New Roman"/>
          <w:sz w:val="24"/>
          <w:szCs w:val="24"/>
          <w:lang w:val="fr-FR"/>
        </w:rPr>
        <w:t xml:space="preserve"> le moment précis </w:t>
      </w:r>
      <w:r w:rsidR="00895D6C" w:rsidRPr="00953692">
        <w:rPr>
          <w:rFonts w:cs="Times New Roman"/>
          <w:sz w:val="24"/>
          <w:szCs w:val="24"/>
          <w:lang w:val="fr-FR"/>
        </w:rPr>
        <w:t>au cours duquel ce droit</w:t>
      </w:r>
      <w:r w:rsidR="007F4850" w:rsidRPr="00953692">
        <w:rPr>
          <w:rFonts w:cs="Times New Roman"/>
          <w:sz w:val="24"/>
          <w:szCs w:val="24"/>
          <w:lang w:val="fr-FR"/>
        </w:rPr>
        <w:t xml:space="preserve"> à l’information</w:t>
      </w:r>
      <w:r w:rsidR="00895D6C" w:rsidRPr="00953692">
        <w:rPr>
          <w:rFonts w:cs="Times New Roman"/>
          <w:sz w:val="24"/>
          <w:szCs w:val="24"/>
          <w:lang w:val="fr-FR"/>
        </w:rPr>
        <w:t xml:space="preserve"> a été réalisé</w:t>
      </w:r>
      <w:r w:rsidR="007F4850" w:rsidRPr="00953692">
        <w:rPr>
          <w:rFonts w:cs="Times New Roman"/>
          <w:sz w:val="24"/>
          <w:szCs w:val="24"/>
          <w:lang w:val="fr-FR"/>
        </w:rPr>
        <w:t>.</w:t>
      </w:r>
    </w:p>
    <w:p w14:paraId="00EE3771" w14:textId="1420A3ED" w:rsidR="00075EE9" w:rsidRPr="00953692" w:rsidRDefault="00D77B33"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99.</w:t>
      </w:r>
      <w:r w:rsidRPr="00953692">
        <w:rPr>
          <w:rFonts w:cs="Times New Roman"/>
          <w:sz w:val="24"/>
          <w:szCs w:val="24"/>
          <w:lang w:val="fr-FR"/>
        </w:rPr>
        <w:t xml:space="preserve"> </w:t>
      </w:r>
      <w:r w:rsidR="007F4850" w:rsidRPr="00953692">
        <w:rPr>
          <w:rFonts w:cs="Times New Roman"/>
          <w:sz w:val="24"/>
          <w:szCs w:val="24"/>
          <w:lang w:val="fr-FR"/>
        </w:rPr>
        <w:t>Mais, il n’y a pratiquement rien de formalisme, car les actes constitutifs ou autres textes juridiques n’en prévoient aucune forme particulière</w:t>
      </w:r>
      <w:r w:rsidR="003C3C94" w:rsidRPr="00953692">
        <w:rPr>
          <w:rFonts w:cs="Times New Roman"/>
          <w:sz w:val="24"/>
          <w:szCs w:val="24"/>
          <w:lang w:val="fr-FR"/>
        </w:rPr>
        <w:t>ment</w:t>
      </w:r>
      <w:r w:rsidR="007F4850" w:rsidRPr="00953692">
        <w:rPr>
          <w:rFonts w:cs="Times New Roman"/>
          <w:sz w:val="24"/>
          <w:szCs w:val="24"/>
          <w:lang w:val="fr-FR"/>
        </w:rPr>
        <w:t xml:space="preserve"> obligatoire. L’autorité judiciaire qui conteste l’allégation de violation du droit </w:t>
      </w:r>
      <w:r w:rsidR="00895D6C" w:rsidRPr="00953692">
        <w:rPr>
          <w:rFonts w:cs="Times New Roman"/>
          <w:sz w:val="24"/>
          <w:szCs w:val="24"/>
          <w:lang w:val="fr-FR"/>
        </w:rPr>
        <w:t>d’être informé dans le plus court délai</w:t>
      </w:r>
      <w:r w:rsidR="007F4850" w:rsidRPr="00953692">
        <w:rPr>
          <w:rFonts w:cs="Times New Roman"/>
          <w:sz w:val="24"/>
          <w:szCs w:val="24"/>
          <w:lang w:val="fr-FR"/>
        </w:rPr>
        <w:t xml:space="preserve"> </w:t>
      </w:r>
      <w:r w:rsidR="00C77181" w:rsidRPr="00953692">
        <w:rPr>
          <w:rFonts w:cs="Times New Roman"/>
          <w:sz w:val="24"/>
          <w:szCs w:val="24"/>
          <w:lang w:val="fr-FR"/>
        </w:rPr>
        <w:t>soulevée</w:t>
      </w:r>
      <w:r w:rsidR="007F4850" w:rsidRPr="00953692">
        <w:rPr>
          <w:rFonts w:cs="Times New Roman"/>
          <w:sz w:val="24"/>
          <w:szCs w:val="24"/>
          <w:lang w:val="fr-FR"/>
        </w:rPr>
        <w:t xml:space="preserve"> par le suspect ou l’accusé devra plutôt apporter la preuve que ce dernier a bien été informé</w:t>
      </w:r>
      <w:r w:rsidR="00C77181" w:rsidRPr="00953692">
        <w:rPr>
          <w:rFonts w:cs="Times New Roman"/>
          <w:sz w:val="24"/>
          <w:szCs w:val="24"/>
          <w:lang w:val="fr-FR"/>
        </w:rPr>
        <w:t xml:space="preserve"> au moment de son arrestation ou justement après</w:t>
      </w:r>
      <w:r w:rsidR="00141231" w:rsidRPr="00953692">
        <w:rPr>
          <w:rFonts w:cs="Times New Roman"/>
          <w:sz w:val="24"/>
          <w:szCs w:val="24"/>
          <w:lang w:val="fr-FR"/>
        </w:rPr>
        <w:t xml:space="preserve"> celle-ci</w:t>
      </w:r>
      <w:r w:rsidR="007F4850" w:rsidRPr="00953692">
        <w:rPr>
          <w:rFonts w:cs="Times New Roman"/>
          <w:sz w:val="24"/>
          <w:szCs w:val="24"/>
          <w:lang w:val="fr-FR"/>
        </w:rPr>
        <w:t>.</w:t>
      </w:r>
    </w:p>
    <w:p w14:paraId="0C8B5C5C" w14:textId="7F846F88" w:rsidR="00414154" w:rsidRPr="00953692" w:rsidRDefault="00D77B33" w:rsidP="00864BBF">
      <w:pPr>
        <w:spacing w:after="0" w:line="276" w:lineRule="auto"/>
        <w:ind w:firstLine="1134"/>
        <w:jc w:val="both"/>
        <w:rPr>
          <w:sz w:val="24"/>
          <w:szCs w:val="24"/>
          <w:lang w:val="fr-FR"/>
        </w:rPr>
      </w:pPr>
      <w:r w:rsidRPr="00953692">
        <w:rPr>
          <w:rFonts w:cs="Times New Roman"/>
          <w:b/>
          <w:bCs/>
          <w:sz w:val="24"/>
          <w:szCs w:val="24"/>
          <w:lang w:val="fr-FR"/>
        </w:rPr>
        <w:t>100</w:t>
      </w:r>
      <w:r w:rsidR="00385403" w:rsidRPr="00953692">
        <w:rPr>
          <w:rFonts w:cs="Times New Roman"/>
          <w:b/>
          <w:bCs/>
          <w:sz w:val="24"/>
          <w:szCs w:val="24"/>
          <w:lang w:val="fr-FR"/>
        </w:rPr>
        <w:t>.</w:t>
      </w:r>
      <w:r w:rsidR="00385403" w:rsidRPr="00953692">
        <w:rPr>
          <w:rFonts w:cs="Times New Roman"/>
          <w:sz w:val="24"/>
          <w:szCs w:val="24"/>
          <w:lang w:val="fr-FR"/>
        </w:rPr>
        <w:t xml:space="preserve"> </w:t>
      </w:r>
      <w:r w:rsidR="0077490D" w:rsidRPr="00953692">
        <w:rPr>
          <w:rFonts w:cs="Times New Roman"/>
          <w:sz w:val="24"/>
          <w:szCs w:val="24"/>
          <w:lang w:val="fr-FR"/>
        </w:rPr>
        <w:t xml:space="preserve">Dans l’affaire Karemera devant la </w:t>
      </w:r>
      <w:r w:rsidR="00895D6C" w:rsidRPr="00953692">
        <w:rPr>
          <w:rFonts w:cs="Times New Roman"/>
          <w:sz w:val="24"/>
          <w:szCs w:val="24"/>
          <w:lang w:val="fr-FR"/>
        </w:rPr>
        <w:t>C</w:t>
      </w:r>
      <w:r w:rsidR="0077490D" w:rsidRPr="00953692">
        <w:rPr>
          <w:rFonts w:cs="Times New Roman"/>
          <w:sz w:val="24"/>
          <w:szCs w:val="24"/>
          <w:lang w:val="fr-FR"/>
        </w:rPr>
        <w:t xml:space="preserve">hambre de première instance III du TPIR, l’accusé a évoqué la violation de </w:t>
      </w:r>
      <w:r w:rsidRPr="00953692">
        <w:rPr>
          <w:rFonts w:cs="Times New Roman"/>
          <w:sz w:val="24"/>
          <w:szCs w:val="24"/>
          <w:lang w:val="fr-FR"/>
        </w:rPr>
        <w:t>ce</w:t>
      </w:r>
      <w:r w:rsidR="0077490D" w:rsidRPr="00953692">
        <w:rPr>
          <w:rFonts w:cs="Times New Roman"/>
          <w:sz w:val="24"/>
          <w:szCs w:val="24"/>
          <w:lang w:val="fr-FR"/>
        </w:rPr>
        <w:t xml:space="preserve"> droit</w:t>
      </w:r>
      <w:r w:rsidRPr="00953692">
        <w:rPr>
          <w:rFonts w:cs="Times New Roman"/>
          <w:sz w:val="24"/>
          <w:szCs w:val="24"/>
          <w:lang w:val="fr-FR"/>
        </w:rPr>
        <w:t xml:space="preserve"> à l’information</w:t>
      </w:r>
      <w:r w:rsidR="0077490D" w:rsidRPr="00953692">
        <w:rPr>
          <w:rFonts w:cs="Times New Roman"/>
          <w:sz w:val="24"/>
          <w:szCs w:val="24"/>
          <w:lang w:val="fr-FR"/>
        </w:rPr>
        <w:t xml:space="preserve"> </w:t>
      </w:r>
      <w:r w:rsidR="00895D6C" w:rsidRPr="00953692">
        <w:rPr>
          <w:rFonts w:cs="Times New Roman"/>
          <w:sz w:val="24"/>
          <w:szCs w:val="24"/>
          <w:lang w:val="fr-FR"/>
        </w:rPr>
        <w:t xml:space="preserve">ayant </w:t>
      </w:r>
      <w:r w:rsidR="0077490D" w:rsidRPr="00953692">
        <w:rPr>
          <w:rFonts w:cs="Times New Roman"/>
          <w:sz w:val="24"/>
          <w:szCs w:val="24"/>
          <w:lang w:val="fr-FR"/>
        </w:rPr>
        <w:t>considér</w:t>
      </w:r>
      <w:r w:rsidR="00895D6C" w:rsidRPr="00953692">
        <w:rPr>
          <w:rFonts w:cs="Times New Roman"/>
          <w:sz w:val="24"/>
          <w:szCs w:val="24"/>
          <w:lang w:val="fr-FR"/>
        </w:rPr>
        <w:t>é</w:t>
      </w:r>
      <w:r w:rsidR="0077490D" w:rsidRPr="00953692">
        <w:rPr>
          <w:rFonts w:cs="Times New Roman"/>
          <w:sz w:val="24"/>
          <w:szCs w:val="24"/>
          <w:lang w:val="fr-FR"/>
        </w:rPr>
        <w:t xml:space="preserve"> qu’il n’a pas été informé en date du 5 juin 1998</w:t>
      </w:r>
      <w:r w:rsidR="00C77181" w:rsidRPr="00953692">
        <w:rPr>
          <w:rFonts w:cs="Times New Roman"/>
          <w:sz w:val="24"/>
          <w:szCs w:val="24"/>
          <w:lang w:val="fr-FR"/>
        </w:rPr>
        <w:t>,</w:t>
      </w:r>
      <w:r w:rsidR="0077490D" w:rsidRPr="00953692">
        <w:rPr>
          <w:rFonts w:cs="Times New Roman"/>
          <w:sz w:val="24"/>
          <w:szCs w:val="24"/>
          <w:lang w:val="fr-FR"/>
        </w:rPr>
        <w:t xml:space="preserve"> au moment de son arrestation</w:t>
      </w:r>
      <w:r w:rsidR="00895D6C" w:rsidRPr="00953692">
        <w:rPr>
          <w:rFonts w:cs="Times New Roman"/>
          <w:sz w:val="24"/>
          <w:szCs w:val="24"/>
          <w:lang w:val="fr-FR"/>
        </w:rPr>
        <w:t>,</w:t>
      </w:r>
      <w:r w:rsidR="0077490D" w:rsidRPr="00953692">
        <w:rPr>
          <w:rFonts w:cs="Times New Roman"/>
          <w:sz w:val="24"/>
          <w:szCs w:val="24"/>
          <w:lang w:val="fr-FR"/>
        </w:rPr>
        <w:t xml:space="preserve"> mais plutôt le 2 septembre</w:t>
      </w:r>
      <w:r w:rsidRPr="00953692">
        <w:rPr>
          <w:rFonts w:cs="Times New Roman"/>
          <w:sz w:val="24"/>
          <w:szCs w:val="24"/>
          <w:lang w:val="fr-FR"/>
        </w:rPr>
        <w:t>,</w:t>
      </w:r>
      <w:r w:rsidR="0077490D" w:rsidRPr="00953692">
        <w:rPr>
          <w:rFonts w:cs="Times New Roman"/>
          <w:sz w:val="24"/>
          <w:szCs w:val="24"/>
          <w:lang w:val="fr-FR"/>
        </w:rPr>
        <w:t xml:space="preserve"> date de la signification de l’acte d’accusation. Une démarche qui a été soutenu par son coaccusé Ngirumpatse</w:t>
      </w:r>
      <w:r w:rsidR="00895D6C" w:rsidRPr="00953692">
        <w:rPr>
          <w:rFonts w:cs="Times New Roman"/>
          <w:sz w:val="24"/>
          <w:szCs w:val="24"/>
          <w:lang w:val="fr-FR"/>
        </w:rPr>
        <w:t>.</w:t>
      </w:r>
      <w:r w:rsidR="0077490D" w:rsidRPr="00953692">
        <w:rPr>
          <w:rFonts w:cs="Times New Roman"/>
          <w:sz w:val="24"/>
          <w:szCs w:val="24"/>
          <w:lang w:val="fr-FR"/>
        </w:rPr>
        <w:t xml:space="preserve"> Pour la Chambre, les accusés soutiennent plutôt n’avoir pas été correctement informés</w:t>
      </w:r>
      <w:r w:rsidRPr="00953692">
        <w:rPr>
          <w:rFonts w:cs="Times New Roman"/>
          <w:sz w:val="24"/>
          <w:szCs w:val="24"/>
          <w:lang w:val="fr-FR"/>
        </w:rPr>
        <w:t xml:space="preserve"> (vice de procédure)</w:t>
      </w:r>
      <w:r w:rsidR="0077490D" w:rsidRPr="00953692">
        <w:rPr>
          <w:rFonts w:cs="Times New Roman"/>
          <w:sz w:val="24"/>
          <w:szCs w:val="24"/>
          <w:lang w:val="fr-FR"/>
        </w:rPr>
        <w:t xml:space="preserve">, car </w:t>
      </w:r>
      <w:r w:rsidR="0077490D" w:rsidRPr="00953692">
        <w:rPr>
          <w:rFonts w:cs="Times New Roman"/>
          <w:i/>
          <w:iCs/>
          <w:sz w:val="24"/>
          <w:szCs w:val="24"/>
          <w:lang w:val="fr-FR"/>
        </w:rPr>
        <w:t xml:space="preserve">Karemera a dit avoir reçu </w:t>
      </w:r>
      <w:r w:rsidR="0077490D" w:rsidRPr="00953692">
        <w:rPr>
          <w:i/>
          <w:iCs/>
          <w:sz w:val="24"/>
          <w:szCs w:val="24"/>
          <w:lang w:val="fr-FR"/>
        </w:rPr>
        <w:t xml:space="preserve">plusieurs documents le jour de son arrestation, y compris une lettre du 27 mai 1998 par laquelle le Procureur sollicitait, pour le faire appréhender, l'assistance du Ministre togolais de la </w:t>
      </w:r>
      <w:r w:rsidR="00AF7ED3" w:rsidRPr="00953692">
        <w:rPr>
          <w:i/>
          <w:iCs/>
          <w:sz w:val="24"/>
          <w:szCs w:val="24"/>
          <w:lang w:val="fr-FR"/>
        </w:rPr>
        <w:t>J</w:t>
      </w:r>
      <w:r w:rsidR="0077490D" w:rsidRPr="00953692">
        <w:rPr>
          <w:i/>
          <w:iCs/>
          <w:sz w:val="24"/>
          <w:szCs w:val="24"/>
          <w:lang w:val="fr-FR"/>
        </w:rPr>
        <w:t>ustice</w:t>
      </w:r>
      <w:r w:rsidR="0029114F" w:rsidRPr="00953692">
        <w:rPr>
          <w:sz w:val="24"/>
          <w:szCs w:val="24"/>
          <w:lang w:val="fr-FR"/>
        </w:rPr>
        <w:t xml:space="preserve">. </w:t>
      </w:r>
    </w:p>
    <w:p w14:paraId="5A872BE5" w14:textId="444D48F5" w:rsidR="00686764" w:rsidRPr="00953692" w:rsidRDefault="00D77B33" w:rsidP="00864BBF">
      <w:pPr>
        <w:spacing w:after="0" w:line="276" w:lineRule="auto"/>
        <w:ind w:firstLine="1134"/>
        <w:jc w:val="both"/>
        <w:rPr>
          <w:sz w:val="24"/>
          <w:szCs w:val="24"/>
          <w:lang w:val="fr-FR"/>
        </w:rPr>
      </w:pPr>
      <w:r w:rsidRPr="00953692">
        <w:rPr>
          <w:b/>
          <w:bCs/>
          <w:sz w:val="24"/>
          <w:szCs w:val="24"/>
          <w:lang w:val="fr-FR"/>
        </w:rPr>
        <w:t>101.</w:t>
      </w:r>
      <w:r w:rsidRPr="00953692">
        <w:rPr>
          <w:sz w:val="24"/>
          <w:szCs w:val="24"/>
          <w:lang w:val="fr-FR"/>
        </w:rPr>
        <w:t xml:space="preserve"> </w:t>
      </w:r>
      <w:r w:rsidR="0029114F" w:rsidRPr="00953692">
        <w:rPr>
          <w:sz w:val="24"/>
          <w:szCs w:val="24"/>
          <w:lang w:val="fr-FR"/>
        </w:rPr>
        <w:t>Il a reconnu avoir pris connaissance de la teneur de cette lettre et un juge de la première instance a confirmé que celle-ci indiquait que le Procureur po</w:t>
      </w:r>
      <w:r w:rsidR="00385403" w:rsidRPr="00953692">
        <w:rPr>
          <w:sz w:val="24"/>
          <w:szCs w:val="24"/>
          <w:lang w:val="fr-FR"/>
        </w:rPr>
        <w:t>ssé</w:t>
      </w:r>
      <w:r w:rsidR="0029114F" w:rsidRPr="00953692">
        <w:rPr>
          <w:sz w:val="24"/>
          <w:szCs w:val="24"/>
          <w:lang w:val="fr-FR"/>
        </w:rPr>
        <w:t xml:space="preserve">dait des </w:t>
      </w:r>
      <w:r w:rsidR="00385403" w:rsidRPr="00953692">
        <w:rPr>
          <w:sz w:val="24"/>
          <w:szCs w:val="24"/>
          <w:lang w:val="fr-FR"/>
        </w:rPr>
        <w:t>élé</w:t>
      </w:r>
      <w:r w:rsidR="0029114F" w:rsidRPr="00953692">
        <w:rPr>
          <w:sz w:val="24"/>
          <w:szCs w:val="24"/>
          <w:lang w:val="fr-FR"/>
        </w:rPr>
        <w:t>ments de preuve tendant à démontrer que le suspect aurait commis des crimes relevant de la comp</w:t>
      </w:r>
      <w:r w:rsidR="00AF7ED3" w:rsidRPr="00953692">
        <w:rPr>
          <w:sz w:val="24"/>
          <w:szCs w:val="24"/>
          <w:lang w:val="fr-FR"/>
        </w:rPr>
        <w:t>é</w:t>
      </w:r>
      <w:r w:rsidR="0029114F" w:rsidRPr="00953692">
        <w:rPr>
          <w:sz w:val="24"/>
          <w:szCs w:val="24"/>
          <w:lang w:val="fr-FR"/>
        </w:rPr>
        <w:t xml:space="preserve">tence du Tribunal. La </w:t>
      </w:r>
      <w:r w:rsidR="00385403" w:rsidRPr="00953692">
        <w:rPr>
          <w:sz w:val="24"/>
          <w:szCs w:val="24"/>
          <w:lang w:val="fr-FR"/>
        </w:rPr>
        <w:t>C</w:t>
      </w:r>
      <w:r w:rsidR="0029114F" w:rsidRPr="00953692">
        <w:rPr>
          <w:sz w:val="24"/>
          <w:szCs w:val="24"/>
          <w:lang w:val="fr-FR"/>
        </w:rPr>
        <w:t>hambre</w:t>
      </w:r>
      <w:r w:rsidR="00385403" w:rsidRPr="00953692">
        <w:rPr>
          <w:sz w:val="24"/>
          <w:szCs w:val="24"/>
          <w:lang w:val="fr-FR"/>
        </w:rPr>
        <w:t>,</w:t>
      </w:r>
      <w:r w:rsidR="0029114F" w:rsidRPr="00953692">
        <w:rPr>
          <w:sz w:val="24"/>
          <w:szCs w:val="24"/>
          <w:lang w:val="fr-FR"/>
        </w:rPr>
        <w:t xml:space="preserve"> qui a constaté que 52 jours se sont écoulé</w:t>
      </w:r>
      <w:r w:rsidR="00B36137" w:rsidRPr="00953692">
        <w:rPr>
          <w:sz w:val="24"/>
          <w:szCs w:val="24"/>
          <w:lang w:val="fr-FR"/>
        </w:rPr>
        <w:t>s</w:t>
      </w:r>
      <w:r w:rsidR="0029114F" w:rsidRPr="00953692">
        <w:rPr>
          <w:sz w:val="24"/>
          <w:szCs w:val="24"/>
          <w:lang w:val="fr-FR"/>
        </w:rPr>
        <w:t xml:space="preserve"> entre l’arrestation et la notification de l’acte d’accusation</w:t>
      </w:r>
      <w:r w:rsidR="00385403" w:rsidRPr="00953692">
        <w:rPr>
          <w:sz w:val="24"/>
          <w:szCs w:val="24"/>
          <w:lang w:val="fr-FR"/>
        </w:rPr>
        <w:t>,</w:t>
      </w:r>
      <w:r w:rsidR="0029114F" w:rsidRPr="00953692">
        <w:rPr>
          <w:sz w:val="24"/>
          <w:szCs w:val="24"/>
          <w:lang w:val="fr-FR"/>
        </w:rPr>
        <w:t xml:space="preserve"> a néanmoins tenu </w:t>
      </w:r>
      <w:r w:rsidR="00385403" w:rsidRPr="00953692">
        <w:rPr>
          <w:sz w:val="24"/>
          <w:szCs w:val="24"/>
          <w:lang w:val="fr-FR"/>
        </w:rPr>
        <w:t>compte de</w:t>
      </w:r>
      <w:r w:rsidR="0029114F" w:rsidRPr="00953692">
        <w:rPr>
          <w:sz w:val="24"/>
          <w:szCs w:val="24"/>
          <w:lang w:val="fr-FR"/>
        </w:rPr>
        <w:t xml:space="preserve"> cette missive,</w:t>
      </w:r>
      <w:r w:rsidR="00385403" w:rsidRPr="00953692">
        <w:rPr>
          <w:sz w:val="24"/>
          <w:szCs w:val="24"/>
          <w:lang w:val="fr-FR"/>
        </w:rPr>
        <w:t xml:space="preserve"> pour</w:t>
      </w:r>
      <w:r w:rsidR="0029114F" w:rsidRPr="00953692">
        <w:rPr>
          <w:sz w:val="24"/>
          <w:szCs w:val="24"/>
          <w:lang w:val="fr-FR"/>
        </w:rPr>
        <w:t xml:space="preserve"> jug</w:t>
      </w:r>
      <w:r w:rsidR="00385403" w:rsidRPr="00953692">
        <w:rPr>
          <w:sz w:val="24"/>
          <w:szCs w:val="24"/>
          <w:lang w:val="fr-FR"/>
        </w:rPr>
        <w:t xml:space="preserve">er </w:t>
      </w:r>
      <w:r w:rsidR="0029114F" w:rsidRPr="00953692">
        <w:rPr>
          <w:sz w:val="24"/>
          <w:szCs w:val="24"/>
          <w:lang w:val="fr-FR"/>
        </w:rPr>
        <w:t xml:space="preserve">que l’accusé a été informé en temps voulu de la liste effective des faits qui lui </w:t>
      </w:r>
      <w:r w:rsidR="00C77181" w:rsidRPr="00953692">
        <w:rPr>
          <w:sz w:val="24"/>
          <w:szCs w:val="24"/>
          <w:lang w:val="fr-FR"/>
        </w:rPr>
        <w:t>avaient</w:t>
      </w:r>
      <w:r w:rsidR="00385403" w:rsidRPr="00953692">
        <w:rPr>
          <w:sz w:val="24"/>
          <w:szCs w:val="24"/>
          <w:lang w:val="fr-FR"/>
        </w:rPr>
        <w:t xml:space="preserve"> été</w:t>
      </w:r>
      <w:r w:rsidR="0029114F" w:rsidRPr="00953692">
        <w:rPr>
          <w:sz w:val="24"/>
          <w:szCs w:val="24"/>
          <w:lang w:val="fr-FR"/>
        </w:rPr>
        <w:t xml:space="preserve"> reprochés</w:t>
      </w:r>
      <w:r w:rsidR="00BE1250" w:rsidRPr="00953692">
        <w:rPr>
          <w:rStyle w:val="Appelnotedebasdep"/>
          <w:sz w:val="24"/>
          <w:szCs w:val="24"/>
          <w:lang w:val="fr-FR"/>
        </w:rPr>
        <w:footnoteReference w:customMarkFollows="1" w:id="93"/>
        <w:t>72</w:t>
      </w:r>
      <w:r w:rsidR="0029114F" w:rsidRPr="00953692">
        <w:rPr>
          <w:sz w:val="24"/>
          <w:szCs w:val="24"/>
          <w:lang w:val="fr-FR"/>
        </w:rPr>
        <w:t>.</w:t>
      </w:r>
    </w:p>
    <w:p w14:paraId="2B27D7B7" w14:textId="7DCB82F2" w:rsidR="00580FF5" w:rsidRPr="00953692" w:rsidRDefault="00D77B33" w:rsidP="00864BBF">
      <w:pPr>
        <w:spacing w:after="0" w:line="276" w:lineRule="auto"/>
        <w:ind w:firstLine="1134"/>
        <w:jc w:val="both"/>
        <w:rPr>
          <w:sz w:val="24"/>
          <w:szCs w:val="24"/>
          <w:lang w:val="fr-FR"/>
        </w:rPr>
      </w:pPr>
      <w:r w:rsidRPr="00953692">
        <w:rPr>
          <w:rFonts w:cs="Times New Roman"/>
          <w:b/>
          <w:bCs/>
          <w:sz w:val="24"/>
          <w:szCs w:val="24"/>
          <w:lang w:val="fr-FR"/>
        </w:rPr>
        <w:t>102</w:t>
      </w:r>
      <w:r w:rsidR="00686764" w:rsidRPr="00953692">
        <w:rPr>
          <w:rFonts w:cs="Times New Roman"/>
          <w:b/>
          <w:bCs/>
          <w:sz w:val="24"/>
          <w:szCs w:val="24"/>
          <w:lang w:val="fr-FR"/>
        </w:rPr>
        <w:t>.</w:t>
      </w:r>
      <w:r w:rsidR="00686764" w:rsidRPr="00953692">
        <w:rPr>
          <w:rFonts w:cs="Times New Roman"/>
          <w:sz w:val="24"/>
          <w:szCs w:val="24"/>
          <w:lang w:val="fr-FR"/>
        </w:rPr>
        <w:t xml:space="preserve"> </w:t>
      </w:r>
      <w:r w:rsidR="00C77181" w:rsidRPr="00953692">
        <w:rPr>
          <w:rFonts w:cs="Times New Roman"/>
          <w:sz w:val="24"/>
          <w:szCs w:val="24"/>
          <w:lang w:val="fr-FR"/>
        </w:rPr>
        <w:t>En réalité, l</w:t>
      </w:r>
      <w:r w:rsidR="00AD66CC" w:rsidRPr="00953692">
        <w:rPr>
          <w:rFonts w:cs="Times New Roman"/>
          <w:sz w:val="24"/>
          <w:szCs w:val="24"/>
          <w:lang w:val="fr-FR"/>
        </w:rPr>
        <w:t>a problématisation</w:t>
      </w:r>
      <w:r w:rsidR="00686764" w:rsidRPr="00953692">
        <w:rPr>
          <w:rFonts w:cs="Times New Roman"/>
          <w:sz w:val="24"/>
          <w:szCs w:val="24"/>
          <w:lang w:val="fr-FR"/>
        </w:rPr>
        <w:t xml:space="preserve"> de cet intervalle de temps</w:t>
      </w:r>
      <w:r w:rsidR="00AD66CC" w:rsidRPr="00953692">
        <w:rPr>
          <w:rFonts w:cs="Times New Roman"/>
          <w:sz w:val="24"/>
          <w:szCs w:val="24"/>
          <w:lang w:val="fr-FR"/>
        </w:rPr>
        <w:t xml:space="preserve"> n’est possible </w:t>
      </w:r>
      <w:r w:rsidR="004D59C4" w:rsidRPr="00953692">
        <w:rPr>
          <w:rFonts w:cs="Times New Roman"/>
          <w:sz w:val="24"/>
          <w:szCs w:val="24"/>
          <w:lang w:val="fr-FR"/>
        </w:rPr>
        <w:t>que dans l’hypothèse d’une arrestation qui s’opère sans une signification préalable du mandat d’arrêt.</w:t>
      </w:r>
      <w:r w:rsidR="00686764" w:rsidRPr="00953692">
        <w:rPr>
          <w:sz w:val="24"/>
          <w:szCs w:val="24"/>
          <w:lang w:val="fr-FR"/>
        </w:rPr>
        <w:t xml:space="preserve"> </w:t>
      </w:r>
      <w:r w:rsidR="00AD5334" w:rsidRPr="00953692">
        <w:rPr>
          <w:rFonts w:cs="Times New Roman"/>
          <w:sz w:val="24"/>
          <w:szCs w:val="24"/>
          <w:lang w:val="fr-FR"/>
        </w:rPr>
        <w:t>L’analyse de quelques cas montre que l’origine du problème</w:t>
      </w:r>
      <w:r w:rsidR="00686764" w:rsidRPr="00953692">
        <w:rPr>
          <w:rFonts w:cs="Times New Roman"/>
          <w:sz w:val="24"/>
          <w:szCs w:val="24"/>
          <w:lang w:val="fr-FR"/>
        </w:rPr>
        <w:t xml:space="preserve">, </w:t>
      </w:r>
      <w:r w:rsidR="00C77181" w:rsidRPr="00953692">
        <w:rPr>
          <w:rFonts w:cs="Times New Roman"/>
          <w:sz w:val="24"/>
          <w:szCs w:val="24"/>
          <w:lang w:val="fr-FR"/>
        </w:rPr>
        <w:t>c’</w:t>
      </w:r>
      <w:r w:rsidR="00AD5334" w:rsidRPr="00953692">
        <w:rPr>
          <w:rFonts w:cs="Times New Roman"/>
          <w:sz w:val="24"/>
          <w:szCs w:val="24"/>
          <w:lang w:val="fr-FR"/>
        </w:rPr>
        <w:t>est le fait qu</w:t>
      </w:r>
      <w:r w:rsidR="00BB27E7" w:rsidRPr="00953692">
        <w:rPr>
          <w:rFonts w:cs="Times New Roman"/>
          <w:sz w:val="24"/>
          <w:szCs w:val="24"/>
          <w:lang w:val="fr-FR"/>
        </w:rPr>
        <w:t xml:space="preserve">e la procédure pénale internationale commence très souvent dans un </w:t>
      </w:r>
      <w:r w:rsidR="00AF7ED3" w:rsidRPr="00953692">
        <w:rPr>
          <w:rStyle w:val="misspelling"/>
          <w:rFonts w:cs="Times New Roman"/>
          <w:sz w:val="24"/>
          <w:szCs w:val="24"/>
          <w:lang w:val="fr-FR"/>
        </w:rPr>
        <w:t>État</w:t>
      </w:r>
      <w:r w:rsidR="00BB27E7" w:rsidRPr="00953692">
        <w:rPr>
          <w:rFonts w:cs="Times New Roman"/>
          <w:sz w:val="24"/>
          <w:szCs w:val="24"/>
          <w:lang w:val="fr-FR"/>
        </w:rPr>
        <w:t xml:space="preserve"> qui échappe </w:t>
      </w:r>
      <w:r w:rsidR="00BB27E7" w:rsidRPr="00953692">
        <w:rPr>
          <w:rFonts w:cs="Times New Roman"/>
          <w:sz w:val="24"/>
          <w:szCs w:val="24"/>
          <w:lang w:val="fr-FR"/>
        </w:rPr>
        <w:lastRenderedPageBreak/>
        <w:t>à l’autorité d</w:t>
      </w:r>
      <w:r w:rsidR="00C77181" w:rsidRPr="00953692">
        <w:rPr>
          <w:rFonts w:cs="Times New Roman"/>
          <w:sz w:val="24"/>
          <w:szCs w:val="24"/>
          <w:lang w:val="fr-FR"/>
        </w:rPr>
        <w:t>u tribunal</w:t>
      </w:r>
      <w:r w:rsidR="00BB27E7" w:rsidRPr="00953692">
        <w:rPr>
          <w:rFonts w:cs="Times New Roman"/>
          <w:sz w:val="24"/>
          <w:szCs w:val="24"/>
          <w:lang w:val="fr-FR"/>
        </w:rPr>
        <w:t xml:space="preserve"> international. </w:t>
      </w:r>
      <w:r w:rsidR="00686764" w:rsidRPr="00953692">
        <w:rPr>
          <w:rFonts w:cs="Times New Roman"/>
          <w:sz w:val="24"/>
          <w:szCs w:val="24"/>
          <w:lang w:val="fr-FR"/>
        </w:rPr>
        <w:t>D</w:t>
      </w:r>
      <w:r w:rsidR="00BB27E7" w:rsidRPr="00953692">
        <w:rPr>
          <w:rFonts w:cs="Times New Roman"/>
          <w:sz w:val="24"/>
          <w:szCs w:val="24"/>
          <w:lang w:val="fr-FR"/>
        </w:rPr>
        <w:t xml:space="preserve">ans </w:t>
      </w:r>
      <w:r w:rsidR="00686764" w:rsidRPr="00953692">
        <w:rPr>
          <w:rFonts w:cs="Times New Roman"/>
          <w:sz w:val="24"/>
          <w:szCs w:val="24"/>
          <w:lang w:val="fr-FR"/>
        </w:rPr>
        <w:t>la plupart des</w:t>
      </w:r>
      <w:r w:rsidR="00BB27E7" w:rsidRPr="00953692">
        <w:rPr>
          <w:rFonts w:cs="Times New Roman"/>
          <w:sz w:val="24"/>
          <w:szCs w:val="24"/>
          <w:lang w:val="fr-FR"/>
        </w:rPr>
        <w:t xml:space="preserve"> cas</w:t>
      </w:r>
      <w:r w:rsidR="00686764" w:rsidRPr="00953692">
        <w:rPr>
          <w:rFonts w:cs="Times New Roman"/>
          <w:sz w:val="24"/>
          <w:szCs w:val="24"/>
          <w:lang w:val="fr-FR"/>
        </w:rPr>
        <w:t xml:space="preserve"> problématiques</w:t>
      </w:r>
      <w:r w:rsidR="00C77181" w:rsidRPr="00953692">
        <w:rPr>
          <w:rFonts w:cs="Times New Roman"/>
          <w:sz w:val="24"/>
          <w:szCs w:val="24"/>
          <w:lang w:val="fr-FR"/>
        </w:rPr>
        <w:t xml:space="preserve"> devant les TPI</w:t>
      </w:r>
      <w:r w:rsidR="00BB27E7" w:rsidRPr="00953692">
        <w:rPr>
          <w:rFonts w:cs="Times New Roman"/>
          <w:sz w:val="24"/>
          <w:szCs w:val="24"/>
          <w:lang w:val="fr-FR"/>
        </w:rPr>
        <w:t>,</w:t>
      </w:r>
      <w:r w:rsidR="00AD5334" w:rsidRPr="00953692">
        <w:rPr>
          <w:rFonts w:cs="Times New Roman"/>
          <w:sz w:val="24"/>
          <w:szCs w:val="24"/>
          <w:lang w:val="fr-FR"/>
        </w:rPr>
        <w:t xml:space="preserve"> l’arrestation du ‘’suspect’’ n</w:t>
      </w:r>
      <w:r w:rsidR="00686764" w:rsidRPr="00953692">
        <w:rPr>
          <w:rFonts w:cs="Times New Roman"/>
          <w:sz w:val="24"/>
          <w:szCs w:val="24"/>
          <w:lang w:val="fr-FR"/>
        </w:rPr>
        <w:t>’a</w:t>
      </w:r>
      <w:r w:rsidR="00AD5334" w:rsidRPr="00953692">
        <w:rPr>
          <w:rFonts w:cs="Times New Roman"/>
          <w:sz w:val="24"/>
          <w:szCs w:val="24"/>
          <w:lang w:val="fr-FR"/>
        </w:rPr>
        <w:t xml:space="preserve"> requi</w:t>
      </w:r>
      <w:r w:rsidR="00686764" w:rsidRPr="00953692">
        <w:rPr>
          <w:rFonts w:cs="Times New Roman"/>
          <w:sz w:val="24"/>
          <w:szCs w:val="24"/>
          <w:lang w:val="fr-FR"/>
        </w:rPr>
        <w:t>s</w:t>
      </w:r>
      <w:r w:rsidR="00AD5334" w:rsidRPr="00953692">
        <w:rPr>
          <w:rFonts w:cs="Times New Roman"/>
          <w:sz w:val="24"/>
          <w:szCs w:val="24"/>
          <w:lang w:val="fr-FR"/>
        </w:rPr>
        <w:t xml:space="preserve"> </w:t>
      </w:r>
      <w:r w:rsidR="00686764" w:rsidRPr="00953692">
        <w:rPr>
          <w:rFonts w:cs="Times New Roman"/>
          <w:sz w:val="24"/>
          <w:szCs w:val="24"/>
          <w:lang w:val="fr-FR"/>
        </w:rPr>
        <w:t>aucun</w:t>
      </w:r>
      <w:r w:rsidR="00AD5334" w:rsidRPr="00953692">
        <w:rPr>
          <w:rFonts w:cs="Times New Roman"/>
          <w:sz w:val="24"/>
          <w:szCs w:val="24"/>
          <w:lang w:val="fr-FR"/>
        </w:rPr>
        <w:t xml:space="preserve"> mandat d’arrêt</w:t>
      </w:r>
      <w:r w:rsidR="00C77181" w:rsidRPr="00953692">
        <w:rPr>
          <w:rFonts w:cs="Times New Roman"/>
          <w:sz w:val="24"/>
          <w:szCs w:val="24"/>
          <w:lang w:val="fr-FR"/>
        </w:rPr>
        <w:t> ; l</w:t>
      </w:r>
      <w:r w:rsidR="00686764" w:rsidRPr="00953692">
        <w:rPr>
          <w:rFonts w:cs="Times New Roman"/>
          <w:sz w:val="24"/>
          <w:szCs w:val="24"/>
          <w:lang w:val="fr-FR"/>
        </w:rPr>
        <w:t>e Procureur a eu recours à l’</w:t>
      </w:r>
      <w:r w:rsidR="00351A85" w:rsidRPr="00953692">
        <w:rPr>
          <w:rFonts w:cs="Times New Roman"/>
          <w:sz w:val="24"/>
          <w:szCs w:val="24"/>
          <w:lang w:val="fr-FR"/>
        </w:rPr>
        <w:t>article 40 du RPP des TPI</w:t>
      </w:r>
      <w:r w:rsidR="00686764" w:rsidRPr="00953692">
        <w:rPr>
          <w:rFonts w:cs="Times New Roman"/>
          <w:sz w:val="24"/>
          <w:szCs w:val="24"/>
          <w:lang w:val="fr-FR"/>
        </w:rPr>
        <w:t>, qui</w:t>
      </w:r>
      <w:r w:rsidR="00351A85" w:rsidRPr="00953692">
        <w:rPr>
          <w:rFonts w:cs="Times New Roman"/>
          <w:sz w:val="24"/>
          <w:szCs w:val="24"/>
          <w:lang w:val="fr-FR"/>
        </w:rPr>
        <w:t xml:space="preserve"> </w:t>
      </w:r>
      <w:r w:rsidR="00686764" w:rsidRPr="00953692">
        <w:rPr>
          <w:rFonts w:cs="Times New Roman"/>
          <w:sz w:val="24"/>
          <w:szCs w:val="24"/>
          <w:lang w:val="fr-FR"/>
        </w:rPr>
        <w:t xml:space="preserve">lui donne le pouvoir, </w:t>
      </w:r>
      <w:r w:rsidR="00351A85" w:rsidRPr="00953692">
        <w:rPr>
          <w:rFonts w:cs="Times New Roman"/>
          <w:sz w:val="24"/>
          <w:szCs w:val="24"/>
          <w:lang w:val="fr-FR"/>
        </w:rPr>
        <w:t xml:space="preserve">en cas d’urgence, </w:t>
      </w:r>
      <w:r w:rsidR="00686764" w:rsidRPr="00953692">
        <w:rPr>
          <w:rFonts w:cs="Times New Roman"/>
          <w:i/>
          <w:iCs/>
          <w:sz w:val="24"/>
          <w:szCs w:val="24"/>
          <w:lang w:val="fr-FR"/>
        </w:rPr>
        <w:t>de</w:t>
      </w:r>
      <w:r w:rsidR="00351A85" w:rsidRPr="00953692">
        <w:rPr>
          <w:rFonts w:cs="Times New Roman"/>
          <w:i/>
          <w:iCs/>
          <w:sz w:val="24"/>
          <w:szCs w:val="24"/>
          <w:lang w:val="fr-FR"/>
        </w:rPr>
        <w:t xml:space="preserve"> demander (directement) à tout </w:t>
      </w:r>
      <w:r w:rsidR="00AF7ED3" w:rsidRPr="00953692">
        <w:rPr>
          <w:rStyle w:val="misspelling"/>
          <w:rFonts w:cs="Times New Roman"/>
          <w:i/>
          <w:iCs/>
          <w:sz w:val="24"/>
          <w:szCs w:val="24"/>
          <w:lang w:val="fr-FR"/>
        </w:rPr>
        <w:t>État</w:t>
      </w:r>
      <w:r w:rsidR="00351A85" w:rsidRPr="00953692">
        <w:rPr>
          <w:rFonts w:cs="Times New Roman"/>
          <w:i/>
          <w:iCs/>
          <w:sz w:val="24"/>
          <w:szCs w:val="24"/>
          <w:lang w:val="fr-FR"/>
        </w:rPr>
        <w:t xml:space="preserve"> de</w:t>
      </w:r>
      <w:r w:rsidR="00351A85" w:rsidRPr="00953692">
        <w:rPr>
          <w:i/>
          <w:iCs/>
          <w:sz w:val="24"/>
          <w:szCs w:val="24"/>
          <w:lang w:val="fr-FR"/>
        </w:rPr>
        <w:t xml:space="preserve"> procéder à l’arrestation et au placement en garde à vue d’un suspect.</w:t>
      </w:r>
      <w:r w:rsidR="00BB27E7" w:rsidRPr="00953692">
        <w:rPr>
          <w:sz w:val="24"/>
          <w:szCs w:val="24"/>
          <w:lang w:val="fr-FR"/>
        </w:rPr>
        <w:t xml:space="preserve"> </w:t>
      </w:r>
    </w:p>
    <w:p w14:paraId="51ACD996" w14:textId="1585EB75" w:rsidR="00686764" w:rsidRPr="00953692" w:rsidRDefault="00D77B33" w:rsidP="00864BBF">
      <w:pPr>
        <w:spacing w:after="0" w:line="276" w:lineRule="auto"/>
        <w:ind w:firstLine="1134"/>
        <w:jc w:val="both"/>
        <w:rPr>
          <w:rFonts w:cs="Times New Roman"/>
          <w:sz w:val="24"/>
          <w:szCs w:val="24"/>
          <w:lang w:val="fr-FR"/>
        </w:rPr>
      </w:pPr>
      <w:r w:rsidRPr="00953692">
        <w:rPr>
          <w:b/>
          <w:bCs/>
          <w:sz w:val="24"/>
          <w:szCs w:val="24"/>
          <w:lang w:val="fr-FR"/>
        </w:rPr>
        <w:t>103.</w:t>
      </w:r>
      <w:r w:rsidRPr="00953692">
        <w:rPr>
          <w:sz w:val="24"/>
          <w:szCs w:val="24"/>
          <w:lang w:val="fr-FR"/>
        </w:rPr>
        <w:t xml:space="preserve"> </w:t>
      </w:r>
      <w:r w:rsidR="00BB27E7" w:rsidRPr="00953692">
        <w:rPr>
          <w:sz w:val="24"/>
          <w:szCs w:val="24"/>
          <w:lang w:val="fr-FR"/>
        </w:rPr>
        <w:t xml:space="preserve">L’article 62 du RPP du TSL reprend littéralement la même disposition en précisant que ceci devra </w:t>
      </w:r>
      <w:r w:rsidR="00BD3304" w:rsidRPr="00953692">
        <w:rPr>
          <w:sz w:val="24"/>
          <w:szCs w:val="24"/>
          <w:lang w:val="fr-FR"/>
        </w:rPr>
        <w:t>être</w:t>
      </w:r>
      <w:r w:rsidR="00BB27E7" w:rsidRPr="00953692">
        <w:rPr>
          <w:sz w:val="24"/>
          <w:szCs w:val="24"/>
          <w:lang w:val="fr-FR"/>
        </w:rPr>
        <w:t xml:space="preserve"> conforme à la législation en vigueur de cet</w:t>
      </w:r>
      <w:r w:rsidR="00AF7ED3" w:rsidRPr="00953692">
        <w:rPr>
          <w:rFonts w:ascii="Tahoma" w:hAnsi="Tahoma" w:cs="Tahoma"/>
          <w:sz w:val="24"/>
          <w:szCs w:val="24"/>
          <w:shd w:val="clear" w:color="auto" w:fill="FFFFFF"/>
          <w:lang w:val="fr-FR"/>
        </w:rPr>
        <w:t xml:space="preserve"> </w:t>
      </w:r>
      <w:r w:rsidR="00AF7ED3" w:rsidRPr="00953692">
        <w:rPr>
          <w:rStyle w:val="misspelling"/>
          <w:rFonts w:cs="Times New Roman"/>
          <w:sz w:val="24"/>
          <w:szCs w:val="24"/>
          <w:lang w:val="fr-FR"/>
        </w:rPr>
        <w:t>État</w:t>
      </w:r>
      <w:r w:rsidR="00BB27E7" w:rsidRPr="00953692">
        <w:rPr>
          <w:sz w:val="24"/>
          <w:szCs w:val="24"/>
          <w:lang w:val="fr-FR"/>
        </w:rPr>
        <w:t xml:space="preserve">. </w:t>
      </w:r>
      <w:r w:rsidR="0014569B" w:rsidRPr="00953692">
        <w:rPr>
          <w:sz w:val="24"/>
          <w:szCs w:val="24"/>
          <w:lang w:val="fr-FR"/>
        </w:rPr>
        <w:t>C’est à</w:t>
      </w:r>
      <w:r w:rsidR="003C6FD8" w:rsidRPr="00953692">
        <w:rPr>
          <w:sz w:val="24"/>
          <w:szCs w:val="24"/>
          <w:lang w:val="fr-FR"/>
        </w:rPr>
        <w:t xml:space="preserve"> partir de ce moment </w:t>
      </w:r>
      <w:r w:rsidR="0014569B" w:rsidRPr="00953692">
        <w:rPr>
          <w:sz w:val="24"/>
          <w:szCs w:val="24"/>
          <w:lang w:val="fr-FR"/>
        </w:rPr>
        <w:t>que surgit un véritable</w:t>
      </w:r>
      <w:r w:rsidR="003C6FD8" w:rsidRPr="00953692">
        <w:rPr>
          <w:sz w:val="24"/>
          <w:szCs w:val="24"/>
          <w:lang w:val="fr-FR"/>
        </w:rPr>
        <w:t xml:space="preserve"> problème</w:t>
      </w:r>
      <w:r w:rsidR="0014569B" w:rsidRPr="00953692">
        <w:rPr>
          <w:sz w:val="24"/>
          <w:szCs w:val="24"/>
          <w:lang w:val="fr-FR"/>
        </w:rPr>
        <w:t xml:space="preserve"> en ce qui concerne le respect de cette obligation</w:t>
      </w:r>
      <w:r w:rsidR="003C6FD8" w:rsidRPr="00953692">
        <w:rPr>
          <w:sz w:val="24"/>
          <w:szCs w:val="24"/>
          <w:lang w:val="fr-FR"/>
        </w:rPr>
        <w:t>, car la demande</w:t>
      </w:r>
      <w:r w:rsidR="009E1BA8" w:rsidRPr="00953692">
        <w:rPr>
          <w:sz w:val="24"/>
          <w:szCs w:val="24"/>
          <w:lang w:val="fr-FR"/>
        </w:rPr>
        <w:t xml:space="preserve"> (d’arrestation)</w:t>
      </w:r>
      <w:r w:rsidR="003C6FD8" w:rsidRPr="00953692">
        <w:rPr>
          <w:sz w:val="24"/>
          <w:szCs w:val="24"/>
          <w:lang w:val="fr-FR"/>
        </w:rPr>
        <w:t xml:space="preserve"> du procureur en mesures conservatoires adressée à un </w:t>
      </w:r>
      <w:r w:rsidR="00AF7ED3" w:rsidRPr="00953692">
        <w:rPr>
          <w:rStyle w:val="misspelling"/>
          <w:rFonts w:cs="Times New Roman"/>
          <w:sz w:val="24"/>
          <w:szCs w:val="24"/>
          <w:lang w:val="fr-FR"/>
        </w:rPr>
        <w:t>État</w:t>
      </w:r>
      <w:r w:rsidR="003C6FD8" w:rsidRPr="00953692">
        <w:rPr>
          <w:sz w:val="24"/>
          <w:szCs w:val="24"/>
          <w:lang w:val="fr-FR"/>
        </w:rPr>
        <w:t xml:space="preserve"> n’est pas destinée à être signifiée à la personne arrêtée.</w:t>
      </w:r>
      <w:r w:rsidR="00686764" w:rsidRPr="00953692">
        <w:rPr>
          <w:sz w:val="24"/>
          <w:szCs w:val="24"/>
          <w:lang w:val="fr-FR"/>
        </w:rPr>
        <w:t xml:space="preserve"> Il n’est pas non plus interdit que les autorités requises qui accèdent à la demande du procureur de montrer au suspect la lettre du procureur, comme il en a été le cas dans l’affaire </w:t>
      </w:r>
      <w:r w:rsidR="00686764" w:rsidRPr="00953692">
        <w:rPr>
          <w:rFonts w:cs="Times New Roman"/>
          <w:sz w:val="24"/>
          <w:szCs w:val="24"/>
          <w:lang w:val="fr-FR"/>
        </w:rPr>
        <w:t>Karemera que nous avons précédemment mentionné.</w:t>
      </w:r>
    </w:p>
    <w:p w14:paraId="57AE926D" w14:textId="3B862A34" w:rsidR="00C77181" w:rsidRPr="00953692" w:rsidRDefault="00D77B33" w:rsidP="00864BBF">
      <w:pPr>
        <w:spacing w:after="0" w:line="276" w:lineRule="auto"/>
        <w:ind w:firstLine="1134"/>
        <w:jc w:val="both"/>
        <w:rPr>
          <w:sz w:val="24"/>
          <w:szCs w:val="24"/>
          <w:lang w:val="fr-FR"/>
        </w:rPr>
      </w:pPr>
      <w:r w:rsidRPr="00953692">
        <w:rPr>
          <w:b/>
          <w:bCs/>
          <w:sz w:val="24"/>
          <w:szCs w:val="24"/>
          <w:lang w:val="fr-FR"/>
        </w:rPr>
        <w:t>104</w:t>
      </w:r>
      <w:r w:rsidR="00F26887" w:rsidRPr="00953692">
        <w:rPr>
          <w:b/>
          <w:bCs/>
          <w:sz w:val="24"/>
          <w:szCs w:val="24"/>
          <w:lang w:val="fr-FR"/>
        </w:rPr>
        <w:t>.</w:t>
      </w:r>
      <w:r w:rsidR="00F26887" w:rsidRPr="00953692">
        <w:rPr>
          <w:sz w:val="24"/>
          <w:szCs w:val="24"/>
          <w:lang w:val="fr-FR"/>
        </w:rPr>
        <w:t xml:space="preserve"> </w:t>
      </w:r>
      <w:r w:rsidR="005E6BF4" w:rsidRPr="00953692">
        <w:rPr>
          <w:sz w:val="24"/>
          <w:szCs w:val="24"/>
          <w:lang w:val="fr-FR"/>
        </w:rPr>
        <w:t xml:space="preserve">En fait, </w:t>
      </w:r>
      <w:r w:rsidR="00C92BA6" w:rsidRPr="00953692">
        <w:rPr>
          <w:sz w:val="24"/>
          <w:szCs w:val="24"/>
          <w:lang w:val="fr-FR"/>
        </w:rPr>
        <w:t xml:space="preserve">conformément à l’article 40 et 40bis du RPP des TPI, </w:t>
      </w:r>
      <w:r w:rsidR="005E6BF4" w:rsidRPr="00953692">
        <w:rPr>
          <w:sz w:val="24"/>
          <w:szCs w:val="24"/>
          <w:lang w:val="fr-FR"/>
        </w:rPr>
        <w:t xml:space="preserve">dès que la personne arrêtée à la demande du procureur international, il appartient à ce dernier </w:t>
      </w:r>
      <w:r w:rsidR="005E6BF4" w:rsidRPr="00953692">
        <w:rPr>
          <w:i/>
          <w:iCs/>
          <w:sz w:val="24"/>
          <w:szCs w:val="24"/>
          <w:lang w:val="fr-FR"/>
        </w:rPr>
        <w:t xml:space="preserve">de </w:t>
      </w:r>
      <w:r w:rsidR="008A20FE" w:rsidRPr="00953692">
        <w:rPr>
          <w:i/>
          <w:iCs/>
          <w:sz w:val="24"/>
          <w:szCs w:val="24"/>
          <w:lang w:val="fr-FR"/>
        </w:rPr>
        <w:t xml:space="preserve">solliciter une ordonnance de transfert et de placement en détention provisoire d’un suspect dans les locaux du centre de détention relevant </w:t>
      </w:r>
      <w:r w:rsidR="00FB5180" w:rsidRPr="00953692">
        <w:rPr>
          <w:i/>
          <w:iCs/>
          <w:sz w:val="24"/>
          <w:szCs w:val="24"/>
          <w:lang w:val="fr-FR"/>
        </w:rPr>
        <w:t>de la juridiction internationale</w:t>
      </w:r>
      <w:r w:rsidR="008A20FE" w:rsidRPr="00953692">
        <w:rPr>
          <w:sz w:val="24"/>
          <w:szCs w:val="24"/>
          <w:lang w:val="fr-FR"/>
        </w:rPr>
        <w:t>.</w:t>
      </w:r>
      <w:r w:rsidR="00FB5180" w:rsidRPr="00953692">
        <w:rPr>
          <w:sz w:val="24"/>
          <w:szCs w:val="24"/>
          <w:lang w:val="fr-FR"/>
        </w:rPr>
        <w:t xml:space="preserve"> Cette ordonnance permet dans ce cas, pour la juridiction internationale, de constater l’arrestation du suspect, et dès son transfèrement</w:t>
      </w:r>
      <w:r w:rsidR="00AF7ED3" w:rsidRPr="00953692">
        <w:rPr>
          <w:sz w:val="24"/>
          <w:szCs w:val="24"/>
          <w:lang w:val="fr-FR"/>
        </w:rPr>
        <w:t>,</w:t>
      </w:r>
      <w:r w:rsidR="00FB5180" w:rsidRPr="00953692">
        <w:rPr>
          <w:sz w:val="24"/>
          <w:szCs w:val="24"/>
          <w:lang w:val="fr-FR"/>
        </w:rPr>
        <w:t xml:space="preserve"> ce dernier jouit des droits qui lui sont garantis</w:t>
      </w:r>
      <w:r w:rsidR="002E6C8E" w:rsidRPr="00953692">
        <w:rPr>
          <w:sz w:val="24"/>
          <w:szCs w:val="24"/>
          <w:lang w:val="fr-FR"/>
        </w:rPr>
        <w:t>, notamment le droit d’être informé des motifs de son arrestation. Dans ce sens plus précis, c’est le retard résultant de l’introduction de cette requête, de son traitement par l’organe juridictionnelle (qui peut la rejeter)</w:t>
      </w:r>
      <w:r w:rsidR="00F26887" w:rsidRPr="00953692">
        <w:rPr>
          <w:sz w:val="24"/>
          <w:szCs w:val="24"/>
          <w:lang w:val="fr-FR"/>
        </w:rPr>
        <w:t>,</w:t>
      </w:r>
      <w:r w:rsidR="00F141B8" w:rsidRPr="00953692">
        <w:rPr>
          <w:sz w:val="24"/>
          <w:szCs w:val="24"/>
          <w:lang w:val="fr-FR"/>
        </w:rPr>
        <w:t xml:space="preserve"> et</w:t>
      </w:r>
      <w:r w:rsidR="00AF7ED3" w:rsidRPr="00953692">
        <w:rPr>
          <w:sz w:val="24"/>
          <w:szCs w:val="24"/>
          <w:lang w:val="fr-FR"/>
        </w:rPr>
        <w:t>,</w:t>
      </w:r>
      <w:r w:rsidR="00F141B8" w:rsidRPr="00953692">
        <w:rPr>
          <w:sz w:val="24"/>
          <w:szCs w:val="24"/>
          <w:lang w:val="fr-FR"/>
        </w:rPr>
        <w:t xml:space="preserve"> au cas où il en est fait droit, de la signification de cette ordonnance de détention et de transfert qui rendrai</w:t>
      </w:r>
      <w:r w:rsidR="00F26887" w:rsidRPr="00953692">
        <w:rPr>
          <w:sz w:val="24"/>
          <w:szCs w:val="24"/>
          <w:lang w:val="fr-FR"/>
        </w:rPr>
        <w:t>en</w:t>
      </w:r>
      <w:r w:rsidR="00F141B8" w:rsidRPr="00953692">
        <w:rPr>
          <w:sz w:val="24"/>
          <w:szCs w:val="24"/>
          <w:lang w:val="fr-FR"/>
        </w:rPr>
        <w:t xml:space="preserve">t problématique le respect de cette obligation d’être informé dans </w:t>
      </w:r>
      <w:r w:rsidR="00F141B8" w:rsidRPr="00953692">
        <w:rPr>
          <w:i/>
          <w:iCs/>
          <w:sz w:val="24"/>
          <w:szCs w:val="24"/>
          <w:lang w:val="fr-FR"/>
        </w:rPr>
        <w:t>les plus brefs délais</w:t>
      </w:r>
      <w:r w:rsidR="00F141B8" w:rsidRPr="00953692">
        <w:rPr>
          <w:sz w:val="24"/>
          <w:szCs w:val="24"/>
          <w:lang w:val="fr-FR"/>
        </w:rPr>
        <w:t>.</w:t>
      </w:r>
    </w:p>
    <w:p w14:paraId="07163016" w14:textId="3E13C5B9" w:rsidR="00F141B8" w:rsidRPr="00953692" w:rsidRDefault="00D77B33" w:rsidP="00864BBF">
      <w:pPr>
        <w:spacing w:after="0" w:line="276" w:lineRule="auto"/>
        <w:ind w:firstLine="1134"/>
        <w:jc w:val="both"/>
        <w:rPr>
          <w:sz w:val="24"/>
          <w:szCs w:val="24"/>
          <w:lang w:val="fr-FR"/>
        </w:rPr>
      </w:pPr>
      <w:r w:rsidRPr="00953692">
        <w:rPr>
          <w:b/>
          <w:bCs/>
          <w:sz w:val="24"/>
          <w:szCs w:val="24"/>
          <w:lang w:val="fr-FR"/>
        </w:rPr>
        <w:t>105</w:t>
      </w:r>
      <w:r w:rsidR="00C77181" w:rsidRPr="00953692">
        <w:rPr>
          <w:b/>
          <w:bCs/>
          <w:sz w:val="24"/>
          <w:szCs w:val="24"/>
          <w:lang w:val="fr-FR"/>
        </w:rPr>
        <w:t>.</w:t>
      </w:r>
      <w:r w:rsidR="00C77181" w:rsidRPr="00953692">
        <w:rPr>
          <w:sz w:val="24"/>
          <w:szCs w:val="24"/>
          <w:lang w:val="fr-FR"/>
        </w:rPr>
        <w:t xml:space="preserve"> </w:t>
      </w:r>
      <w:r w:rsidR="00F141B8" w:rsidRPr="00953692">
        <w:rPr>
          <w:sz w:val="24"/>
          <w:szCs w:val="24"/>
          <w:lang w:val="fr-FR"/>
        </w:rPr>
        <w:t>Il va sans dire que cette démarche du procureur prendr</w:t>
      </w:r>
      <w:r w:rsidR="00FE31A1" w:rsidRPr="00953692">
        <w:rPr>
          <w:sz w:val="24"/>
          <w:szCs w:val="24"/>
          <w:lang w:val="fr-FR"/>
        </w:rPr>
        <w:t>a</w:t>
      </w:r>
      <w:r w:rsidR="00F141B8" w:rsidRPr="00953692">
        <w:rPr>
          <w:sz w:val="24"/>
          <w:szCs w:val="24"/>
          <w:lang w:val="fr-FR"/>
        </w:rPr>
        <w:t xml:space="preserve"> un certain temps qui reste indéterminé, contrastant en fait cette exigence d’une temporalité courte.</w:t>
      </w:r>
      <w:r w:rsidR="00F26887" w:rsidRPr="00953692">
        <w:rPr>
          <w:sz w:val="24"/>
          <w:szCs w:val="24"/>
          <w:lang w:val="fr-FR"/>
        </w:rPr>
        <w:t xml:space="preserve"> Deux affaires peuvent clairement illustrer cette affirmation. </w:t>
      </w:r>
    </w:p>
    <w:p w14:paraId="75C6124C" w14:textId="23DF5B51" w:rsidR="007F727A" w:rsidRPr="00953692" w:rsidRDefault="00F26887" w:rsidP="00D77B33">
      <w:pPr>
        <w:spacing w:before="240" w:line="276" w:lineRule="auto"/>
        <w:ind w:left="1134"/>
        <w:jc w:val="both"/>
        <w:rPr>
          <w:sz w:val="22"/>
          <w:lang w:val="fr-FR"/>
        </w:rPr>
      </w:pPr>
      <w:r w:rsidRPr="00953692">
        <w:rPr>
          <w:i/>
          <w:iCs/>
          <w:sz w:val="22"/>
          <w:lang w:val="fr-FR"/>
        </w:rPr>
        <w:t>Premièrement</w:t>
      </w:r>
      <w:r w:rsidR="00C92BA6" w:rsidRPr="00953692">
        <w:rPr>
          <w:i/>
          <w:iCs/>
          <w:sz w:val="22"/>
          <w:lang w:val="fr-FR"/>
        </w:rPr>
        <w:t>, d</w:t>
      </w:r>
      <w:r w:rsidR="00766EBB" w:rsidRPr="00953692">
        <w:rPr>
          <w:i/>
          <w:iCs/>
          <w:sz w:val="22"/>
          <w:lang w:val="fr-FR"/>
        </w:rPr>
        <w:t>ans l’affaire Barayagwiza</w:t>
      </w:r>
      <w:r w:rsidR="00C92BA6" w:rsidRPr="00953692">
        <w:rPr>
          <w:i/>
          <w:iCs/>
          <w:sz w:val="22"/>
          <w:lang w:val="fr-FR"/>
        </w:rPr>
        <w:t>,</w:t>
      </w:r>
      <w:r w:rsidR="005A6240" w:rsidRPr="00953692">
        <w:rPr>
          <w:i/>
          <w:iCs/>
          <w:sz w:val="22"/>
          <w:lang w:val="fr-FR"/>
        </w:rPr>
        <w:t xml:space="preserve"> </w:t>
      </w:r>
      <w:r w:rsidR="00C92BA6" w:rsidRPr="00953692">
        <w:rPr>
          <w:i/>
          <w:iCs/>
          <w:sz w:val="22"/>
          <w:lang w:val="fr-FR"/>
        </w:rPr>
        <w:t>ce dernier a été a</w:t>
      </w:r>
      <w:r w:rsidR="00B43D67" w:rsidRPr="00953692">
        <w:rPr>
          <w:i/>
          <w:iCs/>
          <w:sz w:val="22"/>
          <w:lang w:val="fr-FR"/>
        </w:rPr>
        <w:t>rrêté</w:t>
      </w:r>
      <w:r w:rsidR="005A6240" w:rsidRPr="00953692">
        <w:rPr>
          <w:i/>
          <w:iCs/>
          <w:sz w:val="22"/>
          <w:lang w:val="fr-FR"/>
        </w:rPr>
        <w:t xml:space="preserve"> le 15 avril 1996</w:t>
      </w:r>
      <w:r w:rsidR="00B43D67" w:rsidRPr="00953692">
        <w:rPr>
          <w:i/>
          <w:iCs/>
          <w:sz w:val="22"/>
          <w:lang w:val="fr-FR"/>
        </w:rPr>
        <w:t xml:space="preserve"> à la demande des autorités belges et rwandaises, le 17 avril 1996</w:t>
      </w:r>
      <w:r w:rsidR="00AF7ED3" w:rsidRPr="00953692">
        <w:rPr>
          <w:i/>
          <w:iCs/>
          <w:sz w:val="22"/>
          <w:lang w:val="fr-FR"/>
        </w:rPr>
        <w:t>,</w:t>
      </w:r>
      <w:r w:rsidR="00B43D67" w:rsidRPr="00953692">
        <w:rPr>
          <w:i/>
          <w:iCs/>
          <w:sz w:val="22"/>
          <w:lang w:val="fr-FR"/>
        </w:rPr>
        <w:t xml:space="preserve"> le procureur du TPIR va s’y invit</w:t>
      </w:r>
      <w:r w:rsidR="00C92BA6" w:rsidRPr="00953692">
        <w:rPr>
          <w:i/>
          <w:iCs/>
          <w:sz w:val="22"/>
          <w:lang w:val="fr-FR"/>
        </w:rPr>
        <w:t>er</w:t>
      </w:r>
      <w:r w:rsidR="00B43D67" w:rsidRPr="00953692">
        <w:rPr>
          <w:i/>
          <w:iCs/>
          <w:sz w:val="22"/>
          <w:lang w:val="fr-FR"/>
        </w:rPr>
        <w:t xml:space="preserve"> en sollicitant des mesures conservatoires en vertu de l’article 40 du RPP. </w:t>
      </w:r>
      <w:r w:rsidR="00137071" w:rsidRPr="00953692">
        <w:rPr>
          <w:i/>
          <w:iCs/>
          <w:sz w:val="22"/>
          <w:lang w:val="fr-FR"/>
        </w:rPr>
        <w:t>Le 6 mai 1996 le procureur sollicite une prolongation de trois semaines de détention, alors que le 16 mai de la même année</w:t>
      </w:r>
      <w:r w:rsidR="00AF7ED3" w:rsidRPr="00953692">
        <w:rPr>
          <w:i/>
          <w:iCs/>
          <w:sz w:val="22"/>
          <w:lang w:val="fr-FR"/>
        </w:rPr>
        <w:t xml:space="preserve">, </w:t>
      </w:r>
      <w:r w:rsidR="00137071" w:rsidRPr="00953692">
        <w:rPr>
          <w:i/>
          <w:iCs/>
          <w:sz w:val="22"/>
          <w:lang w:val="fr-FR"/>
        </w:rPr>
        <w:t>il informe aux autorités camerounaises son intention de ne pas poursuivre l’Appelant.</w:t>
      </w:r>
      <w:r w:rsidR="00B05ECC" w:rsidRPr="00953692">
        <w:rPr>
          <w:i/>
          <w:iCs/>
          <w:sz w:val="22"/>
          <w:lang w:val="fr-FR"/>
        </w:rPr>
        <w:t xml:space="preserve"> Cependant, ce dernier reste en détention en vertu de la demande des autorités rwandaises, auxquelles il sera refusé </w:t>
      </w:r>
      <w:r w:rsidR="00C92BA6" w:rsidRPr="00953692">
        <w:rPr>
          <w:i/>
          <w:iCs/>
          <w:sz w:val="22"/>
          <w:lang w:val="fr-FR"/>
        </w:rPr>
        <w:t>le 21 février 199</w:t>
      </w:r>
      <w:r w:rsidR="00C77181" w:rsidRPr="00953692">
        <w:rPr>
          <w:i/>
          <w:iCs/>
          <w:sz w:val="22"/>
          <w:lang w:val="fr-FR"/>
        </w:rPr>
        <w:t>7,</w:t>
      </w:r>
      <w:r w:rsidR="00C92BA6" w:rsidRPr="00953692">
        <w:rPr>
          <w:i/>
          <w:iCs/>
          <w:sz w:val="22"/>
          <w:lang w:val="fr-FR"/>
        </w:rPr>
        <w:t xml:space="preserve"> </w:t>
      </w:r>
      <w:r w:rsidR="00B05ECC" w:rsidRPr="00953692">
        <w:rPr>
          <w:i/>
          <w:iCs/>
          <w:sz w:val="22"/>
          <w:lang w:val="fr-FR"/>
        </w:rPr>
        <w:t>l’autorisation, par la Cour d’appel du Cameroun, d</w:t>
      </w:r>
      <w:r w:rsidR="00C92BA6" w:rsidRPr="00953692">
        <w:rPr>
          <w:i/>
          <w:iCs/>
          <w:sz w:val="22"/>
          <w:lang w:val="fr-FR"/>
        </w:rPr>
        <w:t>e l’</w:t>
      </w:r>
      <w:r w:rsidR="00B05ECC" w:rsidRPr="00953692">
        <w:rPr>
          <w:i/>
          <w:iCs/>
          <w:sz w:val="22"/>
          <w:lang w:val="fr-FR"/>
        </w:rPr>
        <w:t xml:space="preserve">extrader. En </w:t>
      </w:r>
      <w:r w:rsidR="007F727A" w:rsidRPr="00953692">
        <w:rPr>
          <w:i/>
          <w:iCs/>
          <w:sz w:val="22"/>
          <w:lang w:val="fr-FR"/>
        </w:rPr>
        <w:t>même</w:t>
      </w:r>
      <w:r w:rsidR="00B05ECC" w:rsidRPr="00953692">
        <w:rPr>
          <w:i/>
          <w:iCs/>
          <w:sz w:val="22"/>
          <w:lang w:val="fr-FR"/>
        </w:rPr>
        <w:t xml:space="preserve"> temps, il a été ordonné la libération de l’appelant, qui sera aussitôt arrêté à la demande du Procureur du TPIR en vertu de l’article 40. Le 24 février 199</w:t>
      </w:r>
      <w:r w:rsidR="00AF7ED3" w:rsidRPr="00953692">
        <w:rPr>
          <w:i/>
          <w:iCs/>
          <w:sz w:val="22"/>
          <w:lang w:val="fr-FR"/>
        </w:rPr>
        <w:t>7,</w:t>
      </w:r>
      <w:r w:rsidR="00B05ECC" w:rsidRPr="00953692">
        <w:rPr>
          <w:i/>
          <w:iCs/>
          <w:sz w:val="22"/>
          <w:lang w:val="fr-FR"/>
        </w:rPr>
        <w:t xml:space="preserve"> le procureur sollicite une ordonnance d’arrestation et de transfert, et le 3 mars de la même année le juge Aspegren signa cette ordonnance</w:t>
      </w:r>
      <w:r w:rsidR="007F727A" w:rsidRPr="00953692">
        <w:rPr>
          <w:i/>
          <w:iCs/>
          <w:sz w:val="22"/>
          <w:lang w:val="fr-FR"/>
        </w:rPr>
        <w:t xml:space="preserve"> qui a été </w:t>
      </w:r>
      <w:r w:rsidR="007F727A" w:rsidRPr="00953692">
        <w:rPr>
          <w:i/>
          <w:iCs/>
          <w:sz w:val="22"/>
          <w:lang w:val="fr-FR"/>
        </w:rPr>
        <w:lastRenderedPageBreak/>
        <w:t>signifiée au suspect le 10 mars 1997</w:t>
      </w:r>
      <w:r w:rsidR="00C77181" w:rsidRPr="00953692">
        <w:rPr>
          <w:i/>
          <w:iCs/>
          <w:sz w:val="22"/>
          <w:lang w:val="fr-FR"/>
        </w:rPr>
        <w:t>,</w:t>
      </w:r>
      <w:r w:rsidR="007F727A" w:rsidRPr="00953692">
        <w:rPr>
          <w:i/>
          <w:iCs/>
          <w:sz w:val="22"/>
          <w:lang w:val="fr-FR"/>
        </w:rPr>
        <w:t xml:space="preserve"> et le transfert s’est effectué le 19 novembre 199</w:t>
      </w:r>
      <w:r w:rsidR="007F727A" w:rsidRPr="00953692">
        <w:rPr>
          <w:sz w:val="22"/>
          <w:lang w:val="fr-FR"/>
        </w:rPr>
        <w:t>7</w:t>
      </w:r>
      <w:r w:rsidR="00453228" w:rsidRPr="00953692">
        <w:rPr>
          <w:rStyle w:val="Appelnotedebasdep"/>
          <w:sz w:val="22"/>
          <w:lang w:val="fr-FR"/>
        </w:rPr>
        <w:footnoteReference w:customMarkFollows="1" w:id="94"/>
        <w:t>73</w:t>
      </w:r>
      <w:r w:rsidR="007F727A" w:rsidRPr="00953692">
        <w:rPr>
          <w:sz w:val="22"/>
          <w:lang w:val="fr-FR"/>
        </w:rPr>
        <w:t>.</w:t>
      </w:r>
    </w:p>
    <w:p w14:paraId="07754419" w14:textId="64D390A5" w:rsidR="00BB439B" w:rsidRPr="00953692" w:rsidRDefault="00D77B33" w:rsidP="00864BBF">
      <w:pPr>
        <w:spacing w:line="276" w:lineRule="auto"/>
        <w:ind w:firstLine="1134"/>
        <w:jc w:val="both"/>
        <w:rPr>
          <w:sz w:val="24"/>
          <w:szCs w:val="24"/>
          <w:lang w:val="fr-FR"/>
        </w:rPr>
      </w:pPr>
      <w:r w:rsidRPr="00953692">
        <w:rPr>
          <w:b/>
          <w:bCs/>
          <w:sz w:val="24"/>
          <w:szCs w:val="24"/>
          <w:lang w:val="fr-FR"/>
        </w:rPr>
        <w:t>106</w:t>
      </w:r>
      <w:r w:rsidR="00F26887" w:rsidRPr="00953692">
        <w:rPr>
          <w:b/>
          <w:bCs/>
          <w:sz w:val="24"/>
          <w:szCs w:val="24"/>
          <w:lang w:val="fr-FR"/>
        </w:rPr>
        <w:t>.</w:t>
      </w:r>
      <w:r w:rsidR="00F26887" w:rsidRPr="00953692">
        <w:rPr>
          <w:sz w:val="24"/>
          <w:szCs w:val="24"/>
          <w:lang w:val="fr-FR"/>
        </w:rPr>
        <w:t xml:space="preserve"> </w:t>
      </w:r>
      <w:r w:rsidR="007F727A" w:rsidRPr="00953692">
        <w:rPr>
          <w:sz w:val="24"/>
          <w:szCs w:val="24"/>
          <w:lang w:val="fr-FR"/>
        </w:rPr>
        <w:t>In globo, il a été constaté un</w:t>
      </w:r>
      <w:r w:rsidR="00ED2C5F" w:rsidRPr="00953692">
        <w:rPr>
          <w:sz w:val="24"/>
          <w:szCs w:val="24"/>
          <w:lang w:val="fr-FR"/>
        </w:rPr>
        <w:t xml:space="preserve"> délai</w:t>
      </w:r>
      <w:r w:rsidR="007F727A" w:rsidRPr="00953692">
        <w:rPr>
          <w:sz w:val="24"/>
          <w:szCs w:val="24"/>
          <w:lang w:val="fr-FR"/>
        </w:rPr>
        <w:t xml:space="preserve"> de 11 mois entre la date d’arrestation et du transfert du suspect au siège du TPIR, mais il en a été subtilement déduit qu’un</w:t>
      </w:r>
      <w:r w:rsidR="00ED2C5F" w:rsidRPr="00953692">
        <w:rPr>
          <w:sz w:val="24"/>
          <w:szCs w:val="24"/>
          <w:lang w:val="fr-FR"/>
        </w:rPr>
        <w:t xml:space="preserve"> délai</w:t>
      </w:r>
      <w:r w:rsidR="007F727A" w:rsidRPr="00953692">
        <w:rPr>
          <w:sz w:val="24"/>
          <w:szCs w:val="24"/>
          <w:lang w:val="fr-FR"/>
        </w:rPr>
        <w:t xml:space="preserve"> de 35 jours </w:t>
      </w:r>
      <w:r w:rsidR="00BB439B" w:rsidRPr="00953692">
        <w:rPr>
          <w:sz w:val="24"/>
          <w:szCs w:val="24"/>
          <w:lang w:val="fr-FR"/>
        </w:rPr>
        <w:t>(les périodes du 17 avril au 16 mai 1996 et du 4 au 10 mars 1997), imputable à la juridiction internationale. Toutefois,</w:t>
      </w:r>
      <w:r w:rsidR="00766EBB" w:rsidRPr="00953692">
        <w:rPr>
          <w:sz w:val="24"/>
          <w:szCs w:val="24"/>
          <w:lang w:val="fr-FR"/>
        </w:rPr>
        <w:t xml:space="preserve"> la Chambre d’appel est </w:t>
      </w:r>
      <w:r w:rsidR="00BB439B" w:rsidRPr="00953692">
        <w:rPr>
          <w:sz w:val="24"/>
          <w:szCs w:val="24"/>
          <w:lang w:val="fr-FR"/>
        </w:rPr>
        <w:t>d’abord arrivée</w:t>
      </w:r>
      <w:r w:rsidR="00766EBB" w:rsidRPr="00953692">
        <w:rPr>
          <w:sz w:val="24"/>
          <w:szCs w:val="24"/>
          <w:lang w:val="fr-FR"/>
        </w:rPr>
        <w:t xml:space="preserve"> à la conclusion selon laquelle</w:t>
      </w:r>
      <w:r w:rsidR="00BB439B" w:rsidRPr="00953692">
        <w:rPr>
          <w:sz w:val="24"/>
          <w:szCs w:val="24"/>
          <w:lang w:val="fr-FR"/>
        </w:rPr>
        <w:t>, il n’en demeurait pas moi</w:t>
      </w:r>
      <w:r w:rsidR="00ED2C5F" w:rsidRPr="00953692">
        <w:rPr>
          <w:sz w:val="24"/>
          <w:szCs w:val="24"/>
          <w:lang w:val="fr-FR"/>
        </w:rPr>
        <w:t>n</w:t>
      </w:r>
      <w:r w:rsidR="00BB439B" w:rsidRPr="00953692">
        <w:rPr>
          <w:sz w:val="24"/>
          <w:szCs w:val="24"/>
          <w:lang w:val="fr-FR"/>
        </w:rPr>
        <w:t xml:space="preserve">s que ce délai de 35 jours violait le droit d’être informé dans les plus brefs délais. Ensuite, </w:t>
      </w:r>
      <w:r w:rsidR="006775C2" w:rsidRPr="00953692">
        <w:rPr>
          <w:sz w:val="24"/>
          <w:szCs w:val="24"/>
          <w:lang w:val="fr-FR"/>
        </w:rPr>
        <w:t xml:space="preserve">la Chambre n’a pas hésité à prendre en considération </w:t>
      </w:r>
      <w:r w:rsidR="00253284" w:rsidRPr="00953692">
        <w:rPr>
          <w:sz w:val="24"/>
          <w:szCs w:val="24"/>
          <w:lang w:val="fr-FR"/>
        </w:rPr>
        <w:t>la durée totale de 11 mois</w:t>
      </w:r>
      <w:r w:rsidR="008D28B0" w:rsidRPr="00953692">
        <w:rPr>
          <w:sz w:val="24"/>
          <w:szCs w:val="24"/>
          <w:lang w:val="fr-FR"/>
        </w:rPr>
        <w:t>, ayant estimé que, quels que soient les autres responsables de ce retard, c’est la juridiction internationale qui traitait de cette question en ce moment-là</w:t>
      </w:r>
      <w:r w:rsidR="005A56A3" w:rsidRPr="00953692">
        <w:rPr>
          <w:sz w:val="24"/>
          <w:szCs w:val="24"/>
          <w:lang w:val="fr-FR"/>
        </w:rPr>
        <w:t xml:space="preserve">. </w:t>
      </w:r>
    </w:p>
    <w:p w14:paraId="4CBFCED0" w14:textId="7DC48EBA" w:rsidR="005A56A3" w:rsidRPr="00953692" w:rsidRDefault="00F26887" w:rsidP="00D77B33">
      <w:pPr>
        <w:spacing w:line="276" w:lineRule="auto"/>
        <w:ind w:left="1134"/>
        <w:jc w:val="both"/>
        <w:rPr>
          <w:rFonts w:cs="Times New Roman"/>
          <w:sz w:val="22"/>
          <w:lang w:val="fr-FR"/>
        </w:rPr>
      </w:pPr>
      <w:r w:rsidRPr="00953692">
        <w:rPr>
          <w:i/>
          <w:iCs/>
          <w:sz w:val="22"/>
          <w:lang w:val="fr-FR"/>
        </w:rPr>
        <w:t>Deuxièmement, dans l’affaire</w:t>
      </w:r>
      <w:r w:rsidR="005A56A3" w:rsidRPr="00953692">
        <w:rPr>
          <w:i/>
          <w:iCs/>
          <w:sz w:val="22"/>
          <w:lang w:val="fr-FR"/>
        </w:rPr>
        <w:t xml:space="preserve"> </w:t>
      </w:r>
      <w:r w:rsidR="005A56A3" w:rsidRPr="00953692">
        <w:rPr>
          <w:rFonts w:cs="Times New Roman"/>
          <w:i/>
          <w:iCs/>
          <w:sz w:val="22"/>
          <w:lang w:val="fr-FR"/>
        </w:rPr>
        <w:t xml:space="preserve">Joseph Kanyabashi, </w:t>
      </w:r>
      <w:r w:rsidRPr="00953692">
        <w:rPr>
          <w:rFonts w:cs="Times New Roman"/>
          <w:i/>
          <w:iCs/>
          <w:sz w:val="22"/>
          <w:lang w:val="fr-FR"/>
        </w:rPr>
        <w:t xml:space="preserve">ce dernier a été </w:t>
      </w:r>
      <w:r w:rsidR="00EF1CD4" w:rsidRPr="00953692">
        <w:rPr>
          <w:rFonts w:cs="Times New Roman"/>
          <w:i/>
          <w:iCs/>
          <w:sz w:val="22"/>
          <w:lang w:val="fr-FR"/>
        </w:rPr>
        <w:t>arrêté</w:t>
      </w:r>
      <w:r w:rsidR="005A56A3" w:rsidRPr="00953692">
        <w:rPr>
          <w:rFonts w:cs="Times New Roman"/>
          <w:i/>
          <w:iCs/>
          <w:sz w:val="22"/>
          <w:lang w:val="fr-FR"/>
        </w:rPr>
        <w:t xml:space="preserve"> </w:t>
      </w:r>
      <w:r w:rsidR="00EF1CD4" w:rsidRPr="00953692">
        <w:rPr>
          <w:rFonts w:cs="Times New Roman"/>
          <w:i/>
          <w:iCs/>
          <w:sz w:val="22"/>
          <w:lang w:val="fr-FR"/>
        </w:rPr>
        <w:t>le 25 juin 1995</w:t>
      </w:r>
      <w:r w:rsidR="006934D0" w:rsidRPr="00953692">
        <w:rPr>
          <w:rFonts w:cs="Times New Roman"/>
          <w:i/>
          <w:iCs/>
          <w:sz w:val="22"/>
          <w:lang w:val="fr-FR"/>
        </w:rPr>
        <w:t>,</w:t>
      </w:r>
      <w:r w:rsidR="00EF1CD4" w:rsidRPr="00953692">
        <w:rPr>
          <w:rFonts w:cs="Times New Roman"/>
          <w:i/>
          <w:iCs/>
          <w:sz w:val="22"/>
          <w:lang w:val="fr-FR"/>
        </w:rPr>
        <w:t xml:space="preserve"> </w:t>
      </w:r>
      <w:r w:rsidR="006111F4" w:rsidRPr="00953692">
        <w:rPr>
          <w:rFonts w:cs="Times New Roman"/>
          <w:i/>
          <w:iCs/>
          <w:sz w:val="22"/>
          <w:lang w:val="fr-FR"/>
        </w:rPr>
        <w:t xml:space="preserve">sur le territoire du Royaume de la </w:t>
      </w:r>
      <w:r w:rsidR="006934D0" w:rsidRPr="00953692">
        <w:rPr>
          <w:rFonts w:cs="Times New Roman"/>
          <w:i/>
          <w:iCs/>
          <w:sz w:val="22"/>
          <w:lang w:val="fr-FR"/>
        </w:rPr>
        <w:t>Belgique ;</w:t>
      </w:r>
      <w:r w:rsidR="006111F4" w:rsidRPr="00953692">
        <w:rPr>
          <w:rFonts w:cs="Times New Roman"/>
          <w:i/>
          <w:iCs/>
          <w:sz w:val="22"/>
          <w:lang w:val="fr-FR"/>
        </w:rPr>
        <w:t xml:space="preserve"> le 11 janvier 1996, à la requête du procureur</w:t>
      </w:r>
      <w:r w:rsidR="00AF7ED3" w:rsidRPr="00953692">
        <w:rPr>
          <w:rFonts w:cs="Times New Roman"/>
          <w:i/>
          <w:iCs/>
          <w:sz w:val="22"/>
          <w:lang w:val="fr-FR"/>
        </w:rPr>
        <w:t>,</w:t>
      </w:r>
      <w:r w:rsidR="006111F4" w:rsidRPr="00953692">
        <w:rPr>
          <w:rFonts w:cs="Times New Roman"/>
          <w:i/>
          <w:iCs/>
          <w:sz w:val="22"/>
          <w:lang w:val="fr-FR"/>
        </w:rPr>
        <w:t xml:space="preserve"> la Chambre de première a </w:t>
      </w:r>
      <w:r w:rsidR="003E4106" w:rsidRPr="00953692">
        <w:rPr>
          <w:rFonts w:cs="Times New Roman"/>
          <w:i/>
          <w:iCs/>
          <w:sz w:val="22"/>
          <w:lang w:val="fr-FR"/>
        </w:rPr>
        <w:t>demandé</w:t>
      </w:r>
      <w:r w:rsidR="006111F4" w:rsidRPr="00953692">
        <w:rPr>
          <w:rFonts w:cs="Times New Roman"/>
          <w:i/>
          <w:iCs/>
          <w:sz w:val="22"/>
          <w:lang w:val="fr-FR"/>
        </w:rPr>
        <w:t xml:space="preserve"> à la Belgique de surseoir les poursuites engagées contre l’accusé par la justice belge. Le 24 janvier 1996</w:t>
      </w:r>
      <w:r w:rsidR="005A1689" w:rsidRPr="00953692">
        <w:rPr>
          <w:rFonts w:cs="Times New Roman"/>
          <w:i/>
          <w:iCs/>
          <w:sz w:val="22"/>
          <w:lang w:val="fr-FR"/>
        </w:rPr>
        <w:t>,</w:t>
      </w:r>
      <w:r w:rsidR="006111F4" w:rsidRPr="00953692">
        <w:rPr>
          <w:rFonts w:cs="Times New Roman"/>
          <w:i/>
          <w:iCs/>
          <w:sz w:val="22"/>
          <w:lang w:val="fr-FR"/>
        </w:rPr>
        <w:t xml:space="preserve"> le procureur adresse par écrit une demande en vertu de l’article 40 du RPP. Le 15 juillet 1996</w:t>
      </w:r>
      <w:r w:rsidR="005A1689" w:rsidRPr="00953692">
        <w:rPr>
          <w:rFonts w:cs="Times New Roman"/>
          <w:i/>
          <w:iCs/>
          <w:sz w:val="22"/>
          <w:lang w:val="fr-FR"/>
        </w:rPr>
        <w:t>,</w:t>
      </w:r>
      <w:r w:rsidR="006111F4" w:rsidRPr="00953692">
        <w:rPr>
          <w:rFonts w:cs="Times New Roman"/>
          <w:i/>
          <w:iCs/>
          <w:sz w:val="22"/>
          <w:lang w:val="fr-FR"/>
        </w:rPr>
        <w:t xml:space="preserve"> il a été établi et confirmé un acte d’accusation à son encontre. Le même jour</w:t>
      </w:r>
      <w:r w:rsidR="005A1689" w:rsidRPr="00953692">
        <w:rPr>
          <w:rFonts w:cs="Times New Roman"/>
          <w:i/>
          <w:iCs/>
          <w:sz w:val="22"/>
          <w:lang w:val="fr-FR"/>
        </w:rPr>
        <w:t>,</w:t>
      </w:r>
      <w:r w:rsidR="006111F4" w:rsidRPr="00953692">
        <w:rPr>
          <w:rFonts w:cs="Times New Roman"/>
          <w:i/>
          <w:iCs/>
          <w:sz w:val="22"/>
          <w:lang w:val="fr-FR"/>
        </w:rPr>
        <w:t xml:space="preserve"> le Greffier adjoint du TPIR adressa une lettre au Ministère de la </w:t>
      </w:r>
      <w:r w:rsidR="005A1689" w:rsidRPr="00953692">
        <w:rPr>
          <w:rFonts w:cs="Times New Roman"/>
          <w:i/>
          <w:iCs/>
          <w:sz w:val="22"/>
          <w:lang w:val="fr-FR"/>
        </w:rPr>
        <w:t>J</w:t>
      </w:r>
      <w:r w:rsidR="006111F4" w:rsidRPr="00953692">
        <w:rPr>
          <w:rFonts w:cs="Times New Roman"/>
          <w:i/>
          <w:iCs/>
          <w:sz w:val="22"/>
          <w:lang w:val="fr-FR"/>
        </w:rPr>
        <w:t xml:space="preserve">ustice du Royaume de Belgique, l’informant du mandat d’arrêt, de l’ordonnance de remise, d’une copie de l’acte d’accusation, de l’ordonnance confirmant cet acte d’accusation et d’un document rappelant les droits de l’accusé. Ce dossier a été reçu </w:t>
      </w:r>
      <w:r w:rsidR="003E4106" w:rsidRPr="00953692">
        <w:rPr>
          <w:rFonts w:cs="Times New Roman"/>
          <w:i/>
          <w:iCs/>
          <w:sz w:val="22"/>
          <w:lang w:val="fr-FR"/>
        </w:rPr>
        <w:t>par le Secrétaire particulier du Ministre le 22 juillet 1996, et le 12 aout de la même année</w:t>
      </w:r>
      <w:r w:rsidR="005A1689" w:rsidRPr="00953692">
        <w:rPr>
          <w:rFonts w:cs="Times New Roman"/>
          <w:i/>
          <w:iCs/>
          <w:sz w:val="22"/>
          <w:lang w:val="fr-FR"/>
        </w:rPr>
        <w:t>,</w:t>
      </w:r>
      <w:r w:rsidR="003E4106" w:rsidRPr="00953692">
        <w:rPr>
          <w:rFonts w:cs="Times New Roman"/>
          <w:i/>
          <w:iCs/>
          <w:sz w:val="22"/>
          <w:lang w:val="fr-FR"/>
        </w:rPr>
        <w:t xml:space="preserve"> l’accusé en a été signifié à la prison de Foret de Bruxelles</w:t>
      </w:r>
      <w:r w:rsidR="00453228" w:rsidRPr="00953692">
        <w:rPr>
          <w:rStyle w:val="Appelnotedebasdep"/>
          <w:rFonts w:cs="Times New Roman"/>
          <w:sz w:val="22"/>
          <w:lang w:val="fr-FR"/>
        </w:rPr>
        <w:footnoteReference w:customMarkFollows="1" w:id="95"/>
        <w:t>74</w:t>
      </w:r>
      <w:r w:rsidR="003E4106" w:rsidRPr="00953692">
        <w:rPr>
          <w:rFonts w:cs="Times New Roman"/>
          <w:sz w:val="22"/>
          <w:lang w:val="fr-FR"/>
        </w:rPr>
        <w:t xml:space="preserve">. </w:t>
      </w:r>
    </w:p>
    <w:p w14:paraId="7C353606" w14:textId="7FA5F8F4" w:rsidR="005A56A3" w:rsidRPr="00953692" w:rsidRDefault="00D77B33" w:rsidP="00864BBF">
      <w:pPr>
        <w:spacing w:after="0" w:line="276" w:lineRule="auto"/>
        <w:ind w:firstLine="1134"/>
        <w:jc w:val="both"/>
        <w:rPr>
          <w:rFonts w:cs="Times New Roman"/>
          <w:sz w:val="24"/>
          <w:szCs w:val="24"/>
          <w:lang w:val="fr-FR"/>
        </w:rPr>
      </w:pPr>
      <w:r w:rsidRPr="00953692">
        <w:rPr>
          <w:b/>
          <w:bCs/>
          <w:sz w:val="24"/>
          <w:szCs w:val="24"/>
          <w:lang w:val="fr-FR"/>
        </w:rPr>
        <w:t>107</w:t>
      </w:r>
      <w:r w:rsidR="00F26887" w:rsidRPr="00953692">
        <w:rPr>
          <w:b/>
          <w:bCs/>
          <w:sz w:val="24"/>
          <w:szCs w:val="24"/>
          <w:lang w:val="fr-FR"/>
        </w:rPr>
        <w:t>.</w:t>
      </w:r>
      <w:r w:rsidR="00F26887" w:rsidRPr="00953692">
        <w:rPr>
          <w:sz w:val="24"/>
          <w:szCs w:val="24"/>
          <w:lang w:val="fr-FR"/>
        </w:rPr>
        <w:t xml:space="preserve"> </w:t>
      </w:r>
      <w:r w:rsidR="0031594F" w:rsidRPr="00953692">
        <w:rPr>
          <w:sz w:val="24"/>
          <w:szCs w:val="24"/>
          <w:lang w:val="fr-FR"/>
        </w:rPr>
        <w:t>Dans sa requête</w:t>
      </w:r>
      <w:r w:rsidR="00E21DB6" w:rsidRPr="00953692">
        <w:rPr>
          <w:sz w:val="24"/>
          <w:szCs w:val="24"/>
          <w:lang w:val="fr-FR"/>
        </w:rPr>
        <w:t xml:space="preserve"> devant la Chambre de première instance</w:t>
      </w:r>
      <w:r w:rsidR="0031594F" w:rsidRPr="00953692">
        <w:rPr>
          <w:sz w:val="24"/>
          <w:szCs w:val="24"/>
          <w:lang w:val="fr-FR"/>
        </w:rPr>
        <w:t>, Joseph Kanyabashi n’a considéré que la période comprenant la confirmation de l’acte d’accusation et sa signification, c’est-à-dire du 15 juillet au 12 aout 1996</w:t>
      </w:r>
      <w:r w:rsidR="005A1689" w:rsidRPr="00953692">
        <w:rPr>
          <w:sz w:val="24"/>
          <w:szCs w:val="24"/>
          <w:lang w:val="fr-FR"/>
        </w:rPr>
        <w:t>,</w:t>
      </w:r>
      <w:r w:rsidR="0031594F" w:rsidRPr="00953692">
        <w:rPr>
          <w:sz w:val="24"/>
          <w:szCs w:val="24"/>
          <w:lang w:val="fr-FR"/>
        </w:rPr>
        <w:t xml:space="preserve"> pour soutenir que son droit d’être informé dans les plus brefs délais avait été violé</w:t>
      </w:r>
      <w:r w:rsidR="00453228" w:rsidRPr="00953692">
        <w:rPr>
          <w:rStyle w:val="Appelnotedebasdep"/>
          <w:rFonts w:cs="Times New Roman"/>
          <w:sz w:val="24"/>
          <w:szCs w:val="24"/>
          <w:lang w:val="fr-FR"/>
        </w:rPr>
        <w:footnoteReference w:customMarkFollows="1" w:id="96"/>
        <w:t>75</w:t>
      </w:r>
      <w:r w:rsidR="005A56A3" w:rsidRPr="00953692">
        <w:rPr>
          <w:rFonts w:cs="Times New Roman"/>
          <w:sz w:val="24"/>
          <w:szCs w:val="24"/>
          <w:lang w:val="fr-FR"/>
        </w:rPr>
        <w:t xml:space="preserve">. </w:t>
      </w:r>
      <w:r w:rsidR="005A2274" w:rsidRPr="00953692">
        <w:rPr>
          <w:rFonts w:cs="Times New Roman"/>
          <w:sz w:val="24"/>
          <w:szCs w:val="24"/>
          <w:lang w:val="fr-FR"/>
        </w:rPr>
        <w:t>Reconnaissant en filigrane le retard évoqué par le requérant, l</w:t>
      </w:r>
      <w:r w:rsidR="005A56A3" w:rsidRPr="00953692">
        <w:rPr>
          <w:rFonts w:cs="Times New Roman"/>
          <w:sz w:val="24"/>
          <w:szCs w:val="24"/>
          <w:lang w:val="fr-FR"/>
        </w:rPr>
        <w:t xml:space="preserve">a Chambre de première instance II a </w:t>
      </w:r>
      <w:r w:rsidR="005A2274" w:rsidRPr="00953692">
        <w:rPr>
          <w:rFonts w:cs="Times New Roman"/>
          <w:sz w:val="24"/>
          <w:szCs w:val="24"/>
          <w:lang w:val="fr-FR"/>
        </w:rPr>
        <w:t>soutenu</w:t>
      </w:r>
      <w:r w:rsidR="005A56A3" w:rsidRPr="00953692">
        <w:rPr>
          <w:rFonts w:cs="Times New Roman"/>
          <w:sz w:val="24"/>
          <w:szCs w:val="24"/>
          <w:lang w:val="fr-FR"/>
        </w:rPr>
        <w:t xml:space="preserve"> qu’il appartenait aux autorités nationales d’informer l’accusé de la nature et des motifs de son arrestation. Car, selon la Chambre et s’appuyant sur l’article 55b du Règlement de procédure et de preuve, le greffier avait bel et bien transmis </w:t>
      </w:r>
      <w:r w:rsidR="00210648" w:rsidRPr="00953692">
        <w:rPr>
          <w:rFonts w:cs="Times New Roman"/>
          <w:sz w:val="24"/>
          <w:szCs w:val="24"/>
          <w:lang w:val="fr-FR"/>
        </w:rPr>
        <w:t>aux</w:t>
      </w:r>
      <w:r w:rsidR="005A56A3" w:rsidRPr="00953692">
        <w:rPr>
          <w:rFonts w:cs="Times New Roman"/>
          <w:sz w:val="24"/>
          <w:szCs w:val="24"/>
          <w:lang w:val="fr-FR"/>
        </w:rPr>
        <w:t xml:space="preserve"> autorités</w:t>
      </w:r>
      <w:r w:rsidR="00210648" w:rsidRPr="00953692">
        <w:rPr>
          <w:rFonts w:cs="Times New Roman"/>
          <w:sz w:val="24"/>
          <w:szCs w:val="24"/>
          <w:lang w:val="fr-FR"/>
        </w:rPr>
        <w:t xml:space="preserve"> belges</w:t>
      </w:r>
      <w:r w:rsidR="005A1689" w:rsidRPr="00953692">
        <w:rPr>
          <w:rFonts w:cs="Times New Roman"/>
          <w:sz w:val="24"/>
          <w:szCs w:val="24"/>
          <w:lang w:val="fr-FR"/>
        </w:rPr>
        <w:t>,</w:t>
      </w:r>
      <w:r w:rsidR="005A56A3" w:rsidRPr="00953692">
        <w:rPr>
          <w:rFonts w:cs="Times New Roman"/>
          <w:sz w:val="24"/>
          <w:szCs w:val="24"/>
          <w:lang w:val="fr-FR"/>
        </w:rPr>
        <w:t xml:space="preserve"> dès le 15 juillet 1996, « </w:t>
      </w:r>
      <w:r w:rsidR="005A56A3" w:rsidRPr="00953692">
        <w:rPr>
          <w:rFonts w:cs="Times New Roman"/>
          <w:i/>
          <w:iCs/>
          <w:sz w:val="24"/>
          <w:szCs w:val="24"/>
          <w:lang w:val="fr-FR"/>
        </w:rPr>
        <w:t>copie du mandat d'arrêt et des documents qui y sont joints et</w:t>
      </w:r>
      <w:r w:rsidR="005A1689" w:rsidRPr="00953692">
        <w:rPr>
          <w:rFonts w:cs="Times New Roman"/>
          <w:i/>
          <w:iCs/>
          <w:sz w:val="24"/>
          <w:szCs w:val="24"/>
          <w:lang w:val="fr-FR"/>
        </w:rPr>
        <w:t>,</w:t>
      </w:r>
      <w:r w:rsidR="005A56A3" w:rsidRPr="00953692">
        <w:rPr>
          <w:rFonts w:cs="Times New Roman"/>
          <w:i/>
          <w:iCs/>
          <w:sz w:val="24"/>
          <w:szCs w:val="24"/>
          <w:lang w:val="fr-FR"/>
        </w:rPr>
        <w:t xml:space="preserve"> donné instructions auxdites autorités d'arrêter l'accusé et de lui notifier lesdits documents au moment de son arrestation</w:t>
      </w:r>
      <w:r w:rsidR="005A56A3" w:rsidRPr="00953692">
        <w:rPr>
          <w:rFonts w:cs="Times New Roman"/>
          <w:sz w:val="24"/>
          <w:szCs w:val="24"/>
          <w:lang w:val="fr-FR"/>
        </w:rPr>
        <w:t> »</w:t>
      </w:r>
      <w:r w:rsidR="00453228" w:rsidRPr="00953692">
        <w:rPr>
          <w:rStyle w:val="Appelnotedebasdep"/>
          <w:rFonts w:cs="Times New Roman"/>
          <w:sz w:val="24"/>
          <w:szCs w:val="24"/>
          <w:lang w:val="fr-FR"/>
        </w:rPr>
        <w:footnoteReference w:customMarkFollows="1" w:id="97"/>
        <w:t>76</w:t>
      </w:r>
      <w:r w:rsidR="005A56A3" w:rsidRPr="00953692">
        <w:rPr>
          <w:rFonts w:cs="Times New Roman"/>
          <w:sz w:val="24"/>
          <w:szCs w:val="24"/>
          <w:lang w:val="fr-FR"/>
        </w:rPr>
        <w:t xml:space="preserve">. </w:t>
      </w:r>
    </w:p>
    <w:p w14:paraId="3E495E2B" w14:textId="464896CB" w:rsidR="00A83F0C" w:rsidRPr="00953692" w:rsidRDefault="00D77B33" w:rsidP="00864BBF">
      <w:pPr>
        <w:spacing w:after="0" w:line="276" w:lineRule="auto"/>
        <w:ind w:firstLine="1134"/>
        <w:jc w:val="both"/>
        <w:rPr>
          <w:sz w:val="24"/>
          <w:szCs w:val="24"/>
          <w:lang w:val="fr-FR"/>
        </w:rPr>
      </w:pPr>
      <w:r w:rsidRPr="00953692">
        <w:rPr>
          <w:b/>
          <w:bCs/>
          <w:sz w:val="24"/>
          <w:szCs w:val="24"/>
          <w:lang w:val="fr-FR"/>
        </w:rPr>
        <w:t>108</w:t>
      </w:r>
      <w:r w:rsidR="00F26887" w:rsidRPr="00953692">
        <w:rPr>
          <w:b/>
          <w:bCs/>
          <w:sz w:val="24"/>
          <w:szCs w:val="24"/>
          <w:lang w:val="fr-FR"/>
        </w:rPr>
        <w:t>.</w:t>
      </w:r>
      <w:r w:rsidR="00F26887" w:rsidRPr="00953692">
        <w:rPr>
          <w:sz w:val="24"/>
          <w:szCs w:val="24"/>
          <w:lang w:val="fr-FR"/>
        </w:rPr>
        <w:t xml:space="preserve"> </w:t>
      </w:r>
      <w:r w:rsidR="00A83F0C" w:rsidRPr="00953692">
        <w:rPr>
          <w:sz w:val="24"/>
          <w:szCs w:val="24"/>
          <w:lang w:val="fr-FR"/>
        </w:rPr>
        <w:t>Dans ce</w:t>
      </w:r>
      <w:r w:rsidR="00F26887" w:rsidRPr="00953692">
        <w:rPr>
          <w:sz w:val="24"/>
          <w:szCs w:val="24"/>
          <w:lang w:val="fr-FR"/>
        </w:rPr>
        <w:t>s deux affaires</w:t>
      </w:r>
      <w:r w:rsidR="00A83F0C" w:rsidRPr="00953692">
        <w:rPr>
          <w:sz w:val="24"/>
          <w:szCs w:val="24"/>
          <w:lang w:val="fr-FR"/>
        </w:rPr>
        <w:t xml:space="preserve">, </w:t>
      </w:r>
      <w:r w:rsidR="002F05E7" w:rsidRPr="00953692">
        <w:rPr>
          <w:sz w:val="24"/>
          <w:szCs w:val="24"/>
          <w:lang w:val="fr-FR"/>
        </w:rPr>
        <w:t>on peut déceler la source du problème</w:t>
      </w:r>
      <w:r w:rsidR="00106021" w:rsidRPr="00953692">
        <w:rPr>
          <w:sz w:val="24"/>
          <w:szCs w:val="24"/>
          <w:lang w:val="fr-FR"/>
        </w:rPr>
        <w:t> :</w:t>
      </w:r>
      <w:r w:rsidR="00434996" w:rsidRPr="00953692">
        <w:rPr>
          <w:sz w:val="24"/>
          <w:szCs w:val="24"/>
          <w:lang w:val="fr-FR"/>
        </w:rPr>
        <w:t xml:space="preserve"> </w:t>
      </w:r>
      <w:r w:rsidR="00106021" w:rsidRPr="00953692">
        <w:rPr>
          <w:sz w:val="24"/>
          <w:szCs w:val="24"/>
          <w:lang w:val="fr-FR"/>
        </w:rPr>
        <w:t>c</w:t>
      </w:r>
      <w:r w:rsidR="00434996" w:rsidRPr="00953692">
        <w:rPr>
          <w:sz w:val="24"/>
          <w:szCs w:val="24"/>
          <w:lang w:val="fr-FR"/>
        </w:rPr>
        <w:t>’est évidemment c</w:t>
      </w:r>
      <w:r w:rsidR="002F05E7" w:rsidRPr="00953692">
        <w:rPr>
          <w:sz w:val="24"/>
          <w:szCs w:val="24"/>
          <w:lang w:val="fr-FR"/>
        </w:rPr>
        <w:t xml:space="preserve">ette procédure exceptionnelle </w:t>
      </w:r>
      <w:r w:rsidR="00434996" w:rsidRPr="00953692">
        <w:rPr>
          <w:sz w:val="24"/>
          <w:szCs w:val="24"/>
          <w:lang w:val="fr-FR"/>
        </w:rPr>
        <w:t>des mesures conservatoires qui</w:t>
      </w:r>
      <w:r w:rsidR="00384DC4" w:rsidRPr="00953692">
        <w:rPr>
          <w:sz w:val="24"/>
          <w:szCs w:val="24"/>
          <w:lang w:val="fr-FR"/>
        </w:rPr>
        <w:t xml:space="preserve"> peut exposer la négligence du procureur en matière de diligence</w:t>
      </w:r>
      <w:r w:rsidR="00434996" w:rsidRPr="00953692">
        <w:rPr>
          <w:sz w:val="24"/>
          <w:szCs w:val="24"/>
          <w:lang w:val="fr-FR"/>
        </w:rPr>
        <w:t xml:space="preserve">. Dans </w:t>
      </w:r>
      <w:r w:rsidR="00384DC4" w:rsidRPr="00953692">
        <w:rPr>
          <w:sz w:val="24"/>
          <w:szCs w:val="24"/>
          <w:lang w:val="fr-FR"/>
        </w:rPr>
        <w:t>l’</w:t>
      </w:r>
      <w:r w:rsidR="00434996" w:rsidRPr="00953692">
        <w:rPr>
          <w:sz w:val="24"/>
          <w:szCs w:val="24"/>
          <w:lang w:val="fr-FR"/>
        </w:rPr>
        <w:t>affaire</w:t>
      </w:r>
      <w:r w:rsidR="00384DC4" w:rsidRPr="00953692">
        <w:rPr>
          <w:sz w:val="24"/>
          <w:szCs w:val="24"/>
          <w:lang w:val="fr-FR"/>
        </w:rPr>
        <w:t xml:space="preserve"> Barayagwiza</w:t>
      </w:r>
      <w:r w:rsidR="00434996" w:rsidRPr="00953692">
        <w:rPr>
          <w:sz w:val="24"/>
          <w:szCs w:val="24"/>
          <w:lang w:val="fr-FR"/>
        </w:rPr>
        <w:t>, on</w:t>
      </w:r>
      <w:r w:rsidR="00384DC4" w:rsidRPr="00953692">
        <w:rPr>
          <w:sz w:val="24"/>
          <w:szCs w:val="24"/>
          <w:lang w:val="fr-FR"/>
        </w:rPr>
        <w:t xml:space="preserve"> a vu</w:t>
      </w:r>
      <w:r w:rsidR="00434996" w:rsidRPr="00953692">
        <w:rPr>
          <w:sz w:val="24"/>
          <w:szCs w:val="24"/>
          <w:lang w:val="fr-FR"/>
        </w:rPr>
        <w:t xml:space="preserve"> </w:t>
      </w:r>
      <w:r w:rsidR="00434996" w:rsidRPr="00953692">
        <w:rPr>
          <w:sz w:val="24"/>
          <w:szCs w:val="24"/>
          <w:lang w:val="fr-FR"/>
        </w:rPr>
        <w:lastRenderedPageBreak/>
        <w:t xml:space="preserve">clairement </w:t>
      </w:r>
      <w:r w:rsidR="00384DC4" w:rsidRPr="00953692">
        <w:rPr>
          <w:sz w:val="24"/>
          <w:szCs w:val="24"/>
          <w:lang w:val="fr-FR"/>
        </w:rPr>
        <w:t>une</w:t>
      </w:r>
      <w:r w:rsidR="00434996" w:rsidRPr="00953692">
        <w:rPr>
          <w:sz w:val="24"/>
          <w:szCs w:val="24"/>
          <w:lang w:val="fr-FR"/>
        </w:rPr>
        <w:t xml:space="preserve"> incertitude dans le chef du Procureur, qui a fait montre de tâtonnement lorsqu’il annonça son</w:t>
      </w:r>
      <w:r w:rsidR="00384DC4" w:rsidRPr="00953692">
        <w:rPr>
          <w:sz w:val="24"/>
          <w:szCs w:val="24"/>
          <w:lang w:val="fr-FR"/>
        </w:rPr>
        <w:t xml:space="preserve"> intention</w:t>
      </w:r>
      <w:r w:rsidR="00434996" w:rsidRPr="00953692">
        <w:rPr>
          <w:sz w:val="24"/>
          <w:szCs w:val="24"/>
          <w:lang w:val="fr-FR"/>
        </w:rPr>
        <w:t xml:space="preserve"> de ne pas poursuivre Barayagwiza le 16 mai 1996</w:t>
      </w:r>
      <w:r w:rsidR="005A1689" w:rsidRPr="00953692">
        <w:rPr>
          <w:sz w:val="24"/>
          <w:szCs w:val="24"/>
          <w:lang w:val="fr-FR"/>
        </w:rPr>
        <w:t>,</w:t>
      </w:r>
      <w:r w:rsidR="00434996" w:rsidRPr="00953692">
        <w:rPr>
          <w:sz w:val="24"/>
          <w:szCs w:val="24"/>
          <w:lang w:val="fr-FR"/>
        </w:rPr>
        <w:t xml:space="preserve"> avant de se raviser à nouveau le 21 février 1997. </w:t>
      </w:r>
      <w:r w:rsidR="000E0D83" w:rsidRPr="00953692">
        <w:rPr>
          <w:sz w:val="24"/>
          <w:szCs w:val="24"/>
          <w:lang w:val="fr-FR"/>
        </w:rPr>
        <w:t>S</w:t>
      </w:r>
      <w:r w:rsidR="006934D0" w:rsidRPr="00953692">
        <w:rPr>
          <w:sz w:val="24"/>
          <w:szCs w:val="24"/>
          <w:lang w:val="fr-FR"/>
        </w:rPr>
        <w:t>’il est vrai que</w:t>
      </w:r>
      <w:r w:rsidR="000E0D83" w:rsidRPr="00953692">
        <w:rPr>
          <w:sz w:val="24"/>
          <w:szCs w:val="24"/>
          <w:lang w:val="fr-FR"/>
        </w:rPr>
        <w:t xml:space="preserve"> le procureur n’a pas d’obligation de poursuivre à la première occasion, il fau</w:t>
      </w:r>
      <w:r w:rsidR="006934D0" w:rsidRPr="00953692">
        <w:rPr>
          <w:sz w:val="24"/>
          <w:szCs w:val="24"/>
          <w:lang w:val="fr-FR"/>
        </w:rPr>
        <w:t>drait</w:t>
      </w:r>
      <w:r w:rsidR="00DE6790" w:rsidRPr="00953692">
        <w:rPr>
          <w:sz w:val="24"/>
          <w:szCs w:val="24"/>
          <w:lang w:val="fr-FR"/>
        </w:rPr>
        <w:t xml:space="preserve"> </w:t>
      </w:r>
      <w:r w:rsidR="000E0D83" w:rsidRPr="00953692">
        <w:rPr>
          <w:sz w:val="24"/>
          <w:szCs w:val="24"/>
          <w:lang w:val="fr-FR"/>
        </w:rPr>
        <w:t>c</w:t>
      </w:r>
      <w:r w:rsidR="00DE6790" w:rsidRPr="00953692">
        <w:rPr>
          <w:sz w:val="24"/>
          <w:szCs w:val="24"/>
          <w:lang w:val="fr-FR"/>
        </w:rPr>
        <w:t xml:space="preserve">ependant </w:t>
      </w:r>
      <w:r w:rsidR="000E0D83" w:rsidRPr="00953692">
        <w:rPr>
          <w:sz w:val="24"/>
          <w:szCs w:val="24"/>
          <w:lang w:val="fr-FR"/>
        </w:rPr>
        <w:t>rappeler q</w:t>
      </w:r>
      <w:r w:rsidR="006934D0" w:rsidRPr="00953692">
        <w:rPr>
          <w:sz w:val="24"/>
          <w:szCs w:val="24"/>
          <w:lang w:val="fr-FR"/>
        </w:rPr>
        <w:t>ue, conformément à l’article 40 du RPP précité,</w:t>
      </w:r>
      <w:r w:rsidR="000E0D83" w:rsidRPr="00953692">
        <w:rPr>
          <w:sz w:val="24"/>
          <w:szCs w:val="24"/>
          <w:lang w:val="fr-FR"/>
        </w:rPr>
        <w:t xml:space="preserve"> </w:t>
      </w:r>
      <w:r w:rsidR="00DE6790" w:rsidRPr="00953692">
        <w:rPr>
          <w:sz w:val="24"/>
          <w:szCs w:val="24"/>
          <w:lang w:val="fr-FR"/>
        </w:rPr>
        <w:t xml:space="preserve">l’arrestation et </w:t>
      </w:r>
      <w:r w:rsidR="00B4018A" w:rsidRPr="00953692">
        <w:rPr>
          <w:sz w:val="24"/>
          <w:szCs w:val="24"/>
          <w:lang w:val="fr-FR"/>
        </w:rPr>
        <w:t>le</w:t>
      </w:r>
      <w:r w:rsidR="00DE6790" w:rsidRPr="00953692">
        <w:rPr>
          <w:sz w:val="24"/>
          <w:szCs w:val="24"/>
          <w:lang w:val="fr-FR"/>
        </w:rPr>
        <w:t xml:space="preserve"> maintien en détention</w:t>
      </w:r>
      <w:r w:rsidR="00B4018A" w:rsidRPr="00953692">
        <w:rPr>
          <w:sz w:val="24"/>
          <w:szCs w:val="24"/>
          <w:lang w:val="fr-FR"/>
        </w:rPr>
        <w:t xml:space="preserve"> du suspect</w:t>
      </w:r>
      <w:r w:rsidR="000E0D83" w:rsidRPr="00953692">
        <w:rPr>
          <w:sz w:val="24"/>
          <w:szCs w:val="24"/>
          <w:lang w:val="fr-FR"/>
        </w:rPr>
        <w:t xml:space="preserve"> le</w:t>
      </w:r>
      <w:r w:rsidR="00DE6790" w:rsidRPr="00953692">
        <w:rPr>
          <w:sz w:val="24"/>
          <w:szCs w:val="24"/>
          <w:lang w:val="fr-FR"/>
        </w:rPr>
        <w:t xml:space="preserve"> soumet</w:t>
      </w:r>
      <w:r w:rsidR="00B4018A" w:rsidRPr="00953692">
        <w:rPr>
          <w:sz w:val="24"/>
          <w:szCs w:val="24"/>
          <w:lang w:val="fr-FR"/>
        </w:rPr>
        <w:t>tent</w:t>
      </w:r>
      <w:r w:rsidR="00DE6790" w:rsidRPr="00953692">
        <w:rPr>
          <w:sz w:val="24"/>
          <w:szCs w:val="24"/>
          <w:lang w:val="fr-FR"/>
        </w:rPr>
        <w:t xml:space="preserve"> à une pression temporelle</w:t>
      </w:r>
      <w:r w:rsidR="00ED29DB" w:rsidRPr="00953692">
        <w:rPr>
          <w:sz w:val="24"/>
          <w:szCs w:val="24"/>
          <w:lang w:val="fr-FR"/>
        </w:rPr>
        <w:t>, considérant aussi</w:t>
      </w:r>
      <w:r w:rsidR="00DE6790" w:rsidRPr="00953692">
        <w:rPr>
          <w:sz w:val="24"/>
          <w:szCs w:val="24"/>
          <w:lang w:val="fr-FR"/>
        </w:rPr>
        <w:t xml:space="preserve"> </w:t>
      </w:r>
      <w:r w:rsidR="00ED29DB" w:rsidRPr="00953692">
        <w:rPr>
          <w:sz w:val="24"/>
          <w:szCs w:val="24"/>
          <w:lang w:val="fr-FR"/>
        </w:rPr>
        <w:t>l’</w:t>
      </w:r>
      <w:r w:rsidR="00DE6790" w:rsidRPr="00953692">
        <w:rPr>
          <w:sz w:val="24"/>
          <w:szCs w:val="24"/>
          <w:lang w:val="fr-FR"/>
        </w:rPr>
        <w:t>obligation de diligence</w:t>
      </w:r>
      <w:r w:rsidR="000E0D83" w:rsidRPr="00953692">
        <w:rPr>
          <w:sz w:val="24"/>
          <w:szCs w:val="24"/>
          <w:lang w:val="fr-FR"/>
        </w:rPr>
        <w:t>. Il perd à ce moment</w:t>
      </w:r>
      <w:r w:rsidR="00DE6790" w:rsidRPr="00953692">
        <w:rPr>
          <w:sz w:val="24"/>
          <w:szCs w:val="24"/>
          <w:lang w:val="fr-FR"/>
        </w:rPr>
        <w:t xml:space="preserve"> l</w:t>
      </w:r>
      <w:r w:rsidR="000E0D83" w:rsidRPr="00953692">
        <w:rPr>
          <w:sz w:val="24"/>
          <w:szCs w:val="24"/>
          <w:lang w:val="fr-FR"/>
        </w:rPr>
        <w:t>e</w:t>
      </w:r>
      <w:r w:rsidR="00DE6790" w:rsidRPr="00953692">
        <w:rPr>
          <w:sz w:val="24"/>
          <w:szCs w:val="24"/>
          <w:lang w:val="fr-FR"/>
        </w:rPr>
        <w:t xml:space="preserve"> contrôl</w:t>
      </w:r>
      <w:r w:rsidR="000E0D83" w:rsidRPr="00953692">
        <w:rPr>
          <w:sz w:val="24"/>
          <w:szCs w:val="24"/>
          <w:lang w:val="fr-FR"/>
        </w:rPr>
        <w:t>e</w:t>
      </w:r>
      <w:r w:rsidR="00DE6790" w:rsidRPr="00953692">
        <w:rPr>
          <w:sz w:val="24"/>
          <w:szCs w:val="24"/>
          <w:lang w:val="fr-FR"/>
        </w:rPr>
        <w:t xml:space="preserve"> ou la maitrise absolue du temps de son enquête</w:t>
      </w:r>
      <w:r w:rsidR="000E0D83" w:rsidRPr="00953692">
        <w:rPr>
          <w:sz w:val="24"/>
          <w:szCs w:val="24"/>
          <w:lang w:val="fr-FR"/>
        </w:rPr>
        <w:t>, parce qu’i</w:t>
      </w:r>
      <w:r w:rsidR="00DE6790" w:rsidRPr="00953692">
        <w:rPr>
          <w:sz w:val="24"/>
          <w:szCs w:val="24"/>
          <w:lang w:val="fr-FR"/>
        </w:rPr>
        <w:t>l devra agir beaucoup plus vite en vue de garantir à la personne suspectée tous ses droits fondamentaux, dont le droit d’être informé</w:t>
      </w:r>
      <w:r w:rsidR="00200352" w:rsidRPr="00953692">
        <w:rPr>
          <w:sz w:val="24"/>
          <w:szCs w:val="24"/>
          <w:lang w:val="fr-FR"/>
        </w:rPr>
        <w:t xml:space="preserve"> </w:t>
      </w:r>
      <w:r w:rsidR="000E0D83" w:rsidRPr="00953692">
        <w:rPr>
          <w:sz w:val="24"/>
          <w:szCs w:val="24"/>
          <w:lang w:val="fr-FR"/>
        </w:rPr>
        <w:t>dans le plus court délai</w:t>
      </w:r>
      <w:r w:rsidR="009768AA" w:rsidRPr="00953692">
        <w:rPr>
          <w:sz w:val="24"/>
          <w:szCs w:val="24"/>
          <w:lang w:val="fr-FR"/>
        </w:rPr>
        <w:t xml:space="preserve"> et les autres droits à placer dans la durée de la procédure en gestation</w:t>
      </w:r>
      <w:r w:rsidR="00DE6790" w:rsidRPr="00953692">
        <w:rPr>
          <w:sz w:val="24"/>
          <w:szCs w:val="24"/>
          <w:lang w:val="fr-FR"/>
        </w:rPr>
        <w:t>.</w:t>
      </w:r>
    </w:p>
    <w:p w14:paraId="06E55446" w14:textId="4D0B6F54" w:rsidR="00EF3029" w:rsidRPr="00953692" w:rsidRDefault="00D77B33" w:rsidP="00864BBF">
      <w:pPr>
        <w:spacing w:line="276" w:lineRule="auto"/>
        <w:ind w:firstLine="1134"/>
        <w:jc w:val="both"/>
        <w:rPr>
          <w:sz w:val="24"/>
          <w:szCs w:val="24"/>
          <w:lang w:val="fr-FR"/>
        </w:rPr>
      </w:pPr>
      <w:r w:rsidRPr="00953692">
        <w:rPr>
          <w:b/>
          <w:bCs/>
          <w:sz w:val="24"/>
          <w:szCs w:val="24"/>
          <w:lang w:val="fr-FR"/>
        </w:rPr>
        <w:t>109</w:t>
      </w:r>
      <w:r w:rsidR="002C2385" w:rsidRPr="00953692">
        <w:rPr>
          <w:b/>
          <w:bCs/>
          <w:sz w:val="24"/>
          <w:szCs w:val="24"/>
          <w:lang w:val="fr-FR"/>
        </w:rPr>
        <w:t>.</w:t>
      </w:r>
      <w:r w:rsidR="002C2385" w:rsidRPr="00953692">
        <w:rPr>
          <w:sz w:val="24"/>
          <w:szCs w:val="24"/>
          <w:lang w:val="fr-FR"/>
        </w:rPr>
        <w:t xml:space="preserve"> </w:t>
      </w:r>
      <w:r w:rsidR="001E5FC2" w:rsidRPr="00953692">
        <w:rPr>
          <w:sz w:val="24"/>
          <w:szCs w:val="24"/>
          <w:lang w:val="fr-FR"/>
        </w:rPr>
        <w:t>Ce problème particulier ne se pose théoriquement pas devant la CPI et d’autres juridictions internationalisées. Ca</w:t>
      </w:r>
      <w:r w:rsidR="00223AFA" w:rsidRPr="00953692">
        <w:rPr>
          <w:sz w:val="24"/>
          <w:szCs w:val="24"/>
          <w:lang w:val="fr-FR"/>
        </w:rPr>
        <w:t>r</w:t>
      </w:r>
      <w:r w:rsidR="001E5FC2" w:rsidRPr="00953692">
        <w:rPr>
          <w:sz w:val="24"/>
          <w:szCs w:val="24"/>
          <w:lang w:val="fr-FR"/>
        </w:rPr>
        <w:t xml:space="preserve">, </w:t>
      </w:r>
      <w:r w:rsidR="00E72AD6" w:rsidRPr="00953692">
        <w:rPr>
          <w:sz w:val="24"/>
          <w:szCs w:val="24"/>
          <w:lang w:val="fr-FR"/>
        </w:rPr>
        <w:t xml:space="preserve">le procureur de la CPI ne coopère avec </w:t>
      </w:r>
      <w:r w:rsidR="00E72AD6" w:rsidRPr="00953692">
        <w:rPr>
          <w:rFonts w:cs="Times New Roman"/>
          <w:sz w:val="24"/>
          <w:szCs w:val="24"/>
          <w:lang w:val="fr-FR"/>
        </w:rPr>
        <w:t xml:space="preserve">un </w:t>
      </w:r>
      <w:r w:rsidR="00223AFA" w:rsidRPr="00953692">
        <w:rPr>
          <w:rStyle w:val="misspelling"/>
          <w:rFonts w:cs="Times New Roman"/>
          <w:sz w:val="24"/>
          <w:szCs w:val="24"/>
          <w:lang w:val="fr-FR"/>
        </w:rPr>
        <w:t>État</w:t>
      </w:r>
      <w:r w:rsidR="00223AFA" w:rsidRPr="00953692">
        <w:rPr>
          <w:rFonts w:cs="Times New Roman"/>
          <w:sz w:val="24"/>
          <w:szCs w:val="24"/>
          <w:shd w:val="clear" w:color="auto" w:fill="FFFFFF"/>
          <w:lang w:val="fr-FR"/>
        </w:rPr>
        <w:t xml:space="preserve"> que</w:t>
      </w:r>
      <w:r w:rsidR="00223AFA" w:rsidRPr="00953692">
        <w:rPr>
          <w:rFonts w:cs="Times New Roman"/>
          <w:sz w:val="24"/>
          <w:szCs w:val="24"/>
          <w:lang w:val="fr-FR"/>
        </w:rPr>
        <w:t xml:space="preserve"> </w:t>
      </w:r>
      <w:r w:rsidR="00E72AD6" w:rsidRPr="00953692">
        <w:rPr>
          <w:rFonts w:cs="Times New Roman"/>
          <w:sz w:val="24"/>
          <w:szCs w:val="24"/>
          <w:lang w:val="fr-FR"/>
        </w:rPr>
        <w:t>par</w:t>
      </w:r>
      <w:r w:rsidR="00E72AD6" w:rsidRPr="00953692">
        <w:rPr>
          <w:sz w:val="24"/>
          <w:szCs w:val="24"/>
          <w:lang w:val="fr-FR"/>
        </w:rPr>
        <w:t xml:space="preserve"> le truchement de l’organe juridictionnel</w:t>
      </w:r>
      <w:r w:rsidR="002A4B4D" w:rsidRPr="00953692">
        <w:rPr>
          <w:sz w:val="24"/>
          <w:szCs w:val="24"/>
          <w:lang w:val="fr-FR"/>
        </w:rPr>
        <w:t xml:space="preserve">, notamment </w:t>
      </w:r>
      <w:r w:rsidR="00EF3029" w:rsidRPr="00953692">
        <w:rPr>
          <w:sz w:val="24"/>
          <w:szCs w:val="24"/>
          <w:lang w:val="fr-FR"/>
        </w:rPr>
        <w:t>la Chambre préliminaire qui, à tout moment après l’ouverture de l’enquête et sur requête du Procureur, délivre un mandat d’arrêt ou une citation à comparaitre contre une personne. L’article 58 du statut de Rome laisse à la Chambre préliminaire la latitude en cette matière puisqu’elle délivre ces actes que si elle est convaincue</w:t>
      </w:r>
      <w:r w:rsidR="001B0C26" w:rsidRPr="00953692">
        <w:rPr>
          <w:sz w:val="24"/>
          <w:szCs w:val="24"/>
          <w:lang w:val="fr-FR"/>
        </w:rPr>
        <w:t> :</w:t>
      </w:r>
    </w:p>
    <w:p w14:paraId="532D8DC8" w14:textId="77777777" w:rsidR="00D805F2" w:rsidRPr="00953692" w:rsidRDefault="00EF3029" w:rsidP="00864BBF">
      <w:pPr>
        <w:pStyle w:val="Paragraphedeliste"/>
        <w:numPr>
          <w:ilvl w:val="0"/>
          <w:numId w:val="4"/>
        </w:numPr>
        <w:spacing w:line="276" w:lineRule="auto"/>
        <w:jc w:val="both"/>
        <w:rPr>
          <w:i/>
          <w:iCs/>
          <w:sz w:val="22"/>
          <w:lang w:val="fr-FR"/>
        </w:rPr>
      </w:pPr>
      <w:r w:rsidRPr="00953692">
        <w:rPr>
          <w:i/>
          <w:iCs/>
          <w:sz w:val="22"/>
          <w:lang w:val="fr-FR"/>
        </w:rPr>
        <w:t xml:space="preserve">Qu'il y a des motifs raisonnables de croire que cette personne a commis un crime relevant de la compétence de la Cour ; et </w:t>
      </w:r>
    </w:p>
    <w:p w14:paraId="0B3B3741" w14:textId="3EAE57C3" w:rsidR="00EF3029" w:rsidRPr="00953692" w:rsidRDefault="00EF3029" w:rsidP="00864BBF">
      <w:pPr>
        <w:pStyle w:val="Paragraphedeliste"/>
        <w:numPr>
          <w:ilvl w:val="0"/>
          <w:numId w:val="4"/>
        </w:numPr>
        <w:spacing w:after="0" w:line="276" w:lineRule="auto"/>
        <w:jc w:val="both"/>
        <w:rPr>
          <w:i/>
          <w:iCs/>
          <w:sz w:val="22"/>
          <w:lang w:val="fr-FR"/>
        </w:rPr>
      </w:pPr>
      <w:r w:rsidRPr="00953692">
        <w:rPr>
          <w:i/>
          <w:iCs/>
          <w:sz w:val="22"/>
          <w:lang w:val="fr-FR"/>
        </w:rPr>
        <w:t xml:space="preserve">Que l'arrestation de cette personne apparaît nécessaire pour garantir : </w:t>
      </w:r>
    </w:p>
    <w:p w14:paraId="1ACD04F8" w14:textId="77777777" w:rsidR="00EF3029" w:rsidRPr="00953692" w:rsidRDefault="00EF3029" w:rsidP="00864BBF">
      <w:pPr>
        <w:pStyle w:val="Paragraphedeliste"/>
        <w:numPr>
          <w:ilvl w:val="0"/>
          <w:numId w:val="5"/>
        </w:numPr>
        <w:spacing w:after="0" w:line="276" w:lineRule="auto"/>
        <w:jc w:val="both"/>
        <w:rPr>
          <w:i/>
          <w:iCs/>
          <w:sz w:val="22"/>
          <w:lang w:val="fr-FR"/>
        </w:rPr>
      </w:pPr>
      <w:r w:rsidRPr="00953692">
        <w:rPr>
          <w:i/>
          <w:iCs/>
          <w:sz w:val="22"/>
          <w:lang w:val="fr-FR"/>
        </w:rPr>
        <w:t xml:space="preserve">Que la personne comparaîtra ; </w:t>
      </w:r>
    </w:p>
    <w:p w14:paraId="493E9A14" w14:textId="77777777" w:rsidR="00EF3029" w:rsidRPr="00953692" w:rsidRDefault="00EF3029" w:rsidP="00864BBF">
      <w:pPr>
        <w:pStyle w:val="Paragraphedeliste"/>
        <w:numPr>
          <w:ilvl w:val="0"/>
          <w:numId w:val="5"/>
        </w:numPr>
        <w:spacing w:after="0" w:line="276" w:lineRule="auto"/>
        <w:jc w:val="both"/>
        <w:rPr>
          <w:i/>
          <w:iCs/>
          <w:sz w:val="22"/>
          <w:lang w:val="fr-FR"/>
        </w:rPr>
      </w:pPr>
      <w:r w:rsidRPr="00953692">
        <w:rPr>
          <w:i/>
          <w:iCs/>
          <w:sz w:val="22"/>
          <w:lang w:val="fr-FR"/>
        </w:rPr>
        <w:t xml:space="preserve"> Qu'elle ne fera pas obstacle à l'enquête ou à la procédure devant la Cour, ni n'en compromettra le déroulement ; ou </w:t>
      </w:r>
    </w:p>
    <w:p w14:paraId="5EA6804A" w14:textId="2DEDD8AA" w:rsidR="00EF3029" w:rsidRPr="00953692" w:rsidRDefault="00EF3029" w:rsidP="00864BBF">
      <w:pPr>
        <w:pStyle w:val="Paragraphedeliste"/>
        <w:numPr>
          <w:ilvl w:val="0"/>
          <w:numId w:val="5"/>
        </w:numPr>
        <w:spacing w:line="276" w:lineRule="auto"/>
        <w:jc w:val="both"/>
        <w:rPr>
          <w:i/>
          <w:iCs/>
          <w:sz w:val="22"/>
          <w:lang w:val="fr-FR"/>
        </w:rPr>
      </w:pPr>
      <w:r w:rsidRPr="00953692">
        <w:rPr>
          <w:i/>
          <w:iCs/>
          <w:sz w:val="22"/>
          <w:lang w:val="fr-FR"/>
        </w:rPr>
        <w:t>Le cas échéant, qu'elle ne poursuivra pas l'exécution du crime dont il s'agit ou d'un crime connexe relevant de la compétence de la Cour et se produisant dans les mêmes circonstances.</w:t>
      </w:r>
    </w:p>
    <w:p w14:paraId="13214867" w14:textId="128178D6" w:rsidR="00DA1DDB" w:rsidRPr="00953692" w:rsidRDefault="00D77B33" w:rsidP="00864BBF">
      <w:pPr>
        <w:spacing w:after="0" w:line="276" w:lineRule="auto"/>
        <w:ind w:firstLine="1134"/>
        <w:jc w:val="both"/>
        <w:rPr>
          <w:sz w:val="24"/>
          <w:szCs w:val="24"/>
          <w:lang w:val="fr-FR"/>
        </w:rPr>
      </w:pPr>
      <w:r w:rsidRPr="00953692">
        <w:rPr>
          <w:b/>
          <w:bCs/>
          <w:sz w:val="24"/>
          <w:szCs w:val="24"/>
          <w:lang w:val="fr-FR"/>
        </w:rPr>
        <w:t>110</w:t>
      </w:r>
      <w:r w:rsidR="00761FDB" w:rsidRPr="00953692">
        <w:rPr>
          <w:b/>
          <w:bCs/>
          <w:sz w:val="24"/>
          <w:szCs w:val="24"/>
          <w:lang w:val="fr-FR"/>
        </w:rPr>
        <w:t>.</w:t>
      </w:r>
      <w:r w:rsidR="00761FDB" w:rsidRPr="00953692">
        <w:rPr>
          <w:sz w:val="24"/>
          <w:szCs w:val="24"/>
          <w:lang w:val="fr-FR"/>
        </w:rPr>
        <w:t xml:space="preserve"> </w:t>
      </w:r>
      <w:r w:rsidR="009768AA" w:rsidRPr="00953692">
        <w:rPr>
          <w:sz w:val="24"/>
          <w:szCs w:val="24"/>
          <w:lang w:val="fr-FR"/>
        </w:rPr>
        <w:t>Ces conditions montrent parfaitement qu’avant de délivre</w:t>
      </w:r>
      <w:r w:rsidR="00ED29DB" w:rsidRPr="00953692">
        <w:rPr>
          <w:sz w:val="24"/>
          <w:szCs w:val="24"/>
          <w:lang w:val="fr-FR"/>
        </w:rPr>
        <w:t>r</w:t>
      </w:r>
      <w:r w:rsidR="009768AA" w:rsidRPr="00953692">
        <w:rPr>
          <w:sz w:val="24"/>
          <w:szCs w:val="24"/>
          <w:lang w:val="fr-FR"/>
        </w:rPr>
        <w:t xml:space="preserve"> un quelconque acte de procédure</w:t>
      </w:r>
      <w:r w:rsidR="00ED29DB" w:rsidRPr="00953692">
        <w:rPr>
          <w:sz w:val="24"/>
          <w:szCs w:val="24"/>
          <w:lang w:val="fr-FR"/>
        </w:rPr>
        <w:t>,</w:t>
      </w:r>
      <w:r w:rsidR="009768AA" w:rsidRPr="00953692">
        <w:rPr>
          <w:sz w:val="24"/>
          <w:szCs w:val="24"/>
          <w:lang w:val="fr-FR"/>
        </w:rPr>
        <w:t xml:space="preserve"> la justice pénale internationale s’assure d’obtenir ou de posséder des informations suffisantes sur l’implication de la personne visée dans la commission des crimes</w:t>
      </w:r>
      <w:r w:rsidR="00ED29DB" w:rsidRPr="00953692">
        <w:rPr>
          <w:sz w:val="24"/>
          <w:szCs w:val="24"/>
          <w:lang w:val="fr-FR"/>
        </w:rPr>
        <w:t>.</w:t>
      </w:r>
      <w:r w:rsidR="009768AA" w:rsidRPr="00953692">
        <w:rPr>
          <w:sz w:val="24"/>
          <w:szCs w:val="24"/>
          <w:lang w:val="fr-FR"/>
        </w:rPr>
        <w:t xml:space="preserve"> Cependant, l</w:t>
      </w:r>
      <w:r w:rsidR="004C31A5" w:rsidRPr="00953692">
        <w:rPr>
          <w:sz w:val="24"/>
          <w:szCs w:val="24"/>
          <w:lang w:val="fr-FR"/>
        </w:rPr>
        <w:t xml:space="preserve">a Chambre préliminaire passe outre ces conditions, dans le cas où elle est avisée </w:t>
      </w:r>
      <w:r w:rsidR="004C31A5" w:rsidRPr="00953692">
        <w:rPr>
          <w:i/>
          <w:iCs/>
          <w:sz w:val="24"/>
          <w:szCs w:val="24"/>
          <w:lang w:val="fr-FR"/>
        </w:rPr>
        <w:t xml:space="preserve">par le Procureur </w:t>
      </w:r>
      <w:r w:rsidR="002C2385" w:rsidRPr="00953692">
        <w:rPr>
          <w:i/>
          <w:iCs/>
          <w:sz w:val="24"/>
          <w:szCs w:val="24"/>
          <w:lang w:val="fr-FR"/>
        </w:rPr>
        <w:t xml:space="preserve">qui </w:t>
      </w:r>
      <w:r w:rsidR="004C31A5" w:rsidRPr="00953692">
        <w:rPr>
          <w:i/>
          <w:iCs/>
          <w:sz w:val="24"/>
          <w:szCs w:val="24"/>
          <w:lang w:val="fr-FR"/>
        </w:rPr>
        <w:t>considère qu'une enquête offre l'occasion unique, qui peut ne plus se présenter par la suite, de recueillir un témoignage ou une déposition, ou d'examiner, recueillir ou vérifier des éléments de preuve aux fins d'un procès</w:t>
      </w:r>
      <w:r w:rsidR="004C31A5" w:rsidRPr="00953692">
        <w:rPr>
          <w:sz w:val="24"/>
          <w:szCs w:val="24"/>
          <w:lang w:val="fr-FR"/>
        </w:rPr>
        <w:t xml:space="preserve">. </w:t>
      </w:r>
      <w:r w:rsidR="009A6081" w:rsidRPr="00953692">
        <w:rPr>
          <w:sz w:val="24"/>
          <w:szCs w:val="24"/>
          <w:lang w:val="fr-FR"/>
        </w:rPr>
        <w:t>Conformément à l’esprit de l’article 56 du statut de Rome, la Chambre préliminaire, peut</w:t>
      </w:r>
      <w:r w:rsidR="00223AFA" w:rsidRPr="00953692">
        <w:rPr>
          <w:sz w:val="24"/>
          <w:szCs w:val="24"/>
          <w:lang w:val="fr-FR"/>
        </w:rPr>
        <w:t>,</w:t>
      </w:r>
      <w:r w:rsidR="009A6081" w:rsidRPr="00953692">
        <w:rPr>
          <w:sz w:val="24"/>
          <w:szCs w:val="24"/>
          <w:lang w:val="fr-FR"/>
        </w:rPr>
        <w:t xml:space="preserve"> à la demande du procureur, adressée </w:t>
      </w:r>
      <w:r w:rsidR="002C2385" w:rsidRPr="00953692">
        <w:rPr>
          <w:sz w:val="24"/>
          <w:szCs w:val="24"/>
          <w:lang w:val="fr-FR"/>
        </w:rPr>
        <w:t xml:space="preserve">à un Etat </w:t>
      </w:r>
      <w:r w:rsidR="009A6081" w:rsidRPr="00953692">
        <w:rPr>
          <w:sz w:val="24"/>
          <w:szCs w:val="24"/>
          <w:lang w:val="fr-FR"/>
        </w:rPr>
        <w:t>une demande d’arrestation provisoire d’une personne identifiée</w:t>
      </w:r>
      <w:r w:rsidR="00761FDB" w:rsidRPr="00953692">
        <w:rPr>
          <w:sz w:val="24"/>
          <w:szCs w:val="24"/>
          <w:lang w:val="fr-FR"/>
        </w:rPr>
        <w:t xml:space="preserve"> (art</w:t>
      </w:r>
      <w:r w:rsidR="00BA60C8" w:rsidRPr="00953692">
        <w:rPr>
          <w:sz w:val="24"/>
          <w:szCs w:val="24"/>
          <w:lang w:val="fr-FR"/>
        </w:rPr>
        <w:t>.</w:t>
      </w:r>
      <w:r w:rsidR="00761FDB" w:rsidRPr="00953692">
        <w:rPr>
          <w:sz w:val="24"/>
          <w:szCs w:val="24"/>
          <w:lang w:val="fr-FR"/>
        </w:rPr>
        <w:t xml:space="preserve"> 40 des RPP de TPI</w:t>
      </w:r>
      <w:r w:rsidR="00BB1EAF" w:rsidRPr="00953692">
        <w:rPr>
          <w:sz w:val="24"/>
          <w:szCs w:val="24"/>
          <w:lang w:val="fr-FR"/>
        </w:rPr>
        <w:t>)</w:t>
      </w:r>
      <w:r w:rsidR="009A6081" w:rsidRPr="00953692">
        <w:rPr>
          <w:sz w:val="24"/>
          <w:szCs w:val="24"/>
          <w:lang w:val="fr-FR"/>
        </w:rPr>
        <w:t xml:space="preserve">. </w:t>
      </w:r>
      <w:r w:rsidR="004F051D" w:rsidRPr="00953692">
        <w:rPr>
          <w:sz w:val="24"/>
          <w:szCs w:val="24"/>
          <w:lang w:val="fr-FR"/>
        </w:rPr>
        <w:t xml:space="preserve">Dans tous les cas, la personne </w:t>
      </w:r>
      <w:r w:rsidR="00781464" w:rsidRPr="00953692">
        <w:rPr>
          <w:sz w:val="24"/>
          <w:szCs w:val="24"/>
          <w:lang w:val="fr-FR"/>
        </w:rPr>
        <w:t>arrêtée</w:t>
      </w:r>
      <w:r w:rsidR="004F051D" w:rsidRPr="00953692">
        <w:rPr>
          <w:sz w:val="24"/>
          <w:szCs w:val="24"/>
          <w:lang w:val="fr-FR"/>
        </w:rPr>
        <w:t xml:space="preserve"> est aussitôt déférée </w:t>
      </w:r>
      <w:r w:rsidR="00781464" w:rsidRPr="00953692">
        <w:rPr>
          <w:sz w:val="24"/>
          <w:szCs w:val="24"/>
          <w:lang w:val="fr-FR"/>
        </w:rPr>
        <w:t>devant une autorité judiciaire compétente de cet Etat en vue de vérifier notamment</w:t>
      </w:r>
      <w:r w:rsidR="00223AFA" w:rsidRPr="00953692">
        <w:rPr>
          <w:sz w:val="24"/>
          <w:szCs w:val="24"/>
          <w:lang w:val="fr-FR"/>
        </w:rPr>
        <w:t xml:space="preserve">, </w:t>
      </w:r>
      <w:r w:rsidR="00781464" w:rsidRPr="00953692">
        <w:rPr>
          <w:sz w:val="24"/>
          <w:szCs w:val="24"/>
          <w:lang w:val="fr-FR"/>
        </w:rPr>
        <w:t>la régularité de la procédure et le respect de ses droits</w:t>
      </w:r>
      <w:r w:rsidR="00453228" w:rsidRPr="00953692">
        <w:rPr>
          <w:sz w:val="24"/>
          <w:szCs w:val="24"/>
          <w:lang w:val="fr-FR"/>
        </w:rPr>
        <w:t xml:space="preserve"> (art. 59 statut de Rome)</w:t>
      </w:r>
      <w:r w:rsidR="00781464" w:rsidRPr="00953692">
        <w:rPr>
          <w:sz w:val="24"/>
          <w:szCs w:val="24"/>
          <w:lang w:val="fr-FR"/>
        </w:rPr>
        <w:t>, dont le droit d’être informé des motifs de son arrestation</w:t>
      </w:r>
      <w:r w:rsidR="00781464" w:rsidRPr="00953692">
        <w:rPr>
          <w:rFonts w:cs="Times New Roman"/>
          <w:sz w:val="24"/>
          <w:szCs w:val="24"/>
          <w:lang w:val="fr-FR"/>
        </w:rPr>
        <w:t xml:space="preserve">. </w:t>
      </w:r>
      <w:r w:rsidR="00223AFA" w:rsidRPr="00953692">
        <w:rPr>
          <w:rStyle w:val="grammar"/>
          <w:rFonts w:cs="Times New Roman"/>
          <w:sz w:val="24"/>
          <w:szCs w:val="24"/>
          <w:lang w:val="fr-FR"/>
        </w:rPr>
        <w:t>À</w:t>
      </w:r>
      <w:r w:rsidR="00223AFA" w:rsidRPr="00953692">
        <w:rPr>
          <w:rFonts w:cs="Times New Roman"/>
          <w:sz w:val="24"/>
          <w:szCs w:val="24"/>
          <w:shd w:val="clear" w:color="auto" w:fill="FFFFFF"/>
          <w:lang w:val="fr-FR"/>
        </w:rPr>
        <w:t xml:space="preserve"> moins</w:t>
      </w:r>
      <w:r w:rsidR="00223AFA" w:rsidRPr="00953692">
        <w:rPr>
          <w:rFonts w:cs="Times New Roman"/>
          <w:sz w:val="24"/>
          <w:szCs w:val="24"/>
          <w:lang w:val="fr-FR"/>
        </w:rPr>
        <w:t xml:space="preserve"> </w:t>
      </w:r>
      <w:r w:rsidR="00781464" w:rsidRPr="00953692">
        <w:rPr>
          <w:rFonts w:cs="Times New Roman"/>
          <w:sz w:val="24"/>
          <w:szCs w:val="24"/>
          <w:lang w:val="fr-FR"/>
        </w:rPr>
        <w:t>que</w:t>
      </w:r>
      <w:r w:rsidR="00781464" w:rsidRPr="00953692">
        <w:rPr>
          <w:sz w:val="24"/>
          <w:szCs w:val="24"/>
          <w:lang w:val="fr-FR"/>
        </w:rPr>
        <w:t xml:space="preserve"> la Chambre ne l’autorise expressément, le procureur informe également la personne arrêtée de la circonstance exceptionnelle prévue par l’article 56</w:t>
      </w:r>
      <w:r w:rsidR="004D263C" w:rsidRPr="00953692">
        <w:rPr>
          <w:sz w:val="24"/>
          <w:szCs w:val="24"/>
          <w:lang w:val="fr-FR"/>
        </w:rPr>
        <w:t xml:space="preserve"> du statut</w:t>
      </w:r>
      <w:r w:rsidR="00781464" w:rsidRPr="00953692">
        <w:rPr>
          <w:sz w:val="24"/>
          <w:szCs w:val="24"/>
          <w:lang w:val="fr-FR"/>
        </w:rPr>
        <w:t>.</w:t>
      </w:r>
    </w:p>
    <w:p w14:paraId="41D252FA" w14:textId="6B07D693" w:rsidR="001B3104" w:rsidRPr="00953692" w:rsidRDefault="00D77B33" w:rsidP="00864BBF">
      <w:pPr>
        <w:spacing w:after="0" w:line="276" w:lineRule="auto"/>
        <w:ind w:firstLine="1134"/>
        <w:jc w:val="both"/>
        <w:rPr>
          <w:sz w:val="24"/>
          <w:szCs w:val="24"/>
          <w:lang w:val="fr-FR"/>
        </w:rPr>
      </w:pPr>
      <w:r w:rsidRPr="00953692">
        <w:rPr>
          <w:b/>
          <w:bCs/>
          <w:sz w:val="24"/>
          <w:szCs w:val="24"/>
          <w:lang w:val="fr-FR"/>
        </w:rPr>
        <w:lastRenderedPageBreak/>
        <w:t>111</w:t>
      </w:r>
      <w:r w:rsidR="00B746E7" w:rsidRPr="00953692">
        <w:rPr>
          <w:b/>
          <w:bCs/>
          <w:sz w:val="24"/>
          <w:szCs w:val="24"/>
          <w:lang w:val="fr-FR"/>
        </w:rPr>
        <w:t>.</w:t>
      </w:r>
      <w:r w:rsidR="00B746E7" w:rsidRPr="00953692">
        <w:rPr>
          <w:sz w:val="24"/>
          <w:szCs w:val="24"/>
          <w:lang w:val="fr-FR"/>
        </w:rPr>
        <w:t xml:space="preserve"> </w:t>
      </w:r>
      <w:r w:rsidR="00223AFA" w:rsidRPr="00953692">
        <w:rPr>
          <w:rStyle w:val="grammar"/>
          <w:rFonts w:cs="Times New Roman"/>
          <w:sz w:val="24"/>
          <w:szCs w:val="24"/>
          <w:lang w:val="fr-FR"/>
        </w:rPr>
        <w:t>À</w:t>
      </w:r>
      <w:r w:rsidR="00B746E7" w:rsidRPr="00953692">
        <w:rPr>
          <w:sz w:val="24"/>
          <w:szCs w:val="24"/>
          <w:lang w:val="fr-FR"/>
        </w:rPr>
        <w:t xml:space="preserve"> défaut de coopérer directement avec </w:t>
      </w:r>
      <w:r w:rsidR="00223AFA" w:rsidRPr="00953692">
        <w:rPr>
          <w:rStyle w:val="misspelling"/>
          <w:rFonts w:cs="Times New Roman"/>
          <w:sz w:val="24"/>
          <w:szCs w:val="24"/>
          <w:lang w:val="fr-FR"/>
        </w:rPr>
        <w:t>État</w:t>
      </w:r>
      <w:r w:rsidR="00B746E7" w:rsidRPr="00953692">
        <w:rPr>
          <w:sz w:val="24"/>
          <w:szCs w:val="24"/>
          <w:lang w:val="fr-FR"/>
        </w:rPr>
        <w:t>,</w:t>
      </w:r>
      <w:r w:rsidR="008208C2" w:rsidRPr="00953692">
        <w:rPr>
          <w:sz w:val="24"/>
          <w:szCs w:val="24"/>
          <w:lang w:val="fr-FR"/>
        </w:rPr>
        <w:t xml:space="preserve"> </w:t>
      </w:r>
      <w:r w:rsidR="00B746E7" w:rsidRPr="00953692">
        <w:rPr>
          <w:sz w:val="24"/>
          <w:szCs w:val="24"/>
          <w:lang w:val="fr-FR"/>
        </w:rPr>
        <w:t>c</w:t>
      </w:r>
      <w:r w:rsidR="008208C2" w:rsidRPr="00953692">
        <w:rPr>
          <w:sz w:val="24"/>
          <w:szCs w:val="24"/>
          <w:lang w:val="fr-FR"/>
        </w:rPr>
        <w:t>e qui change remarquablement, c’est le fait que l’arrestation, même en cas exceptionnel, n’est possible qu’en vertu d’acte de procédure clai</w:t>
      </w:r>
      <w:r w:rsidR="00B746E7" w:rsidRPr="00953692">
        <w:rPr>
          <w:sz w:val="24"/>
          <w:szCs w:val="24"/>
          <w:lang w:val="fr-FR"/>
        </w:rPr>
        <w:t>r. Et il en résulte</w:t>
      </w:r>
      <w:r w:rsidR="008208C2" w:rsidRPr="00953692">
        <w:rPr>
          <w:sz w:val="24"/>
          <w:szCs w:val="24"/>
          <w:lang w:val="fr-FR"/>
        </w:rPr>
        <w:t xml:space="preserve"> </w:t>
      </w:r>
      <w:r w:rsidR="00B746E7" w:rsidRPr="00953692">
        <w:rPr>
          <w:sz w:val="24"/>
          <w:szCs w:val="24"/>
          <w:lang w:val="fr-FR"/>
        </w:rPr>
        <w:t xml:space="preserve">une </w:t>
      </w:r>
      <w:r w:rsidR="008208C2" w:rsidRPr="00953692">
        <w:rPr>
          <w:sz w:val="24"/>
          <w:szCs w:val="24"/>
          <w:lang w:val="fr-FR"/>
        </w:rPr>
        <w:t>obligation explicite faite aux autorités nationales concernées d’informer le suspect des motifs de son arrestation.</w:t>
      </w:r>
      <w:r w:rsidR="00B746E7" w:rsidRPr="00953692">
        <w:rPr>
          <w:sz w:val="24"/>
          <w:szCs w:val="24"/>
          <w:lang w:val="fr-FR"/>
        </w:rPr>
        <w:t xml:space="preserve"> O</w:t>
      </w:r>
      <w:r w:rsidR="003D5521" w:rsidRPr="00953692">
        <w:rPr>
          <w:sz w:val="24"/>
          <w:szCs w:val="24"/>
          <w:lang w:val="fr-FR"/>
        </w:rPr>
        <w:t>n est un peu plus proche d’une procédure pratiquement ordinaire</w:t>
      </w:r>
      <w:r w:rsidR="00B746E7" w:rsidRPr="00953692">
        <w:rPr>
          <w:sz w:val="24"/>
          <w:szCs w:val="24"/>
          <w:lang w:val="fr-FR"/>
        </w:rPr>
        <w:t xml:space="preserve"> </w:t>
      </w:r>
      <w:r w:rsidR="003D5521" w:rsidRPr="00953692">
        <w:rPr>
          <w:sz w:val="24"/>
          <w:szCs w:val="24"/>
          <w:lang w:val="fr-FR"/>
        </w:rPr>
        <w:t>qu’appliquent les juridictions internationalisées</w:t>
      </w:r>
      <w:r w:rsidR="00453228" w:rsidRPr="00953692">
        <w:rPr>
          <w:rStyle w:val="Appelnotedebasdep"/>
          <w:sz w:val="24"/>
          <w:szCs w:val="24"/>
          <w:lang w:val="fr-FR"/>
        </w:rPr>
        <w:footnoteReference w:customMarkFollows="1" w:id="98"/>
        <w:t>77</w:t>
      </w:r>
      <w:r w:rsidR="003D5521" w:rsidRPr="00953692">
        <w:rPr>
          <w:sz w:val="24"/>
          <w:szCs w:val="24"/>
          <w:lang w:val="fr-FR"/>
        </w:rPr>
        <w:t>.</w:t>
      </w:r>
      <w:r w:rsidR="00847EDB" w:rsidRPr="00953692">
        <w:rPr>
          <w:sz w:val="24"/>
          <w:szCs w:val="24"/>
          <w:lang w:val="fr-FR"/>
        </w:rPr>
        <w:t xml:space="preserve"> </w:t>
      </w:r>
      <w:r w:rsidR="003D5521" w:rsidRPr="00953692">
        <w:rPr>
          <w:sz w:val="24"/>
          <w:szCs w:val="24"/>
          <w:lang w:val="fr-FR"/>
        </w:rPr>
        <w:t>Par exemple, devant la C</w:t>
      </w:r>
      <w:r w:rsidR="00746FF0" w:rsidRPr="00953692">
        <w:rPr>
          <w:sz w:val="24"/>
          <w:szCs w:val="24"/>
          <w:lang w:val="fr-FR"/>
        </w:rPr>
        <w:t>our pénale spéciale</w:t>
      </w:r>
      <w:r w:rsidR="003D5521" w:rsidRPr="00953692">
        <w:rPr>
          <w:sz w:val="24"/>
          <w:szCs w:val="24"/>
          <w:lang w:val="fr-FR"/>
        </w:rPr>
        <w:t xml:space="preserve"> centrafricaine, l’article 67 de son RPP prévoit que</w:t>
      </w:r>
      <w:r w:rsidR="00B746E7" w:rsidRPr="00953692">
        <w:rPr>
          <w:sz w:val="24"/>
          <w:szCs w:val="24"/>
          <w:lang w:val="fr-FR"/>
        </w:rPr>
        <w:t>,</w:t>
      </w:r>
      <w:r w:rsidR="003D5521" w:rsidRPr="00953692">
        <w:rPr>
          <w:sz w:val="24"/>
          <w:szCs w:val="24"/>
          <w:lang w:val="fr-FR"/>
        </w:rPr>
        <w:t xml:space="preserve"> c’est sur </w:t>
      </w:r>
      <w:r w:rsidR="00FB2D38" w:rsidRPr="00953692">
        <w:rPr>
          <w:i/>
          <w:iCs/>
          <w:sz w:val="24"/>
          <w:szCs w:val="24"/>
          <w:lang w:val="fr-FR"/>
        </w:rPr>
        <w:t xml:space="preserve">un ordre écrit et motivé du Procureur spécial qu’un officier de l’Unité spéciale de police judicaire peut procéder à la garde à vue </w:t>
      </w:r>
      <w:r w:rsidR="00B746E7" w:rsidRPr="00953692">
        <w:rPr>
          <w:i/>
          <w:iCs/>
          <w:sz w:val="24"/>
          <w:szCs w:val="24"/>
          <w:lang w:val="fr-FR"/>
        </w:rPr>
        <w:t>d’</w:t>
      </w:r>
      <w:r w:rsidR="00FB2D38" w:rsidRPr="00953692">
        <w:rPr>
          <w:i/>
          <w:iCs/>
          <w:sz w:val="24"/>
          <w:szCs w:val="24"/>
          <w:lang w:val="fr-FR"/>
        </w:rPr>
        <w:t>une personne</w:t>
      </w:r>
      <w:r w:rsidR="00D805F2" w:rsidRPr="00953692">
        <w:rPr>
          <w:i/>
          <w:iCs/>
          <w:sz w:val="24"/>
          <w:szCs w:val="24"/>
          <w:lang w:val="fr-FR"/>
        </w:rPr>
        <w:t>, et celle-ci</w:t>
      </w:r>
      <w:r w:rsidR="00FB2D38" w:rsidRPr="00953692">
        <w:rPr>
          <w:i/>
          <w:iCs/>
          <w:sz w:val="24"/>
          <w:szCs w:val="24"/>
          <w:lang w:val="fr-FR"/>
        </w:rPr>
        <w:t xml:space="preserve"> est informée sans délai des motifs justifiant </w:t>
      </w:r>
      <w:r w:rsidR="00D805F2" w:rsidRPr="00953692">
        <w:rPr>
          <w:i/>
          <w:iCs/>
          <w:sz w:val="24"/>
          <w:szCs w:val="24"/>
          <w:lang w:val="fr-FR"/>
        </w:rPr>
        <w:t>ce</w:t>
      </w:r>
      <w:r w:rsidR="00B746E7" w:rsidRPr="00953692">
        <w:rPr>
          <w:i/>
          <w:iCs/>
          <w:sz w:val="24"/>
          <w:szCs w:val="24"/>
          <w:lang w:val="fr-FR"/>
        </w:rPr>
        <w:t>tte mesure de</w:t>
      </w:r>
      <w:r w:rsidR="00FB2D38" w:rsidRPr="00953692">
        <w:rPr>
          <w:i/>
          <w:iCs/>
          <w:sz w:val="24"/>
          <w:szCs w:val="24"/>
          <w:lang w:val="fr-FR"/>
        </w:rPr>
        <w:t xml:space="preserve"> placement</w:t>
      </w:r>
      <w:r w:rsidR="001B3104" w:rsidRPr="00953692">
        <w:rPr>
          <w:i/>
          <w:iCs/>
          <w:sz w:val="24"/>
          <w:szCs w:val="24"/>
          <w:lang w:val="fr-FR"/>
        </w:rPr>
        <w:t xml:space="preserve"> en garde à vue</w:t>
      </w:r>
      <w:r w:rsidR="00FB2D38" w:rsidRPr="00953692">
        <w:rPr>
          <w:sz w:val="24"/>
          <w:szCs w:val="24"/>
          <w:lang w:val="fr-FR"/>
        </w:rPr>
        <w:t>.</w:t>
      </w:r>
      <w:r w:rsidR="00F44590" w:rsidRPr="00953692">
        <w:rPr>
          <w:sz w:val="24"/>
          <w:szCs w:val="24"/>
          <w:lang w:val="fr-FR"/>
        </w:rPr>
        <w:t xml:space="preserve"> </w:t>
      </w:r>
    </w:p>
    <w:p w14:paraId="5450DA6D" w14:textId="48C4C30D" w:rsidR="00D40706" w:rsidRPr="00953692" w:rsidRDefault="00D77B33" w:rsidP="00864BBF">
      <w:pPr>
        <w:spacing w:after="0" w:line="276" w:lineRule="auto"/>
        <w:ind w:firstLine="1134"/>
        <w:jc w:val="both"/>
        <w:rPr>
          <w:sz w:val="24"/>
          <w:szCs w:val="24"/>
          <w:lang w:val="fr-FR"/>
        </w:rPr>
      </w:pPr>
      <w:r w:rsidRPr="00953692">
        <w:rPr>
          <w:b/>
          <w:bCs/>
          <w:sz w:val="24"/>
          <w:szCs w:val="24"/>
          <w:lang w:val="fr-FR"/>
        </w:rPr>
        <w:t>112</w:t>
      </w:r>
      <w:r w:rsidR="00B746E7" w:rsidRPr="00953692">
        <w:rPr>
          <w:b/>
          <w:bCs/>
          <w:sz w:val="24"/>
          <w:szCs w:val="24"/>
          <w:lang w:val="fr-FR"/>
        </w:rPr>
        <w:t>.</w:t>
      </w:r>
      <w:r w:rsidR="00B746E7" w:rsidRPr="00953692">
        <w:rPr>
          <w:sz w:val="24"/>
          <w:szCs w:val="24"/>
          <w:lang w:val="fr-FR"/>
        </w:rPr>
        <w:t xml:space="preserve"> </w:t>
      </w:r>
      <w:r w:rsidR="00F44590" w:rsidRPr="00953692">
        <w:rPr>
          <w:sz w:val="24"/>
          <w:szCs w:val="24"/>
          <w:lang w:val="fr-FR"/>
        </w:rPr>
        <w:t>Le cabinet d’instruction</w:t>
      </w:r>
      <w:r w:rsidR="004423FA" w:rsidRPr="00953692">
        <w:rPr>
          <w:sz w:val="24"/>
          <w:szCs w:val="24"/>
          <w:lang w:val="fr-FR"/>
        </w:rPr>
        <w:t>, qui est en charge de l’instruction, possède les pouvoirs de décerner les mandats judiciaires</w:t>
      </w:r>
      <w:r w:rsidR="00453228" w:rsidRPr="00953692">
        <w:rPr>
          <w:rStyle w:val="Appelnotedebasdep"/>
          <w:sz w:val="24"/>
          <w:szCs w:val="24"/>
          <w:lang w:val="fr-FR"/>
        </w:rPr>
        <w:footnoteReference w:customMarkFollows="1" w:id="99"/>
        <w:t>78</w:t>
      </w:r>
      <w:r w:rsidR="001B3104" w:rsidRPr="00953692">
        <w:rPr>
          <w:sz w:val="24"/>
          <w:szCs w:val="24"/>
          <w:lang w:val="fr-FR"/>
        </w:rPr>
        <w:t xml:space="preserve">, dont </w:t>
      </w:r>
      <w:r w:rsidR="001B3104" w:rsidRPr="00953692">
        <w:rPr>
          <w:i/>
          <w:iCs/>
          <w:sz w:val="24"/>
          <w:szCs w:val="24"/>
          <w:lang w:val="fr-FR"/>
        </w:rPr>
        <w:t>les mandats d’amener, de dépôt, d’arrêt et de recherche qui mentionnent</w:t>
      </w:r>
      <w:r w:rsidR="000071B1" w:rsidRPr="00953692">
        <w:rPr>
          <w:i/>
          <w:iCs/>
          <w:sz w:val="24"/>
          <w:szCs w:val="24"/>
          <w:lang w:val="fr-FR"/>
        </w:rPr>
        <w:t xml:space="preserve"> tous</w:t>
      </w:r>
      <w:r w:rsidR="001B3104" w:rsidRPr="00953692">
        <w:rPr>
          <w:i/>
          <w:iCs/>
          <w:sz w:val="24"/>
          <w:szCs w:val="24"/>
          <w:lang w:val="fr-FR"/>
        </w:rPr>
        <w:t xml:space="preserve"> la nature des faits imputés à la personne concernée, leur qualification légale et les articles de loi et du Règlement applicables</w:t>
      </w:r>
      <w:r w:rsidR="00453228" w:rsidRPr="00953692">
        <w:rPr>
          <w:rStyle w:val="Appelnotedebasdep"/>
          <w:sz w:val="24"/>
          <w:szCs w:val="24"/>
          <w:lang w:val="fr-FR"/>
        </w:rPr>
        <w:footnoteReference w:customMarkFollows="1" w:id="100"/>
        <w:t>79</w:t>
      </w:r>
      <w:r w:rsidR="001B3104" w:rsidRPr="00953692">
        <w:rPr>
          <w:sz w:val="24"/>
          <w:szCs w:val="24"/>
          <w:lang w:val="fr-FR"/>
        </w:rPr>
        <w:t>.</w:t>
      </w:r>
      <w:r w:rsidR="003B09FD" w:rsidRPr="00953692">
        <w:rPr>
          <w:sz w:val="24"/>
          <w:szCs w:val="24"/>
          <w:lang w:val="fr-FR"/>
        </w:rPr>
        <w:t xml:space="preserve"> Les rédacteurs des actes constitutifs de cette juridiction ont pris le soin d’apporter quelques précisions importantes concernant le respect du droit d’être informé, particulièrement en ce qui concerne leur signification respective. </w:t>
      </w:r>
    </w:p>
    <w:p w14:paraId="3A430726" w14:textId="1410C19C" w:rsidR="00CF0EA8" w:rsidRPr="00953692" w:rsidRDefault="00D77B33" w:rsidP="00864BBF">
      <w:pPr>
        <w:spacing w:after="0" w:line="276" w:lineRule="auto"/>
        <w:ind w:firstLine="1134"/>
        <w:jc w:val="both"/>
        <w:rPr>
          <w:sz w:val="24"/>
          <w:szCs w:val="24"/>
          <w:lang w:val="fr-FR"/>
        </w:rPr>
      </w:pPr>
      <w:r w:rsidRPr="00953692">
        <w:rPr>
          <w:b/>
          <w:bCs/>
          <w:sz w:val="24"/>
          <w:szCs w:val="24"/>
          <w:lang w:val="fr-FR"/>
        </w:rPr>
        <w:t>113.</w:t>
      </w:r>
      <w:r w:rsidRPr="00953692">
        <w:rPr>
          <w:sz w:val="24"/>
          <w:szCs w:val="24"/>
          <w:lang w:val="fr-FR"/>
        </w:rPr>
        <w:t xml:space="preserve"> </w:t>
      </w:r>
      <w:r w:rsidRPr="00953692">
        <w:rPr>
          <w:i/>
          <w:iCs/>
          <w:sz w:val="24"/>
          <w:szCs w:val="24"/>
          <w:lang w:val="fr-FR"/>
        </w:rPr>
        <w:t>L</w:t>
      </w:r>
      <w:r w:rsidR="003B09FD" w:rsidRPr="00953692">
        <w:rPr>
          <w:i/>
          <w:iCs/>
          <w:sz w:val="24"/>
          <w:szCs w:val="24"/>
          <w:lang w:val="fr-FR"/>
        </w:rPr>
        <w:t xml:space="preserve">e mandat de comparution </w:t>
      </w:r>
      <w:r w:rsidR="00956FE0" w:rsidRPr="00953692">
        <w:rPr>
          <w:i/>
          <w:iCs/>
          <w:sz w:val="24"/>
          <w:szCs w:val="24"/>
          <w:lang w:val="fr-FR"/>
        </w:rPr>
        <w:t xml:space="preserve">par les autorités compétentes ou </w:t>
      </w:r>
      <w:r w:rsidR="000071B1" w:rsidRPr="00953692">
        <w:rPr>
          <w:i/>
          <w:iCs/>
          <w:sz w:val="24"/>
          <w:szCs w:val="24"/>
          <w:lang w:val="fr-FR"/>
        </w:rPr>
        <w:t xml:space="preserve">par </w:t>
      </w:r>
      <w:r w:rsidR="00956FE0" w:rsidRPr="00953692">
        <w:rPr>
          <w:i/>
          <w:iCs/>
          <w:sz w:val="24"/>
          <w:szCs w:val="24"/>
          <w:lang w:val="fr-FR"/>
        </w:rPr>
        <w:t>un officier de l’Unité spéciale de police judiciaire qui en délivre copie à la personne indiquée</w:t>
      </w:r>
      <w:r w:rsidR="00956FE0" w:rsidRPr="00953692">
        <w:rPr>
          <w:sz w:val="24"/>
          <w:szCs w:val="24"/>
          <w:lang w:val="fr-FR"/>
        </w:rPr>
        <w:t xml:space="preserve">. </w:t>
      </w:r>
      <w:r w:rsidR="00F815C0" w:rsidRPr="00953692">
        <w:rPr>
          <w:sz w:val="24"/>
          <w:szCs w:val="24"/>
          <w:lang w:val="fr-FR"/>
        </w:rPr>
        <w:t xml:space="preserve">Deuxièmement, </w:t>
      </w:r>
      <w:r w:rsidR="00F815C0" w:rsidRPr="00953692">
        <w:rPr>
          <w:i/>
          <w:iCs/>
          <w:sz w:val="24"/>
          <w:szCs w:val="24"/>
          <w:lang w:val="fr-FR"/>
        </w:rPr>
        <w:t xml:space="preserve">les mandats d’amener, d’arrêt ou de recherche </w:t>
      </w:r>
      <w:r w:rsidR="00E366BB" w:rsidRPr="00953692">
        <w:rPr>
          <w:i/>
          <w:iCs/>
          <w:sz w:val="24"/>
          <w:szCs w:val="24"/>
          <w:lang w:val="fr-FR"/>
        </w:rPr>
        <w:t xml:space="preserve">sont </w:t>
      </w:r>
      <w:r w:rsidR="00F815C0" w:rsidRPr="00953692">
        <w:rPr>
          <w:i/>
          <w:iCs/>
          <w:sz w:val="24"/>
          <w:szCs w:val="24"/>
          <w:lang w:val="fr-FR"/>
        </w:rPr>
        <w:t>notifié</w:t>
      </w:r>
      <w:r w:rsidR="00E366BB" w:rsidRPr="00953692">
        <w:rPr>
          <w:i/>
          <w:iCs/>
          <w:sz w:val="24"/>
          <w:szCs w:val="24"/>
          <w:lang w:val="fr-FR"/>
        </w:rPr>
        <w:t>s</w:t>
      </w:r>
      <w:r w:rsidR="00F815C0" w:rsidRPr="00953692">
        <w:rPr>
          <w:i/>
          <w:iCs/>
          <w:sz w:val="24"/>
          <w:szCs w:val="24"/>
          <w:lang w:val="fr-FR"/>
        </w:rPr>
        <w:t xml:space="preserve"> et exécuté</w:t>
      </w:r>
      <w:r w:rsidR="009D25C6" w:rsidRPr="00953692">
        <w:rPr>
          <w:i/>
          <w:iCs/>
          <w:sz w:val="24"/>
          <w:szCs w:val="24"/>
          <w:lang w:val="fr-FR"/>
        </w:rPr>
        <w:t>s</w:t>
      </w:r>
      <w:r w:rsidR="00F815C0" w:rsidRPr="00953692">
        <w:rPr>
          <w:i/>
          <w:iCs/>
          <w:sz w:val="24"/>
          <w:szCs w:val="24"/>
          <w:lang w:val="fr-FR"/>
        </w:rPr>
        <w:t xml:space="preserve"> par les mêmes personnes, lesquels en font l’exhibition à la personne concernée et lui en délivrent copie</w:t>
      </w:r>
      <w:r w:rsidR="00F815C0" w:rsidRPr="00953692">
        <w:rPr>
          <w:sz w:val="24"/>
          <w:szCs w:val="24"/>
          <w:lang w:val="fr-FR"/>
        </w:rPr>
        <w:t>.</w:t>
      </w:r>
      <w:r w:rsidR="00E366BB" w:rsidRPr="00953692">
        <w:rPr>
          <w:sz w:val="24"/>
          <w:szCs w:val="24"/>
          <w:lang w:val="fr-FR"/>
        </w:rPr>
        <w:t xml:space="preserve"> </w:t>
      </w:r>
      <w:r w:rsidR="001149AD" w:rsidRPr="00953692">
        <w:rPr>
          <w:sz w:val="24"/>
          <w:szCs w:val="24"/>
          <w:lang w:val="fr-FR"/>
        </w:rPr>
        <w:t>Il en découle</w:t>
      </w:r>
      <w:r w:rsidR="009D25C6" w:rsidRPr="00953692">
        <w:rPr>
          <w:sz w:val="24"/>
          <w:szCs w:val="24"/>
          <w:lang w:val="fr-FR"/>
        </w:rPr>
        <w:t>,</w:t>
      </w:r>
      <w:r w:rsidR="001149AD" w:rsidRPr="00953692">
        <w:rPr>
          <w:sz w:val="24"/>
          <w:szCs w:val="24"/>
          <w:lang w:val="fr-FR"/>
        </w:rPr>
        <w:t xml:space="preserve"> en principe, qu’en respectant à la lettre ces différentes dispositions</w:t>
      </w:r>
      <w:r w:rsidR="009D25C6" w:rsidRPr="00953692">
        <w:rPr>
          <w:sz w:val="24"/>
          <w:szCs w:val="24"/>
          <w:lang w:val="fr-FR"/>
        </w:rPr>
        <w:t>,</w:t>
      </w:r>
      <w:r w:rsidR="001149AD" w:rsidRPr="00953692">
        <w:rPr>
          <w:sz w:val="24"/>
          <w:szCs w:val="24"/>
          <w:lang w:val="fr-FR"/>
        </w:rPr>
        <w:t xml:space="preserve"> la personne arrêtée devra sans retard prendre connaissance des motifs de son arrestation</w:t>
      </w:r>
      <w:r w:rsidR="000071B1" w:rsidRPr="00953692">
        <w:rPr>
          <w:sz w:val="24"/>
          <w:szCs w:val="24"/>
          <w:lang w:val="fr-FR"/>
        </w:rPr>
        <w:t xml:space="preserve"> ou de son interpellation</w:t>
      </w:r>
      <w:r w:rsidR="001149AD" w:rsidRPr="00953692">
        <w:rPr>
          <w:sz w:val="24"/>
          <w:szCs w:val="24"/>
          <w:lang w:val="fr-FR"/>
        </w:rPr>
        <w:t>.</w:t>
      </w:r>
    </w:p>
    <w:p w14:paraId="1941C073" w14:textId="3493ABF9" w:rsidR="00AA4AC0" w:rsidRPr="00953692" w:rsidRDefault="00D77B33" w:rsidP="00864BBF">
      <w:pPr>
        <w:spacing w:after="0" w:line="276" w:lineRule="auto"/>
        <w:ind w:firstLine="1134"/>
        <w:jc w:val="both"/>
        <w:rPr>
          <w:sz w:val="24"/>
          <w:szCs w:val="24"/>
          <w:lang w:val="fr-FR"/>
        </w:rPr>
      </w:pPr>
      <w:r w:rsidRPr="00953692">
        <w:rPr>
          <w:b/>
          <w:bCs/>
          <w:sz w:val="24"/>
          <w:szCs w:val="24"/>
          <w:lang w:val="fr-FR"/>
        </w:rPr>
        <w:t>114</w:t>
      </w:r>
      <w:r w:rsidR="00CA29B2" w:rsidRPr="00953692">
        <w:rPr>
          <w:b/>
          <w:bCs/>
          <w:sz w:val="24"/>
          <w:szCs w:val="24"/>
          <w:lang w:val="fr-FR"/>
        </w:rPr>
        <w:t>.</w:t>
      </w:r>
      <w:r w:rsidR="00CA29B2" w:rsidRPr="00953692">
        <w:rPr>
          <w:sz w:val="24"/>
          <w:szCs w:val="24"/>
          <w:lang w:val="fr-FR"/>
        </w:rPr>
        <w:t xml:space="preserve"> </w:t>
      </w:r>
      <w:r w:rsidR="004B34DA" w:rsidRPr="00953692">
        <w:rPr>
          <w:sz w:val="24"/>
          <w:szCs w:val="24"/>
          <w:lang w:val="fr-FR"/>
        </w:rPr>
        <w:t xml:space="preserve">De fait, il est vrai qu’une telle rapidité contribue largement à </w:t>
      </w:r>
      <w:r w:rsidR="00B235A4" w:rsidRPr="00953692">
        <w:rPr>
          <w:sz w:val="24"/>
          <w:szCs w:val="24"/>
          <w:lang w:val="fr-FR"/>
        </w:rPr>
        <w:t>celle</w:t>
      </w:r>
      <w:r w:rsidR="004B34DA" w:rsidRPr="00953692">
        <w:rPr>
          <w:sz w:val="24"/>
          <w:szCs w:val="24"/>
          <w:lang w:val="fr-FR"/>
        </w:rPr>
        <w:t xml:space="preserve"> de la procédure. Il y a là une complémentarité indéniable qui augure que l’accusé sera jugé sans retard excessif. Puisque nous parlons des implications négative</w:t>
      </w:r>
      <w:r w:rsidR="009D25C6" w:rsidRPr="00953692">
        <w:rPr>
          <w:sz w:val="24"/>
          <w:szCs w:val="24"/>
          <w:lang w:val="fr-FR"/>
        </w:rPr>
        <w:t>s</w:t>
      </w:r>
      <w:r w:rsidR="004B34DA" w:rsidRPr="00953692">
        <w:rPr>
          <w:sz w:val="24"/>
          <w:szCs w:val="24"/>
          <w:lang w:val="fr-FR"/>
        </w:rPr>
        <w:t xml:space="preserve"> sur le délai raisonnable dans ce paragraphe, </w:t>
      </w:r>
      <w:r w:rsidR="00E013E4" w:rsidRPr="00953692">
        <w:rPr>
          <w:sz w:val="24"/>
          <w:szCs w:val="24"/>
          <w:lang w:val="fr-FR"/>
        </w:rPr>
        <w:t xml:space="preserve">il sied de noter que lorsque cette exigence du délai n’est pas respectée, le retard accumulé peut, lorsqu’il est jugé important, affecter considérablement le droit d’être jugé sans retard excessif. </w:t>
      </w:r>
      <w:r w:rsidR="000B4E14" w:rsidRPr="00953692">
        <w:rPr>
          <w:sz w:val="24"/>
          <w:szCs w:val="24"/>
          <w:lang w:val="fr-FR"/>
        </w:rPr>
        <w:t>Dans l’affaire Barayagwiza, une durée de</w:t>
      </w:r>
      <w:r w:rsidR="00200352" w:rsidRPr="00953692">
        <w:rPr>
          <w:sz w:val="24"/>
          <w:szCs w:val="24"/>
          <w:lang w:val="fr-FR"/>
        </w:rPr>
        <w:t xml:space="preserve"> 11 mois sans être informé des motifs de son arrestation </w:t>
      </w:r>
      <w:r w:rsidR="000B4E14" w:rsidRPr="00953692">
        <w:rPr>
          <w:sz w:val="24"/>
          <w:szCs w:val="24"/>
          <w:lang w:val="fr-FR"/>
        </w:rPr>
        <w:t>a permis à la Chambre d’appel de retenir un abus de procédure dans le chef du Procureur. Mais ce délai n’a pas été associé clairement à la violation du délai raisonnable. La raison est simple</w:t>
      </w:r>
      <w:r w:rsidR="00D43F8B" w:rsidRPr="00953692">
        <w:rPr>
          <w:sz w:val="24"/>
          <w:szCs w:val="24"/>
          <w:lang w:val="fr-FR"/>
        </w:rPr>
        <w:t>,</w:t>
      </w:r>
      <w:r w:rsidR="000B4E14" w:rsidRPr="00953692">
        <w:rPr>
          <w:sz w:val="24"/>
          <w:szCs w:val="24"/>
          <w:lang w:val="fr-FR"/>
        </w:rPr>
        <w:t xml:space="preserve"> </w:t>
      </w:r>
      <w:r w:rsidR="00D43F8B" w:rsidRPr="00953692">
        <w:rPr>
          <w:sz w:val="24"/>
          <w:szCs w:val="24"/>
          <w:lang w:val="fr-FR"/>
        </w:rPr>
        <w:t>l</w:t>
      </w:r>
      <w:r w:rsidR="000B4E14" w:rsidRPr="00953692">
        <w:rPr>
          <w:sz w:val="24"/>
          <w:szCs w:val="24"/>
          <w:lang w:val="fr-FR"/>
        </w:rPr>
        <w:t xml:space="preserve">e droit d’être jugé sans retard excessif, tel que rubriqué dans les actes constitutifs des juridictions pénales </w:t>
      </w:r>
      <w:r w:rsidR="000B4E14" w:rsidRPr="00953692">
        <w:rPr>
          <w:sz w:val="24"/>
          <w:szCs w:val="24"/>
          <w:lang w:val="fr-FR"/>
        </w:rPr>
        <w:lastRenderedPageBreak/>
        <w:t xml:space="preserve">internationales, est inexistant avant que le suspect devienne accusé. </w:t>
      </w:r>
      <w:r w:rsidR="00CA29B2" w:rsidRPr="00953692">
        <w:rPr>
          <w:sz w:val="24"/>
          <w:szCs w:val="24"/>
          <w:lang w:val="fr-FR"/>
        </w:rPr>
        <w:t xml:space="preserve">En clair, </w:t>
      </w:r>
      <w:r w:rsidR="00D43F8B" w:rsidRPr="00953692">
        <w:rPr>
          <w:sz w:val="24"/>
          <w:szCs w:val="24"/>
          <w:lang w:val="fr-FR"/>
        </w:rPr>
        <w:t xml:space="preserve">paradoxalement </w:t>
      </w:r>
      <w:r w:rsidR="00CA29B2" w:rsidRPr="00953692">
        <w:rPr>
          <w:sz w:val="24"/>
          <w:szCs w:val="24"/>
          <w:lang w:val="fr-FR"/>
        </w:rPr>
        <w:t>ce droit ne s’applique pas au suspect.</w:t>
      </w:r>
    </w:p>
    <w:p w14:paraId="50284101" w14:textId="6A8176C7" w:rsidR="00D77B33" w:rsidRPr="00953692" w:rsidRDefault="00D77B33" w:rsidP="00864BBF">
      <w:pPr>
        <w:spacing w:after="0" w:line="276" w:lineRule="auto"/>
        <w:ind w:firstLine="1134"/>
        <w:jc w:val="both"/>
        <w:rPr>
          <w:sz w:val="24"/>
          <w:szCs w:val="24"/>
          <w:lang w:val="fr-FR"/>
        </w:rPr>
      </w:pPr>
      <w:r w:rsidRPr="00953692">
        <w:rPr>
          <w:b/>
          <w:bCs/>
          <w:sz w:val="24"/>
          <w:szCs w:val="24"/>
          <w:lang w:val="fr-FR"/>
        </w:rPr>
        <w:t>115</w:t>
      </w:r>
      <w:r w:rsidR="00AA4AC0" w:rsidRPr="00953692">
        <w:rPr>
          <w:b/>
          <w:bCs/>
          <w:sz w:val="24"/>
          <w:szCs w:val="24"/>
          <w:lang w:val="fr-FR"/>
        </w:rPr>
        <w:t>.</w:t>
      </w:r>
      <w:r w:rsidR="00AA4AC0" w:rsidRPr="00953692">
        <w:rPr>
          <w:sz w:val="24"/>
          <w:szCs w:val="24"/>
          <w:lang w:val="fr-FR"/>
        </w:rPr>
        <w:t xml:space="preserve"> D’ailleurs, l</w:t>
      </w:r>
      <w:r w:rsidR="00156D38" w:rsidRPr="00953692">
        <w:rPr>
          <w:sz w:val="24"/>
          <w:szCs w:val="24"/>
          <w:lang w:val="fr-FR"/>
        </w:rPr>
        <w:t>a Chambre d’appel a pris le soin de ne pas entretenir une confusion entre</w:t>
      </w:r>
      <w:r w:rsidR="00AA4AC0" w:rsidRPr="00953692">
        <w:rPr>
          <w:sz w:val="24"/>
          <w:szCs w:val="24"/>
          <w:lang w:val="fr-FR"/>
        </w:rPr>
        <w:t xml:space="preserve"> le statut d</w:t>
      </w:r>
      <w:r w:rsidR="00D43F8B" w:rsidRPr="00953692">
        <w:rPr>
          <w:sz w:val="24"/>
          <w:szCs w:val="24"/>
          <w:lang w:val="fr-FR"/>
        </w:rPr>
        <w:t>e l</w:t>
      </w:r>
      <w:r w:rsidR="00AA4AC0" w:rsidRPr="00953692">
        <w:rPr>
          <w:sz w:val="24"/>
          <w:szCs w:val="24"/>
          <w:lang w:val="fr-FR"/>
        </w:rPr>
        <w:t>’accusé et celui d</w:t>
      </w:r>
      <w:r w:rsidR="00D43F8B" w:rsidRPr="00953692">
        <w:rPr>
          <w:sz w:val="24"/>
          <w:szCs w:val="24"/>
          <w:lang w:val="fr-FR"/>
        </w:rPr>
        <w:t>u</w:t>
      </w:r>
      <w:r w:rsidR="00AA4AC0" w:rsidRPr="00953692">
        <w:rPr>
          <w:sz w:val="24"/>
          <w:szCs w:val="24"/>
          <w:lang w:val="fr-FR"/>
        </w:rPr>
        <w:t xml:space="preserve"> suspect en ayant préalablement défini, dans le cas d’espèce, la période durant laquelle Barayagwiza a été suspect et celle du changement de statut</w:t>
      </w:r>
      <w:r w:rsidR="00AF6698" w:rsidRPr="00953692">
        <w:rPr>
          <w:sz w:val="24"/>
          <w:szCs w:val="24"/>
          <w:lang w:val="fr-FR"/>
        </w:rPr>
        <w:t xml:space="preserve"> (accusé)</w:t>
      </w:r>
      <w:r w:rsidR="00407F27" w:rsidRPr="00953692">
        <w:rPr>
          <w:rStyle w:val="Appelnotedebasdep"/>
          <w:sz w:val="24"/>
          <w:szCs w:val="24"/>
          <w:lang w:val="fr-FR"/>
        </w:rPr>
        <w:footnoteReference w:customMarkFollows="1" w:id="101"/>
        <w:t>80</w:t>
      </w:r>
      <w:r w:rsidR="00AA4AC0" w:rsidRPr="00953692">
        <w:rPr>
          <w:sz w:val="24"/>
          <w:szCs w:val="24"/>
          <w:lang w:val="fr-FR"/>
        </w:rPr>
        <w:t xml:space="preserve">. Cette distinction a permis à la Chambre d’appel de situer le retard de 11 mois dans la phase de suspicion, et donc sans aucune incidence juridique sur le droit d’être jugé sans retard excessif. </w:t>
      </w:r>
      <w:r w:rsidR="008E5830" w:rsidRPr="00953692">
        <w:rPr>
          <w:sz w:val="24"/>
          <w:szCs w:val="24"/>
          <w:lang w:val="fr-FR"/>
        </w:rPr>
        <w:t xml:space="preserve">La Chambre d’appel a maintenu cette position dans </w:t>
      </w:r>
      <w:r w:rsidR="005866A1" w:rsidRPr="00953692">
        <w:rPr>
          <w:sz w:val="24"/>
          <w:szCs w:val="24"/>
          <w:lang w:val="fr-FR"/>
        </w:rPr>
        <w:t>l’affaire</w:t>
      </w:r>
      <w:r w:rsidR="005910BF" w:rsidRPr="00953692">
        <w:rPr>
          <w:sz w:val="24"/>
          <w:szCs w:val="24"/>
          <w:lang w:val="fr-FR"/>
        </w:rPr>
        <w:t xml:space="preserve"> Ndayambaje</w:t>
      </w:r>
      <w:r w:rsidR="008E5830" w:rsidRPr="00953692">
        <w:rPr>
          <w:sz w:val="24"/>
          <w:szCs w:val="24"/>
          <w:lang w:val="fr-FR"/>
        </w:rPr>
        <w:t>. En effet,</w:t>
      </w:r>
      <w:r w:rsidR="0074142B" w:rsidRPr="00953692">
        <w:rPr>
          <w:sz w:val="24"/>
          <w:szCs w:val="24"/>
          <w:lang w:val="fr-FR"/>
        </w:rPr>
        <w:t xml:space="preserve"> l’appelant </w:t>
      </w:r>
      <w:r w:rsidR="008E5830" w:rsidRPr="00953692">
        <w:rPr>
          <w:sz w:val="24"/>
          <w:szCs w:val="24"/>
          <w:lang w:val="fr-FR"/>
        </w:rPr>
        <w:t xml:space="preserve">a </w:t>
      </w:r>
      <w:r w:rsidR="0074142B" w:rsidRPr="00953692">
        <w:rPr>
          <w:sz w:val="24"/>
          <w:szCs w:val="24"/>
          <w:lang w:val="fr-FR"/>
        </w:rPr>
        <w:t>sout</w:t>
      </w:r>
      <w:r w:rsidR="008E5830" w:rsidRPr="00953692">
        <w:rPr>
          <w:sz w:val="24"/>
          <w:szCs w:val="24"/>
          <w:lang w:val="fr-FR"/>
        </w:rPr>
        <w:t>enu</w:t>
      </w:r>
      <w:r w:rsidR="0074142B" w:rsidRPr="00953692">
        <w:rPr>
          <w:sz w:val="24"/>
          <w:szCs w:val="24"/>
          <w:lang w:val="fr-FR"/>
        </w:rPr>
        <w:t xml:space="preserve"> dans son moyen d’appel qu’une série des retards a notamment violé son droit à être informé dans le plus bref délai des </w:t>
      </w:r>
      <w:r w:rsidR="00482A0E" w:rsidRPr="00953692">
        <w:rPr>
          <w:sz w:val="24"/>
          <w:szCs w:val="24"/>
          <w:lang w:val="fr-FR"/>
        </w:rPr>
        <w:t>accusations</w:t>
      </w:r>
      <w:r w:rsidR="0074142B" w:rsidRPr="00953692">
        <w:rPr>
          <w:sz w:val="24"/>
          <w:szCs w:val="24"/>
          <w:lang w:val="fr-FR"/>
        </w:rPr>
        <w:t xml:space="preserve"> portées contre lui</w:t>
      </w:r>
      <w:r w:rsidR="009D25C6" w:rsidRPr="00953692">
        <w:rPr>
          <w:sz w:val="24"/>
          <w:szCs w:val="24"/>
          <w:lang w:val="fr-FR"/>
        </w:rPr>
        <w:t>,</w:t>
      </w:r>
      <w:r w:rsidR="0074142B" w:rsidRPr="00953692">
        <w:rPr>
          <w:sz w:val="24"/>
          <w:szCs w:val="24"/>
          <w:lang w:val="fr-FR"/>
        </w:rPr>
        <w:t xml:space="preserve"> et a estimé que ces retards sont indissociables avec son droit à </w:t>
      </w:r>
      <w:r w:rsidR="00482A0E" w:rsidRPr="00953692">
        <w:rPr>
          <w:sz w:val="24"/>
          <w:szCs w:val="24"/>
          <w:lang w:val="fr-FR"/>
        </w:rPr>
        <w:t>être</w:t>
      </w:r>
      <w:r w:rsidR="0074142B" w:rsidRPr="00953692">
        <w:rPr>
          <w:sz w:val="24"/>
          <w:szCs w:val="24"/>
          <w:lang w:val="fr-FR"/>
        </w:rPr>
        <w:t xml:space="preserve"> jugé sans retard excessif. </w:t>
      </w:r>
    </w:p>
    <w:p w14:paraId="4F625C5B" w14:textId="2669F4C6" w:rsidR="00482A0E" w:rsidRPr="00953692" w:rsidRDefault="00D77B33" w:rsidP="00864BBF">
      <w:pPr>
        <w:spacing w:after="0" w:line="276" w:lineRule="auto"/>
        <w:ind w:firstLine="1134"/>
        <w:jc w:val="both"/>
        <w:rPr>
          <w:sz w:val="24"/>
          <w:szCs w:val="24"/>
          <w:lang w:val="fr-FR"/>
        </w:rPr>
      </w:pPr>
      <w:r w:rsidRPr="00953692">
        <w:rPr>
          <w:b/>
          <w:bCs/>
          <w:sz w:val="24"/>
          <w:szCs w:val="24"/>
          <w:lang w:val="fr-FR"/>
        </w:rPr>
        <w:t>116.</w:t>
      </w:r>
      <w:r w:rsidRPr="00953692">
        <w:rPr>
          <w:sz w:val="24"/>
          <w:szCs w:val="24"/>
          <w:lang w:val="fr-FR"/>
        </w:rPr>
        <w:t xml:space="preserve"> </w:t>
      </w:r>
      <w:r w:rsidR="00482A0E" w:rsidRPr="00953692">
        <w:rPr>
          <w:sz w:val="24"/>
          <w:szCs w:val="24"/>
          <w:lang w:val="fr-FR"/>
        </w:rPr>
        <w:t xml:space="preserve">La </w:t>
      </w:r>
      <w:r w:rsidR="008E5830" w:rsidRPr="00953692">
        <w:rPr>
          <w:sz w:val="24"/>
          <w:szCs w:val="24"/>
          <w:lang w:val="fr-FR"/>
        </w:rPr>
        <w:t>C</w:t>
      </w:r>
      <w:r w:rsidR="00482A0E" w:rsidRPr="00953692">
        <w:rPr>
          <w:sz w:val="24"/>
          <w:szCs w:val="24"/>
          <w:lang w:val="fr-FR"/>
        </w:rPr>
        <w:t>hambre d’appel a</w:t>
      </w:r>
      <w:r w:rsidR="008E5830" w:rsidRPr="00953692">
        <w:rPr>
          <w:sz w:val="24"/>
          <w:szCs w:val="24"/>
          <w:lang w:val="fr-FR"/>
        </w:rPr>
        <w:t xml:space="preserve"> commencé par </w:t>
      </w:r>
      <w:r w:rsidR="00482A0E" w:rsidRPr="00953692">
        <w:rPr>
          <w:sz w:val="24"/>
          <w:szCs w:val="24"/>
          <w:lang w:val="fr-FR"/>
        </w:rPr>
        <w:t>relev</w:t>
      </w:r>
      <w:r w:rsidR="008E5830" w:rsidRPr="00953692">
        <w:rPr>
          <w:sz w:val="24"/>
          <w:szCs w:val="24"/>
          <w:lang w:val="fr-FR"/>
        </w:rPr>
        <w:t>er</w:t>
      </w:r>
      <w:r w:rsidR="00482A0E" w:rsidRPr="00953692">
        <w:rPr>
          <w:sz w:val="24"/>
          <w:szCs w:val="24"/>
          <w:lang w:val="fr-FR"/>
        </w:rPr>
        <w:t xml:space="preserve"> fondamentalement le fait que l’appelant n’ait pas fait état de la violation de son droit à l’information dans son acte d’appel, ni dans une autre requête qu’il a évoquée</w:t>
      </w:r>
      <w:r w:rsidR="008E5830" w:rsidRPr="00953692">
        <w:rPr>
          <w:sz w:val="24"/>
          <w:szCs w:val="24"/>
          <w:lang w:val="fr-FR"/>
        </w:rPr>
        <w:t>. Elle</w:t>
      </w:r>
      <w:r w:rsidR="00482A0E" w:rsidRPr="00953692">
        <w:rPr>
          <w:sz w:val="24"/>
          <w:szCs w:val="24"/>
          <w:lang w:val="fr-FR"/>
        </w:rPr>
        <w:t xml:space="preserve"> a ensuite estimé </w:t>
      </w:r>
      <w:r w:rsidR="008E5830" w:rsidRPr="00953692">
        <w:rPr>
          <w:sz w:val="24"/>
          <w:szCs w:val="24"/>
          <w:lang w:val="fr-FR"/>
        </w:rPr>
        <w:t>n'</w:t>
      </w:r>
      <w:r w:rsidR="00B56E5B" w:rsidRPr="00953692">
        <w:rPr>
          <w:sz w:val="24"/>
          <w:szCs w:val="24"/>
          <w:lang w:val="fr-FR"/>
        </w:rPr>
        <w:t>être</w:t>
      </w:r>
      <w:r w:rsidR="008E5830" w:rsidRPr="00953692">
        <w:rPr>
          <w:sz w:val="24"/>
          <w:szCs w:val="24"/>
          <w:lang w:val="fr-FR"/>
        </w:rPr>
        <w:t xml:space="preserve"> pas</w:t>
      </w:r>
      <w:r w:rsidR="00482A0E" w:rsidRPr="00953692">
        <w:rPr>
          <w:sz w:val="24"/>
          <w:szCs w:val="24"/>
          <w:lang w:val="fr-FR"/>
        </w:rPr>
        <w:t xml:space="preserve"> convaincue</w:t>
      </w:r>
      <w:r w:rsidR="00B56E5B" w:rsidRPr="00953692">
        <w:rPr>
          <w:sz w:val="24"/>
          <w:szCs w:val="24"/>
          <w:lang w:val="fr-FR"/>
        </w:rPr>
        <w:t>, en raison du caractère précis des allégations sur la violation de ce droit</w:t>
      </w:r>
      <w:r w:rsidR="008E5830" w:rsidRPr="00953692">
        <w:rPr>
          <w:sz w:val="24"/>
          <w:szCs w:val="24"/>
          <w:lang w:val="fr-FR"/>
        </w:rPr>
        <w:t xml:space="preserve"> (le moment de la violation)</w:t>
      </w:r>
      <w:r w:rsidR="00B56E5B" w:rsidRPr="00953692">
        <w:rPr>
          <w:sz w:val="24"/>
          <w:szCs w:val="24"/>
          <w:lang w:val="fr-FR"/>
        </w:rPr>
        <w:t>, que celles-ci so</w:t>
      </w:r>
      <w:r w:rsidR="008E5830" w:rsidRPr="00953692">
        <w:rPr>
          <w:sz w:val="24"/>
          <w:szCs w:val="24"/>
          <w:lang w:val="fr-FR"/>
        </w:rPr>
        <w:t>ie</w:t>
      </w:r>
      <w:r w:rsidR="00B56E5B" w:rsidRPr="00953692">
        <w:rPr>
          <w:sz w:val="24"/>
          <w:szCs w:val="24"/>
          <w:lang w:val="fr-FR"/>
        </w:rPr>
        <w:t>nt englobées dans ses conclusions sur son droit à être jugé sans retard excessif</w:t>
      </w:r>
      <w:r w:rsidR="00407F27" w:rsidRPr="00953692">
        <w:rPr>
          <w:rStyle w:val="Appelnotedebasdep"/>
          <w:sz w:val="24"/>
          <w:szCs w:val="24"/>
          <w:lang w:val="fr-FR"/>
        </w:rPr>
        <w:footnoteReference w:customMarkFollows="1" w:id="102"/>
        <w:t>81</w:t>
      </w:r>
      <w:r w:rsidR="00B56E5B" w:rsidRPr="00953692">
        <w:rPr>
          <w:sz w:val="24"/>
          <w:szCs w:val="24"/>
          <w:lang w:val="fr-FR"/>
        </w:rPr>
        <w:t xml:space="preserve">. </w:t>
      </w:r>
      <w:r w:rsidR="004B242D" w:rsidRPr="00953692">
        <w:rPr>
          <w:sz w:val="24"/>
          <w:szCs w:val="24"/>
          <w:lang w:val="fr-FR"/>
        </w:rPr>
        <w:t>En clair, la Chambre</w:t>
      </w:r>
      <w:r w:rsidR="008E5830" w:rsidRPr="00953692">
        <w:rPr>
          <w:sz w:val="24"/>
          <w:szCs w:val="24"/>
          <w:lang w:val="fr-FR"/>
        </w:rPr>
        <w:t xml:space="preserve"> a</w:t>
      </w:r>
      <w:r w:rsidR="004B242D" w:rsidRPr="00953692">
        <w:rPr>
          <w:sz w:val="24"/>
          <w:szCs w:val="24"/>
          <w:lang w:val="fr-FR"/>
        </w:rPr>
        <w:t xml:space="preserve"> rejet</w:t>
      </w:r>
      <w:r w:rsidR="008E5830" w:rsidRPr="00953692">
        <w:rPr>
          <w:sz w:val="24"/>
          <w:szCs w:val="24"/>
          <w:lang w:val="fr-FR"/>
        </w:rPr>
        <w:t>é</w:t>
      </w:r>
      <w:r w:rsidR="004B242D" w:rsidRPr="00953692">
        <w:rPr>
          <w:sz w:val="24"/>
          <w:szCs w:val="24"/>
          <w:lang w:val="fr-FR"/>
        </w:rPr>
        <w:t xml:space="preserve"> toute liaison</w:t>
      </w:r>
      <w:r w:rsidR="008E5830" w:rsidRPr="00953692">
        <w:rPr>
          <w:sz w:val="24"/>
          <w:szCs w:val="24"/>
          <w:lang w:val="fr-FR"/>
        </w:rPr>
        <w:t xml:space="preserve"> ou tout lien</w:t>
      </w:r>
      <w:r w:rsidR="004B242D" w:rsidRPr="00953692">
        <w:rPr>
          <w:sz w:val="24"/>
          <w:szCs w:val="24"/>
          <w:lang w:val="fr-FR"/>
        </w:rPr>
        <w:t xml:space="preserve"> entre les deux prérogatives de l’accusé.</w:t>
      </w:r>
    </w:p>
    <w:p w14:paraId="04E5B130" w14:textId="207FAA72" w:rsidR="00A63DA3" w:rsidRPr="00953692" w:rsidRDefault="00D77B33" w:rsidP="00864BBF">
      <w:pPr>
        <w:spacing w:after="0" w:line="276" w:lineRule="auto"/>
        <w:ind w:firstLine="1134"/>
        <w:jc w:val="both"/>
        <w:rPr>
          <w:sz w:val="24"/>
          <w:szCs w:val="24"/>
          <w:lang w:val="fr-FR"/>
        </w:rPr>
      </w:pPr>
      <w:r w:rsidRPr="00953692">
        <w:rPr>
          <w:b/>
          <w:bCs/>
          <w:sz w:val="24"/>
          <w:szCs w:val="24"/>
          <w:lang w:val="fr-FR"/>
        </w:rPr>
        <w:t>117</w:t>
      </w:r>
      <w:r w:rsidR="00713668" w:rsidRPr="00953692">
        <w:rPr>
          <w:b/>
          <w:bCs/>
          <w:sz w:val="24"/>
          <w:szCs w:val="24"/>
          <w:lang w:val="fr-FR"/>
        </w:rPr>
        <w:t>.</w:t>
      </w:r>
      <w:r w:rsidR="00713668" w:rsidRPr="00953692">
        <w:rPr>
          <w:sz w:val="24"/>
          <w:szCs w:val="24"/>
          <w:lang w:val="fr-FR"/>
        </w:rPr>
        <w:t xml:space="preserve"> </w:t>
      </w:r>
      <w:r w:rsidR="00296F45" w:rsidRPr="00953692">
        <w:rPr>
          <w:sz w:val="24"/>
          <w:szCs w:val="24"/>
          <w:lang w:val="fr-FR"/>
        </w:rPr>
        <w:t xml:space="preserve">En fait, </w:t>
      </w:r>
      <w:bookmarkStart w:id="24" w:name="_Hlk119182955"/>
      <w:r w:rsidR="00296F45" w:rsidRPr="00953692">
        <w:rPr>
          <w:sz w:val="24"/>
          <w:szCs w:val="24"/>
          <w:lang w:val="fr-FR"/>
        </w:rPr>
        <w:t>Ndayambaje</w:t>
      </w:r>
      <w:bookmarkEnd w:id="24"/>
      <w:r w:rsidR="00296F45" w:rsidRPr="00953692">
        <w:rPr>
          <w:sz w:val="24"/>
          <w:szCs w:val="24"/>
          <w:lang w:val="fr-FR"/>
        </w:rPr>
        <w:t xml:space="preserve"> a été arrêté en Belgique le 28 juin 1995 et transféré à Arusha le 8 novembre 1996. Il comparait pour la première fois le 29 novembre 1996</w:t>
      </w:r>
      <w:r w:rsidR="00513C96" w:rsidRPr="00953692">
        <w:rPr>
          <w:sz w:val="24"/>
          <w:szCs w:val="24"/>
          <w:lang w:val="fr-FR"/>
        </w:rPr>
        <w:t>,</w:t>
      </w:r>
      <w:r w:rsidR="00296F45" w:rsidRPr="00953692">
        <w:rPr>
          <w:sz w:val="24"/>
          <w:szCs w:val="24"/>
          <w:lang w:val="fr-FR"/>
        </w:rPr>
        <w:t xml:space="preserve"> et à la suite d’une modification de l’acte d’accusation, il fait une nouvelle comparution initiale le 11 aout 1999. </w:t>
      </w:r>
      <w:r w:rsidR="008E5830" w:rsidRPr="00953692">
        <w:rPr>
          <w:sz w:val="24"/>
          <w:szCs w:val="24"/>
          <w:lang w:val="fr-FR"/>
        </w:rPr>
        <w:t>La violation du droit à l’information est à situer dans la période entre son arrestation et son transfert</w:t>
      </w:r>
      <w:r w:rsidR="000D34BF" w:rsidRPr="00953692">
        <w:rPr>
          <w:sz w:val="24"/>
          <w:szCs w:val="24"/>
          <w:lang w:val="fr-FR"/>
        </w:rPr>
        <w:t>.</w:t>
      </w:r>
      <w:r w:rsidR="008E5830" w:rsidRPr="00953692">
        <w:rPr>
          <w:sz w:val="24"/>
          <w:szCs w:val="24"/>
          <w:lang w:val="fr-FR"/>
        </w:rPr>
        <w:t xml:space="preserve"> Il s’est avéré que l’appelant fut encore suspect et non accusé.</w:t>
      </w:r>
      <w:r w:rsidR="00F04706" w:rsidRPr="00953692">
        <w:rPr>
          <w:sz w:val="24"/>
          <w:szCs w:val="24"/>
          <w:lang w:val="fr-FR"/>
        </w:rPr>
        <w:t xml:space="preserve"> Dans ces conditions, il ne bénéficiait pas du droit d’être jugé sans retard excessif.</w:t>
      </w:r>
      <w:r w:rsidR="000D34BF" w:rsidRPr="00953692">
        <w:rPr>
          <w:sz w:val="24"/>
          <w:szCs w:val="24"/>
          <w:lang w:val="fr-FR"/>
        </w:rPr>
        <w:t xml:space="preserve"> En plus, dans </w:t>
      </w:r>
      <w:r w:rsidR="00F04706" w:rsidRPr="00953692">
        <w:rPr>
          <w:sz w:val="24"/>
          <w:szCs w:val="24"/>
          <w:lang w:val="fr-FR"/>
        </w:rPr>
        <w:t>un autre</w:t>
      </w:r>
      <w:r w:rsidR="000D34BF" w:rsidRPr="00953692">
        <w:rPr>
          <w:sz w:val="24"/>
          <w:szCs w:val="24"/>
          <w:lang w:val="fr-FR"/>
        </w:rPr>
        <w:t xml:space="preserve"> moyen d’appel, </w:t>
      </w:r>
      <w:r w:rsidR="00F04706" w:rsidRPr="00953692">
        <w:rPr>
          <w:sz w:val="24"/>
          <w:szCs w:val="24"/>
          <w:lang w:val="fr-FR"/>
        </w:rPr>
        <w:t>Ndayambaje</w:t>
      </w:r>
      <w:r w:rsidR="000D34BF" w:rsidRPr="00953692">
        <w:rPr>
          <w:sz w:val="24"/>
          <w:szCs w:val="24"/>
          <w:lang w:val="fr-FR"/>
        </w:rPr>
        <w:t xml:space="preserve"> a soulevé</w:t>
      </w:r>
      <w:r w:rsidR="00F04706" w:rsidRPr="00953692">
        <w:rPr>
          <w:sz w:val="24"/>
          <w:szCs w:val="24"/>
          <w:lang w:val="fr-FR"/>
        </w:rPr>
        <w:t>,</w:t>
      </w:r>
      <w:r w:rsidR="000D34BF" w:rsidRPr="00953692">
        <w:rPr>
          <w:sz w:val="24"/>
          <w:szCs w:val="24"/>
          <w:lang w:val="fr-FR"/>
        </w:rPr>
        <w:t xml:space="preserve"> ensemble avec les autres coaccusés</w:t>
      </w:r>
      <w:r w:rsidR="00F04706" w:rsidRPr="00953692">
        <w:rPr>
          <w:sz w:val="24"/>
          <w:szCs w:val="24"/>
          <w:lang w:val="fr-FR"/>
        </w:rPr>
        <w:t>,</w:t>
      </w:r>
      <w:r w:rsidR="000D34BF" w:rsidRPr="00953692">
        <w:rPr>
          <w:sz w:val="24"/>
          <w:szCs w:val="24"/>
          <w:lang w:val="fr-FR"/>
        </w:rPr>
        <w:t xml:space="preserve"> la violation de son droit à être jugé sans retard excessif</w:t>
      </w:r>
      <w:r w:rsidR="009D25C6" w:rsidRPr="00953692">
        <w:rPr>
          <w:sz w:val="24"/>
          <w:szCs w:val="24"/>
          <w:lang w:val="fr-FR"/>
        </w:rPr>
        <w:t>,</w:t>
      </w:r>
      <w:r w:rsidR="000D34BF" w:rsidRPr="00953692">
        <w:rPr>
          <w:sz w:val="24"/>
          <w:szCs w:val="24"/>
          <w:lang w:val="fr-FR"/>
        </w:rPr>
        <w:t xml:space="preserve"> </w:t>
      </w:r>
      <w:r w:rsidR="00F84A26" w:rsidRPr="00953692">
        <w:rPr>
          <w:sz w:val="24"/>
          <w:szCs w:val="24"/>
          <w:lang w:val="fr-FR"/>
        </w:rPr>
        <w:t>ayant souligné le fait qu’ils avaient passés entre 13 et 16</w:t>
      </w:r>
      <w:r w:rsidR="00513C96" w:rsidRPr="00953692">
        <w:rPr>
          <w:sz w:val="24"/>
          <w:szCs w:val="24"/>
          <w:lang w:val="fr-FR"/>
        </w:rPr>
        <w:t xml:space="preserve"> ans</w:t>
      </w:r>
      <w:r w:rsidR="00F84A26" w:rsidRPr="00953692">
        <w:rPr>
          <w:sz w:val="24"/>
          <w:szCs w:val="24"/>
          <w:lang w:val="fr-FR"/>
        </w:rPr>
        <w:t xml:space="preserve"> de procès et de détention</w:t>
      </w:r>
      <w:r w:rsidR="00407F27" w:rsidRPr="00953692">
        <w:rPr>
          <w:rStyle w:val="Appelnotedebasdep"/>
          <w:sz w:val="24"/>
          <w:szCs w:val="24"/>
          <w:lang w:val="fr-FR"/>
        </w:rPr>
        <w:footnoteReference w:customMarkFollows="1" w:id="103"/>
        <w:t>82</w:t>
      </w:r>
      <w:r w:rsidR="000D34BF" w:rsidRPr="00953692">
        <w:rPr>
          <w:sz w:val="24"/>
          <w:szCs w:val="24"/>
          <w:lang w:val="fr-FR"/>
        </w:rPr>
        <w:t>.</w:t>
      </w:r>
      <w:r w:rsidR="00F04706" w:rsidRPr="00953692">
        <w:rPr>
          <w:sz w:val="24"/>
          <w:szCs w:val="24"/>
          <w:lang w:val="fr-FR"/>
        </w:rPr>
        <w:t xml:space="preserve"> Nous </w:t>
      </w:r>
      <w:r w:rsidR="00C721D2" w:rsidRPr="00953692">
        <w:rPr>
          <w:sz w:val="24"/>
          <w:szCs w:val="24"/>
          <w:lang w:val="fr-FR"/>
        </w:rPr>
        <w:t>aurons l’occasion d’</w:t>
      </w:r>
      <w:r w:rsidR="00F04706" w:rsidRPr="00953692">
        <w:rPr>
          <w:sz w:val="24"/>
          <w:szCs w:val="24"/>
          <w:lang w:val="fr-FR"/>
        </w:rPr>
        <w:t>aborder</w:t>
      </w:r>
      <w:r w:rsidR="00C721D2" w:rsidRPr="00953692">
        <w:rPr>
          <w:sz w:val="24"/>
          <w:szCs w:val="24"/>
          <w:lang w:val="fr-FR"/>
        </w:rPr>
        <w:t xml:space="preserve"> suffisamment</w:t>
      </w:r>
      <w:r w:rsidR="00F04706" w:rsidRPr="00953692">
        <w:rPr>
          <w:sz w:val="24"/>
          <w:szCs w:val="24"/>
          <w:lang w:val="fr-FR"/>
        </w:rPr>
        <w:t xml:space="preserve"> cette affaire </w:t>
      </w:r>
      <w:r w:rsidR="00C721D2" w:rsidRPr="00953692">
        <w:rPr>
          <w:sz w:val="24"/>
          <w:szCs w:val="24"/>
          <w:lang w:val="fr-FR"/>
        </w:rPr>
        <w:t xml:space="preserve">un peu </w:t>
      </w:r>
      <w:r w:rsidR="00F04706" w:rsidRPr="00953692">
        <w:rPr>
          <w:sz w:val="24"/>
          <w:szCs w:val="24"/>
          <w:lang w:val="fr-FR"/>
        </w:rPr>
        <w:t>plus loin, mais il est nécessaire de</w:t>
      </w:r>
      <w:r w:rsidR="00A63DA3" w:rsidRPr="00953692">
        <w:rPr>
          <w:sz w:val="24"/>
          <w:szCs w:val="24"/>
          <w:lang w:val="fr-FR"/>
        </w:rPr>
        <w:t xml:space="preserve"> souligner que la Chambre d’appel a traité différemment ces deux moyens d’appel et n’en a fait </w:t>
      </w:r>
      <w:r w:rsidR="00F04706" w:rsidRPr="00953692">
        <w:rPr>
          <w:sz w:val="24"/>
          <w:szCs w:val="24"/>
          <w:lang w:val="fr-FR"/>
        </w:rPr>
        <w:t xml:space="preserve">décidément </w:t>
      </w:r>
      <w:r w:rsidR="00A63DA3" w:rsidRPr="00953692">
        <w:rPr>
          <w:sz w:val="24"/>
          <w:szCs w:val="24"/>
          <w:lang w:val="fr-FR"/>
        </w:rPr>
        <w:t xml:space="preserve">aucune </w:t>
      </w:r>
      <w:r w:rsidR="00F04706" w:rsidRPr="00953692">
        <w:rPr>
          <w:sz w:val="24"/>
          <w:szCs w:val="24"/>
          <w:lang w:val="fr-FR"/>
        </w:rPr>
        <w:t>liaison</w:t>
      </w:r>
      <w:r w:rsidR="00A63DA3" w:rsidRPr="00953692">
        <w:rPr>
          <w:sz w:val="24"/>
          <w:szCs w:val="24"/>
          <w:lang w:val="fr-FR"/>
        </w:rPr>
        <w:t>.</w:t>
      </w:r>
    </w:p>
    <w:p w14:paraId="390F2BE5" w14:textId="713ED1A9" w:rsidR="00AE7163" w:rsidRPr="00953692" w:rsidRDefault="00D77B33" w:rsidP="00864BBF">
      <w:pPr>
        <w:spacing w:after="0" w:line="276" w:lineRule="auto"/>
        <w:ind w:firstLine="1134"/>
        <w:jc w:val="both"/>
        <w:rPr>
          <w:sz w:val="24"/>
          <w:szCs w:val="24"/>
          <w:lang w:val="fr-FR"/>
        </w:rPr>
      </w:pPr>
      <w:r w:rsidRPr="00953692">
        <w:rPr>
          <w:b/>
          <w:bCs/>
          <w:sz w:val="24"/>
          <w:szCs w:val="24"/>
          <w:lang w:val="fr-FR"/>
        </w:rPr>
        <w:t>118</w:t>
      </w:r>
      <w:r w:rsidR="00713668" w:rsidRPr="00953692">
        <w:rPr>
          <w:b/>
          <w:bCs/>
          <w:sz w:val="24"/>
          <w:szCs w:val="24"/>
          <w:lang w:val="fr-FR"/>
        </w:rPr>
        <w:t>.</w:t>
      </w:r>
      <w:r w:rsidR="00713668" w:rsidRPr="00953692">
        <w:rPr>
          <w:sz w:val="24"/>
          <w:szCs w:val="24"/>
          <w:lang w:val="fr-FR"/>
        </w:rPr>
        <w:t xml:space="preserve"> </w:t>
      </w:r>
      <w:r w:rsidR="00C66BA5" w:rsidRPr="00953692">
        <w:rPr>
          <w:sz w:val="24"/>
          <w:szCs w:val="24"/>
          <w:lang w:val="fr-FR"/>
        </w:rPr>
        <w:t>L</w:t>
      </w:r>
      <w:r w:rsidR="00F04706" w:rsidRPr="00953692">
        <w:rPr>
          <w:sz w:val="24"/>
          <w:szCs w:val="24"/>
          <w:lang w:val="fr-FR"/>
        </w:rPr>
        <w:t>e droit d’être informé dans le plus court délai reste, dans tous les cas, complémentaire au délai raisonnable du procès. Il tend à marquer le procès d’une rapidité profitable, notamment à l’accusé</w:t>
      </w:r>
      <w:r w:rsidR="00AF6698" w:rsidRPr="00953692">
        <w:rPr>
          <w:sz w:val="24"/>
          <w:szCs w:val="24"/>
          <w:lang w:val="fr-FR"/>
        </w:rPr>
        <w:t xml:space="preserve"> mais aussi à la justice elle-même y compris aux autres participants au procès, tels que les victimes</w:t>
      </w:r>
      <w:r w:rsidR="00F04706" w:rsidRPr="00953692">
        <w:rPr>
          <w:sz w:val="24"/>
          <w:szCs w:val="24"/>
          <w:lang w:val="fr-FR"/>
        </w:rPr>
        <w:t>. Sa violation ne peut impacter négativement le droit d’</w:t>
      </w:r>
      <w:r w:rsidR="00713668" w:rsidRPr="00953692">
        <w:rPr>
          <w:sz w:val="24"/>
          <w:szCs w:val="24"/>
          <w:lang w:val="fr-FR"/>
        </w:rPr>
        <w:t>être</w:t>
      </w:r>
      <w:r w:rsidR="00F04706" w:rsidRPr="00953692">
        <w:rPr>
          <w:sz w:val="24"/>
          <w:szCs w:val="24"/>
          <w:lang w:val="fr-FR"/>
        </w:rPr>
        <w:t xml:space="preserve"> jugé sans retard excessif que si </w:t>
      </w:r>
      <w:r w:rsidR="00713668" w:rsidRPr="00953692">
        <w:rPr>
          <w:sz w:val="24"/>
          <w:szCs w:val="24"/>
          <w:lang w:val="fr-FR"/>
        </w:rPr>
        <w:t>elle</w:t>
      </w:r>
      <w:r w:rsidR="00F04706" w:rsidRPr="00953692">
        <w:rPr>
          <w:sz w:val="24"/>
          <w:szCs w:val="24"/>
          <w:lang w:val="fr-FR"/>
        </w:rPr>
        <w:t xml:space="preserve"> </w:t>
      </w:r>
      <w:r w:rsidR="00713668" w:rsidRPr="00953692">
        <w:rPr>
          <w:sz w:val="24"/>
          <w:szCs w:val="24"/>
          <w:lang w:val="fr-FR"/>
        </w:rPr>
        <w:t>a été</w:t>
      </w:r>
      <w:r w:rsidR="00F04706" w:rsidRPr="00953692">
        <w:rPr>
          <w:sz w:val="24"/>
          <w:szCs w:val="24"/>
          <w:lang w:val="fr-FR"/>
        </w:rPr>
        <w:t xml:space="preserve"> </w:t>
      </w:r>
      <w:r w:rsidR="00713668" w:rsidRPr="00953692">
        <w:rPr>
          <w:sz w:val="24"/>
          <w:szCs w:val="24"/>
          <w:lang w:val="fr-FR"/>
        </w:rPr>
        <w:t>commise au moment où l’individu a acquis le statut d’accusé.</w:t>
      </w:r>
      <w:r w:rsidR="00641EB5" w:rsidRPr="00953692">
        <w:rPr>
          <w:sz w:val="24"/>
          <w:szCs w:val="24"/>
          <w:lang w:val="fr-FR"/>
        </w:rPr>
        <w:t xml:space="preserve"> </w:t>
      </w:r>
      <w:r w:rsidR="00AF7CFD" w:rsidRPr="00953692">
        <w:rPr>
          <w:sz w:val="24"/>
          <w:szCs w:val="24"/>
          <w:lang w:val="fr-FR"/>
        </w:rPr>
        <w:t>Cela ne signifie pas que le droit à un délai raisonnable</w:t>
      </w:r>
      <w:r w:rsidR="00C66BA5" w:rsidRPr="00953692">
        <w:rPr>
          <w:sz w:val="24"/>
          <w:szCs w:val="24"/>
          <w:lang w:val="fr-FR"/>
        </w:rPr>
        <w:t xml:space="preserve"> ne</w:t>
      </w:r>
      <w:r w:rsidR="00AF7CFD" w:rsidRPr="00953692">
        <w:rPr>
          <w:sz w:val="24"/>
          <w:szCs w:val="24"/>
          <w:lang w:val="fr-FR"/>
        </w:rPr>
        <w:t xml:space="preserve"> </w:t>
      </w:r>
      <w:r w:rsidR="00AF7CFD" w:rsidRPr="00953692">
        <w:rPr>
          <w:sz w:val="24"/>
          <w:szCs w:val="24"/>
          <w:lang w:val="fr-FR"/>
        </w:rPr>
        <w:lastRenderedPageBreak/>
        <w:t xml:space="preserve">commence </w:t>
      </w:r>
      <w:r w:rsidR="00C66BA5" w:rsidRPr="00953692">
        <w:rPr>
          <w:sz w:val="24"/>
          <w:szCs w:val="24"/>
          <w:lang w:val="fr-FR"/>
        </w:rPr>
        <w:t>qu’</w:t>
      </w:r>
      <w:r w:rsidR="00AF7CFD" w:rsidRPr="00953692">
        <w:rPr>
          <w:sz w:val="24"/>
          <w:szCs w:val="24"/>
          <w:lang w:val="fr-FR"/>
        </w:rPr>
        <w:t xml:space="preserve">à partir de l’inculpation ; il faut donc distinguer ici sa nature juridique et son régime procédural. </w:t>
      </w:r>
    </w:p>
    <w:p w14:paraId="76C7EB73" w14:textId="4B00078D" w:rsidR="00263C6F" w:rsidRPr="00953692" w:rsidRDefault="00D77B33" w:rsidP="00864BBF">
      <w:pPr>
        <w:spacing w:after="0" w:line="276" w:lineRule="auto"/>
        <w:ind w:firstLine="1134"/>
        <w:jc w:val="both"/>
        <w:rPr>
          <w:sz w:val="24"/>
          <w:szCs w:val="24"/>
          <w:lang w:val="fr-FR"/>
        </w:rPr>
      </w:pPr>
      <w:r w:rsidRPr="00953692">
        <w:rPr>
          <w:b/>
          <w:bCs/>
          <w:sz w:val="24"/>
          <w:szCs w:val="24"/>
          <w:lang w:val="fr-FR"/>
        </w:rPr>
        <w:t>119.</w:t>
      </w:r>
      <w:r w:rsidRPr="00953692">
        <w:rPr>
          <w:sz w:val="24"/>
          <w:szCs w:val="24"/>
          <w:lang w:val="fr-FR"/>
        </w:rPr>
        <w:t xml:space="preserve"> </w:t>
      </w:r>
      <w:r w:rsidR="00C66BA5" w:rsidRPr="00953692">
        <w:rPr>
          <w:sz w:val="24"/>
          <w:szCs w:val="24"/>
          <w:lang w:val="fr-FR"/>
        </w:rPr>
        <w:t xml:space="preserve">Parlant de la nature juridique du droit d’être jugé sans retard excessif, </w:t>
      </w:r>
      <w:r w:rsidR="00263C6F" w:rsidRPr="00953692">
        <w:rPr>
          <w:sz w:val="24"/>
          <w:szCs w:val="24"/>
          <w:lang w:val="fr-FR"/>
        </w:rPr>
        <w:t>il va sans dire qu’il s’agit d’une protection contre des procédures tardives. Et dans ce sens, celles</w:t>
      </w:r>
      <w:r w:rsidR="00876E80" w:rsidRPr="00953692">
        <w:rPr>
          <w:sz w:val="24"/>
          <w:szCs w:val="24"/>
          <w:lang w:val="fr-FR"/>
        </w:rPr>
        <w:t>-ci</w:t>
      </w:r>
      <w:r w:rsidR="00263C6F" w:rsidRPr="00953692">
        <w:rPr>
          <w:sz w:val="24"/>
          <w:szCs w:val="24"/>
          <w:lang w:val="fr-FR"/>
        </w:rPr>
        <w:t xml:space="preserve"> commencent dès le moment où la justice décide d’impliquer une ou plusieurs personnes dans sa démarche.</w:t>
      </w:r>
      <w:r w:rsidR="00C66BA5" w:rsidRPr="00953692">
        <w:rPr>
          <w:sz w:val="24"/>
          <w:szCs w:val="24"/>
          <w:lang w:val="fr-FR"/>
        </w:rPr>
        <w:t xml:space="preserve"> </w:t>
      </w:r>
      <w:r w:rsidR="00263C6F" w:rsidRPr="00953692">
        <w:rPr>
          <w:sz w:val="24"/>
          <w:szCs w:val="24"/>
          <w:lang w:val="fr-FR"/>
        </w:rPr>
        <w:t>Par contre, le régime procédural exige à ce qu’un tel droit soit invoqué à un stade plus avancé du procès, correspondant ainsi à la notion du retard ou du retard excessif. Et en ce qui concerne les juridictions pénales internationales, ce stade s’identifie à partir du changement de statut.</w:t>
      </w:r>
    </w:p>
    <w:p w14:paraId="6BB894CA" w14:textId="6AA1B029" w:rsidR="004D61B4" w:rsidRPr="00953692" w:rsidRDefault="00D77B33" w:rsidP="00407F27">
      <w:pPr>
        <w:spacing w:line="276" w:lineRule="auto"/>
        <w:ind w:firstLine="1134"/>
        <w:jc w:val="both"/>
        <w:rPr>
          <w:sz w:val="24"/>
          <w:szCs w:val="24"/>
          <w:lang w:val="fr-FR"/>
        </w:rPr>
      </w:pPr>
      <w:r w:rsidRPr="00953692">
        <w:rPr>
          <w:b/>
          <w:bCs/>
          <w:sz w:val="24"/>
          <w:szCs w:val="24"/>
          <w:lang w:val="fr-FR"/>
        </w:rPr>
        <w:t>120</w:t>
      </w:r>
      <w:r w:rsidR="00263C6F" w:rsidRPr="00953692">
        <w:rPr>
          <w:b/>
          <w:bCs/>
          <w:sz w:val="24"/>
          <w:szCs w:val="24"/>
          <w:lang w:val="fr-FR"/>
        </w:rPr>
        <w:t>.</w:t>
      </w:r>
      <w:r w:rsidR="00263C6F" w:rsidRPr="00953692">
        <w:rPr>
          <w:sz w:val="24"/>
          <w:szCs w:val="24"/>
          <w:lang w:val="fr-FR"/>
        </w:rPr>
        <w:t xml:space="preserve"> C’est ainsi que, somme toute, d</w:t>
      </w:r>
      <w:r w:rsidR="00AF7CFD" w:rsidRPr="00953692">
        <w:rPr>
          <w:sz w:val="24"/>
          <w:szCs w:val="24"/>
          <w:lang w:val="fr-FR"/>
        </w:rPr>
        <w:t>ès le moment où le suspect acquiert la qualité d’accusé, il lui est possible d’invoquer le droit d’être jugé sans retard excessif au cas où il estimerait que la procédure a déjà trop durée</w:t>
      </w:r>
      <w:r w:rsidR="00263C6F" w:rsidRPr="00953692">
        <w:rPr>
          <w:sz w:val="24"/>
          <w:szCs w:val="24"/>
          <w:lang w:val="fr-FR"/>
        </w:rPr>
        <w:t xml:space="preserve"> depuis sa mise en cause</w:t>
      </w:r>
      <w:r w:rsidR="00AF7CFD" w:rsidRPr="00953692">
        <w:rPr>
          <w:sz w:val="24"/>
          <w:szCs w:val="24"/>
          <w:lang w:val="fr-FR"/>
        </w:rPr>
        <w:t xml:space="preserve">. Il peut à cet effet s’appuyer sur la violation de son droit d’être informé dans le plus court délai en vue de démontrer clairement la responsabilité des organes judiciaires dans ces retards constitutifs de la violation de son droit. </w:t>
      </w:r>
      <w:r w:rsidR="00263C6F" w:rsidRPr="00953692">
        <w:rPr>
          <w:sz w:val="24"/>
          <w:szCs w:val="24"/>
          <w:lang w:val="fr-FR"/>
        </w:rPr>
        <w:t>Le juge ne peut donc pas séparer ces moments, car le changement de statut n’implique pas un changement de la personne. Le délai raisonnable ne protège pas le statut juridique, mais la personne elle-même</w:t>
      </w:r>
      <w:r w:rsidR="00876E80" w:rsidRPr="00953692">
        <w:rPr>
          <w:sz w:val="24"/>
          <w:szCs w:val="24"/>
          <w:lang w:val="fr-FR"/>
        </w:rPr>
        <w:t xml:space="preserve"> qui se trouve préjudiciée par les lenteurs de la justice</w:t>
      </w:r>
      <w:r w:rsidR="00263C6F" w:rsidRPr="00953692">
        <w:rPr>
          <w:sz w:val="24"/>
          <w:szCs w:val="24"/>
          <w:lang w:val="fr-FR"/>
        </w:rPr>
        <w:t xml:space="preserve">. </w:t>
      </w:r>
      <w:r w:rsidR="00876E80" w:rsidRPr="00953692">
        <w:rPr>
          <w:sz w:val="24"/>
          <w:szCs w:val="24"/>
          <w:lang w:val="fr-FR"/>
        </w:rPr>
        <w:t xml:space="preserve">Le changement de statut auquel il est fait allusion pour se conformer à la formulation de ce droit en DIP ouvre plutôt la voie, pour l’accusé, d’invoquer la violation de son droit étant entendu qu’il acquiert déjà la qualité d’accusé. </w:t>
      </w:r>
      <w:r w:rsidR="00263C6F" w:rsidRPr="00953692">
        <w:rPr>
          <w:sz w:val="24"/>
          <w:szCs w:val="24"/>
          <w:lang w:val="fr-FR"/>
        </w:rPr>
        <w:t>L’objectif poursuivi est de jugé r</w:t>
      </w:r>
      <w:r w:rsidR="00F1049C" w:rsidRPr="00953692">
        <w:rPr>
          <w:sz w:val="24"/>
          <w:szCs w:val="24"/>
          <w:lang w:val="fr-FR"/>
        </w:rPr>
        <w:t xml:space="preserve">apidement la personne poursuivie et le changement de statut n’en est qu’une conséquence logique. C’est dans le </w:t>
      </w:r>
      <w:r w:rsidR="004D61B4" w:rsidRPr="00953692">
        <w:rPr>
          <w:sz w:val="24"/>
          <w:szCs w:val="24"/>
          <w:lang w:val="fr-FR"/>
        </w:rPr>
        <w:t>même</w:t>
      </w:r>
      <w:r w:rsidR="00F1049C" w:rsidRPr="00953692">
        <w:rPr>
          <w:sz w:val="24"/>
          <w:szCs w:val="24"/>
          <w:lang w:val="fr-FR"/>
        </w:rPr>
        <w:t xml:space="preserve"> ordre d’idées qu’une comparution sans délai est donc exigée.</w:t>
      </w:r>
    </w:p>
    <w:p w14:paraId="1AC68A89" w14:textId="1B369E3B" w:rsidR="00082BD5" w:rsidRPr="00953692" w:rsidRDefault="008C4DB2" w:rsidP="00407F27">
      <w:pPr>
        <w:pStyle w:val="Titre2"/>
        <w:spacing w:after="160"/>
        <w:ind w:left="1134"/>
        <w:rPr>
          <w:rFonts w:ascii="Times New Roman" w:hAnsi="Times New Roman" w:cs="Times New Roman"/>
          <w:b/>
          <w:bCs/>
          <w:color w:val="auto"/>
          <w:sz w:val="24"/>
          <w:szCs w:val="24"/>
          <w:lang w:val="fr-FR"/>
        </w:rPr>
      </w:pPr>
      <w:bookmarkStart w:id="25" w:name="_Toc195179415"/>
      <w:bookmarkStart w:id="26" w:name="_Hlk118297110"/>
      <w:bookmarkStart w:id="27" w:name="_Hlk148888477"/>
      <w:r w:rsidRPr="00953692">
        <w:rPr>
          <w:rFonts w:ascii="Times New Roman" w:hAnsi="Times New Roman" w:cs="Times New Roman"/>
          <w:b/>
          <w:bCs/>
          <w:color w:val="auto"/>
          <w:sz w:val="24"/>
          <w:szCs w:val="24"/>
          <w:lang w:val="fr-FR"/>
        </w:rPr>
        <w:t>Section 0</w:t>
      </w:r>
      <w:r w:rsidR="0076405D" w:rsidRPr="00953692">
        <w:rPr>
          <w:rFonts w:ascii="Times New Roman" w:hAnsi="Times New Roman" w:cs="Times New Roman"/>
          <w:b/>
          <w:bCs/>
          <w:color w:val="auto"/>
          <w:sz w:val="24"/>
          <w:szCs w:val="24"/>
          <w:lang w:val="fr-FR"/>
        </w:rPr>
        <w:t>2</w:t>
      </w:r>
      <w:r w:rsidRPr="00953692">
        <w:rPr>
          <w:rFonts w:ascii="Times New Roman" w:hAnsi="Times New Roman" w:cs="Times New Roman"/>
          <w:b/>
          <w:bCs/>
          <w:color w:val="auto"/>
          <w:sz w:val="24"/>
          <w:szCs w:val="24"/>
          <w:lang w:val="fr-FR"/>
        </w:rPr>
        <w:t xml:space="preserve">. Le droit de comparaitre </w:t>
      </w:r>
      <w:r w:rsidR="00D12457" w:rsidRPr="00953692">
        <w:rPr>
          <w:rFonts w:ascii="Times New Roman" w:hAnsi="Times New Roman" w:cs="Times New Roman"/>
          <w:b/>
          <w:bCs/>
          <w:color w:val="auto"/>
          <w:sz w:val="24"/>
          <w:szCs w:val="24"/>
          <w:lang w:val="fr-FR"/>
        </w:rPr>
        <w:t xml:space="preserve">initialement </w:t>
      </w:r>
      <w:r w:rsidR="00055223" w:rsidRPr="00953692">
        <w:rPr>
          <w:rFonts w:ascii="Times New Roman" w:hAnsi="Times New Roman" w:cs="Times New Roman"/>
          <w:b/>
          <w:bCs/>
          <w:color w:val="auto"/>
          <w:sz w:val="24"/>
          <w:szCs w:val="24"/>
          <w:lang w:val="fr-FR"/>
        </w:rPr>
        <w:t>sans délai</w:t>
      </w:r>
      <w:r w:rsidRPr="00953692">
        <w:rPr>
          <w:rFonts w:ascii="Times New Roman" w:hAnsi="Times New Roman" w:cs="Times New Roman"/>
          <w:b/>
          <w:bCs/>
          <w:color w:val="auto"/>
          <w:sz w:val="24"/>
          <w:szCs w:val="24"/>
          <w:lang w:val="fr-FR"/>
        </w:rPr>
        <w:t xml:space="preserve"> devant un juge</w:t>
      </w:r>
      <w:bookmarkEnd w:id="25"/>
    </w:p>
    <w:bookmarkEnd w:id="26"/>
    <w:bookmarkEnd w:id="27"/>
    <w:p w14:paraId="490EA4D7" w14:textId="1747D510" w:rsidR="00082BD5" w:rsidRPr="00953692" w:rsidRDefault="00D77B33" w:rsidP="00864BBF">
      <w:pPr>
        <w:spacing w:before="240" w:line="276" w:lineRule="auto"/>
        <w:ind w:firstLine="1134"/>
        <w:jc w:val="both"/>
        <w:rPr>
          <w:rFonts w:cs="Times New Roman"/>
          <w:sz w:val="24"/>
          <w:szCs w:val="24"/>
          <w:lang w:val="fr-FR"/>
        </w:rPr>
      </w:pPr>
      <w:r w:rsidRPr="00953692">
        <w:rPr>
          <w:rFonts w:cs="Times New Roman"/>
          <w:b/>
          <w:bCs/>
          <w:sz w:val="24"/>
          <w:szCs w:val="24"/>
          <w:lang w:val="fr-FR"/>
        </w:rPr>
        <w:t>121</w:t>
      </w:r>
      <w:r w:rsidR="009209E0" w:rsidRPr="00953692">
        <w:rPr>
          <w:rFonts w:cs="Times New Roman"/>
          <w:b/>
          <w:bCs/>
          <w:sz w:val="24"/>
          <w:szCs w:val="24"/>
          <w:lang w:val="fr-FR"/>
        </w:rPr>
        <w:t>.</w:t>
      </w:r>
      <w:r w:rsidR="009209E0" w:rsidRPr="00953692">
        <w:rPr>
          <w:rFonts w:cs="Times New Roman"/>
          <w:sz w:val="24"/>
          <w:szCs w:val="24"/>
          <w:lang w:val="fr-FR"/>
        </w:rPr>
        <w:t xml:space="preserve"> </w:t>
      </w:r>
      <w:r w:rsidR="00F47F5D" w:rsidRPr="00953692">
        <w:rPr>
          <w:rFonts w:cs="Times New Roman"/>
          <w:sz w:val="24"/>
          <w:szCs w:val="24"/>
          <w:lang w:val="fr-FR"/>
        </w:rPr>
        <w:t xml:space="preserve">Lorsque le Procureur décide finalement de déclencher les poursuites ou lorsqu’il en a bien l’intention en fonction évidemment des éléments de preuve en sa possession, </w:t>
      </w:r>
      <w:r w:rsidR="00D12457" w:rsidRPr="00953692">
        <w:rPr>
          <w:rFonts w:cs="Times New Roman"/>
          <w:sz w:val="24"/>
          <w:szCs w:val="24"/>
          <w:lang w:val="fr-FR"/>
        </w:rPr>
        <w:t>il devra tacher mettre le suspect à la disposition exclusive de la juridiction compétente</w:t>
      </w:r>
      <w:r w:rsidR="006D2C8C" w:rsidRPr="00953692">
        <w:rPr>
          <w:rFonts w:cs="Times New Roman"/>
          <w:sz w:val="24"/>
          <w:szCs w:val="24"/>
          <w:lang w:val="fr-FR"/>
        </w:rPr>
        <w:t xml:space="preserve"> ou de l’organe juridictionnel</w:t>
      </w:r>
      <w:r w:rsidR="00D12457" w:rsidRPr="00953692">
        <w:rPr>
          <w:rFonts w:cs="Times New Roman"/>
          <w:sz w:val="24"/>
          <w:szCs w:val="24"/>
          <w:lang w:val="fr-FR"/>
        </w:rPr>
        <w:t xml:space="preserve">. </w:t>
      </w:r>
      <w:r w:rsidR="00A328D2" w:rsidRPr="00953692">
        <w:rPr>
          <w:rFonts w:cs="Times New Roman"/>
          <w:sz w:val="24"/>
          <w:szCs w:val="24"/>
          <w:lang w:val="fr-FR"/>
        </w:rPr>
        <w:t>Pour cela, la personne mise en cause a le droit de comparaitre immédiatement pour la première</w:t>
      </w:r>
      <w:r w:rsidR="00CB12B0" w:rsidRPr="00953692">
        <w:rPr>
          <w:rFonts w:cs="Times New Roman"/>
          <w:sz w:val="24"/>
          <w:szCs w:val="24"/>
          <w:lang w:val="fr-FR"/>
        </w:rPr>
        <w:t xml:space="preserve"> fois </w:t>
      </w:r>
      <w:r w:rsidR="00A328D2" w:rsidRPr="00953692">
        <w:rPr>
          <w:rFonts w:cs="Times New Roman"/>
          <w:sz w:val="24"/>
          <w:szCs w:val="24"/>
          <w:lang w:val="fr-FR"/>
        </w:rPr>
        <w:t xml:space="preserve">devant cette juridiction. </w:t>
      </w:r>
      <w:bookmarkStart w:id="28" w:name="_Hlk119369156"/>
      <w:r w:rsidR="0009356A" w:rsidRPr="00953692">
        <w:rPr>
          <w:rStyle w:val="grammar"/>
          <w:rFonts w:cs="Times New Roman"/>
          <w:sz w:val="24"/>
          <w:szCs w:val="24"/>
          <w:lang w:val="fr-FR"/>
        </w:rPr>
        <w:t>À</w:t>
      </w:r>
      <w:r w:rsidR="0009356A" w:rsidRPr="00953692">
        <w:rPr>
          <w:rFonts w:cs="Times New Roman"/>
          <w:sz w:val="24"/>
          <w:szCs w:val="24"/>
          <w:shd w:val="clear" w:color="auto" w:fill="FFFFFF"/>
          <w:lang w:val="fr-FR"/>
        </w:rPr>
        <w:t xml:space="preserve"> </w:t>
      </w:r>
      <w:bookmarkEnd w:id="28"/>
      <w:r w:rsidR="0009356A" w:rsidRPr="00953692">
        <w:rPr>
          <w:rFonts w:cs="Times New Roman"/>
          <w:sz w:val="24"/>
          <w:szCs w:val="24"/>
          <w:shd w:val="clear" w:color="auto" w:fill="FFFFFF"/>
          <w:lang w:val="fr-FR"/>
        </w:rPr>
        <w:t>travers</w:t>
      </w:r>
      <w:r w:rsidR="0009356A" w:rsidRPr="00953692">
        <w:rPr>
          <w:rFonts w:ascii="Tahoma" w:hAnsi="Tahoma" w:cs="Tahoma"/>
          <w:sz w:val="24"/>
          <w:szCs w:val="24"/>
          <w:shd w:val="clear" w:color="auto" w:fill="FFFFFF"/>
          <w:lang w:val="fr-FR"/>
        </w:rPr>
        <w:t xml:space="preserve"> </w:t>
      </w:r>
      <w:r w:rsidR="00A328D2" w:rsidRPr="00953692">
        <w:rPr>
          <w:rFonts w:cs="Times New Roman"/>
          <w:sz w:val="24"/>
          <w:szCs w:val="24"/>
          <w:lang w:val="fr-FR"/>
        </w:rPr>
        <w:t>la notion et les caractéristiques de ce droit (§1.), dont la réalisation devrait être immédiate</w:t>
      </w:r>
      <w:r w:rsidR="009C25DF" w:rsidRPr="00953692">
        <w:rPr>
          <w:rFonts w:cs="Times New Roman"/>
          <w:sz w:val="24"/>
          <w:szCs w:val="24"/>
          <w:lang w:val="fr-FR"/>
        </w:rPr>
        <w:t xml:space="preserve"> ou sans délai</w:t>
      </w:r>
      <w:r w:rsidR="00A328D2" w:rsidRPr="00953692">
        <w:rPr>
          <w:rFonts w:cs="Times New Roman"/>
          <w:sz w:val="24"/>
          <w:szCs w:val="24"/>
          <w:lang w:val="fr-FR"/>
        </w:rPr>
        <w:t xml:space="preserve">, </w:t>
      </w:r>
      <w:r w:rsidR="009209E0" w:rsidRPr="00953692">
        <w:rPr>
          <w:rFonts w:cs="Times New Roman"/>
          <w:sz w:val="24"/>
          <w:szCs w:val="24"/>
          <w:lang w:val="fr-FR"/>
        </w:rPr>
        <w:t>nous apercevrions</w:t>
      </w:r>
      <w:r w:rsidR="009C25DF" w:rsidRPr="00953692">
        <w:rPr>
          <w:rFonts w:cs="Times New Roman"/>
          <w:sz w:val="24"/>
          <w:szCs w:val="24"/>
          <w:lang w:val="fr-FR"/>
        </w:rPr>
        <w:t xml:space="preserve"> en effet</w:t>
      </w:r>
      <w:r w:rsidR="009209E0" w:rsidRPr="00953692">
        <w:rPr>
          <w:rFonts w:cs="Times New Roman"/>
          <w:sz w:val="24"/>
          <w:szCs w:val="24"/>
          <w:lang w:val="fr-FR"/>
        </w:rPr>
        <w:t xml:space="preserve"> un deuxième pas vers un procès dans un délai raisonnable (§2.).</w:t>
      </w:r>
    </w:p>
    <w:p w14:paraId="72440632" w14:textId="31201C81" w:rsidR="000855A3" w:rsidRPr="00953692" w:rsidRDefault="00ED789C" w:rsidP="0051789F">
      <w:pPr>
        <w:pStyle w:val="Titre3"/>
        <w:ind w:left="1134"/>
        <w:rPr>
          <w:rFonts w:ascii="Times New Roman" w:hAnsi="Times New Roman"/>
          <w:b w:val="0"/>
          <w:bCs/>
          <w:i/>
          <w:iCs/>
          <w:color w:val="auto"/>
          <w:sz w:val="24"/>
          <w:szCs w:val="24"/>
          <w:lang w:val="fr-FR"/>
        </w:rPr>
      </w:pPr>
      <w:bookmarkStart w:id="29" w:name="_Toc195179416"/>
      <w:r>
        <w:rPr>
          <w:rFonts w:ascii="Times New Roman" w:hAnsi="Times New Roman"/>
          <w:b w:val="0"/>
          <w:bCs/>
          <w:i/>
          <w:iCs/>
          <w:color w:val="auto"/>
          <w:sz w:val="24"/>
          <w:szCs w:val="24"/>
          <w:lang w:val="fr-FR"/>
        </w:rPr>
        <w:t xml:space="preserve">Paragraphe </w:t>
      </w:r>
      <w:r w:rsidR="009A0463" w:rsidRPr="00953692">
        <w:rPr>
          <w:rFonts w:ascii="Times New Roman" w:hAnsi="Times New Roman"/>
          <w:b w:val="0"/>
          <w:bCs/>
          <w:i/>
          <w:iCs/>
          <w:color w:val="auto"/>
          <w:sz w:val="24"/>
          <w:szCs w:val="24"/>
          <w:lang w:val="fr-FR"/>
        </w:rPr>
        <w:t>1. Notion</w:t>
      </w:r>
      <w:r w:rsidR="009B5C11" w:rsidRPr="00953692">
        <w:rPr>
          <w:rFonts w:ascii="Times New Roman" w:hAnsi="Times New Roman"/>
          <w:b w:val="0"/>
          <w:bCs/>
          <w:i/>
          <w:iCs/>
          <w:color w:val="auto"/>
          <w:sz w:val="24"/>
          <w:szCs w:val="24"/>
          <w:lang w:val="fr-FR"/>
        </w:rPr>
        <w:t>, sources et caractéristiques</w:t>
      </w:r>
      <w:r w:rsidR="009A0463" w:rsidRPr="00953692">
        <w:rPr>
          <w:rFonts w:ascii="Times New Roman" w:hAnsi="Times New Roman"/>
          <w:b w:val="0"/>
          <w:bCs/>
          <w:i/>
          <w:iCs/>
          <w:color w:val="auto"/>
          <w:sz w:val="24"/>
          <w:szCs w:val="24"/>
          <w:lang w:val="fr-FR"/>
        </w:rPr>
        <w:t xml:space="preserve"> </w:t>
      </w:r>
      <w:r w:rsidR="00D23E82" w:rsidRPr="00953692">
        <w:rPr>
          <w:rFonts w:ascii="Times New Roman" w:hAnsi="Times New Roman"/>
          <w:b w:val="0"/>
          <w:bCs/>
          <w:i/>
          <w:iCs/>
          <w:color w:val="auto"/>
          <w:sz w:val="24"/>
          <w:szCs w:val="24"/>
          <w:lang w:val="fr-FR"/>
        </w:rPr>
        <w:t>du droit à la comparution initiale sans délai</w:t>
      </w:r>
      <w:r w:rsidR="00E05E15" w:rsidRPr="00953692">
        <w:rPr>
          <w:rFonts w:ascii="Times New Roman" w:hAnsi="Times New Roman"/>
          <w:b w:val="0"/>
          <w:bCs/>
          <w:i/>
          <w:iCs/>
          <w:color w:val="auto"/>
          <w:sz w:val="24"/>
          <w:szCs w:val="24"/>
          <w:lang w:val="fr-FR"/>
        </w:rPr>
        <w:t xml:space="preserve"> ou immédiatement</w:t>
      </w:r>
      <w:bookmarkEnd w:id="29"/>
    </w:p>
    <w:p w14:paraId="7C6B15E1" w14:textId="79F356AD" w:rsidR="00BB03D2" w:rsidRPr="00953692" w:rsidRDefault="00D77B33"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122</w:t>
      </w:r>
      <w:r w:rsidR="00BC46D4" w:rsidRPr="00953692">
        <w:rPr>
          <w:rFonts w:cs="Times New Roman"/>
          <w:b/>
          <w:bCs/>
          <w:sz w:val="24"/>
          <w:szCs w:val="24"/>
          <w:lang w:val="fr-FR"/>
        </w:rPr>
        <w:t>.</w:t>
      </w:r>
      <w:r w:rsidR="00BC46D4" w:rsidRPr="00953692">
        <w:rPr>
          <w:rFonts w:cs="Times New Roman"/>
          <w:sz w:val="24"/>
          <w:szCs w:val="24"/>
          <w:lang w:val="fr-FR"/>
        </w:rPr>
        <w:t xml:space="preserve"> </w:t>
      </w:r>
      <w:r w:rsidR="00F47F5D" w:rsidRPr="00953692">
        <w:rPr>
          <w:rFonts w:cs="Times New Roman"/>
          <w:sz w:val="24"/>
          <w:szCs w:val="24"/>
          <w:lang w:val="fr-FR"/>
        </w:rPr>
        <w:t>Devant les juridictions pénales internationales, à la suite d’un mandat d’arrêt très souvent exécuté dans un territoire autre que celui de la juridiction l’ayant décerné, le suspect</w:t>
      </w:r>
      <w:r w:rsidR="00FF6316" w:rsidRPr="00953692">
        <w:rPr>
          <w:rFonts w:cs="Times New Roman"/>
          <w:sz w:val="24"/>
          <w:szCs w:val="24"/>
          <w:lang w:val="fr-FR"/>
        </w:rPr>
        <w:t xml:space="preserve"> ou l’accusé</w:t>
      </w:r>
      <w:r w:rsidR="00F47F5D" w:rsidRPr="00953692">
        <w:rPr>
          <w:rFonts w:cs="Times New Roman"/>
          <w:sz w:val="24"/>
          <w:szCs w:val="24"/>
          <w:lang w:val="fr-FR"/>
        </w:rPr>
        <w:t xml:space="preserve"> appréhendé devra être transféré au siège de ladite juridiction.</w:t>
      </w:r>
      <w:r w:rsidR="00303467" w:rsidRPr="00953692">
        <w:rPr>
          <w:rFonts w:cs="Times New Roman"/>
          <w:sz w:val="24"/>
          <w:szCs w:val="24"/>
          <w:lang w:val="fr-FR"/>
        </w:rPr>
        <w:t xml:space="preserve"> </w:t>
      </w:r>
      <w:r w:rsidR="0009356A" w:rsidRPr="00953692">
        <w:rPr>
          <w:rStyle w:val="grammar"/>
          <w:rFonts w:cs="Times New Roman"/>
          <w:sz w:val="24"/>
          <w:szCs w:val="24"/>
          <w:lang w:val="fr-FR"/>
        </w:rPr>
        <w:t>À</w:t>
      </w:r>
      <w:r w:rsidR="00FF6316" w:rsidRPr="00953692">
        <w:rPr>
          <w:rFonts w:cs="Times New Roman"/>
          <w:sz w:val="24"/>
          <w:szCs w:val="24"/>
          <w:lang w:val="fr-FR"/>
        </w:rPr>
        <w:t xml:space="preserve"> cet effet, l’intéressé devra comparaitre initialement devant l’organe juridictionnel, et ce, d</w:t>
      </w:r>
      <w:r w:rsidR="009209E0" w:rsidRPr="00953692">
        <w:rPr>
          <w:rFonts w:cs="Times New Roman"/>
          <w:sz w:val="24"/>
          <w:szCs w:val="24"/>
          <w:lang w:val="fr-FR"/>
        </w:rPr>
        <w:t>ans l’</w:t>
      </w:r>
      <w:r w:rsidR="00FF6316" w:rsidRPr="00953692">
        <w:rPr>
          <w:rFonts w:cs="Times New Roman"/>
          <w:sz w:val="24"/>
          <w:szCs w:val="24"/>
          <w:lang w:val="fr-FR"/>
        </w:rPr>
        <w:t>immédiate</w:t>
      </w:r>
      <w:r w:rsidR="009209E0" w:rsidRPr="00953692">
        <w:rPr>
          <w:rFonts w:cs="Times New Roman"/>
          <w:sz w:val="24"/>
          <w:szCs w:val="24"/>
          <w:lang w:val="fr-FR"/>
        </w:rPr>
        <w:t>té</w:t>
      </w:r>
      <w:r w:rsidR="00D535B8" w:rsidRPr="00953692">
        <w:rPr>
          <w:rFonts w:cs="Times New Roman"/>
          <w:sz w:val="24"/>
          <w:szCs w:val="24"/>
          <w:lang w:val="fr-FR"/>
        </w:rPr>
        <w:t xml:space="preserve"> ou sans délai</w:t>
      </w:r>
      <w:r w:rsidR="00FF6316" w:rsidRPr="00953692">
        <w:rPr>
          <w:rFonts w:cs="Times New Roman"/>
          <w:sz w:val="24"/>
          <w:szCs w:val="24"/>
          <w:lang w:val="fr-FR"/>
        </w:rPr>
        <w:t xml:space="preserve">. </w:t>
      </w:r>
      <w:r w:rsidR="00BB03D2" w:rsidRPr="00953692">
        <w:rPr>
          <w:rFonts w:cs="Times New Roman"/>
          <w:sz w:val="24"/>
          <w:szCs w:val="24"/>
          <w:lang w:val="fr-FR"/>
        </w:rPr>
        <w:t xml:space="preserve">Une telle obligation trouve </w:t>
      </w:r>
      <w:r w:rsidR="00D535B8" w:rsidRPr="00953692">
        <w:rPr>
          <w:rFonts w:cs="Times New Roman"/>
          <w:sz w:val="24"/>
          <w:szCs w:val="24"/>
          <w:lang w:val="fr-FR"/>
        </w:rPr>
        <w:lastRenderedPageBreak/>
        <w:t>substantiellement</w:t>
      </w:r>
      <w:r w:rsidR="00BB03D2" w:rsidRPr="00953692">
        <w:rPr>
          <w:rFonts w:cs="Times New Roman"/>
          <w:sz w:val="24"/>
          <w:szCs w:val="24"/>
          <w:lang w:val="fr-FR"/>
        </w:rPr>
        <w:t xml:space="preserve"> sa source dans</w:t>
      </w:r>
      <w:r w:rsidR="00D959B1" w:rsidRPr="00953692">
        <w:rPr>
          <w:rFonts w:cs="Times New Roman"/>
          <w:sz w:val="24"/>
          <w:szCs w:val="24"/>
          <w:lang w:val="fr-FR"/>
        </w:rPr>
        <w:t xml:space="preserve"> l’article 9 du PIDCP, dont le point 3 exige à ce que </w:t>
      </w:r>
      <w:r w:rsidR="00D959B1" w:rsidRPr="00953692">
        <w:rPr>
          <w:rFonts w:cs="Times New Roman"/>
          <w:i/>
          <w:iCs/>
          <w:spacing w:val="4"/>
          <w:sz w:val="24"/>
          <w:szCs w:val="24"/>
          <w:lang w:val="fr-FR"/>
        </w:rPr>
        <w:t>tout individu arrêté ou détenu du chef d'une infraction pénale s</w:t>
      </w:r>
      <w:r w:rsidR="00D535B8" w:rsidRPr="00953692">
        <w:rPr>
          <w:rFonts w:cs="Times New Roman"/>
          <w:i/>
          <w:iCs/>
          <w:spacing w:val="4"/>
          <w:sz w:val="24"/>
          <w:szCs w:val="24"/>
          <w:lang w:val="fr-FR"/>
        </w:rPr>
        <w:t>oit</w:t>
      </w:r>
      <w:r w:rsidR="00D959B1" w:rsidRPr="00953692">
        <w:rPr>
          <w:rFonts w:cs="Times New Roman"/>
          <w:i/>
          <w:iCs/>
          <w:spacing w:val="4"/>
          <w:sz w:val="24"/>
          <w:szCs w:val="24"/>
          <w:lang w:val="fr-FR"/>
        </w:rPr>
        <w:t xml:space="preserve"> traduit dans le plus court délai devant un juge ou une autre autorité habilitée par la loi à exercer des fonctions judiciaires (…).</w:t>
      </w:r>
      <w:r w:rsidR="00BB03D2" w:rsidRPr="00953692">
        <w:rPr>
          <w:rFonts w:cs="Times New Roman"/>
          <w:spacing w:val="4"/>
          <w:sz w:val="24"/>
          <w:szCs w:val="24"/>
          <w:lang w:val="fr-FR"/>
        </w:rPr>
        <w:t xml:space="preserve"> Si cette disposition s’applique spécialement dans le cadre d’une personne arrêtée ou détenue, la comparution sans délai dont il est question dans ce </w:t>
      </w:r>
      <w:r w:rsidR="00D535B8" w:rsidRPr="00953692">
        <w:rPr>
          <w:rFonts w:cs="Times New Roman"/>
          <w:spacing w:val="4"/>
          <w:sz w:val="24"/>
          <w:szCs w:val="24"/>
          <w:lang w:val="fr-FR"/>
        </w:rPr>
        <w:t>paragraphe</w:t>
      </w:r>
      <w:r w:rsidR="00BB03D2" w:rsidRPr="00953692">
        <w:rPr>
          <w:rFonts w:cs="Times New Roman"/>
          <w:spacing w:val="4"/>
          <w:sz w:val="24"/>
          <w:szCs w:val="24"/>
          <w:lang w:val="fr-FR"/>
        </w:rPr>
        <w:t>, s’applique dans tous les cas, même au cas où l’individu comparait volontairement ou sur citation</w:t>
      </w:r>
      <w:r w:rsidR="00D535B8" w:rsidRPr="00953692">
        <w:rPr>
          <w:rFonts w:cs="Times New Roman"/>
          <w:spacing w:val="4"/>
          <w:sz w:val="24"/>
          <w:szCs w:val="24"/>
          <w:lang w:val="fr-FR"/>
        </w:rPr>
        <w:t xml:space="preserve"> à comparaitre</w:t>
      </w:r>
      <w:r w:rsidR="00BB03D2" w:rsidRPr="00953692">
        <w:rPr>
          <w:rFonts w:cs="Times New Roman"/>
          <w:spacing w:val="4"/>
          <w:sz w:val="24"/>
          <w:szCs w:val="24"/>
          <w:lang w:val="fr-FR"/>
        </w:rPr>
        <w:t xml:space="preserve">. </w:t>
      </w:r>
    </w:p>
    <w:p w14:paraId="5D733F88" w14:textId="19B1D4E7" w:rsidR="00F22F13" w:rsidRPr="00953692" w:rsidRDefault="00D77B33"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123</w:t>
      </w:r>
      <w:r w:rsidR="00BB03D2" w:rsidRPr="00953692">
        <w:rPr>
          <w:rFonts w:cs="Times New Roman"/>
          <w:b/>
          <w:bCs/>
          <w:sz w:val="24"/>
          <w:szCs w:val="24"/>
          <w:lang w:val="fr-FR"/>
        </w:rPr>
        <w:t>.</w:t>
      </w:r>
      <w:r w:rsidR="00BB03D2" w:rsidRPr="00953692">
        <w:rPr>
          <w:rFonts w:cs="Times New Roman"/>
          <w:sz w:val="24"/>
          <w:szCs w:val="24"/>
          <w:lang w:val="fr-FR"/>
        </w:rPr>
        <w:t xml:space="preserve"> En effet, l</w:t>
      </w:r>
      <w:r w:rsidR="00FF6316" w:rsidRPr="00953692">
        <w:rPr>
          <w:rFonts w:cs="Times New Roman"/>
          <w:sz w:val="24"/>
          <w:szCs w:val="24"/>
          <w:lang w:val="fr-FR"/>
        </w:rPr>
        <w:t xml:space="preserve">es RPP des TPI en leur article 62 </w:t>
      </w:r>
      <w:r w:rsidR="009209E0" w:rsidRPr="00953692">
        <w:rPr>
          <w:rFonts w:cs="Times New Roman"/>
          <w:sz w:val="24"/>
          <w:szCs w:val="24"/>
          <w:lang w:val="fr-FR"/>
        </w:rPr>
        <w:t xml:space="preserve">commun </w:t>
      </w:r>
      <w:r w:rsidR="00FF6316" w:rsidRPr="00953692">
        <w:rPr>
          <w:rFonts w:cs="Times New Roman"/>
          <w:sz w:val="24"/>
          <w:szCs w:val="24"/>
          <w:lang w:val="fr-FR"/>
        </w:rPr>
        <w:t xml:space="preserve">dispose </w:t>
      </w:r>
      <w:r w:rsidR="00040101" w:rsidRPr="00953692">
        <w:rPr>
          <w:rFonts w:cs="Times New Roman"/>
          <w:sz w:val="24"/>
          <w:szCs w:val="24"/>
          <w:lang w:val="fr-FR"/>
        </w:rPr>
        <w:t>« </w:t>
      </w:r>
      <w:r w:rsidR="00FF6316" w:rsidRPr="00953692">
        <w:rPr>
          <w:rFonts w:cs="Times New Roman"/>
          <w:sz w:val="24"/>
          <w:szCs w:val="24"/>
          <w:lang w:val="fr-FR"/>
        </w:rPr>
        <w:t>qu’après son transfert au Tribunal, l’accusé comparait sans délai</w:t>
      </w:r>
      <w:r w:rsidR="00CE2DA1" w:rsidRPr="00953692">
        <w:rPr>
          <w:rFonts w:cs="Times New Roman"/>
          <w:sz w:val="24"/>
          <w:szCs w:val="24"/>
          <w:lang w:val="fr-FR"/>
        </w:rPr>
        <w:t xml:space="preserve"> devant la Chambre de première instance ou devant un juge désigné parmi ses membres</w:t>
      </w:r>
      <w:r w:rsidR="009209E0" w:rsidRPr="00953692">
        <w:rPr>
          <w:rFonts w:cs="Times New Roman"/>
          <w:sz w:val="24"/>
          <w:szCs w:val="24"/>
          <w:lang w:val="fr-FR"/>
        </w:rPr>
        <w:t>,</w:t>
      </w:r>
      <w:r w:rsidR="00CE2DA1" w:rsidRPr="00953692">
        <w:rPr>
          <w:rFonts w:cs="Times New Roman"/>
          <w:sz w:val="24"/>
          <w:szCs w:val="24"/>
          <w:lang w:val="fr-FR"/>
        </w:rPr>
        <w:t xml:space="preserve"> et est mis officiellement en accusation</w:t>
      </w:r>
      <w:r w:rsidR="004669FD" w:rsidRPr="00953692">
        <w:rPr>
          <w:rFonts w:cs="Times New Roman"/>
          <w:sz w:val="24"/>
          <w:szCs w:val="24"/>
          <w:lang w:val="fr-FR"/>
        </w:rPr>
        <w:t> »</w:t>
      </w:r>
      <w:r w:rsidR="00FF6316" w:rsidRPr="00953692">
        <w:rPr>
          <w:rFonts w:cs="Times New Roman"/>
          <w:sz w:val="24"/>
          <w:szCs w:val="24"/>
          <w:lang w:val="fr-FR"/>
        </w:rPr>
        <w:t xml:space="preserve">. </w:t>
      </w:r>
      <w:r w:rsidR="00BB03D2" w:rsidRPr="00953692">
        <w:rPr>
          <w:rFonts w:cs="Times New Roman"/>
          <w:sz w:val="24"/>
          <w:szCs w:val="24"/>
          <w:lang w:val="fr-FR"/>
        </w:rPr>
        <w:t>On retrouve l</w:t>
      </w:r>
      <w:r w:rsidR="00751BEB" w:rsidRPr="00953692">
        <w:rPr>
          <w:rFonts w:cs="Times New Roman"/>
          <w:sz w:val="24"/>
          <w:szCs w:val="24"/>
          <w:lang w:val="fr-FR"/>
        </w:rPr>
        <w:t>a même disposition dans le RPP du TSL en son article 98</w:t>
      </w:r>
      <w:r w:rsidR="003E6475" w:rsidRPr="00953692">
        <w:rPr>
          <w:rFonts w:cs="Times New Roman"/>
          <w:sz w:val="24"/>
          <w:szCs w:val="24"/>
          <w:lang w:val="fr-FR"/>
        </w:rPr>
        <w:t xml:space="preserve">, qui précise que </w:t>
      </w:r>
      <w:r w:rsidR="003E6475" w:rsidRPr="00953692">
        <w:rPr>
          <w:rFonts w:cs="Times New Roman"/>
          <w:i/>
          <w:iCs/>
          <w:sz w:val="24"/>
          <w:szCs w:val="24"/>
          <w:lang w:val="fr-FR"/>
        </w:rPr>
        <w:t xml:space="preserve">cette comparution sans délai est </w:t>
      </w:r>
      <w:r w:rsidR="00550C76" w:rsidRPr="00953692">
        <w:rPr>
          <w:rFonts w:cs="Times New Roman"/>
          <w:i/>
          <w:iCs/>
          <w:sz w:val="24"/>
          <w:szCs w:val="24"/>
          <w:lang w:val="fr-FR"/>
        </w:rPr>
        <w:t>aussi</w:t>
      </w:r>
      <w:r w:rsidR="003E6475" w:rsidRPr="00953692">
        <w:rPr>
          <w:rFonts w:cs="Times New Roman"/>
          <w:i/>
          <w:iCs/>
          <w:sz w:val="24"/>
          <w:szCs w:val="24"/>
          <w:lang w:val="fr-FR"/>
        </w:rPr>
        <w:t xml:space="preserve"> valable dans le cadre de l’exécution d’une citation à comparaitre</w:t>
      </w:r>
      <w:r w:rsidR="00751BEB" w:rsidRPr="00953692">
        <w:rPr>
          <w:rFonts w:cs="Times New Roman"/>
          <w:sz w:val="24"/>
          <w:szCs w:val="24"/>
          <w:lang w:val="fr-FR"/>
        </w:rPr>
        <w:t xml:space="preserve">. </w:t>
      </w:r>
      <w:r w:rsidR="00832A53" w:rsidRPr="00953692">
        <w:rPr>
          <w:rFonts w:cs="Times New Roman"/>
          <w:sz w:val="24"/>
          <w:szCs w:val="24"/>
          <w:lang w:val="fr-FR"/>
        </w:rPr>
        <w:t>Dans le cadre d’un transfert effectué en vertu des mesures provisoires, c’est-à-dire avant la confirmation préalable d’un acte d’accusation</w:t>
      </w:r>
      <w:r w:rsidR="0068031D" w:rsidRPr="00953692">
        <w:rPr>
          <w:rFonts w:cs="Times New Roman"/>
          <w:sz w:val="24"/>
          <w:szCs w:val="24"/>
          <w:lang w:val="fr-FR"/>
        </w:rPr>
        <w:t xml:space="preserve">, </w:t>
      </w:r>
      <w:r w:rsidR="00832A53" w:rsidRPr="00953692">
        <w:rPr>
          <w:rFonts w:cs="Times New Roman"/>
          <w:sz w:val="24"/>
          <w:szCs w:val="24"/>
          <w:lang w:val="fr-FR"/>
        </w:rPr>
        <w:t>en principe, les actes constitutifs de ces juridictions prévoient également la comparution sans délai devant le juge ayant rendu l’ordonnance de transfert ou un autre appartenant à la même Chambre de première instance pour ce qui est des TPI, ou un juge de la mise en état s’agissant du TSL</w:t>
      </w:r>
      <w:r w:rsidR="00407F27" w:rsidRPr="00953692">
        <w:rPr>
          <w:rStyle w:val="Appelnotedebasdep"/>
          <w:rFonts w:cs="Times New Roman"/>
          <w:sz w:val="24"/>
          <w:szCs w:val="24"/>
          <w:lang w:val="fr-FR"/>
        </w:rPr>
        <w:footnoteReference w:customMarkFollows="1" w:id="104"/>
        <w:t>82</w:t>
      </w:r>
      <w:r w:rsidR="00832A53" w:rsidRPr="00953692">
        <w:rPr>
          <w:rFonts w:cs="Times New Roman"/>
          <w:sz w:val="24"/>
          <w:szCs w:val="24"/>
          <w:lang w:val="fr-FR"/>
        </w:rPr>
        <w:t>.</w:t>
      </w:r>
    </w:p>
    <w:p w14:paraId="61E773E7" w14:textId="469EB005" w:rsidR="00AE7163" w:rsidRPr="00953692" w:rsidRDefault="00D77B33" w:rsidP="00864BBF">
      <w:pPr>
        <w:spacing w:after="0" w:line="276" w:lineRule="auto"/>
        <w:ind w:firstLine="1134"/>
        <w:jc w:val="both"/>
        <w:rPr>
          <w:sz w:val="24"/>
          <w:szCs w:val="24"/>
          <w:lang w:val="fr-FR"/>
        </w:rPr>
      </w:pPr>
      <w:r w:rsidRPr="00953692">
        <w:rPr>
          <w:rFonts w:cs="Times New Roman"/>
          <w:b/>
          <w:bCs/>
          <w:sz w:val="24"/>
          <w:szCs w:val="24"/>
          <w:lang w:val="fr-FR"/>
        </w:rPr>
        <w:t>124</w:t>
      </w:r>
      <w:r w:rsidR="006A4859" w:rsidRPr="00953692">
        <w:rPr>
          <w:rFonts w:cs="Times New Roman"/>
          <w:b/>
          <w:bCs/>
          <w:sz w:val="24"/>
          <w:szCs w:val="24"/>
          <w:lang w:val="fr-FR"/>
        </w:rPr>
        <w:t>.</w:t>
      </w:r>
      <w:r w:rsidR="006A4859" w:rsidRPr="00953692">
        <w:rPr>
          <w:rFonts w:cs="Times New Roman"/>
          <w:sz w:val="24"/>
          <w:szCs w:val="24"/>
          <w:lang w:val="fr-FR"/>
        </w:rPr>
        <w:t xml:space="preserve"> </w:t>
      </w:r>
      <w:r w:rsidR="004E01D7" w:rsidRPr="00953692">
        <w:rPr>
          <w:rFonts w:cs="Times New Roman"/>
          <w:sz w:val="24"/>
          <w:szCs w:val="24"/>
          <w:lang w:val="fr-FR"/>
        </w:rPr>
        <w:t xml:space="preserve">Par contre devant la CPI, la personne faisant objet d’un mandat d’arrêt ou d’une citation à comparaitre arrive à la Haye en qualité de suspect. </w:t>
      </w:r>
      <w:r w:rsidR="00D75415" w:rsidRPr="00953692">
        <w:rPr>
          <w:rFonts w:cs="Times New Roman"/>
          <w:sz w:val="24"/>
          <w:szCs w:val="24"/>
          <w:lang w:val="fr-FR"/>
        </w:rPr>
        <w:t>L’article 60 du statut de Rome prévoit une comparution immédiate</w:t>
      </w:r>
      <w:r w:rsidR="00BF73FB" w:rsidRPr="00953692">
        <w:rPr>
          <w:rFonts w:cs="Times New Roman"/>
          <w:sz w:val="24"/>
          <w:szCs w:val="24"/>
          <w:lang w:val="fr-FR"/>
        </w:rPr>
        <w:t xml:space="preserve"> devant la </w:t>
      </w:r>
      <w:r w:rsidR="00BC46D4" w:rsidRPr="00953692">
        <w:rPr>
          <w:rFonts w:cs="Times New Roman"/>
          <w:sz w:val="24"/>
          <w:szCs w:val="24"/>
          <w:lang w:val="fr-FR"/>
        </w:rPr>
        <w:t>C</w:t>
      </w:r>
      <w:r w:rsidR="00BF73FB" w:rsidRPr="00953692">
        <w:rPr>
          <w:rFonts w:cs="Times New Roman"/>
          <w:sz w:val="24"/>
          <w:szCs w:val="24"/>
          <w:lang w:val="fr-FR"/>
        </w:rPr>
        <w:t>hambre</w:t>
      </w:r>
      <w:r w:rsidR="00BC46D4" w:rsidRPr="00953692">
        <w:rPr>
          <w:rFonts w:cs="Times New Roman"/>
          <w:sz w:val="24"/>
          <w:szCs w:val="24"/>
          <w:lang w:val="fr-FR"/>
        </w:rPr>
        <w:t xml:space="preserve"> préliminaire</w:t>
      </w:r>
      <w:r w:rsidR="00BF73FB" w:rsidRPr="00953692">
        <w:rPr>
          <w:rFonts w:cs="Times New Roman"/>
          <w:sz w:val="24"/>
          <w:szCs w:val="24"/>
          <w:lang w:val="fr-FR"/>
        </w:rPr>
        <w:t xml:space="preserve"> ou un juge unique</w:t>
      </w:r>
      <w:r w:rsidR="00D75415" w:rsidRPr="00953692">
        <w:rPr>
          <w:rFonts w:cs="Times New Roman"/>
          <w:sz w:val="24"/>
          <w:szCs w:val="24"/>
          <w:lang w:val="fr-FR"/>
        </w:rPr>
        <w:t xml:space="preserve"> </w:t>
      </w:r>
      <w:r w:rsidR="00D75415" w:rsidRPr="00953692">
        <w:rPr>
          <w:sz w:val="24"/>
          <w:szCs w:val="24"/>
          <w:lang w:val="fr-FR"/>
        </w:rPr>
        <w:t>d</w:t>
      </w:r>
      <w:r w:rsidR="00D12457" w:rsidRPr="00953692">
        <w:rPr>
          <w:sz w:val="24"/>
          <w:szCs w:val="24"/>
          <w:lang w:val="fr-FR"/>
        </w:rPr>
        <w:t>ès que la personne est remise à la Cour</w:t>
      </w:r>
      <w:r w:rsidR="00D75415" w:rsidRPr="00953692">
        <w:rPr>
          <w:sz w:val="24"/>
          <w:szCs w:val="24"/>
          <w:lang w:val="fr-FR"/>
        </w:rPr>
        <w:t xml:space="preserve">, </w:t>
      </w:r>
      <w:r w:rsidR="00D972AA" w:rsidRPr="00953692">
        <w:rPr>
          <w:sz w:val="24"/>
          <w:szCs w:val="24"/>
          <w:lang w:val="fr-FR"/>
        </w:rPr>
        <w:t>donc</w:t>
      </w:r>
      <w:r w:rsidR="00D75415" w:rsidRPr="00953692">
        <w:rPr>
          <w:sz w:val="24"/>
          <w:szCs w:val="24"/>
          <w:lang w:val="fr-FR"/>
        </w:rPr>
        <w:t xml:space="preserve"> en cas d’exécution d’un mandat d’arrêt,</w:t>
      </w:r>
      <w:r w:rsidR="00D12457" w:rsidRPr="00953692">
        <w:rPr>
          <w:sz w:val="24"/>
          <w:szCs w:val="24"/>
          <w:lang w:val="fr-FR"/>
        </w:rPr>
        <w:t xml:space="preserve"> </w:t>
      </w:r>
      <w:r w:rsidR="00D75415" w:rsidRPr="00953692">
        <w:rPr>
          <w:sz w:val="24"/>
          <w:szCs w:val="24"/>
          <w:lang w:val="fr-FR"/>
        </w:rPr>
        <w:t>ou lorsqu’elle comparait volontairement ou sur citation à comparaitre. La règle 121 du RPP précise que ‘’</w:t>
      </w:r>
      <w:r w:rsidR="00D75415" w:rsidRPr="00953692">
        <w:rPr>
          <w:i/>
          <w:iCs/>
          <w:sz w:val="24"/>
          <w:szCs w:val="24"/>
          <w:lang w:val="fr-FR"/>
        </w:rPr>
        <w:t>toute personne ayant fait l’objet d’un mandat d’arrêt ou d’une citation à comparaître en vertu de l’article 58 comparaît devant la Chambre préliminaire en présence du Procureur aussitôt après son arrivée à la Cour</w:t>
      </w:r>
      <w:r w:rsidR="00D75415" w:rsidRPr="00953692">
        <w:rPr>
          <w:sz w:val="24"/>
          <w:szCs w:val="24"/>
          <w:lang w:val="fr-FR"/>
        </w:rPr>
        <w:t>’’.</w:t>
      </w:r>
      <w:r w:rsidR="00BF73FB" w:rsidRPr="00953692">
        <w:rPr>
          <w:sz w:val="24"/>
          <w:szCs w:val="24"/>
          <w:lang w:val="fr-FR"/>
        </w:rPr>
        <w:t xml:space="preserve"> </w:t>
      </w:r>
    </w:p>
    <w:p w14:paraId="315C2702" w14:textId="7922AA37" w:rsidR="00D75415" w:rsidRPr="00953692" w:rsidRDefault="00D77B33" w:rsidP="00864BBF">
      <w:pPr>
        <w:spacing w:after="0" w:line="276" w:lineRule="auto"/>
        <w:ind w:firstLine="1134"/>
        <w:jc w:val="both"/>
        <w:rPr>
          <w:sz w:val="24"/>
          <w:szCs w:val="24"/>
          <w:lang w:val="fr-FR"/>
        </w:rPr>
      </w:pPr>
      <w:r w:rsidRPr="00953692">
        <w:rPr>
          <w:b/>
          <w:bCs/>
          <w:sz w:val="24"/>
          <w:szCs w:val="24"/>
          <w:lang w:val="fr-FR"/>
        </w:rPr>
        <w:t>125.</w:t>
      </w:r>
      <w:r w:rsidRPr="00953692">
        <w:rPr>
          <w:sz w:val="24"/>
          <w:szCs w:val="24"/>
          <w:lang w:val="fr-FR"/>
        </w:rPr>
        <w:t xml:space="preserve"> </w:t>
      </w:r>
      <w:r w:rsidR="00BF73FB" w:rsidRPr="00953692">
        <w:rPr>
          <w:sz w:val="24"/>
          <w:szCs w:val="24"/>
          <w:lang w:val="fr-FR"/>
        </w:rPr>
        <w:t>En pratique, les juges de la CPI ont estimé la faisabilité de cette comparution normalement dans les 48 à 96 heures qui suivent l’arrivée du suspect au siège de la Cour après la remise de celui–ci, ou à la date spécifiée dans la citation à comparaître</w:t>
      </w:r>
      <w:r w:rsidR="00407F27" w:rsidRPr="00953692">
        <w:rPr>
          <w:rStyle w:val="Appelnotedebasdep"/>
          <w:sz w:val="24"/>
          <w:szCs w:val="24"/>
          <w:lang w:val="fr-FR"/>
        </w:rPr>
        <w:footnoteReference w:customMarkFollows="1" w:id="105"/>
        <w:t>83</w:t>
      </w:r>
      <w:r w:rsidR="00BF73FB" w:rsidRPr="00953692">
        <w:rPr>
          <w:sz w:val="24"/>
          <w:szCs w:val="24"/>
          <w:lang w:val="fr-FR"/>
        </w:rPr>
        <w:t>.</w:t>
      </w:r>
      <w:r w:rsidR="004669FD" w:rsidRPr="00953692">
        <w:rPr>
          <w:sz w:val="24"/>
          <w:szCs w:val="24"/>
          <w:lang w:val="fr-FR"/>
        </w:rPr>
        <w:t xml:space="preserve"> On voit ici un exemple concret d’interprétation pratique ; on dirait </w:t>
      </w:r>
      <w:r w:rsidR="00D1388C" w:rsidRPr="00953692">
        <w:rPr>
          <w:sz w:val="24"/>
          <w:szCs w:val="24"/>
          <w:lang w:val="fr-FR"/>
        </w:rPr>
        <w:t xml:space="preserve">plutôt une interprétation </w:t>
      </w:r>
      <w:r w:rsidR="004669FD" w:rsidRPr="00953692">
        <w:rPr>
          <w:sz w:val="24"/>
          <w:szCs w:val="24"/>
          <w:lang w:val="fr-FR"/>
        </w:rPr>
        <w:t>téléologique de ces expressions</w:t>
      </w:r>
      <w:r w:rsidR="00D1388C" w:rsidRPr="00953692">
        <w:rPr>
          <w:sz w:val="24"/>
          <w:szCs w:val="24"/>
          <w:lang w:val="fr-FR"/>
        </w:rPr>
        <w:t xml:space="preserve"> </w:t>
      </w:r>
      <w:r w:rsidR="00D32383" w:rsidRPr="00953692">
        <w:rPr>
          <w:sz w:val="24"/>
          <w:szCs w:val="24"/>
          <w:lang w:val="fr-FR"/>
        </w:rPr>
        <w:t xml:space="preserve">marquées par </w:t>
      </w:r>
      <w:r w:rsidR="00D1388C" w:rsidRPr="00953692">
        <w:rPr>
          <w:sz w:val="24"/>
          <w:szCs w:val="24"/>
          <w:lang w:val="fr-FR"/>
        </w:rPr>
        <w:t>une clarté obscure</w:t>
      </w:r>
      <w:r w:rsidR="004669FD" w:rsidRPr="00953692">
        <w:rPr>
          <w:sz w:val="24"/>
          <w:szCs w:val="24"/>
          <w:lang w:val="fr-FR"/>
        </w:rPr>
        <w:t>, qui exigent en réalité un contenu concret pour leur applicabilité</w:t>
      </w:r>
      <w:r w:rsidR="00ED3152" w:rsidRPr="00953692">
        <w:rPr>
          <w:sz w:val="24"/>
          <w:szCs w:val="24"/>
          <w:lang w:val="fr-FR"/>
        </w:rPr>
        <w:t xml:space="preserve"> dans une procédure aussi complexe </w:t>
      </w:r>
      <w:r w:rsidR="00D32383" w:rsidRPr="00953692">
        <w:rPr>
          <w:sz w:val="24"/>
          <w:szCs w:val="24"/>
          <w:lang w:val="fr-FR"/>
        </w:rPr>
        <w:t>et presqu’</w:t>
      </w:r>
      <w:r w:rsidR="005F693C" w:rsidRPr="00953692">
        <w:rPr>
          <w:sz w:val="24"/>
          <w:szCs w:val="24"/>
          <w:lang w:val="fr-FR"/>
        </w:rPr>
        <w:t>incertaine</w:t>
      </w:r>
      <w:r w:rsidR="004669FD" w:rsidRPr="00953692">
        <w:rPr>
          <w:sz w:val="24"/>
          <w:szCs w:val="24"/>
          <w:lang w:val="fr-FR"/>
        </w:rPr>
        <w:t>.</w:t>
      </w:r>
    </w:p>
    <w:p w14:paraId="527CD0FC" w14:textId="4DADBB12" w:rsidR="00997AB4" w:rsidRPr="00953692" w:rsidRDefault="00D77B33" w:rsidP="00864BBF">
      <w:pPr>
        <w:spacing w:after="0" w:line="276" w:lineRule="auto"/>
        <w:ind w:firstLine="1134"/>
        <w:jc w:val="both"/>
        <w:rPr>
          <w:sz w:val="24"/>
          <w:szCs w:val="24"/>
          <w:lang w:val="fr-FR"/>
        </w:rPr>
      </w:pPr>
      <w:r w:rsidRPr="00953692">
        <w:rPr>
          <w:b/>
          <w:bCs/>
          <w:sz w:val="24"/>
          <w:szCs w:val="24"/>
          <w:lang w:val="fr-FR"/>
        </w:rPr>
        <w:t>126</w:t>
      </w:r>
      <w:r w:rsidR="006A4859" w:rsidRPr="00953692">
        <w:rPr>
          <w:b/>
          <w:bCs/>
          <w:sz w:val="24"/>
          <w:szCs w:val="24"/>
          <w:lang w:val="fr-FR"/>
        </w:rPr>
        <w:t>.</w:t>
      </w:r>
      <w:r w:rsidR="006A4859" w:rsidRPr="00953692">
        <w:rPr>
          <w:sz w:val="24"/>
          <w:szCs w:val="24"/>
          <w:lang w:val="fr-FR"/>
        </w:rPr>
        <w:t xml:space="preserve"> </w:t>
      </w:r>
      <w:r w:rsidR="002151E9" w:rsidRPr="00953692">
        <w:rPr>
          <w:sz w:val="24"/>
          <w:szCs w:val="24"/>
          <w:lang w:val="fr-FR"/>
        </w:rPr>
        <w:t xml:space="preserve">Une autre détermination du délai est à retrouver dans </w:t>
      </w:r>
      <w:r w:rsidR="005C5230" w:rsidRPr="00953692">
        <w:rPr>
          <w:sz w:val="24"/>
          <w:szCs w:val="24"/>
          <w:lang w:val="fr-FR"/>
        </w:rPr>
        <w:t>les actes constitutifs du CS</w:t>
      </w:r>
      <w:r w:rsidR="00F43FB3" w:rsidRPr="00953692">
        <w:rPr>
          <w:sz w:val="24"/>
          <w:szCs w:val="24"/>
          <w:lang w:val="fr-FR"/>
        </w:rPr>
        <w:t>K</w:t>
      </w:r>
      <w:r w:rsidR="005C5230" w:rsidRPr="00953692">
        <w:rPr>
          <w:sz w:val="24"/>
          <w:szCs w:val="24"/>
          <w:lang w:val="fr-FR"/>
        </w:rPr>
        <w:t>, dont la règle 87 (</w:t>
      </w:r>
      <w:r w:rsidR="00854437" w:rsidRPr="00953692">
        <w:rPr>
          <w:sz w:val="24"/>
          <w:szCs w:val="24"/>
          <w:lang w:val="fr-FR"/>
        </w:rPr>
        <w:t>6</w:t>
      </w:r>
      <w:r w:rsidR="005C5230" w:rsidRPr="00953692">
        <w:rPr>
          <w:sz w:val="24"/>
          <w:szCs w:val="24"/>
          <w:lang w:val="fr-FR"/>
        </w:rPr>
        <w:t xml:space="preserve">) du RPP indique que la comparution initiale de l’accusé a lieu dans </w:t>
      </w:r>
      <w:r w:rsidR="00854437" w:rsidRPr="00953692">
        <w:rPr>
          <w:sz w:val="24"/>
          <w:szCs w:val="24"/>
          <w:lang w:val="fr-FR"/>
        </w:rPr>
        <w:t>les sept jours</w:t>
      </w:r>
      <w:r w:rsidR="005C5230" w:rsidRPr="00953692">
        <w:rPr>
          <w:sz w:val="24"/>
          <w:szCs w:val="24"/>
          <w:lang w:val="fr-FR"/>
        </w:rPr>
        <w:t xml:space="preserve"> suivant la signification de l’acte d’accusation ou dans </w:t>
      </w:r>
      <w:r w:rsidR="00854437" w:rsidRPr="00953692">
        <w:rPr>
          <w:sz w:val="24"/>
          <w:szCs w:val="24"/>
          <w:lang w:val="fr-FR"/>
        </w:rPr>
        <w:t>les trois jours</w:t>
      </w:r>
      <w:r w:rsidR="005C5230" w:rsidRPr="00953692">
        <w:rPr>
          <w:sz w:val="24"/>
          <w:szCs w:val="24"/>
          <w:lang w:val="fr-FR"/>
        </w:rPr>
        <w:t xml:space="preserve"> à dater de l’arrestation de l’accusé en fuite. </w:t>
      </w:r>
      <w:r w:rsidR="00854437" w:rsidRPr="00953692">
        <w:rPr>
          <w:sz w:val="24"/>
          <w:szCs w:val="24"/>
          <w:lang w:val="fr-FR"/>
        </w:rPr>
        <w:t xml:space="preserve">La règle 92, faisant suite à la règle 87 précitée, dispose que l’accusé comparait sans retard injustifié devant le juge de </w:t>
      </w:r>
      <w:r w:rsidR="00854437" w:rsidRPr="00953692">
        <w:rPr>
          <w:sz w:val="24"/>
          <w:szCs w:val="24"/>
          <w:lang w:val="fr-FR"/>
        </w:rPr>
        <w:lastRenderedPageBreak/>
        <w:t>la mise en état (</w:t>
      </w:r>
      <w:r w:rsidR="00854437" w:rsidRPr="00953692">
        <w:rPr>
          <w:i/>
          <w:iCs/>
          <w:sz w:val="24"/>
          <w:szCs w:val="24"/>
          <w:lang w:val="fr-FR"/>
        </w:rPr>
        <w:t>an Accused shall be brought before the Pre-Trial Judge without undue delay</w:t>
      </w:r>
      <w:r w:rsidR="00854437" w:rsidRPr="00953692">
        <w:rPr>
          <w:sz w:val="24"/>
          <w:szCs w:val="24"/>
          <w:lang w:val="fr-FR"/>
        </w:rPr>
        <w:t>)</w:t>
      </w:r>
      <w:r w:rsidR="00407F27" w:rsidRPr="00953692">
        <w:rPr>
          <w:rStyle w:val="Appelnotedebasdep"/>
          <w:sz w:val="24"/>
          <w:szCs w:val="24"/>
          <w:lang w:val="fr-FR"/>
        </w:rPr>
        <w:footnoteReference w:customMarkFollows="1" w:id="106"/>
        <w:t>84</w:t>
      </w:r>
      <w:r w:rsidR="00854437" w:rsidRPr="00953692">
        <w:rPr>
          <w:sz w:val="24"/>
          <w:szCs w:val="24"/>
          <w:lang w:val="fr-FR"/>
        </w:rPr>
        <w:t xml:space="preserve">. </w:t>
      </w:r>
      <w:r w:rsidR="00482295" w:rsidRPr="00953692">
        <w:rPr>
          <w:sz w:val="24"/>
          <w:szCs w:val="24"/>
          <w:lang w:val="fr-FR"/>
        </w:rPr>
        <w:t>Il est vrai qu’u</w:t>
      </w:r>
      <w:r w:rsidR="00EA267F" w:rsidRPr="00953692">
        <w:rPr>
          <w:sz w:val="24"/>
          <w:szCs w:val="24"/>
          <w:lang w:val="fr-FR"/>
        </w:rPr>
        <w:t xml:space="preserve">ne telle disposition ouvre la voie à un délai plus long que prévu par la règle 87 pour autant que </w:t>
      </w:r>
      <w:r w:rsidR="009F13AC" w:rsidRPr="00953692">
        <w:rPr>
          <w:sz w:val="24"/>
          <w:szCs w:val="24"/>
          <w:lang w:val="fr-FR"/>
        </w:rPr>
        <w:t>ce délai supplémentaire soit justifié.</w:t>
      </w:r>
      <w:r w:rsidR="00DA764C" w:rsidRPr="00953692">
        <w:rPr>
          <w:sz w:val="24"/>
          <w:szCs w:val="24"/>
          <w:lang w:val="fr-FR"/>
        </w:rPr>
        <w:t xml:space="preserve"> Toutefois, cela n’empêche </w:t>
      </w:r>
      <w:r w:rsidR="00482295" w:rsidRPr="00953692">
        <w:rPr>
          <w:sz w:val="24"/>
          <w:szCs w:val="24"/>
          <w:lang w:val="fr-FR"/>
        </w:rPr>
        <w:t>pas de mettre en œuvre</w:t>
      </w:r>
      <w:r w:rsidR="00DA764C" w:rsidRPr="00953692">
        <w:rPr>
          <w:sz w:val="24"/>
          <w:szCs w:val="24"/>
          <w:lang w:val="fr-FR"/>
        </w:rPr>
        <w:t xml:space="preserve"> la volonté d’organiser cette comparution initiale dans un délai plus court</w:t>
      </w:r>
      <w:r w:rsidR="00482295" w:rsidRPr="00953692">
        <w:rPr>
          <w:sz w:val="24"/>
          <w:szCs w:val="24"/>
          <w:lang w:val="fr-FR"/>
        </w:rPr>
        <w:t>.</w:t>
      </w:r>
    </w:p>
    <w:p w14:paraId="1728D361" w14:textId="5E6CF3B8" w:rsidR="00FC773E" w:rsidRPr="00953692" w:rsidRDefault="00D77B33" w:rsidP="00864BBF">
      <w:pPr>
        <w:spacing w:after="0" w:line="276" w:lineRule="auto"/>
        <w:ind w:firstLine="1134"/>
        <w:jc w:val="both"/>
        <w:rPr>
          <w:sz w:val="24"/>
          <w:szCs w:val="24"/>
          <w:lang w:val="fr-FR"/>
        </w:rPr>
      </w:pPr>
      <w:r w:rsidRPr="00953692">
        <w:rPr>
          <w:b/>
          <w:bCs/>
          <w:sz w:val="24"/>
          <w:szCs w:val="24"/>
          <w:lang w:val="fr-FR"/>
        </w:rPr>
        <w:t>127</w:t>
      </w:r>
      <w:r w:rsidR="00724F1A" w:rsidRPr="00953692">
        <w:rPr>
          <w:b/>
          <w:bCs/>
          <w:sz w:val="24"/>
          <w:szCs w:val="24"/>
          <w:lang w:val="fr-FR"/>
        </w:rPr>
        <w:t>.</w:t>
      </w:r>
      <w:r w:rsidR="00724F1A" w:rsidRPr="00953692">
        <w:rPr>
          <w:sz w:val="24"/>
          <w:szCs w:val="24"/>
          <w:lang w:val="fr-FR"/>
        </w:rPr>
        <w:t xml:space="preserve"> </w:t>
      </w:r>
      <w:r w:rsidR="00FC773E" w:rsidRPr="00953692">
        <w:rPr>
          <w:sz w:val="24"/>
          <w:szCs w:val="24"/>
          <w:lang w:val="fr-FR"/>
        </w:rPr>
        <w:t xml:space="preserve">Par ailleurs, devant d’autres juridictions internationalisées où la notion du </w:t>
      </w:r>
      <w:r w:rsidR="00FC773E" w:rsidRPr="00953692">
        <w:rPr>
          <w:i/>
          <w:iCs/>
          <w:sz w:val="24"/>
          <w:szCs w:val="24"/>
          <w:lang w:val="fr-FR"/>
        </w:rPr>
        <w:t>transfert de l’accusé ou du suspect</w:t>
      </w:r>
      <w:r w:rsidR="00FC773E" w:rsidRPr="00953692">
        <w:rPr>
          <w:sz w:val="24"/>
          <w:szCs w:val="24"/>
          <w:lang w:val="fr-FR"/>
        </w:rPr>
        <w:t xml:space="preserve"> n’est pas </w:t>
      </w:r>
      <w:r w:rsidR="00724F1A" w:rsidRPr="00953692">
        <w:rPr>
          <w:sz w:val="24"/>
          <w:szCs w:val="24"/>
          <w:lang w:val="fr-FR"/>
        </w:rPr>
        <w:t>une exigence particulière</w:t>
      </w:r>
      <w:r w:rsidR="00FC773E" w:rsidRPr="00953692">
        <w:rPr>
          <w:sz w:val="24"/>
          <w:szCs w:val="24"/>
          <w:lang w:val="fr-FR"/>
        </w:rPr>
        <w:t xml:space="preserve"> en raison d’une procédure pratiquement nationale, le droit à la comparution immédiate </w:t>
      </w:r>
      <w:r w:rsidR="0068031D" w:rsidRPr="00953692">
        <w:rPr>
          <w:sz w:val="24"/>
          <w:szCs w:val="24"/>
          <w:lang w:val="fr-FR"/>
        </w:rPr>
        <w:t>va plutôt se limiter à la logique de l’article 9-3 du PIDCP précité</w:t>
      </w:r>
      <w:r w:rsidR="00724F1A" w:rsidRPr="00953692">
        <w:rPr>
          <w:sz w:val="24"/>
          <w:szCs w:val="24"/>
          <w:lang w:val="fr-FR"/>
        </w:rPr>
        <w:t xml:space="preserve"> (il ne faudrait pas confondre la comparution initiale sans délai avec l’audience initiale)</w:t>
      </w:r>
      <w:r w:rsidR="00407F27" w:rsidRPr="00953692">
        <w:rPr>
          <w:rStyle w:val="Appelnotedebasdep"/>
          <w:sz w:val="24"/>
          <w:szCs w:val="24"/>
          <w:lang w:val="fr-FR"/>
        </w:rPr>
        <w:footnoteReference w:customMarkFollows="1" w:id="107"/>
        <w:t>85</w:t>
      </w:r>
      <w:r w:rsidR="00FC773E" w:rsidRPr="00953692">
        <w:rPr>
          <w:sz w:val="24"/>
          <w:szCs w:val="24"/>
          <w:lang w:val="fr-FR"/>
        </w:rPr>
        <w:t xml:space="preserve">. En réalité, concernant les juridictions localisées dans les pays où se sont commis les crimes, telles que les CETC et la CPS centrafricaine, la procédure diffère </w:t>
      </w:r>
      <w:r w:rsidR="000E28AA" w:rsidRPr="00953692">
        <w:rPr>
          <w:sz w:val="24"/>
          <w:szCs w:val="24"/>
          <w:lang w:val="fr-FR"/>
        </w:rPr>
        <w:t xml:space="preserve">des TPI ou de la CPI, </w:t>
      </w:r>
      <w:r w:rsidR="00FC773E" w:rsidRPr="00953692">
        <w:rPr>
          <w:sz w:val="24"/>
          <w:szCs w:val="24"/>
          <w:lang w:val="fr-FR"/>
        </w:rPr>
        <w:t>en ce que les organes des poursuites s’appuient</w:t>
      </w:r>
      <w:r w:rsidR="000E28AA" w:rsidRPr="00953692">
        <w:rPr>
          <w:sz w:val="24"/>
          <w:szCs w:val="24"/>
          <w:lang w:val="fr-FR"/>
        </w:rPr>
        <w:t>,</w:t>
      </w:r>
      <w:r w:rsidR="00FC773E" w:rsidRPr="00953692">
        <w:rPr>
          <w:sz w:val="24"/>
          <w:szCs w:val="24"/>
          <w:lang w:val="fr-FR"/>
        </w:rPr>
        <w:t xml:space="preserve"> dès le début de leurs enquêtes préliminaires sur les officiers de police judiciaire ou spécialisée, notamment dans le cadre de l’arrestation et de la garde à vue des suspects. Ce qui implique la présence de ces derniers dans la procédure bien avant la phase de l’inculpation</w:t>
      </w:r>
      <w:r w:rsidR="0080563D" w:rsidRPr="00953692">
        <w:rPr>
          <w:sz w:val="24"/>
          <w:szCs w:val="24"/>
          <w:lang w:val="fr-FR"/>
        </w:rPr>
        <w:t xml:space="preserve"> ou de la mise en examen</w:t>
      </w:r>
      <w:r w:rsidR="00FC773E" w:rsidRPr="00953692">
        <w:rPr>
          <w:sz w:val="24"/>
          <w:szCs w:val="24"/>
          <w:lang w:val="fr-FR"/>
        </w:rPr>
        <w:t>.</w:t>
      </w:r>
    </w:p>
    <w:p w14:paraId="6B0E0F6D" w14:textId="5AA25229" w:rsidR="00FB1EBD" w:rsidRPr="00953692" w:rsidRDefault="00D77B33" w:rsidP="00864BBF">
      <w:pPr>
        <w:spacing w:after="0" w:line="276" w:lineRule="auto"/>
        <w:ind w:firstLine="1134"/>
        <w:jc w:val="both"/>
        <w:rPr>
          <w:sz w:val="24"/>
          <w:szCs w:val="24"/>
          <w:lang w:val="fr-FR"/>
        </w:rPr>
      </w:pPr>
      <w:r w:rsidRPr="00953692">
        <w:rPr>
          <w:b/>
          <w:bCs/>
          <w:sz w:val="24"/>
          <w:szCs w:val="24"/>
          <w:lang w:val="fr-FR"/>
        </w:rPr>
        <w:t>128</w:t>
      </w:r>
      <w:r w:rsidR="00753C20" w:rsidRPr="00953692">
        <w:rPr>
          <w:b/>
          <w:bCs/>
          <w:sz w:val="24"/>
          <w:szCs w:val="24"/>
          <w:lang w:val="fr-FR"/>
        </w:rPr>
        <w:t>.</w:t>
      </w:r>
      <w:r w:rsidR="00753C20" w:rsidRPr="00953692">
        <w:rPr>
          <w:sz w:val="24"/>
          <w:szCs w:val="24"/>
          <w:lang w:val="fr-FR"/>
        </w:rPr>
        <w:t xml:space="preserve"> </w:t>
      </w:r>
      <w:r w:rsidR="00FC773E" w:rsidRPr="00953692">
        <w:rPr>
          <w:sz w:val="24"/>
          <w:szCs w:val="24"/>
          <w:lang w:val="fr-FR"/>
        </w:rPr>
        <w:t xml:space="preserve">Devant la CPS centrafricaine, s’il faut remonter au tout début de la procédure, il conviendrait de considérer le moment à partir duquel le procureur spécial n’est plus en droit de garder à vue un suspect à l’issue d’une période bien déterminée de </w:t>
      </w:r>
      <w:r w:rsidR="00482295" w:rsidRPr="00953692">
        <w:rPr>
          <w:sz w:val="24"/>
          <w:szCs w:val="24"/>
          <w:lang w:val="fr-FR"/>
        </w:rPr>
        <w:t>six jours maximums</w:t>
      </w:r>
      <w:r w:rsidR="000E28AA" w:rsidRPr="00953692">
        <w:rPr>
          <w:sz w:val="24"/>
          <w:szCs w:val="24"/>
          <w:lang w:val="fr-FR"/>
        </w:rPr>
        <w:t>,</w:t>
      </w:r>
      <w:r w:rsidR="00FC773E" w:rsidRPr="00953692">
        <w:rPr>
          <w:sz w:val="24"/>
          <w:szCs w:val="24"/>
          <w:lang w:val="fr-FR"/>
        </w:rPr>
        <w:t xml:space="preserve"> outre les délais de distance dans des cas exceptionnels</w:t>
      </w:r>
      <w:r w:rsidR="00407F27" w:rsidRPr="00953692">
        <w:rPr>
          <w:rStyle w:val="Appelnotedebasdep"/>
          <w:sz w:val="24"/>
          <w:szCs w:val="24"/>
          <w:lang w:val="fr-FR"/>
        </w:rPr>
        <w:footnoteReference w:customMarkFollows="1" w:id="108"/>
        <w:t>86</w:t>
      </w:r>
      <w:r w:rsidR="00FC773E" w:rsidRPr="00953692">
        <w:rPr>
          <w:sz w:val="24"/>
          <w:szCs w:val="24"/>
          <w:lang w:val="fr-FR"/>
        </w:rPr>
        <w:t xml:space="preserve">. </w:t>
      </w:r>
      <w:r w:rsidR="00545B29" w:rsidRPr="00953692">
        <w:rPr>
          <w:rStyle w:val="grammar"/>
          <w:rFonts w:cs="Times New Roman"/>
          <w:sz w:val="24"/>
          <w:szCs w:val="24"/>
          <w:lang w:val="fr-FR"/>
        </w:rPr>
        <w:t>À</w:t>
      </w:r>
      <w:r w:rsidR="00545B29" w:rsidRPr="00953692">
        <w:rPr>
          <w:rFonts w:cs="Times New Roman"/>
          <w:sz w:val="24"/>
          <w:szCs w:val="24"/>
          <w:shd w:val="clear" w:color="auto" w:fill="FFFFFF"/>
          <w:lang w:val="fr-FR"/>
        </w:rPr>
        <w:t xml:space="preserve"> cet effet,</w:t>
      </w:r>
      <w:r w:rsidR="00FC773E" w:rsidRPr="00953692">
        <w:rPr>
          <w:sz w:val="24"/>
          <w:szCs w:val="24"/>
          <w:lang w:val="fr-FR"/>
        </w:rPr>
        <w:t xml:space="preserve"> il a donc l’obligation exclusive soit</w:t>
      </w:r>
      <w:r w:rsidR="00BD642E" w:rsidRPr="00953692">
        <w:rPr>
          <w:sz w:val="24"/>
          <w:szCs w:val="24"/>
          <w:lang w:val="fr-FR"/>
        </w:rPr>
        <w:t>,</w:t>
      </w:r>
      <w:r w:rsidR="00FC773E" w:rsidRPr="00953692">
        <w:rPr>
          <w:sz w:val="24"/>
          <w:szCs w:val="24"/>
          <w:lang w:val="fr-FR"/>
        </w:rPr>
        <w:t xml:space="preserve"> de libérer le suspect soit, de le déférer au siège de la Cour pour être présenté au Cabinet d’instruction. La règle 51 du </w:t>
      </w:r>
      <w:r w:rsidR="00393E0E" w:rsidRPr="00953692">
        <w:rPr>
          <w:sz w:val="24"/>
          <w:szCs w:val="24"/>
          <w:lang w:val="fr-FR"/>
        </w:rPr>
        <w:t xml:space="preserve">RPP des </w:t>
      </w:r>
      <w:r w:rsidR="00FC773E" w:rsidRPr="00953692">
        <w:rPr>
          <w:sz w:val="24"/>
          <w:szCs w:val="24"/>
          <w:lang w:val="fr-FR"/>
        </w:rPr>
        <w:t xml:space="preserve">CETC confère également aux </w:t>
      </w:r>
      <w:r w:rsidR="000E28AA" w:rsidRPr="00953692">
        <w:rPr>
          <w:sz w:val="24"/>
          <w:szCs w:val="24"/>
          <w:lang w:val="fr-FR"/>
        </w:rPr>
        <w:t>C</w:t>
      </w:r>
      <w:r w:rsidR="00FC773E" w:rsidRPr="00953692">
        <w:rPr>
          <w:sz w:val="24"/>
          <w:szCs w:val="24"/>
          <w:lang w:val="fr-FR"/>
        </w:rPr>
        <w:t>o-procureurs les pouvoirs d’ordonner la garde</w:t>
      </w:r>
      <w:r w:rsidR="00CB12B0" w:rsidRPr="00953692">
        <w:rPr>
          <w:sz w:val="24"/>
          <w:szCs w:val="24"/>
          <w:lang w:val="fr-FR"/>
        </w:rPr>
        <w:t xml:space="preserve"> à vue</w:t>
      </w:r>
      <w:r w:rsidR="00FC773E" w:rsidRPr="00953692">
        <w:rPr>
          <w:sz w:val="24"/>
          <w:szCs w:val="24"/>
          <w:lang w:val="fr-FR"/>
        </w:rPr>
        <w:t xml:space="preserve"> pour une durée maximale de </w:t>
      </w:r>
      <w:r w:rsidR="00BD642E" w:rsidRPr="00953692">
        <w:rPr>
          <w:sz w:val="24"/>
          <w:szCs w:val="24"/>
          <w:lang w:val="fr-FR"/>
        </w:rPr>
        <w:t>trois</w:t>
      </w:r>
      <w:r w:rsidR="00FC773E" w:rsidRPr="00953692">
        <w:rPr>
          <w:sz w:val="24"/>
          <w:szCs w:val="24"/>
          <w:lang w:val="fr-FR"/>
        </w:rPr>
        <w:t xml:space="preserve"> jours</w:t>
      </w:r>
      <w:r w:rsidR="000E28AA" w:rsidRPr="00953692">
        <w:rPr>
          <w:sz w:val="24"/>
          <w:szCs w:val="24"/>
          <w:lang w:val="fr-FR"/>
        </w:rPr>
        <w:t>,</w:t>
      </w:r>
      <w:r w:rsidR="00FC773E" w:rsidRPr="00953692">
        <w:rPr>
          <w:sz w:val="24"/>
          <w:szCs w:val="24"/>
          <w:lang w:val="fr-FR"/>
        </w:rPr>
        <w:t xml:space="preserve"> outre les délais supplémentaires liés au transport du suspect. </w:t>
      </w:r>
      <w:r w:rsidR="00BD642E" w:rsidRPr="00953692">
        <w:rPr>
          <w:rStyle w:val="grammar"/>
          <w:rFonts w:cs="Times New Roman"/>
          <w:sz w:val="24"/>
          <w:szCs w:val="24"/>
          <w:lang w:val="fr-FR"/>
        </w:rPr>
        <w:t>À</w:t>
      </w:r>
      <w:r w:rsidR="00FC773E" w:rsidRPr="00953692">
        <w:rPr>
          <w:sz w:val="24"/>
          <w:szCs w:val="24"/>
          <w:lang w:val="fr-FR"/>
        </w:rPr>
        <w:t xml:space="preserve"> l’issue de cette période, le suspect est libéré ou conduit devant les </w:t>
      </w:r>
      <w:r w:rsidR="000E28AA" w:rsidRPr="00953692">
        <w:rPr>
          <w:sz w:val="24"/>
          <w:szCs w:val="24"/>
          <w:lang w:val="fr-FR"/>
        </w:rPr>
        <w:t>C</w:t>
      </w:r>
      <w:r w:rsidR="00FC773E" w:rsidRPr="00953692">
        <w:rPr>
          <w:sz w:val="24"/>
          <w:szCs w:val="24"/>
          <w:lang w:val="fr-FR"/>
        </w:rPr>
        <w:t>o-juges d’instruction en vue d’être mis en examen.</w:t>
      </w:r>
      <w:r w:rsidR="00482295" w:rsidRPr="00953692">
        <w:rPr>
          <w:sz w:val="24"/>
          <w:szCs w:val="24"/>
          <w:lang w:val="fr-FR"/>
        </w:rPr>
        <w:t xml:space="preserve"> Force est de constater qu’en dehors de </w:t>
      </w:r>
      <w:r w:rsidR="00C93048" w:rsidRPr="00953692">
        <w:rPr>
          <w:sz w:val="24"/>
          <w:szCs w:val="24"/>
          <w:lang w:val="fr-FR"/>
        </w:rPr>
        <w:t>ces petites différences</w:t>
      </w:r>
      <w:r w:rsidR="00482295" w:rsidRPr="00953692">
        <w:rPr>
          <w:sz w:val="24"/>
          <w:szCs w:val="24"/>
          <w:lang w:val="fr-FR"/>
        </w:rPr>
        <w:t xml:space="preserve"> à placer dans le contexte particulier de chaque type de ce juridiction, l’idée est de présenter au plus vite le suspect à un juge ou un organe juridictionnel en perspective d’organiser rapidement un procès.</w:t>
      </w:r>
    </w:p>
    <w:p w14:paraId="436FAE27" w14:textId="73DD4B81" w:rsidR="00D32383" w:rsidRPr="00953692" w:rsidRDefault="00D77B33" w:rsidP="00864BBF">
      <w:pPr>
        <w:spacing w:after="0" w:line="276" w:lineRule="auto"/>
        <w:ind w:firstLine="1134"/>
        <w:jc w:val="both"/>
        <w:rPr>
          <w:sz w:val="24"/>
          <w:szCs w:val="24"/>
          <w:lang w:val="fr-FR"/>
        </w:rPr>
      </w:pPr>
      <w:r w:rsidRPr="00953692">
        <w:rPr>
          <w:b/>
          <w:bCs/>
          <w:sz w:val="24"/>
          <w:szCs w:val="24"/>
          <w:lang w:val="fr-FR"/>
        </w:rPr>
        <w:t>129</w:t>
      </w:r>
      <w:r w:rsidR="00753C20" w:rsidRPr="00953692">
        <w:rPr>
          <w:b/>
          <w:bCs/>
          <w:sz w:val="24"/>
          <w:szCs w:val="24"/>
          <w:lang w:val="fr-FR"/>
        </w:rPr>
        <w:t>.</w:t>
      </w:r>
      <w:r w:rsidR="00753C20" w:rsidRPr="00953692">
        <w:rPr>
          <w:sz w:val="24"/>
          <w:szCs w:val="24"/>
          <w:lang w:val="fr-FR"/>
        </w:rPr>
        <w:t xml:space="preserve"> </w:t>
      </w:r>
      <w:r w:rsidR="008F68FE" w:rsidRPr="00953692">
        <w:rPr>
          <w:sz w:val="24"/>
          <w:szCs w:val="24"/>
          <w:lang w:val="fr-FR"/>
        </w:rPr>
        <w:t>En d’autres termes, d</w:t>
      </w:r>
      <w:r w:rsidR="00FB1EBD" w:rsidRPr="00953692">
        <w:rPr>
          <w:sz w:val="24"/>
          <w:szCs w:val="24"/>
          <w:lang w:val="fr-FR"/>
        </w:rPr>
        <w:t>ans tous les cas,</w:t>
      </w:r>
      <w:r w:rsidR="0080563D" w:rsidRPr="00953692">
        <w:rPr>
          <w:sz w:val="24"/>
          <w:szCs w:val="24"/>
          <w:lang w:val="fr-FR"/>
        </w:rPr>
        <w:t xml:space="preserve"> l’objet de cette comparution initiale ou de cette première comparution est d’introduire la procédure contradictoire. D’abord, parce que </w:t>
      </w:r>
      <w:r w:rsidR="008A4297" w:rsidRPr="00953692">
        <w:rPr>
          <w:sz w:val="24"/>
          <w:szCs w:val="24"/>
          <w:lang w:val="fr-FR"/>
        </w:rPr>
        <w:t xml:space="preserve">devant </w:t>
      </w:r>
      <w:r w:rsidR="0080563D" w:rsidRPr="00953692">
        <w:rPr>
          <w:sz w:val="24"/>
          <w:szCs w:val="24"/>
          <w:lang w:val="fr-FR"/>
        </w:rPr>
        <w:t xml:space="preserve">les TPI, après s’être assuré </w:t>
      </w:r>
      <w:r w:rsidR="0044775B" w:rsidRPr="00953692">
        <w:rPr>
          <w:sz w:val="24"/>
          <w:szCs w:val="24"/>
          <w:lang w:val="fr-FR"/>
        </w:rPr>
        <w:t>que la</w:t>
      </w:r>
      <w:r w:rsidR="008A4297" w:rsidRPr="00953692">
        <w:rPr>
          <w:sz w:val="24"/>
          <w:szCs w:val="24"/>
          <w:lang w:val="fr-FR"/>
        </w:rPr>
        <w:t xml:space="preserve"> garantie</w:t>
      </w:r>
      <w:r w:rsidR="0080563D" w:rsidRPr="00953692">
        <w:rPr>
          <w:sz w:val="24"/>
          <w:szCs w:val="24"/>
          <w:lang w:val="fr-FR"/>
        </w:rPr>
        <w:t xml:space="preserve"> </w:t>
      </w:r>
      <w:r w:rsidR="008A4297" w:rsidRPr="00953692">
        <w:rPr>
          <w:sz w:val="24"/>
          <w:szCs w:val="24"/>
          <w:lang w:val="fr-FR"/>
        </w:rPr>
        <w:t>d</w:t>
      </w:r>
      <w:r w:rsidR="0080563D" w:rsidRPr="00953692">
        <w:rPr>
          <w:sz w:val="24"/>
          <w:szCs w:val="24"/>
          <w:lang w:val="fr-FR"/>
        </w:rPr>
        <w:t xml:space="preserve">’assistance d’un conseil </w:t>
      </w:r>
      <w:r w:rsidR="008A4297" w:rsidRPr="00953692">
        <w:rPr>
          <w:sz w:val="24"/>
          <w:szCs w:val="24"/>
          <w:lang w:val="fr-FR"/>
        </w:rPr>
        <w:t>pour l’accusé</w:t>
      </w:r>
      <w:r w:rsidR="0044775B" w:rsidRPr="00953692">
        <w:rPr>
          <w:sz w:val="24"/>
          <w:szCs w:val="24"/>
          <w:lang w:val="fr-FR"/>
        </w:rPr>
        <w:t xml:space="preserve"> a été respecté</w:t>
      </w:r>
      <w:r w:rsidR="0080563D" w:rsidRPr="00953692">
        <w:rPr>
          <w:sz w:val="24"/>
          <w:szCs w:val="24"/>
          <w:lang w:val="fr-FR"/>
        </w:rPr>
        <w:t xml:space="preserve">, la Chambre ou le juge désigné à cet effet lui donne lecture </w:t>
      </w:r>
      <w:r w:rsidR="0080563D" w:rsidRPr="00953692">
        <w:rPr>
          <w:sz w:val="24"/>
          <w:szCs w:val="24"/>
          <w:lang w:val="fr-FR"/>
        </w:rPr>
        <w:lastRenderedPageBreak/>
        <w:t>de l’acte d’accusation avant de l’inviter à plaider ou non coupable sur chaque chef d’accusation. En cas de plaidoyer de non</w:t>
      </w:r>
      <w:r w:rsidR="00BD642E" w:rsidRPr="00953692">
        <w:rPr>
          <w:sz w:val="24"/>
          <w:szCs w:val="24"/>
          <w:lang w:val="fr-FR"/>
        </w:rPr>
        <w:t>-</w:t>
      </w:r>
      <w:r w:rsidR="0080563D" w:rsidRPr="00953692">
        <w:rPr>
          <w:sz w:val="24"/>
          <w:szCs w:val="24"/>
          <w:lang w:val="fr-FR"/>
        </w:rPr>
        <w:t>culpabilité, il instruit au Greffier de fixer la date du procès</w:t>
      </w:r>
      <w:r w:rsidR="0044775B" w:rsidRPr="00953692">
        <w:rPr>
          <w:sz w:val="24"/>
          <w:szCs w:val="24"/>
          <w:lang w:val="fr-FR"/>
        </w:rPr>
        <w:t xml:space="preserve"> (art. 62 précité)</w:t>
      </w:r>
      <w:r w:rsidR="0080563D" w:rsidRPr="00953692">
        <w:rPr>
          <w:sz w:val="24"/>
          <w:szCs w:val="24"/>
          <w:lang w:val="fr-FR"/>
        </w:rPr>
        <w:t xml:space="preserve">. </w:t>
      </w:r>
    </w:p>
    <w:p w14:paraId="16E99A83" w14:textId="6629BFE0" w:rsidR="0080563D" w:rsidRPr="00953692" w:rsidRDefault="00D77B33" w:rsidP="00864BBF">
      <w:pPr>
        <w:spacing w:after="0" w:line="276" w:lineRule="auto"/>
        <w:ind w:firstLine="1134"/>
        <w:jc w:val="both"/>
        <w:rPr>
          <w:sz w:val="24"/>
          <w:szCs w:val="24"/>
          <w:lang w:val="fr-FR"/>
        </w:rPr>
      </w:pPr>
      <w:r w:rsidRPr="00953692">
        <w:rPr>
          <w:b/>
          <w:bCs/>
          <w:sz w:val="24"/>
          <w:szCs w:val="24"/>
          <w:lang w:val="fr-FR"/>
        </w:rPr>
        <w:t>130.</w:t>
      </w:r>
      <w:r w:rsidRPr="00953692">
        <w:rPr>
          <w:sz w:val="24"/>
          <w:szCs w:val="24"/>
          <w:lang w:val="fr-FR"/>
        </w:rPr>
        <w:t xml:space="preserve"> </w:t>
      </w:r>
      <w:r w:rsidR="0080563D" w:rsidRPr="00953692">
        <w:rPr>
          <w:sz w:val="24"/>
          <w:szCs w:val="24"/>
          <w:lang w:val="fr-FR"/>
        </w:rPr>
        <w:t>Devant la CPI</w:t>
      </w:r>
      <w:r w:rsidR="00BD642E" w:rsidRPr="00953692">
        <w:rPr>
          <w:sz w:val="24"/>
          <w:szCs w:val="24"/>
          <w:lang w:val="fr-FR"/>
        </w:rPr>
        <w:t xml:space="preserve">, </w:t>
      </w:r>
      <w:r w:rsidR="0080563D" w:rsidRPr="00953692">
        <w:rPr>
          <w:sz w:val="24"/>
          <w:szCs w:val="24"/>
          <w:lang w:val="fr-FR"/>
        </w:rPr>
        <w:t>on est si loin d’un procès</w:t>
      </w:r>
      <w:r w:rsidR="008A4297" w:rsidRPr="00953692">
        <w:rPr>
          <w:sz w:val="24"/>
          <w:szCs w:val="24"/>
          <w:lang w:val="fr-FR"/>
        </w:rPr>
        <w:t xml:space="preserve"> proprement-dit.</w:t>
      </w:r>
      <w:r w:rsidR="0080563D" w:rsidRPr="00953692">
        <w:rPr>
          <w:sz w:val="24"/>
          <w:szCs w:val="24"/>
          <w:lang w:val="fr-FR"/>
        </w:rPr>
        <w:t xml:space="preserve"> </w:t>
      </w:r>
      <w:r w:rsidR="008A4297" w:rsidRPr="00953692">
        <w:rPr>
          <w:sz w:val="24"/>
          <w:szCs w:val="24"/>
          <w:lang w:val="fr-FR"/>
        </w:rPr>
        <w:t>La comparution initiale ouvre plutôt la voie à la procédure de confirmation des charges</w:t>
      </w:r>
      <w:r w:rsidR="0080563D" w:rsidRPr="00953692">
        <w:rPr>
          <w:sz w:val="24"/>
          <w:szCs w:val="24"/>
          <w:lang w:val="fr-FR"/>
        </w:rPr>
        <w:t>. Mais</w:t>
      </w:r>
      <w:r w:rsidR="00BD642E" w:rsidRPr="00953692">
        <w:rPr>
          <w:sz w:val="24"/>
          <w:szCs w:val="24"/>
          <w:lang w:val="fr-FR"/>
        </w:rPr>
        <w:t>,</w:t>
      </w:r>
      <w:r w:rsidR="0080563D" w:rsidRPr="00953692">
        <w:rPr>
          <w:sz w:val="24"/>
          <w:szCs w:val="24"/>
          <w:lang w:val="fr-FR"/>
        </w:rPr>
        <w:t xml:space="preserve"> il convient de rappeler que </w:t>
      </w:r>
      <w:r w:rsidR="008A4297" w:rsidRPr="00953692">
        <w:rPr>
          <w:sz w:val="24"/>
          <w:szCs w:val="24"/>
          <w:lang w:val="fr-FR"/>
        </w:rPr>
        <w:t>cette procédure</w:t>
      </w:r>
      <w:r w:rsidR="0080563D" w:rsidRPr="00953692">
        <w:rPr>
          <w:sz w:val="24"/>
          <w:szCs w:val="24"/>
          <w:lang w:val="fr-FR"/>
        </w:rPr>
        <w:t xml:space="preserve"> est tout autant contradictoire, </w:t>
      </w:r>
      <w:r w:rsidR="008A4297" w:rsidRPr="00953692">
        <w:rPr>
          <w:sz w:val="24"/>
          <w:szCs w:val="24"/>
          <w:lang w:val="fr-FR"/>
        </w:rPr>
        <w:t>parce que</w:t>
      </w:r>
      <w:r w:rsidR="0080563D" w:rsidRPr="00953692">
        <w:rPr>
          <w:sz w:val="24"/>
          <w:szCs w:val="24"/>
          <w:lang w:val="fr-FR"/>
        </w:rPr>
        <w:t xml:space="preserve"> le suspect devra y prendre part contradictoirement à l’égard du Procureur</w:t>
      </w:r>
      <w:r w:rsidR="008A4297" w:rsidRPr="00953692">
        <w:rPr>
          <w:sz w:val="24"/>
          <w:szCs w:val="24"/>
          <w:lang w:val="fr-FR"/>
        </w:rPr>
        <w:t xml:space="preserve">, </w:t>
      </w:r>
      <w:r w:rsidR="0080563D" w:rsidRPr="00953692">
        <w:rPr>
          <w:sz w:val="24"/>
          <w:szCs w:val="24"/>
          <w:lang w:val="fr-FR"/>
        </w:rPr>
        <w:t xml:space="preserve">en y apportant des preuves permettant aux juges de ne pas faire droit à la demande </w:t>
      </w:r>
      <w:r w:rsidR="008A4297" w:rsidRPr="00953692">
        <w:rPr>
          <w:sz w:val="24"/>
          <w:szCs w:val="24"/>
          <w:lang w:val="fr-FR"/>
        </w:rPr>
        <w:t>de ce dernier</w:t>
      </w:r>
      <w:r w:rsidR="0080563D" w:rsidRPr="00953692">
        <w:rPr>
          <w:sz w:val="24"/>
          <w:szCs w:val="24"/>
          <w:lang w:val="fr-FR"/>
        </w:rPr>
        <w:t>. Il en est de même d</w:t>
      </w:r>
      <w:r w:rsidR="008A4297" w:rsidRPr="00953692">
        <w:rPr>
          <w:sz w:val="24"/>
          <w:szCs w:val="24"/>
          <w:lang w:val="fr-FR"/>
        </w:rPr>
        <w:t xml:space="preserve">es </w:t>
      </w:r>
      <w:r w:rsidR="0080563D" w:rsidRPr="00953692">
        <w:rPr>
          <w:sz w:val="24"/>
          <w:szCs w:val="24"/>
          <w:lang w:val="fr-FR"/>
        </w:rPr>
        <w:t>autres juridictions</w:t>
      </w:r>
      <w:r w:rsidR="008A4297" w:rsidRPr="00953692">
        <w:rPr>
          <w:sz w:val="24"/>
          <w:szCs w:val="24"/>
          <w:lang w:val="fr-FR"/>
        </w:rPr>
        <w:t xml:space="preserve">, </w:t>
      </w:r>
      <w:r w:rsidR="0080563D" w:rsidRPr="00953692">
        <w:rPr>
          <w:sz w:val="24"/>
          <w:szCs w:val="24"/>
          <w:lang w:val="fr-FR"/>
        </w:rPr>
        <w:t>telles que la CPS centrafricaine ou les CETC devant lesquelles</w:t>
      </w:r>
      <w:r w:rsidRPr="00953692">
        <w:rPr>
          <w:sz w:val="24"/>
          <w:szCs w:val="24"/>
          <w:lang w:val="fr-FR"/>
        </w:rPr>
        <w:t>,</w:t>
      </w:r>
      <w:r w:rsidR="0080563D" w:rsidRPr="00953692">
        <w:rPr>
          <w:sz w:val="24"/>
          <w:szCs w:val="24"/>
          <w:lang w:val="fr-FR"/>
        </w:rPr>
        <w:t xml:space="preserve"> la première comparution ouvre plutôt la phase de l’instruction ou de la mise en examen. </w:t>
      </w:r>
      <w:r w:rsidR="008503AE" w:rsidRPr="00953692">
        <w:rPr>
          <w:sz w:val="24"/>
          <w:szCs w:val="24"/>
          <w:lang w:val="fr-FR"/>
        </w:rPr>
        <w:t>Comme nous l’avons vu plus haut, d</w:t>
      </w:r>
      <w:r w:rsidR="0080563D" w:rsidRPr="00953692">
        <w:rPr>
          <w:sz w:val="24"/>
          <w:szCs w:val="24"/>
          <w:lang w:val="fr-FR"/>
        </w:rPr>
        <w:t xml:space="preserve">ans </w:t>
      </w:r>
      <w:r w:rsidR="00753C20" w:rsidRPr="00953692">
        <w:rPr>
          <w:sz w:val="24"/>
          <w:szCs w:val="24"/>
          <w:lang w:val="fr-FR"/>
        </w:rPr>
        <w:t>certains</w:t>
      </w:r>
      <w:r w:rsidR="0080563D" w:rsidRPr="00953692">
        <w:rPr>
          <w:sz w:val="24"/>
          <w:szCs w:val="24"/>
          <w:lang w:val="fr-FR"/>
        </w:rPr>
        <w:t xml:space="preserve"> cas, lorsque le procureur n’a pas bouclé son enquête, cette première comparution aura plutôt pour objet de décider </w:t>
      </w:r>
      <w:r w:rsidR="00FB1EBD" w:rsidRPr="00953692">
        <w:rPr>
          <w:sz w:val="24"/>
          <w:szCs w:val="24"/>
          <w:lang w:val="fr-FR"/>
        </w:rPr>
        <w:t>de</w:t>
      </w:r>
      <w:r w:rsidR="0080563D" w:rsidRPr="00953692">
        <w:rPr>
          <w:sz w:val="24"/>
          <w:szCs w:val="24"/>
          <w:lang w:val="fr-FR"/>
        </w:rPr>
        <w:t xml:space="preserve"> la mise en détention provisoire de l’accusé à l’issue d’une période de garde à vue.</w:t>
      </w:r>
    </w:p>
    <w:p w14:paraId="29E2FF4D" w14:textId="561EAF93" w:rsidR="00065E60" w:rsidRPr="00953692" w:rsidRDefault="00D77B33" w:rsidP="00864BBF">
      <w:pPr>
        <w:spacing w:after="0" w:line="276" w:lineRule="auto"/>
        <w:ind w:firstLine="1134"/>
        <w:jc w:val="both"/>
        <w:rPr>
          <w:sz w:val="24"/>
          <w:szCs w:val="24"/>
          <w:lang w:val="fr-FR"/>
        </w:rPr>
      </w:pPr>
      <w:r w:rsidRPr="00953692">
        <w:rPr>
          <w:b/>
          <w:bCs/>
          <w:sz w:val="24"/>
          <w:szCs w:val="24"/>
          <w:lang w:val="fr-FR"/>
        </w:rPr>
        <w:t>131</w:t>
      </w:r>
      <w:r w:rsidR="00D66FE4" w:rsidRPr="00953692">
        <w:rPr>
          <w:b/>
          <w:bCs/>
          <w:sz w:val="24"/>
          <w:szCs w:val="24"/>
          <w:lang w:val="fr-FR"/>
        </w:rPr>
        <w:t>.</w:t>
      </w:r>
      <w:r w:rsidR="00D66FE4" w:rsidRPr="00953692">
        <w:rPr>
          <w:sz w:val="24"/>
          <w:szCs w:val="24"/>
          <w:lang w:val="fr-FR"/>
        </w:rPr>
        <w:t xml:space="preserve"> </w:t>
      </w:r>
      <w:r w:rsidR="00A95E0B" w:rsidRPr="00953692">
        <w:rPr>
          <w:sz w:val="24"/>
          <w:szCs w:val="24"/>
          <w:lang w:val="fr-FR"/>
        </w:rPr>
        <w:t>S</w:t>
      </w:r>
      <w:r w:rsidR="0080563D" w:rsidRPr="00953692">
        <w:rPr>
          <w:sz w:val="24"/>
          <w:szCs w:val="24"/>
          <w:lang w:val="fr-FR"/>
        </w:rPr>
        <w:t xml:space="preserve">i l’objet de cette première comparution diffère selon </w:t>
      </w:r>
      <w:r w:rsidR="001607E3" w:rsidRPr="00953692">
        <w:rPr>
          <w:sz w:val="24"/>
          <w:szCs w:val="24"/>
          <w:lang w:val="fr-FR"/>
        </w:rPr>
        <w:t>les juridictions, il va sans dire qu’il s’agit bien, dans tous les cas, d’un moment crucial pour la rapidité de la procédure, et évidemment, le droit d’être jugé dans un délai raisonnable.</w:t>
      </w:r>
      <w:r w:rsidR="00D23E82" w:rsidRPr="00953692">
        <w:rPr>
          <w:sz w:val="24"/>
          <w:szCs w:val="24"/>
          <w:lang w:val="fr-FR"/>
        </w:rPr>
        <w:t xml:space="preserve"> En pratique, u</w:t>
      </w:r>
      <w:r w:rsidR="00226E4F" w:rsidRPr="00953692">
        <w:rPr>
          <w:sz w:val="24"/>
          <w:szCs w:val="24"/>
          <w:lang w:val="fr-FR"/>
        </w:rPr>
        <w:t>ne fois</w:t>
      </w:r>
      <w:r w:rsidR="002A5E1F" w:rsidRPr="00953692">
        <w:rPr>
          <w:sz w:val="24"/>
          <w:szCs w:val="24"/>
          <w:lang w:val="fr-FR"/>
        </w:rPr>
        <w:t xml:space="preserve"> que</w:t>
      </w:r>
      <w:r w:rsidR="00226E4F" w:rsidRPr="00953692">
        <w:rPr>
          <w:sz w:val="24"/>
          <w:szCs w:val="24"/>
          <w:lang w:val="fr-FR"/>
        </w:rPr>
        <w:t xml:space="preserve"> le suspect ou l’accusé se trouve </w:t>
      </w:r>
      <w:r w:rsidR="00717B19" w:rsidRPr="00953692">
        <w:rPr>
          <w:sz w:val="24"/>
          <w:szCs w:val="24"/>
          <w:lang w:val="fr-FR"/>
        </w:rPr>
        <w:t xml:space="preserve">(transféré) </w:t>
      </w:r>
      <w:r w:rsidR="00226E4F" w:rsidRPr="00953692">
        <w:rPr>
          <w:sz w:val="24"/>
          <w:szCs w:val="24"/>
          <w:lang w:val="fr-FR"/>
        </w:rPr>
        <w:t xml:space="preserve">au siège du </w:t>
      </w:r>
      <w:r w:rsidR="005B1F81" w:rsidRPr="00953692">
        <w:rPr>
          <w:sz w:val="24"/>
          <w:szCs w:val="24"/>
          <w:lang w:val="fr-FR"/>
        </w:rPr>
        <w:t>T</w:t>
      </w:r>
      <w:r w:rsidR="00226E4F" w:rsidRPr="00953692">
        <w:rPr>
          <w:sz w:val="24"/>
          <w:szCs w:val="24"/>
          <w:lang w:val="fr-FR"/>
        </w:rPr>
        <w:t xml:space="preserve">ribunal, </w:t>
      </w:r>
      <w:r w:rsidR="004930F6" w:rsidRPr="00953692">
        <w:rPr>
          <w:sz w:val="24"/>
          <w:szCs w:val="24"/>
          <w:lang w:val="fr-FR"/>
        </w:rPr>
        <w:t xml:space="preserve">sonne alors </w:t>
      </w:r>
      <w:r w:rsidR="00226E4F" w:rsidRPr="00953692">
        <w:rPr>
          <w:sz w:val="24"/>
          <w:szCs w:val="24"/>
          <w:lang w:val="fr-FR"/>
        </w:rPr>
        <w:t>le glas de la célérité d’une procédure, limitant dans le temps les actions des acteurs judiciaires</w:t>
      </w:r>
      <w:r w:rsidR="0003420D" w:rsidRPr="00953692">
        <w:rPr>
          <w:sz w:val="24"/>
          <w:szCs w:val="24"/>
          <w:lang w:val="fr-FR"/>
        </w:rPr>
        <w:t xml:space="preserve">, précisément du </w:t>
      </w:r>
      <w:r w:rsidR="005B1F81" w:rsidRPr="00953692">
        <w:rPr>
          <w:sz w:val="24"/>
          <w:szCs w:val="24"/>
          <w:lang w:val="fr-FR"/>
        </w:rPr>
        <w:t>P</w:t>
      </w:r>
      <w:r w:rsidR="0003420D" w:rsidRPr="00953692">
        <w:rPr>
          <w:sz w:val="24"/>
          <w:szCs w:val="24"/>
          <w:lang w:val="fr-FR"/>
        </w:rPr>
        <w:t>rocureur</w:t>
      </w:r>
      <w:r w:rsidR="00226E4F" w:rsidRPr="00953692">
        <w:rPr>
          <w:sz w:val="24"/>
          <w:szCs w:val="24"/>
          <w:lang w:val="fr-FR"/>
        </w:rPr>
        <w:t>.</w:t>
      </w:r>
      <w:r w:rsidR="00615A99" w:rsidRPr="00953692">
        <w:rPr>
          <w:sz w:val="24"/>
          <w:szCs w:val="24"/>
          <w:lang w:val="fr-FR"/>
        </w:rPr>
        <w:t xml:space="preserve"> </w:t>
      </w:r>
      <w:r w:rsidR="00BF6A73" w:rsidRPr="00953692">
        <w:rPr>
          <w:sz w:val="24"/>
          <w:szCs w:val="24"/>
          <w:lang w:val="fr-FR"/>
        </w:rPr>
        <w:t xml:space="preserve">Les textes qui prévoient ce droit ne le définissent pas, et dans la littérature juridique on n’y trouve aucune définition. </w:t>
      </w:r>
      <w:r w:rsidR="0018694F" w:rsidRPr="00953692">
        <w:rPr>
          <w:sz w:val="24"/>
          <w:szCs w:val="24"/>
          <w:lang w:val="fr-FR"/>
        </w:rPr>
        <w:t>Il semble qu’en raison de la clarté qui en résulte, le besoin d’une définition précise ne se présente pas</w:t>
      </w:r>
      <w:r w:rsidRPr="00953692">
        <w:rPr>
          <w:sz w:val="24"/>
          <w:szCs w:val="24"/>
          <w:lang w:val="fr-FR"/>
        </w:rPr>
        <w:t>.</w:t>
      </w:r>
      <w:r w:rsidR="0018694F" w:rsidRPr="00953692">
        <w:rPr>
          <w:sz w:val="24"/>
          <w:szCs w:val="24"/>
          <w:lang w:val="fr-FR"/>
        </w:rPr>
        <w:t xml:space="preserve"> </w:t>
      </w:r>
    </w:p>
    <w:p w14:paraId="246DA080" w14:textId="205FBF64" w:rsidR="0018694F" w:rsidRPr="00953692" w:rsidRDefault="00B67CF2" w:rsidP="00864BBF">
      <w:pPr>
        <w:spacing w:line="276" w:lineRule="auto"/>
        <w:ind w:firstLine="1134"/>
        <w:jc w:val="both"/>
        <w:rPr>
          <w:sz w:val="24"/>
          <w:szCs w:val="24"/>
          <w:lang w:val="fr-FR"/>
        </w:rPr>
      </w:pPr>
      <w:r w:rsidRPr="00953692">
        <w:rPr>
          <w:b/>
          <w:bCs/>
          <w:sz w:val="24"/>
          <w:szCs w:val="24"/>
          <w:lang w:val="fr-FR"/>
        </w:rPr>
        <w:t>132</w:t>
      </w:r>
      <w:r w:rsidR="0018694F" w:rsidRPr="00953692">
        <w:rPr>
          <w:b/>
          <w:bCs/>
          <w:sz w:val="24"/>
          <w:szCs w:val="24"/>
          <w:lang w:val="fr-FR"/>
        </w:rPr>
        <w:t>.</w:t>
      </w:r>
      <w:r w:rsidR="00A95E0B" w:rsidRPr="00953692">
        <w:rPr>
          <w:b/>
          <w:bCs/>
          <w:sz w:val="24"/>
          <w:szCs w:val="24"/>
          <w:lang w:val="fr-FR"/>
        </w:rPr>
        <w:t xml:space="preserve"> </w:t>
      </w:r>
      <w:r w:rsidR="00A95E0B" w:rsidRPr="00953692">
        <w:rPr>
          <w:sz w:val="24"/>
          <w:szCs w:val="24"/>
          <w:lang w:val="fr-FR"/>
        </w:rPr>
        <w:t>Décidément</w:t>
      </w:r>
      <w:r w:rsidR="00A95E0B" w:rsidRPr="00953692">
        <w:rPr>
          <w:b/>
          <w:bCs/>
          <w:sz w:val="24"/>
          <w:szCs w:val="24"/>
          <w:lang w:val="fr-FR"/>
        </w:rPr>
        <w:t>,</w:t>
      </w:r>
      <w:r w:rsidR="0018694F" w:rsidRPr="00953692">
        <w:rPr>
          <w:i/>
          <w:iCs/>
          <w:sz w:val="24"/>
          <w:szCs w:val="24"/>
          <w:lang w:val="fr-FR"/>
        </w:rPr>
        <w:t xml:space="preserve"> </w:t>
      </w:r>
      <w:r w:rsidR="00A95E0B" w:rsidRPr="00953692">
        <w:rPr>
          <w:i/>
          <w:iCs/>
          <w:sz w:val="24"/>
          <w:szCs w:val="24"/>
          <w:lang w:val="fr-FR"/>
        </w:rPr>
        <w:t>l</w:t>
      </w:r>
      <w:r w:rsidR="003E2415" w:rsidRPr="00953692">
        <w:rPr>
          <w:i/>
          <w:iCs/>
          <w:sz w:val="24"/>
          <w:szCs w:val="24"/>
          <w:lang w:val="fr-FR"/>
        </w:rPr>
        <w:t xml:space="preserve">a comparution initiale sans délai, </w:t>
      </w:r>
      <w:r w:rsidR="00EF1273" w:rsidRPr="00953692">
        <w:rPr>
          <w:i/>
          <w:iCs/>
          <w:sz w:val="24"/>
          <w:szCs w:val="24"/>
          <w:lang w:val="fr-FR"/>
        </w:rPr>
        <w:t>est une obligation impos</w:t>
      </w:r>
      <w:r w:rsidR="002427FB" w:rsidRPr="00953692">
        <w:rPr>
          <w:i/>
          <w:iCs/>
          <w:sz w:val="24"/>
          <w:szCs w:val="24"/>
          <w:lang w:val="fr-FR"/>
        </w:rPr>
        <w:t>é</w:t>
      </w:r>
      <w:r w:rsidR="00EF1273" w:rsidRPr="00953692">
        <w:rPr>
          <w:i/>
          <w:iCs/>
          <w:sz w:val="24"/>
          <w:szCs w:val="24"/>
          <w:lang w:val="fr-FR"/>
        </w:rPr>
        <w:t>e aux autorités en charge des poursuites de présenter l’individu mis en cause devant un organe ju</w:t>
      </w:r>
      <w:r w:rsidR="00A95E0B" w:rsidRPr="00953692">
        <w:rPr>
          <w:i/>
          <w:iCs/>
          <w:sz w:val="24"/>
          <w:szCs w:val="24"/>
          <w:lang w:val="fr-FR"/>
        </w:rPr>
        <w:t>ridictionnel</w:t>
      </w:r>
      <w:r w:rsidR="00EF1273" w:rsidRPr="00953692">
        <w:rPr>
          <w:i/>
          <w:iCs/>
          <w:sz w:val="24"/>
          <w:szCs w:val="24"/>
          <w:lang w:val="fr-FR"/>
        </w:rPr>
        <w:t>, qui vérifie la régularité de la procédure et projette le cas échéant, le procès en première instance</w:t>
      </w:r>
      <w:r w:rsidR="00EF1273" w:rsidRPr="00953692">
        <w:rPr>
          <w:sz w:val="24"/>
          <w:szCs w:val="24"/>
          <w:lang w:val="fr-FR"/>
        </w:rPr>
        <w:t xml:space="preserve">. </w:t>
      </w:r>
      <w:r w:rsidR="00EF1273" w:rsidRPr="00953692">
        <w:rPr>
          <w:i/>
          <w:iCs/>
          <w:sz w:val="24"/>
          <w:szCs w:val="24"/>
          <w:lang w:val="fr-FR"/>
        </w:rPr>
        <w:t xml:space="preserve">En revanche, il s’agit d’un droit de la personne mise en cause </w:t>
      </w:r>
      <w:r w:rsidR="006E0EC8" w:rsidRPr="00953692">
        <w:rPr>
          <w:i/>
          <w:iCs/>
          <w:sz w:val="24"/>
          <w:szCs w:val="24"/>
          <w:lang w:val="fr-FR"/>
        </w:rPr>
        <w:t xml:space="preserve">de ne pas demeurer durant un laps de temps sous le poids de </w:t>
      </w:r>
      <w:r w:rsidR="002427FB" w:rsidRPr="00953692">
        <w:rPr>
          <w:i/>
          <w:iCs/>
          <w:sz w:val="24"/>
          <w:szCs w:val="24"/>
          <w:lang w:val="fr-FR"/>
        </w:rPr>
        <w:t xml:space="preserve">la </w:t>
      </w:r>
      <w:r w:rsidR="006E0EC8" w:rsidRPr="00953692">
        <w:rPr>
          <w:i/>
          <w:iCs/>
          <w:sz w:val="24"/>
          <w:szCs w:val="24"/>
          <w:lang w:val="fr-FR"/>
        </w:rPr>
        <w:t xml:space="preserve">suspicion du </w:t>
      </w:r>
      <w:r w:rsidR="005B1F81" w:rsidRPr="00953692">
        <w:rPr>
          <w:i/>
          <w:iCs/>
          <w:sz w:val="24"/>
          <w:szCs w:val="24"/>
          <w:lang w:val="fr-FR"/>
        </w:rPr>
        <w:t>P</w:t>
      </w:r>
      <w:r w:rsidR="006E0EC8" w:rsidRPr="00953692">
        <w:rPr>
          <w:i/>
          <w:iCs/>
          <w:sz w:val="24"/>
          <w:szCs w:val="24"/>
          <w:lang w:val="fr-FR"/>
        </w:rPr>
        <w:t>rocureur sans être déféré devant un juge, plus particulièrement lorsqu’elle fait objet d’une mesure de privation de liberté</w:t>
      </w:r>
      <w:r w:rsidR="009B2164" w:rsidRPr="00953692">
        <w:rPr>
          <w:sz w:val="24"/>
          <w:szCs w:val="24"/>
          <w:lang w:val="fr-FR"/>
        </w:rPr>
        <w:t xml:space="preserve">. </w:t>
      </w:r>
      <w:r w:rsidR="009B2CF1" w:rsidRPr="00953692">
        <w:rPr>
          <w:sz w:val="24"/>
          <w:szCs w:val="24"/>
          <w:lang w:val="fr-FR"/>
        </w:rPr>
        <w:t>S’i</w:t>
      </w:r>
      <w:r w:rsidR="009B2164" w:rsidRPr="00953692">
        <w:rPr>
          <w:sz w:val="24"/>
          <w:szCs w:val="24"/>
          <w:lang w:val="fr-FR"/>
        </w:rPr>
        <w:t xml:space="preserve">l </w:t>
      </w:r>
      <w:r w:rsidR="009B2CF1" w:rsidRPr="00953692">
        <w:rPr>
          <w:sz w:val="24"/>
          <w:szCs w:val="24"/>
          <w:lang w:val="fr-FR"/>
        </w:rPr>
        <w:t>est</w:t>
      </w:r>
      <w:r w:rsidR="00572499" w:rsidRPr="00953692">
        <w:rPr>
          <w:sz w:val="24"/>
          <w:szCs w:val="24"/>
          <w:lang w:val="fr-FR"/>
        </w:rPr>
        <w:t xml:space="preserve"> vrai</w:t>
      </w:r>
      <w:r w:rsidR="009B2164" w:rsidRPr="00953692">
        <w:rPr>
          <w:sz w:val="24"/>
          <w:szCs w:val="24"/>
          <w:lang w:val="fr-FR"/>
        </w:rPr>
        <w:t xml:space="preserve"> que</w:t>
      </w:r>
      <w:r w:rsidR="00572499" w:rsidRPr="00953692">
        <w:rPr>
          <w:sz w:val="24"/>
          <w:szCs w:val="24"/>
          <w:lang w:val="fr-FR"/>
        </w:rPr>
        <w:t>,</w:t>
      </w:r>
      <w:r w:rsidR="009B2164" w:rsidRPr="00953692">
        <w:rPr>
          <w:sz w:val="24"/>
          <w:szCs w:val="24"/>
          <w:lang w:val="fr-FR"/>
        </w:rPr>
        <w:t xml:space="preserve"> la comparution initiale est </w:t>
      </w:r>
      <w:r w:rsidR="00572499" w:rsidRPr="00953692">
        <w:rPr>
          <w:sz w:val="24"/>
          <w:szCs w:val="24"/>
          <w:lang w:val="fr-FR"/>
        </w:rPr>
        <w:t xml:space="preserve">aussi </w:t>
      </w:r>
      <w:r w:rsidR="009B2164" w:rsidRPr="00953692">
        <w:rPr>
          <w:sz w:val="24"/>
          <w:szCs w:val="24"/>
          <w:lang w:val="fr-FR"/>
        </w:rPr>
        <w:t xml:space="preserve">valable dans le cas </w:t>
      </w:r>
      <w:r w:rsidR="00572499" w:rsidRPr="00953692">
        <w:rPr>
          <w:sz w:val="24"/>
          <w:szCs w:val="24"/>
          <w:lang w:val="fr-FR"/>
        </w:rPr>
        <w:t>d’une comparution</w:t>
      </w:r>
      <w:r w:rsidR="009B2164" w:rsidRPr="00953692">
        <w:rPr>
          <w:sz w:val="24"/>
          <w:szCs w:val="24"/>
          <w:lang w:val="fr-FR"/>
        </w:rPr>
        <w:t xml:space="preserve"> volontaire ou sur citation à comparaitre</w:t>
      </w:r>
      <w:r w:rsidR="00572499" w:rsidRPr="00953692">
        <w:rPr>
          <w:sz w:val="24"/>
          <w:szCs w:val="24"/>
          <w:lang w:val="fr-FR"/>
        </w:rPr>
        <w:t xml:space="preserve"> (ou autre)</w:t>
      </w:r>
      <w:r w:rsidR="005B1F81" w:rsidRPr="00953692">
        <w:rPr>
          <w:sz w:val="24"/>
          <w:szCs w:val="24"/>
          <w:lang w:val="fr-FR"/>
        </w:rPr>
        <w:t>,</w:t>
      </w:r>
      <w:r w:rsidR="006E0EC8" w:rsidRPr="00953692">
        <w:rPr>
          <w:sz w:val="24"/>
          <w:szCs w:val="24"/>
          <w:lang w:val="fr-FR"/>
        </w:rPr>
        <w:t xml:space="preserve"> </w:t>
      </w:r>
      <w:r w:rsidR="005B1F81" w:rsidRPr="00953692">
        <w:rPr>
          <w:sz w:val="24"/>
          <w:szCs w:val="24"/>
          <w:lang w:val="fr-FR"/>
        </w:rPr>
        <w:t>c</w:t>
      </w:r>
      <w:r w:rsidR="009B2164" w:rsidRPr="00953692">
        <w:rPr>
          <w:sz w:val="24"/>
          <w:szCs w:val="24"/>
          <w:lang w:val="fr-FR"/>
        </w:rPr>
        <w:t>ependant, en cas d’une privation de la liberté</w:t>
      </w:r>
      <w:r w:rsidR="00FF5C77" w:rsidRPr="00953692">
        <w:rPr>
          <w:sz w:val="24"/>
          <w:szCs w:val="24"/>
          <w:lang w:val="fr-FR"/>
        </w:rPr>
        <w:t xml:space="preserve">, l’enjeu est double. Le premier, </w:t>
      </w:r>
      <w:r w:rsidR="005B1F81" w:rsidRPr="00953692">
        <w:rPr>
          <w:sz w:val="24"/>
          <w:szCs w:val="24"/>
          <w:lang w:val="fr-FR"/>
        </w:rPr>
        <w:t xml:space="preserve">c’est que </w:t>
      </w:r>
      <w:r w:rsidR="00101EE1" w:rsidRPr="00953692">
        <w:rPr>
          <w:sz w:val="24"/>
          <w:szCs w:val="24"/>
          <w:lang w:val="fr-FR"/>
        </w:rPr>
        <w:t>cette comparution</w:t>
      </w:r>
      <w:r w:rsidR="005B1F81" w:rsidRPr="00953692">
        <w:rPr>
          <w:sz w:val="24"/>
          <w:szCs w:val="24"/>
          <w:lang w:val="fr-FR"/>
        </w:rPr>
        <w:t xml:space="preserve"> initiale</w:t>
      </w:r>
      <w:r w:rsidR="0009356A" w:rsidRPr="00953692">
        <w:rPr>
          <w:sz w:val="24"/>
          <w:szCs w:val="24"/>
          <w:lang w:val="fr-FR"/>
        </w:rPr>
        <w:t>,</w:t>
      </w:r>
      <w:r w:rsidR="00FF5C77" w:rsidRPr="00953692">
        <w:rPr>
          <w:sz w:val="24"/>
          <w:szCs w:val="24"/>
          <w:lang w:val="fr-FR"/>
        </w:rPr>
        <w:t xml:space="preserve"> lui permet de solliciter rapidement la liberté provisoire ou de contester sa détention</w:t>
      </w:r>
      <w:r w:rsidR="00101EE1" w:rsidRPr="00953692">
        <w:rPr>
          <w:sz w:val="24"/>
          <w:szCs w:val="24"/>
          <w:lang w:val="fr-FR"/>
        </w:rPr>
        <w:t>,</w:t>
      </w:r>
      <w:r w:rsidR="00FF5C77" w:rsidRPr="00953692">
        <w:rPr>
          <w:sz w:val="24"/>
          <w:szCs w:val="24"/>
          <w:lang w:val="fr-FR"/>
        </w:rPr>
        <w:t xml:space="preserve"> </w:t>
      </w:r>
      <w:r w:rsidR="00101EE1" w:rsidRPr="00953692">
        <w:rPr>
          <w:sz w:val="24"/>
          <w:szCs w:val="24"/>
          <w:lang w:val="fr-FR"/>
        </w:rPr>
        <w:t>e</w:t>
      </w:r>
      <w:r w:rsidR="00FF5C77" w:rsidRPr="00953692">
        <w:rPr>
          <w:sz w:val="24"/>
          <w:szCs w:val="24"/>
          <w:lang w:val="fr-FR"/>
        </w:rPr>
        <w:t>t le second,</w:t>
      </w:r>
      <w:r w:rsidR="0023365D" w:rsidRPr="00953692">
        <w:rPr>
          <w:sz w:val="24"/>
          <w:szCs w:val="24"/>
          <w:lang w:val="fr-FR"/>
        </w:rPr>
        <w:t xml:space="preserve"> c’est d’ouvrir</w:t>
      </w:r>
      <w:r w:rsidR="00101EE1" w:rsidRPr="00953692">
        <w:rPr>
          <w:sz w:val="24"/>
          <w:szCs w:val="24"/>
          <w:lang w:val="fr-FR"/>
        </w:rPr>
        <w:t xml:space="preserve">, dans </w:t>
      </w:r>
      <w:r w:rsidR="005B1F81" w:rsidRPr="00953692">
        <w:rPr>
          <w:sz w:val="24"/>
          <w:szCs w:val="24"/>
          <w:lang w:val="fr-FR"/>
        </w:rPr>
        <w:t xml:space="preserve">tous </w:t>
      </w:r>
      <w:r w:rsidR="00101EE1" w:rsidRPr="00953692">
        <w:rPr>
          <w:sz w:val="24"/>
          <w:szCs w:val="24"/>
          <w:lang w:val="fr-FR"/>
        </w:rPr>
        <w:t>les cas,</w:t>
      </w:r>
      <w:r w:rsidR="0023365D" w:rsidRPr="00953692">
        <w:rPr>
          <w:sz w:val="24"/>
          <w:szCs w:val="24"/>
          <w:lang w:val="fr-FR"/>
        </w:rPr>
        <w:t xml:space="preserve"> la voie à un procès qui devra se tenir dans un délai raisonnable.</w:t>
      </w:r>
    </w:p>
    <w:p w14:paraId="0D1934BD" w14:textId="2716ADE9" w:rsidR="002C79A6" w:rsidRPr="00953692" w:rsidRDefault="00ED789C" w:rsidP="0051789F">
      <w:pPr>
        <w:pStyle w:val="Titre3"/>
        <w:ind w:left="1134"/>
        <w:rPr>
          <w:rFonts w:ascii="Times New Roman" w:hAnsi="Times New Roman"/>
          <w:b w:val="0"/>
          <w:bCs/>
          <w:i/>
          <w:iCs/>
          <w:color w:val="auto"/>
          <w:sz w:val="24"/>
          <w:szCs w:val="24"/>
          <w:lang w:val="fr-FR"/>
        </w:rPr>
      </w:pPr>
      <w:bookmarkStart w:id="30" w:name="_Toc195179417"/>
      <w:r>
        <w:rPr>
          <w:rFonts w:ascii="Times New Roman" w:hAnsi="Times New Roman"/>
          <w:b w:val="0"/>
          <w:bCs/>
          <w:i/>
          <w:iCs/>
          <w:color w:val="auto"/>
          <w:sz w:val="24"/>
          <w:szCs w:val="24"/>
          <w:lang w:val="fr-FR"/>
        </w:rPr>
        <w:t xml:space="preserve">Paragraphe </w:t>
      </w:r>
      <w:r w:rsidR="009A0463" w:rsidRPr="00953692">
        <w:rPr>
          <w:rFonts w:ascii="Times New Roman" w:hAnsi="Times New Roman"/>
          <w:b w:val="0"/>
          <w:bCs/>
          <w:i/>
          <w:iCs/>
          <w:color w:val="auto"/>
          <w:sz w:val="24"/>
          <w:szCs w:val="24"/>
          <w:lang w:val="fr-FR"/>
        </w:rPr>
        <w:t xml:space="preserve">2. </w:t>
      </w:r>
      <w:r w:rsidR="00721454" w:rsidRPr="00953692">
        <w:rPr>
          <w:rFonts w:ascii="Times New Roman" w:hAnsi="Times New Roman"/>
          <w:b w:val="0"/>
          <w:bCs/>
          <w:i/>
          <w:iCs/>
          <w:color w:val="auto"/>
          <w:sz w:val="24"/>
          <w:szCs w:val="24"/>
          <w:lang w:val="fr-FR"/>
        </w:rPr>
        <w:t>La comparution initiale sans délai, vers</w:t>
      </w:r>
      <w:r w:rsidR="009A0463" w:rsidRPr="00953692">
        <w:rPr>
          <w:rFonts w:ascii="Times New Roman" w:hAnsi="Times New Roman"/>
          <w:b w:val="0"/>
          <w:bCs/>
          <w:i/>
          <w:iCs/>
          <w:color w:val="auto"/>
          <w:sz w:val="24"/>
          <w:szCs w:val="24"/>
          <w:lang w:val="fr-FR"/>
        </w:rPr>
        <w:t xml:space="preserve"> </w:t>
      </w:r>
      <w:r w:rsidR="00721454" w:rsidRPr="00953692">
        <w:rPr>
          <w:rFonts w:ascii="Times New Roman" w:hAnsi="Times New Roman"/>
          <w:b w:val="0"/>
          <w:bCs/>
          <w:i/>
          <w:iCs/>
          <w:color w:val="auto"/>
          <w:sz w:val="24"/>
          <w:szCs w:val="24"/>
          <w:lang w:val="fr-FR"/>
        </w:rPr>
        <w:t>un procès dans un délai raisonnable</w:t>
      </w:r>
      <w:bookmarkEnd w:id="30"/>
    </w:p>
    <w:p w14:paraId="2ED24720" w14:textId="38F8EE12" w:rsidR="00964DAA" w:rsidRPr="00953692" w:rsidRDefault="00B67CF2" w:rsidP="00864BBF">
      <w:pPr>
        <w:spacing w:after="0" w:line="276" w:lineRule="auto"/>
        <w:ind w:firstLine="1134"/>
        <w:jc w:val="both"/>
        <w:rPr>
          <w:sz w:val="24"/>
          <w:szCs w:val="24"/>
          <w:lang w:val="fr-FR"/>
        </w:rPr>
      </w:pPr>
      <w:r w:rsidRPr="00953692">
        <w:rPr>
          <w:b/>
          <w:bCs/>
          <w:sz w:val="24"/>
          <w:szCs w:val="24"/>
          <w:lang w:val="fr-FR"/>
        </w:rPr>
        <w:t>133</w:t>
      </w:r>
      <w:r w:rsidR="006F407B" w:rsidRPr="00953692">
        <w:rPr>
          <w:b/>
          <w:bCs/>
          <w:sz w:val="24"/>
          <w:szCs w:val="24"/>
          <w:lang w:val="fr-FR"/>
        </w:rPr>
        <w:t>.</w:t>
      </w:r>
      <w:r w:rsidR="006F407B" w:rsidRPr="00953692">
        <w:rPr>
          <w:sz w:val="24"/>
          <w:szCs w:val="24"/>
          <w:lang w:val="fr-FR"/>
        </w:rPr>
        <w:t xml:space="preserve"> </w:t>
      </w:r>
      <w:r w:rsidR="00EE4DF5" w:rsidRPr="00953692">
        <w:rPr>
          <w:sz w:val="24"/>
          <w:szCs w:val="24"/>
          <w:lang w:val="fr-FR"/>
        </w:rPr>
        <w:t>L’idée selon laquelle la comparution initiale sans délai ouvre la voie</w:t>
      </w:r>
      <w:r w:rsidR="006127DF" w:rsidRPr="00953692">
        <w:rPr>
          <w:sz w:val="24"/>
          <w:szCs w:val="24"/>
          <w:lang w:val="fr-FR"/>
        </w:rPr>
        <w:t xml:space="preserve"> à</w:t>
      </w:r>
      <w:r w:rsidR="00EE4DF5" w:rsidRPr="00953692">
        <w:rPr>
          <w:sz w:val="24"/>
          <w:szCs w:val="24"/>
          <w:lang w:val="fr-FR"/>
        </w:rPr>
        <w:t xml:space="preserve"> un procès dans un délai raisonnable </w:t>
      </w:r>
      <w:r w:rsidR="00431295" w:rsidRPr="00953692">
        <w:rPr>
          <w:sz w:val="24"/>
          <w:szCs w:val="24"/>
          <w:lang w:val="fr-FR"/>
        </w:rPr>
        <w:t xml:space="preserve">est théoriquement fondée </w:t>
      </w:r>
      <w:r w:rsidR="00B864CB" w:rsidRPr="00953692">
        <w:rPr>
          <w:sz w:val="24"/>
          <w:szCs w:val="24"/>
          <w:lang w:val="fr-FR"/>
        </w:rPr>
        <w:t>sur</w:t>
      </w:r>
      <w:r w:rsidR="00AC1E79" w:rsidRPr="00953692">
        <w:rPr>
          <w:sz w:val="24"/>
          <w:szCs w:val="24"/>
          <w:lang w:val="fr-FR"/>
        </w:rPr>
        <w:t xml:space="preserve"> </w:t>
      </w:r>
      <w:r w:rsidR="00B864CB" w:rsidRPr="00953692">
        <w:rPr>
          <w:sz w:val="24"/>
          <w:szCs w:val="24"/>
          <w:lang w:val="fr-FR"/>
        </w:rPr>
        <w:t>l’</w:t>
      </w:r>
      <w:r w:rsidR="00AC1E79" w:rsidRPr="00953692">
        <w:rPr>
          <w:sz w:val="24"/>
          <w:szCs w:val="24"/>
          <w:lang w:val="fr-FR"/>
        </w:rPr>
        <w:t>objet</w:t>
      </w:r>
      <w:r w:rsidR="00B864CB" w:rsidRPr="00953692">
        <w:rPr>
          <w:sz w:val="24"/>
          <w:szCs w:val="24"/>
          <w:lang w:val="fr-FR"/>
        </w:rPr>
        <w:t xml:space="preserve"> de ce</w:t>
      </w:r>
      <w:r w:rsidR="00744282" w:rsidRPr="00953692">
        <w:rPr>
          <w:sz w:val="24"/>
          <w:szCs w:val="24"/>
          <w:lang w:val="fr-FR"/>
        </w:rPr>
        <w:t>tte obligation</w:t>
      </w:r>
      <w:r w:rsidR="00AC1E79" w:rsidRPr="00953692">
        <w:rPr>
          <w:sz w:val="24"/>
          <w:szCs w:val="24"/>
          <w:lang w:val="fr-FR"/>
        </w:rPr>
        <w:t>.</w:t>
      </w:r>
      <w:r w:rsidR="00F1548A" w:rsidRPr="00953692">
        <w:rPr>
          <w:sz w:val="24"/>
          <w:szCs w:val="24"/>
          <w:lang w:val="fr-FR"/>
        </w:rPr>
        <w:t xml:space="preserve"> En effet, comme le précisent l’article 62 commun des RPP des TPI (TSSL) et l’article 98 du RPP du TSL, lors de cette comparution initiale</w:t>
      </w:r>
      <w:r w:rsidR="009030F3" w:rsidRPr="00953692">
        <w:rPr>
          <w:sz w:val="24"/>
          <w:szCs w:val="24"/>
          <w:lang w:val="fr-FR"/>
        </w:rPr>
        <w:t>,</w:t>
      </w:r>
      <w:r w:rsidR="00F1548A" w:rsidRPr="00953692">
        <w:rPr>
          <w:sz w:val="24"/>
          <w:szCs w:val="24"/>
          <w:lang w:val="fr-FR"/>
        </w:rPr>
        <w:t xml:space="preserve"> le juge </w:t>
      </w:r>
      <w:r w:rsidR="00F1548A" w:rsidRPr="00953692">
        <w:rPr>
          <w:i/>
          <w:iCs/>
          <w:sz w:val="24"/>
          <w:szCs w:val="24"/>
          <w:lang w:val="fr-FR"/>
        </w:rPr>
        <w:t xml:space="preserve">donne lecture ou fait donner lecture de l’acte d’accusation à l’accusé, dans une langue qu’il comprend, et </w:t>
      </w:r>
      <w:r w:rsidR="00F1548A" w:rsidRPr="00953692">
        <w:rPr>
          <w:i/>
          <w:iCs/>
          <w:sz w:val="24"/>
          <w:szCs w:val="24"/>
          <w:lang w:val="fr-FR"/>
        </w:rPr>
        <w:lastRenderedPageBreak/>
        <w:t>s’assure qu’il comprend cet acte d’accusation</w:t>
      </w:r>
      <w:r w:rsidR="00F1548A" w:rsidRPr="00953692">
        <w:rPr>
          <w:sz w:val="24"/>
          <w:szCs w:val="24"/>
          <w:lang w:val="fr-FR"/>
        </w:rPr>
        <w:t xml:space="preserve">, afin de </w:t>
      </w:r>
      <w:r w:rsidR="008C2485" w:rsidRPr="00953692">
        <w:rPr>
          <w:sz w:val="24"/>
          <w:szCs w:val="24"/>
          <w:lang w:val="fr-FR"/>
        </w:rPr>
        <w:t xml:space="preserve">lui </w:t>
      </w:r>
      <w:r w:rsidR="00F1548A" w:rsidRPr="00953692">
        <w:rPr>
          <w:sz w:val="24"/>
          <w:szCs w:val="24"/>
          <w:lang w:val="fr-FR"/>
        </w:rPr>
        <w:t xml:space="preserve">permettre de plaider ou non coupable. </w:t>
      </w:r>
    </w:p>
    <w:p w14:paraId="41B19F60" w14:textId="04B9977C" w:rsidR="002C79A6" w:rsidRPr="00953692" w:rsidRDefault="00B67CF2" w:rsidP="00864BBF">
      <w:pPr>
        <w:spacing w:after="0" w:line="276" w:lineRule="auto"/>
        <w:ind w:firstLine="1134"/>
        <w:jc w:val="both"/>
        <w:rPr>
          <w:sz w:val="24"/>
          <w:szCs w:val="24"/>
          <w:lang w:val="fr-FR"/>
        </w:rPr>
      </w:pPr>
      <w:r w:rsidRPr="00953692">
        <w:rPr>
          <w:b/>
          <w:bCs/>
          <w:sz w:val="24"/>
          <w:szCs w:val="24"/>
          <w:lang w:val="fr-FR"/>
        </w:rPr>
        <w:t>134.</w:t>
      </w:r>
      <w:r w:rsidRPr="00953692">
        <w:rPr>
          <w:sz w:val="24"/>
          <w:szCs w:val="24"/>
          <w:lang w:val="fr-FR"/>
        </w:rPr>
        <w:t xml:space="preserve"> </w:t>
      </w:r>
      <w:r w:rsidR="00414702" w:rsidRPr="00953692">
        <w:rPr>
          <w:sz w:val="24"/>
          <w:szCs w:val="24"/>
          <w:lang w:val="fr-FR"/>
        </w:rPr>
        <w:t xml:space="preserve">Devant les TPI, l’accusé plaide immédiatement la thèse qui lui convient, tandis que devant le TSL, le point A iii) de l’article 98 précité précise que le juge </w:t>
      </w:r>
      <w:r w:rsidR="00414702" w:rsidRPr="00953692">
        <w:rPr>
          <w:i/>
          <w:iCs/>
          <w:sz w:val="24"/>
          <w:szCs w:val="24"/>
          <w:lang w:val="fr-FR"/>
        </w:rPr>
        <w:t>informe l’accusé que, dans les sept jours suivant sa comparution initiale, il lui sera demandé de plaider coupable ou non coupable pour chaque chef d’accusation, mais qu’il peut, s’il en fait la demande, plaider immédiatement coupable ou non coupable pour un ou plusieurs chefs d’accusation.</w:t>
      </w:r>
      <w:r w:rsidR="00414702" w:rsidRPr="00953692">
        <w:rPr>
          <w:sz w:val="24"/>
          <w:szCs w:val="24"/>
          <w:lang w:val="fr-FR"/>
        </w:rPr>
        <w:t xml:space="preserve"> Dans un tel contexte, entre </w:t>
      </w:r>
      <w:r w:rsidR="002A5E1F" w:rsidRPr="00953692">
        <w:rPr>
          <w:sz w:val="24"/>
          <w:szCs w:val="24"/>
          <w:lang w:val="fr-FR"/>
        </w:rPr>
        <w:t>cette</w:t>
      </w:r>
      <w:r w:rsidR="00414702" w:rsidRPr="00953692">
        <w:rPr>
          <w:sz w:val="24"/>
          <w:szCs w:val="24"/>
          <w:lang w:val="fr-FR"/>
        </w:rPr>
        <w:t xml:space="preserve"> comparution </w:t>
      </w:r>
      <w:r w:rsidR="002A5E1F" w:rsidRPr="00953692">
        <w:rPr>
          <w:sz w:val="24"/>
          <w:szCs w:val="24"/>
          <w:lang w:val="fr-FR"/>
        </w:rPr>
        <w:t xml:space="preserve">initiale </w:t>
      </w:r>
      <w:r w:rsidR="00414702" w:rsidRPr="00953692">
        <w:rPr>
          <w:sz w:val="24"/>
          <w:szCs w:val="24"/>
          <w:lang w:val="fr-FR"/>
        </w:rPr>
        <w:t>et le procès</w:t>
      </w:r>
      <w:r w:rsidR="002A5E1F" w:rsidRPr="00953692">
        <w:rPr>
          <w:sz w:val="24"/>
          <w:szCs w:val="24"/>
          <w:lang w:val="fr-FR"/>
        </w:rPr>
        <w:t xml:space="preserve"> proprement-dit</w:t>
      </w:r>
      <w:r w:rsidR="00414702" w:rsidRPr="00953692">
        <w:rPr>
          <w:sz w:val="24"/>
          <w:szCs w:val="24"/>
          <w:lang w:val="fr-FR"/>
        </w:rPr>
        <w:t xml:space="preserve"> en première instance</w:t>
      </w:r>
      <w:r w:rsidR="00293953" w:rsidRPr="00953692">
        <w:rPr>
          <w:sz w:val="24"/>
          <w:szCs w:val="24"/>
          <w:lang w:val="fr-FR"/>
        </w:rPr>
        <w:t>,</w:t>
      </w:r>
      <w:r w:rsidR="00414702" w:rsidRPr="00953692">
        <w:rPr>
          <w:sz w:val="24"/>
          <w:szCs w:val="24"/>
          <w:lang w:val="fr-FR"/>
        </w:rPr>
        <w:t xml:space="preserve"> il n’existe qu’un pas.</w:t>
      </w:r>
      <w:r w:rsidR="00DC2901" w:rsidRPr="00953692">
        <w:rPr>
          <w:sz w:val="24"/>
          <w:szCs w:val="24"/>
          <w:lang w:val="fr-FR"/>
        </w:rPr>
        <w:t xml:space="preserve"> Nous verrons que dans le cas d’un plaidoyer de culpabilité, cette comparution initiale aura suffi pour déclarer l’accusé coupable</w:t>
      </w:r>
      <w:r w:rsidR="002A5E1F" w:rsidRPr="00953692">
        <w:rPr>
          <w:sz w:val="24"/>
          <w:szCs w:val="24"/>
          <w:lang w:val="fr-FR"/>
        </w:rPr>
        <w:t xml:space="preserve"> et par voie de conséquence mettre fin au procès</w:t>
      </w:r>
      <w:r w:rsidR="00DC2901" w:rsidRPr="00953692">
        <w:rPr>
          <w:sz w:val="24"/>
          <w:szCs w:val="24"/>
          <w:lang w:val="fr-FR"/>
        </w:rPr>
        <w:t>.</w:t>
      </w:r>
    </w:p>
    <w:p w14:paraId="52A8F203" w14:textId="67FF3B96" w:rsidR="00DC2901" w:rsidRPr="00953692" w:rsidRDefault="00B67CF2" w:rsidP="00864BBF">
      <w:pPr>
        <w:spacing w:after="0" w:line="276" w:lineRule="auto"/>
        <w:ind w:firstLine="1134"/>
        <w:jc w:val="both"/>
        <w:rPr>
          <w:sz w:val="24"/>
          <w:szCs w:val="24"/>
          <w:lang w:val="fr-FR"/>
        </w:rPr>
      </w:pPr>
      <w:r w:rsidRPr="00953692">
        <w:rPr>
          <w:b/>
          <w:bCs/>
          <w:sz w:val="24"/>
          <w:szCs w:val="24"/>
          <w:lang w:val="fr-FR"/>
        </w:rPr>
        <w:t>135</w:t>
      </w:r>
      <w:r w:rsidR="00F93A12" w:rsidRPr="00953692">
        <w:rPr>
          <w:b/>
          <w:bCs/>
          <w:sz w:val="24"/>
          <w:szCs w:val="24"/>
          <w:lang w:val="fr-FR"/>
        </w:rPr>
        <w:t>.</w:t>
      </w:r>
      <w:r w:rsidR="00F93A12" w:rsidRPr="00953692">
        <w:rPr>
          <w:sz w:val="24"/>
          <w:szCs w:val="24"/>
          <w:lang w:val="fr-FR"/>
        </w:rPr>
        <w:t xml:space="preserve"> </w:t>
      </w:r>
      <w:r w:rsidR="00F44183" w:rsidRPr="00953692">
        <w:rPr>
          <w:sz w:val="24"/>
          <w:szCs w:val="24"/>
          <w:lang w:val="fr-FR"/>
        </w:rPr>
        <w:t xml:space="preserve">Devant la CPI, </w:t>
      </w:r>
      <w:r w:rsidR="00456CCE" w:rsidRPr="00953692">
        <w:rPr>
          <w:sz w:val="24"/>
          <w:szCs w:val="24"/>
          <w:lang w:val="fr-FR"/>
        </w:rPr>
        <w:t>il résulte substantiellement de l’article 60 du statut de Rome que,</w:t>
      </w:r>
      <w:r w:rsidR="00D36ACF" w:rsidRPr="00953692">
        <w:rPr>
          <w:sz w:val="24"/>
          <w:szCs w:val="24"/>
          <w:lang w:val="fr-FR"/>
        </w:rPr>
        <w:t xml:space="preserve"> lors de la comparution initiale, la Chambre </w:t>
      </w:r>
      <w:r w:rsidR="002A1BD1" w:rsidRPr="00953692">
        <w:rPr>
          <w:sz w:val="24"/>
          <w:szCs w:val="24"/>
          <w:lang w:val="fr-FR"/>
        </w:rPr>
        <w:t>préliminaire</w:t>
      </w:r>
      <w:r w:rsidR="00D36ACF" w:rsidRPr="00953692">
        <w:rPr>
          <w:sz w:val="24"/>
          <w:szCs w:val="24"/>
          <w:lang w:val="fr-FR"/>
        </w:rPr>
        <w:t xml:space="preserve"> se limite </w:t>
      </w:r>
      <w:r w:rsidR="002234CF" w:rsidRPr="00953692">
        <w:rPr>
          <w:i/>
          <w:iCs/>
          <w:sz w:val="24"/>
          <w:szCs w:val="24"/>
          <w:lang w:val="fr-FR"/>
        </w:rPr>
        <w:t>à vérifier que la personne qui comparait a été informée des crimes qui lui sont imputés et des droits que lui reconnaît le statut de Rome</w:t>
      </w:r>
      <w:r w:rsidR="002234CF" w:rsidRPr="00953692">
        <w:rPr>
          <w:sz w:val="24"/>
          <w:szCs w:val="24"/>
          <w:lang w:val="fr-FR"/>
        </w:rPr>
        <w:t xml:space="preserve">. </w:t>
      </w:r>
      <w:r w:rsidR="00456CCE" w:rsidRPr="00953692">
        <w:rPr>
          <w:sz w:val="24"/>
          <w:szCs w:val="24"/>
          <w:lang w:val="fr-FR"/>
        </w:rPr>
        <w:t>L’article 61 y apporte la précision</w:t>
      </w:r>
      <w:r w:rsidR="00436217" w:rsidRPr="00953692">
        <w:rPr>
          <w:sz w:val="24"/>
          <w:szCs w:val="24"/>
          <w:lang w:val="fr-FR"/>
        </w:rPr>
        <w:t xml:space="preserve"> </w:t>
      </w:r>
      <w:r w:rsidR="00456CCE" w:rsidRPr="00953692">
        <w:rPr>
          <w:sz w:val="24"/>
          <w:szCs w:val="24"/>
          <w:lang w:val="fr-FR"/>
        </w:rPr>
        <w:t xml:space="preserve">selon laquelle, après </w:t>
      </w:r>
      <w:r w:rsidR="00436217" w:rsidRPr="00953692">
        <w:rPr>
          <w:sz w:val="24"/>
          <w:szCs w:val="24"/>
          <w:lang w:val="fr-FR"/>
        </w:rPr>
        <w:t>que la personne a comparu, dans un délai raisonnable</w:t>
      </w:r>
      <w:r w:rsidR="002A1BD1" w:rsidRPr="00953692">
        <w:rPr>
          <w:sz w:val="24"/>
          <w:szCs w:val="24"/>
          <w:lang w:val="fr-FR"/>
        </w:rPr>
        <w:t>,</w:t>
      </w:r>
      <w:r w:rsidR="00436217" w:rsidRPr="00953692">
        <w:rPr>
          <w:sz w:val="24"/>
          <w:szCs w:val="24"/>
          <w:lang w:val="fr-FR"/>
        </w:rPr>
        <w:t xml:space="preserve"> la Chambre préliminaire fixe l’audience pour confirmer les charges retenues contre </w:t>
      </w:r>
      <w:r w:rsidR="00602DD5" w:rsidRPr="00953692">
        <w:rPr>
          <w:sz w:val="24"/>
          <w:szCs w:val="24"/>
          <w:lang w:val="fr-FR"/>
        </w:rPr>
        <w:t>le suspect</w:t>
      </w:r>
      <w:r w:rsidR="00436217" w:rsidRPr="00953692">
        <w:rPr>
          <w:sz w:val="24"/>
          <w:szCs w:val="24"/>
          <w:lang w:val="fr-FR"/>
        </w:rPr>
        <w:t xml:space="preserve">. </w:t>
      </w:r>
      <w:r w:rsidR="006B08EE" w:rsidRPr="00953692">
        <w:rPr>
          <w:sz w:val="24"/>
          <w:szCs w:val="24"/>
          <w:lang w:val="fr-FR"/>
        </w:rPr>
        <w:t xml:space="preserve">La lecture combinée de ces deux articles montre que la comparution initiale </w:t>
      </w:r>
      <w:r w:rsidR="00943B20" w:rsidRPr="00953692">
        <w:rPr>
          <w:sz w:val="24"/>
          <w:szCs w:val="24"/>
          <w:lang w:val="fr-FR"/>
        </w:rPr>
        <w:t xml:space="preserve">conduit à l’audience de confirmation des charges, plutôt qu’à un procès en première instance. </w:t>
      </w:r>
      <w:r w:rsidR="00D55D2C" w:rsidRPr="00953692">
        <w:rPr>
          <w:sz w:val="24"/>
          <w:szCs w:val="24"/>
          <w:lang w:val="fr-FR"/>
        </w:rPr>
        <w:t xml:space="preserve">Il faut dire que la procédure de confirmation des charges est, à quelques exceptions près, assimilable à un procès, précisément dans sa forme. </w:t>
      </w:r>
      <w:r w:rsidR="006C4DB9" w:rsidRPr="00953692">
        <w:rPr>
          <w:sz w:val="24"/>
          <w:szCs w:val="24"/>
          <w:lang w:val="fr-FR"/>
        </w:rPr>
        <w:t xml:space="preserve">Car le procureur soumet non seulement l’acte d’accusation, mais </w:t>
      </w:r>
      <w:r w:rsidR="00D00497" w:rsidRPr="00953692">
        <w:rPr>
          <w:sz w:val="24"/>
          <w:szCs w:val="24"/>
          <w:lang w:val="fr-FR"/>
        </w:rPr>
        <w:t xml:space="preserve">également les éléments pouvant constituer </w:t>
      </w:r>
      <w:r w:rsidR="00D00497" w:rsidRPr="00953692">
        <w:rPr>
          <w:i/>
          <w:iCs/>
          <w:sz w:val="24"/>
          <w:szCs w:val="24"/>
          <w:lang w:val="fr-FR"/>
        </w:rPr>
        <w:t>les motifs substantiels de croire que la personne a commis l</w:t>
      </w:r>
      <w:r w:rsidRPr="00953692">
        <w:rPr>
          <w:i/>
          <w:iCs/>
          <w:sz w:val="24"/>
          <w:szCs w:val="24"/>
          <w:lang w:val="fr-FR"/>
        </w:rPr>
        <w:t>es faits lui reprochés</w:t>
      </w:r>
      <w:r w:rsidR="00D00497" w:rsidRPr="00953692">
        <w:rPr>
          <w:sz w:val="24"/>
          <w:szCs w:val="24"/>
          <w:lang w:val="fr-FR"/>
        </w:rPr>
        <w:t>.</w:t>
      </w:r>
    </w:p>
    <w:p w14:paraId="57E5E69A" w14:textId="566AFE2F" w:rsidR="00AE7163" w:rsidRPr="00953692" w:rsidRDefault="00C970DB" w:rsidP="00864BBF">
      <w:pPr>
        <w:spacing w:after="0" w:line="276" w:lineRule="auto"/>
        <w:ind w:firstLine="1134"/>
        <w:jc w:val="both"/>
        <w:rPr>
          <w:sz w:val="24"/>
          <w:szCs w:val="24"/>
          <w:lang w:val="fr-FR"/>
        </w:rPr>
      </w:pPr>
      <w:r w:rsidRPr="00953692">
        <w:rPr>
          <w:b/>
          <w:bCs/>
          <w:sz w:val="24"/>
          <w:szCs w:val="24"/>
          <w:lang w:val="fr-FR"/>
        </w:rPr>
        <w:t>136</w:t>
      </w:r>
      <w:r w:rsidR="00F93A12" w:rsidRPr="00953692">
        <w:rPr>
          <w:b/>
          <w:bCs/>
          <w:sz w:val="24"/>
          <w:szCs w:val="24"/>
          <w:lang w:val="fr-FR"/>
        </w:rPr>
        <w:t>.</w:t>
      </w:r>
      <w:r w:rsidR="00F93A12" w:rsidRPr="00953692">
        <w:rPr>
          <w:sz w:val="24"/>
          <w:szCs w:val="24"/>
          <w:lang w:val="fr-FR"/>
        </w:rPr>
        <w:t xml:space="preserve"> </w:t>
      </w:r>
      <w:r w:rsidR="00293953" w:rsidRPr="00953692">
        <w:rPr>
          <w:rStyle w:val="grammar"/>
          <w:rFonts w:cs="Times New Roman"/>
          <w:sz w:val="24"/>
          <w:szCs w:val="24"/>
          <w:lang w:val="fr-FR"/>
        </w:rPr>
        <w:t>À</w:t>
      </w:r>
      <w:r w:rsidR="00293953" w:rsidRPr="00953692">
        <w:rPr>
          <w:rFonts w:cs="Times New Roman"/>
          <w:sz w:val="24"/>
          <w:szCs w:val="24"/>
          <w:shd w:val="clear" w:color="auto" w:fill="FFFFFF"/>
          <w:lang w:val="fr-FR"/>
        </w:rPr>
        <w:t xml:space="preserve"> l’opposé,</w:t>
      </w:r>
      <w:r w:rsidR="00293953" w:rsidRPr="00953692">
        <w:rPr>
          <w:rFonts w:ascii="Tahoma" w:hAnsi="Tahoma" w:cs="Tahoma"/>
          <w:sz w:val="24"/>
          <w:szCs w:val="24"/>
          <w:shd w:val="clear" w:color="auto" w:fill="FFFFFF"/>
          <w:lang w:val="fr-FR"/>
        </w:rPr>
        <w:t xml:space="preserve"> </w:t>
      </w:r>
      <w:r w:rsidR="00D00497" w:rsidRPr="00953692">
        <w:rPr>
          <w:sz w:val="24"/>
          <w:szCs w:val="24"/>
          <w:lang w:val="fr-FR"/>
        </w:rPr>
        <w:t>l</w:t>
      </w:r>
      <w:r w:rsidR="002A1BD1" w:rsidRPr="00953692">
        <w:rPr>
          <w:sz w:val="24"/>
          <w:szCs w:val="24"/>
          <w:lang w:val="fr-FR"/>
        </w:rPr>
        <w:t>e suspect</w:t>
      </w:r>
      <w:r w:rsidR="00D00497" w:rsidRPr="00953692">
        <w:rPr>
          <w:sz w:val="24"/>
          <w:szCs w:val="24"/>
          <w:lang w:val="fr-FR"/>
        </w:rPr>
        <w:t xml:space="preserve"> a le droit de contester </w:t>
      </w:r>
      <w:r w:rsidR="002A1BD1" w:rsidRPr="00953692">
        <w:rPr>
          <w:sz w:val="24"/>
          <w:szCs w:val="24"/>
          <w:lang w:val="fr-FR"/>
        </w:rPr>
        <w:t>c</w:t>
      </w:r>
      <w:r w:rsidR="00D00497" w:rsidRPr="00953692">
        <w:rPr>
          <w:sz w:val="24"/>
          <w:szCs w:val="24"/>
          <w:lang w:val="fr-FR"/>
        </w:rPr>
        <w:t xml:space="preserve">es charges, </w:t>
      </w:r>
      <w:r w:rsidR="002A1BD1" w:rsidRPr="00953692">
        <w:rPr>
          <w:sz w:val="24"/>
          <w:szCs w:val="24"/>
          <w:lang w:val="fr-FR"/>
        </w:rPr>
        <w:t>c</w:t>
      </w:r>
      <w:r w:rsidR="00D00497" w:rsidRPr="00953692">
        <w:rPr>
          <w:sz w:val="24"/>
          <w:szCs w:val="24"/>
          <w:lang w:val="fr-FR"/>
        </w:rPr>
        <w:t xml:space="preserve">es éléments de preuve et présenter ses propres moyens de preuve. Les victimes peuvent </w:t>
      </w:r>
      <w:r w:rsidR="002A1BD1" w:rsidRPr="00953692">
        <w:rPr>
          <w:sz w:val="24"/>
          <w:szCs w:val="24"/>
          <w:lang w:val="fr-FR"/>
        </w:rPr>
        <w:t xml:space="preserve">y </w:t>
      </w:r>
      <w:r w:rsidR="00D00497" w:rsidRPr="00953692">
        <w:rPr>
          <w:sz w:val="24"/>
          <w:szCs w:val="24"/>
          <w:lang w:val="fr-FR"/>
        </w:rPr>
        <w:t>prendre part</w:t>
      </w:r>
      <w:r w:rsidR="002A1BD1" w:rsidRPr="00953692">
        <w:rPr>
          <w:sz w:val="24"/>
          <w:szCs w:val="24"/>
          <w:lang w:val="fr-FR"/>
        </w:rPr>
        <w:t xml:space="preserve">, </w:t>
      </w:r>
      <w:r w:rsidR="00D00497" w:rsidRPr="00953692">
        <w:rPr>
          <w:sz w:val="24"/>
          <w:szCs w:val="24"/>
          <w:lang w:val="fr-FR"/>
        </w:rPr>
        <w:t xml:space="preserve">en faisant prévaloir leurs vues et préoccupations. La </w:t>
      </w:r>
      <w:r w:rsidR="008C2485" w:rsidRPr="00953692">
        <w:rPr>
          <w:sz w:val="24"/>
          <w:szCs w:val="24"/>
          <w:lang w:val="fr-FR"/>
        </w:rPr>
        <w:t>C</w:t>
      </w:r>
      <w:r w:rsidR="00D00497" w:rsidRPr="00953692">
        <w:rPr>
          <w:sz w:val="24"/>
          <w:szCs w:val="24"/>
          <w:lang w:val="fr-FR"/>
        </w:rPr>
        <w:t>hambre préliminaire décide in fine du sort à réserver à l’action du procureur</w:t>
      </w:r>
      <w:r w:rsidR="002A1BD1" w:rsidRPr="00953692">
        <w:rPr>
          <w:sz w:val="24"/>
          <w:szCs w:val="24"/>
          <w:lang w:val="fr-FR"/>
        </w:rPr>
        <w:t>,</w:t>
      </w:r>
      <w:r w:rsidR="00D00497" w:rsidRPr="00953692">
        <w:rPr>
          <w:sz w:val="24"/>
          <w:szCs w:val="24"/>
          <w:lang w:val="fr-FR"/>
        </w:rPr>
        <w:t xml:space="preserve"> et ce, conformément aux possibilités qu</w:t>
      </w:r>
      <w:r w:rsidR="002A1BD1" w:rsidRPr="00953692">
        <w:rPr>
          <w:sz w:val="24"/>
          <w:szCs w:val="24"/>
          <w:lang w:val="fr-FR"/>
        </w:rPr>
        <w:t>e</w:t>
      </w:r>
      <w:r w:rsidR="00D00497" w:rsidRPr="00953692">
        <w:rPr>
          <w:sz w:val="24"/>
          <w:szCs w:val="24"/>
          <w:lang w:val="fr-FR"/>
        </w:rPr>
        <w:t xml:space="preserve"> lui off</w:t>
      </w:r>
      <w:r w:rsidR="002A1BD1" w:rsidRPr="00953692">
        <w:rPr>
          <w:sz w:val="24"/>
          <w:szCs w:val="24"/>
          <w:lang w:val="fr-FR"/>
        </w:rPr>
        <w:t>re</w:t>
      </w:r>
      <w:r w:rsidR="00D00497" w:rsidRPr="00953692">
        <w:rPr>
          <w:sz w:val="24"/>
          <w:szCs w:val="24"/>
          <w:lang w:val="fr-FR"/>
        </w:rPr>
        <w:t xml:space="preserve"> </w:t>
      </w:r>
      <w:r w:rsidR="002A1BD1" w:rsidRPr="00953692">
        <w:rPr>
          <w:sz w:val="24"/>
          <w:szCs w:val="24"/>
          <w:lang w:val="fr-FR"/>
        </w:rPr>
        <w:t>le</w:t>
      </w:r>
      <w:r w:rsidR="00FD79D4" w:rsidRPr="00953692">
        <w:rPr>
          <w:sz w:val="24"/>
          <w:szCs w:val="24"/>
          <w:lang w:val="fr-FR"/>
        </w:rPr>
        <w:t xml:space="preserve"> paragraphe 7 de l’article 61 du statut de Rome. Bref, </w:t>
      </w:r>
      <w:r w:rsidR="002C1D02" w:rsidRPr="00953692">
        <w:rPr>
          <w:sz w:val="24"/>
          <w:szCs w:val="24"/>
          <w:lang w:val="fr-FR"/>
        </w:rPr>
        <w:t>on est presque dans un procès, qui ne dit pas son nom</w:t>
      </w:r>
      <w:r w:rsidR="002A1BD1" w:rsidRPr="00953692">
        <w:rPr>
          <w:sz w:val="24"/>
          <w:szCs w:val="24"/>
          <w:lang w:val="fr-FR"/>
        </w:rPr>
        <w:t>,</w:t>
      </w:r>
      <w:r w:rsidR="002C1D02" w:rsidRPr="00953692">
        <w:rPr>
          <w:sz w:val="24"/>
          <w:szCs w:val="24"/>
          <w:lang w:val="fr-FR"/>
        </w:rPr>
        <w:t xml:space="preserve"> sauf qu’au fond, la Chambre préliminaire ne porte pas un jugement sur la responsabilité pénale d</w:t>
      </w:r>
      <w:r w:rsidR="002A1BD1" w:rsidRPr="00953692">
        <w:rPr>
          <w:sz w:val="24"/>
          <w:szCs w:val="24"/>
          <w:lang w:val="fr-FR"/>
        </w:rPr>
        <w:t>u suspect</w:t>
      </w:r>
      <w:r w:rsidR="002C1D02" w:rsidRPr="00953692">
        <w:rPr>
          <w:sz w:val="24"/>
          <w:szCs w:val="24"/>
          <w:lang w:val="fr-FR"/>
        </w:rPr>
        <w:t xml:space="preserve">. </w:t>
      </w:r>
    </w:p>
    <w:p w14:paraId="414B36CD" w14:textId="5309C6DE" w:rsidR="00D00497" w:rsidRPr="00953692" w:rsidRDefault="00C970DB" w:rsidP="00864BBF">
      <w:pPr>
        <w:spacing w:after="0" w:line="276" w:lineRule="auto"/>
        <w:ind w:firstLine="1134"/>
        <w:jc w:val="both"/>
        <w:rPr>
          <w:sz w:val="24"/>
          <w:szCs w:val="24"/>
          <w:lang w:val="fr-FR"/>
        </w:rPr>
      </w:pPr>
      <w:r w:rsidRPr="00953692">
        <w:rPr>
          <w:b/>
          <w:bCs/>
          <w:sz w:val="24"/>
          <w:szCs w:val="24"/>
          <w:lang w:val="fr-FR"/>
        </w:rPr>
        <w:t>137.</w:t>
      </w:r>
      <w:r w:rsidRPr="00953692">
        <w:rPr>
          <w:sz w:val="24"/>
          <w:szCs w:val="24"/>
          <w:lang w:val="fr-FR"/>
        </w:rPr>
        <w:t xml:space="preserve"> </w:t>
      </w:r>
      <w:r w:rsidR="00482373" w:rsidRPr="00953692">
        <w:rPr>
          <w:sz w:val="24"/>
          <w:szCs w:val="24"/>
          <w:lang w:val="fr-FR"/>
        </w:rPr>
        <w:t xml:space="preserve">Si la doctrine </w:t>
      </w:r>
      <w:r w:rsidR="0082290B" w:rsidRPr="00953692">
        <w:rPr>
          <w:sz w:val="24"/>
          <w:szCs w:val="24"/>
          <w:lang w:val="fr-FR"/>
        </w:rPr>
        <w:t>estime qu’une telle procédure a le mérite de préparer les affaires en</w:t>
      </w:r>
      <w:r w:rsidR="002A1BD1" w:rsidRPr="00953692">
        <w:rPr>
          <w:rFonts w:eastAsia="Times New Roman" w:cs="Times New Roman"/>
          <w:i/>
          <w:sz w:val="24"/>
          <w:szCs w:val="24"/>
          <w:lang w:val="fr-FR" w:eastAsia="fr-FR"/>
        </w:rPr>
        <w:t xml:space="preserve"> vid</w:t>
      </w:r>
      <w:r w:rsidR="00BC0F08" w:rsidRPr="00953692">
        <w:rPr>
          <w:rFonts w:eastAsia="Times New Roman" w:cs="Times New Roman"/>
          <w:i/>
          <w:sz w:val="24"/>
          <w:szCs w:val="24"/>
          <w:lang w:val="fr-FR" w:eastAsia="fr-FR"/>
        </w:rPr>
        <w:t>ant</w:t>
      </w:r>
      <w:r w:rsidR="002A1BD1" w:rsidRPr="00953692">
        <w:rPr>
          <w:rFonts w:eastAsia="Times New Roman" w:cs="Times New Roman"/>
          <w:i/>
          <w:sz w:val="24"/>
          <w:szCs w:val="24"/>
          <w:lang w:val="fr-FR" w:eastAsia="fr-FR"/>
        </w:rPr>
        <w:t xml:space="preserve"> toutes questions (préjudicielles) de procédure et à décongestionn</w:t>
      </w:r>
      <w:r w:rsidR="00BC0F08" w:rsidRPr="00953692">
        <w:rPr>
          <w:rFonts w:eastAsia="Times New Roman" w:cs="Times New Roman"/>
          <w:i/>
          <w:sz w:val="24"/>
          <w:szCs w:val="24"/>
          <w:lang w:val="fr-FR" w:eastAsia="fr-FR"/>
        </w:rPr>
        <w:t>ant</w:t>
      </w:r>
      <w:r w:rsidR="002A1BD1" w:rsidRPr="00953692">
        <w:rPr>
          <w:rFonts w:eastAsia="Times New Roman" w:cs="Times New Roman"/>
          <w:i/>
          <w:sz w:val="24"/>
          <w:szCs w:val="24"/>
          <w:lang w:val="fr-FR" w:eastAsia="fr-FR"/>
        </w:rPr>
        <w:t xml:space="preserve"> la procédure de jugement en mettant</w:t>
      </w:r>
      <w:r w:rsidR="00293953" w:rsidRPr="00953692">
        <w:rPr>
          <w:rFonts w:eastAsia="Times New Roman" w:cs="Times New Roman"/>
          <w:i/>
          <w:sz w:val="24"/>
          <w:szCs w:val="24"/>
          <w:lang w:val="fr-FR" w:eastAsia="fr-FR"/>
        </w:rPr>
        <w:t>,</w:t>
      </w:r>
      <w:r w:rsidR="002A1BD1" w:rsidRPr="00953692">
        <w:rPr>
          <w:rFonts w:eastAsia="Times New Roman" w:cs="Times New Roman"/>
          <w:i/>
          <w:sz w:val="24"/>
          <w:szCs w:val="24"/>
          <w:lang w:val="fr-FR" w:eastAsia="fr-FR"/>
        </w:rPr>
        <w:t xml:space="preserve"> préalablement et contradictoirement en état, </w:t>
      </w:r>
      <w:r w:rsidR="00012669" w:rsidRPr="00953692">
        <w:rPr>
          <w:rFonts w:eastAsia="Times New Roman" w:cs="Times New Roman"/>
          <w:i/>
          <w:sz w:val="24"/>
          <w:szCs w:val="24"/>
          <w:lang w:val="fr-FR" w:eastAsia="fr-FR"/>
        </w:rPr>
        <w:t xml:space="preserve">en état </w:t>
      </w:r>
      <w:r w:rsidR="002A1BD1" w:rsidRPr="00953692">
        <w:rPr>
          <w:rFonts w:eastAsia="Times New Roman" w:cs="Times New Roman"/>
          <w:i/>
          <w:sz w:val="24"/>
          <w:szCs w:val="24"/>
          <w:lang w:val="fr-FR" w:eastAsia="fr-FR"/>
        </w:rPr>
        <w:t>le procès</w:t>
      </w:r>
      <w:r w:rsidR="00407F27" w:rsidRPr="00953692">
        <w:rPr>
          <w:rStyle w:val="Appelnotedebasdep"/>
          <w:sz w:val="24"/>
          <w:szCs w:val="24"/>
          <w:lang w:val="fr-FR"/>
        </w:rPr>
        <w:footnoteReference w:customMarkFollows="1" w:id="109"/>
        <w:t>87</w:t>
      </w:r>
      <w:r w:rsidR="00BC0F08" w:rsidRPr="00953692">
        <w:rPr>
          <w:sz w:val="24"/>
          <w:szCs w:val="24"/>
          <w:lang w:val="fr-FR"/>
        </w:rPr>
        <w:t xml:space="preserve">, </w:t>
      </w:r>
      <w:r w:rsidR="0082290B" w:rsidRPr="00953692">
        <w:rPr>
          <w:sz w:val="24"/>
          <w:szCs w:val="24"/>
          <w:lang w:val="fr-FR"/>
        </w:rPr>
        <w:t>il faudrait aussi reconnaitre qu’elle comporte un désavantage indéniable</w:t>
      </w:r>
      <w:r w:rsidR="00BC0F08" w:rsidRPr="00953692">
        <w:rPr>
          <w:sz w:val="24"/>
          <w:szCs w:val="24"/>
          <w:lang w:val="fr-FR"/>
        </w:rPr>
        <w:t>, celui de</w:t>
      </w:r>
      <w:r w:rsidR="0082290B" w:rsidRPr="00953692">
        <w:rPr>
          <w:sz w:val="24"/>
          <w:szCs w:val="24"/>
          <w:lang w:val="fr-FR"/>
        </w:rPr>
        <w:t xml:space="preserve"> rallonge</w:t>
      </w:r>
      <w:r w:rsidR="00BC0F08" w:rsidRPr="00953692">
        <w:rPr>
          <w:sz w:val="24"/>
          <w:szCs w:val="24"/>
          <w:lang w:val="fr-FR"/>
        </w:rPr>
        <w:t>r</w:t>
      </w:r>
      <w:r w:rsidR="0082290B" w:rsidRPr="00953692">
        <w:rPr>
          <w:sz w:val="24"/>
          <w:szCs w:val="24"/>
          <w:lang w:val="fr-FR"/>
        </w:rPr>
        <w:t xml:space="preserve"> la durée globale de la procédure. En plus, son caractère contradictoire et la participation des victimes peuvent être considérés comme sources de longueur</w:t>
      </w:r>
      <w:r w:rsidR="00012669" w:rsidRPr="00953692">
        <w:rPr>
          <w:sz w:val="24"/>
          <w:szCs w:val="24"/>
          <w:lang w:val="fr-FR"/>
        </w:rPr>
        <w:t xml:space="preserve"> de la </w:t>
      </w:r>
      <w:r w:rsidR="00012669" w:rsidRPr="00953692">
        <w:rPr>
          <w:sz w:val="24"/>
          <w:szCs w:val="24"/>
          <w:lang w:val="fr-FR"/>
        </w:rPr>
        <w:lastRenderedPageBreak/>
        <w:t>procédure</w:t>
      </w:r>
      <w:r w:rsidR="0082290B" w:rsidRPr="00953692">
        <w:rPr>
          <w:sz w:val="24"/>
          <w:szCs w:val="24"/>
          <w:lang w:val="fr-FR"/>
        </w:rPr>
        <w:t xml:space="preserve"> à défaut d’employer le terme retard.</w:t>
      </w:r>
      <w:r w:rsidR="005F7105" w:rsidRPr="00953692">
        <w:rPr>
          <w:sz w:val="24"/>
          <w:szCs w:val="24"/>
          <w:lang w:val="fr-FR"/>
        </w:rPr>
        <w:t xml:space="preserve"> Nous verrons plus loin qu’entre la comparution initiale et la confirmation des charges, l’intervalle de temps </w:t>
      </w:r>
      <w:r w:rsidR="00BC0F08" w:rsidRPr="00953692">
        <w:rPr>
          <w:sz w:val="24"/>
          <w:szCs w:val="24"/>
          <w:lang w:val="fr-FR"/>
        </w:rPr>
        <w:t>est souvent</w:t>
      </w:r>
      <w:r w:rsidR="005F7105" w:rsidRPr="00953692">
        <w:rPr>
          <w:sz w:val="24"/>
          <w:szCs w:val="24"/>
          <w:lang w:val="fr-FR"/>
        </w:rPr>
        <w:t xml:space="preserve"> si important</w:t>
      </w:r>
      <w:r w:rsidR="00012669" w:rsidRPr="00953692">
        <w:rPr>
          <w:sz w:val="24"/>
          <w:szCs w:val="24"/>
          <w:lang w:val="fr-FR"/>
        </w:rPr>
        <w:t xml:space="preserve"> qu’on ne l’imagine</w:t>
      </w:r>
      <w:r w:rsidR="005F7105" w:rsidRPr="00953692">
        <w:rPr>
          <w:sz w:val="24"/>
          <w:szCs w:val="24"/>
          <w:lang w:val="fr-FR"/>
        </w:rPr>
        <w:t xml:space="preserve">. </w:t>
      </w:r>
    </w:p>
    <w:p w14:paraId="46C19EE7" w14:textId="4AAF0D86" w:rsidR="00B214D8" w:rsidRPr="00953692" w:rsidRDefault="00C970DB" w:rsidP="00864BBF">
      <w:pPr>
        <w:spacing w:after="0" w:line="276" w:lineRule="auto"/>
        <w:ind w:firstLine="1134"/>
        <w:jc w:val="both"/>
        <w:rPr>
          <w:sz w:val="24"/>
          <w:szCs w:val="24"/>
          <w:lang w:val="fr-FR"/>
        </w:rPr>
      </w:pPr>
      <w:r w:rsidRPr="00953692">
        <w:rPr>
          <w:b/>
          <w:bCs/>
          <w:sz w:val="24"/>
          <w:szCs w:val="24"/>
          <w:lang w:val="fr-FR"/>
        </w:rPr>
        <w:t>138</w:t>
      </w:r>
      <w:r w:rsidR="00F93A12" w:rsidRPr="00953692">
        <w:rPr>
          <w:b/>
          <w:bCs/>
          <w:sz w:val="24"/>
          <w:szCs w:val="24"/>
          <w:lang w:val="fr-FR"/>
        </w:rPr>
        <w:t>.</w:t>
      </w:r>
      <w:r w:rsidR="00F93A12" w:rsidRPr="00953692">
        <w:rPr>
          <w:sz w:val="24"/>
          <w:szCs w:val="24"/>
          <w:lang w:val="fr-FR"/>
        </w:rPr>
        <w:t xml:space="preserve"> </w:t>
      </w:r>
      <w:r w:rsidR="00366A44" w:rsidRPr="00953692">
        <w:rPr>
          <w:sz w:val="24"/>
          <w:szCs w:val="24"/>
          <w:lang w:val="fr-FR"/>
        </w:rPr>
        <w:t xml:space="preserve">Devant d’autres juridictions internationalisées, la comparution initiale ne mène pas non plus tout droit au procès en première instance. </w:t>
      </w:r>
      <w:r w:rsidR="00C6653E" w:rsidRPr="00953692">
        <w:rPr>
          <w:sz w:val="24"/>
          <w:szCs w:val="24"/>
          <w:lang w:val="fr-FR"/>
        </w:rPr>
        <w:t xml:space="preserve">Nous l’avons vu, devant la CPS centrafricaine par exemple, </w:t>
      </w:r>
      <w:r w:rsidR="004C25EB" w:rsidRPr="00953692">
        <w:rPr>
          <w:sz w:val="24"/>
          <w:szCs w:val="24"/>
          <w:lang w:val="fr-FR"/>
        </w:rPr>
        <w:t xml:space="preserve">la comparution initiale a lieu également en vue d’inculper le suspect sans toutefois, contrairement à la procédure de confirmation des charges, renvoyer immédiatement après l’inculpé devant </w:t>
      </w:r>
      <w:r w:rsidR="005F65B9" w:rsidRPr="00953692">
        <w:rPr>
          <w:sz w:val="24"/>
          <w:szCs w:val="24"/>
          <w:lang w:val="fr-FR"/>
        </w:rPr>
        <w:t xml:space="preserve">le juge de la première instance. </w:t>
      </w:r>
      <w:r w:rsidR="00F53BF6" w:rsidRPr="00953692">
        <w:rPr>
          <w:sz w:val="24"/>
          <w:szCs w:val="24"/>
          <w:lang w:val="fr-FR"/>
        </w:rPr>
        <w:t>Le Cabinet d’instruction qui</w:t>
      </w:r>
      <w:r w:rsidR="008F69FB" w:rsidRPr="00953692">
        <w:rPr>
          <w:sz w:val="24"/>
          <w:szCs w:val="24"/>
          <w:lang w:val="fr-FR"/>
        </w:rPr>
        <w:t>, après avoir</w:t>
      </w:r>
      <w:r w:rsidR="00F53BF6" w:rsidRPr="00953692">
        <w:rPr>
          <w:sz w:val="24"/>
          <w:szCs w:val="24"/>
          <w:lang w:val="fr-FR"/>
        </w:rPr>
        <w:t xml:space="preserve"> proc</w:t>
      </w:r>
      <w:r w:rsidR="008F69FB" w:rsidRPr="00953692">
        <w:rPr>
          <w:sz w:val="24"/>
          <w:szCs w:val="24"/>
          <w:lang w:val="fr-FR"/>
        </w:rPr>
        <w:t>é</w:t>
      </w:r>
      <w:r w:rsidR="00F53BF6" w:rsidRPr="00953692">
        <w:rPr>
          <w:sz w:val="24"/>
          <w:szCs w:val="24"/>
          <w:lang w:val="fr-FR"/>
        </w:rPr>
        <w:t>d</w:t>
      </w:r>
      <w:r w:rsidR="008F69FB" w:rsidRPr="00953692">
        <w:rPr>
          <w:sz w:val="24"/>
          <w:szCs w:val="24"/>
          <w:lang w:val="fr-FR"/>
        </w:rPr>
        <w:t>é</w:t>
      </w:r>
      <w:r w:rsidR="00F53BF6" w:rsidRPr="00953692">
        <w:rPr>
          <w:sz w:val="24"/>
          <w:szCs w:val="24"/>
          <w:lang w:val="fr-FR"/>
        </w:rPr>
        <w:t xml:space="preserve"> à l’inculpation</w:t>
      </w:r>
      <w:r w:rsidR="008F69FB" w:rsidRPr="00953692">
        <w:rPr>
          <w:sz w:val="24"/>
          <w:szCs w:val="24"/>
          <w:lang w:val="fr-FR"/>
        </w:rPr>
        <w:t>,</w:t>
      </w:r>
      <w:r w:rsidR="00F53BF6" w:rsidRPr="00953692">
        <w:rPr>
          <w:sz w:val="24"/>
          <w:szCs w:val="24"/>
          <w:lang w:val="fr-FR"/>
        </w:rPr>
        <w:t xml:space="preserve"> peut </w:t>
      </w:r>
      <w:r w:rsidR="008F69FB" w:rsidRPr="00953692">
        <w:rPr>
          <w:sz w:val="24"/>
          <w:szCs w:val="24"/>
          <w:lang w:val="fr-FR"/>
        </w:rPr>
        <w:t xml:space="preserve">bien </w:t>
      </w:r>
      <w:r w:rsidR="00F53BF6" w:rsidRPr="00953692">
        <w:rPr>
          <w:sz w:val="24"/>
          <w:szCs w:val="24"/>
          <w:lang w:val="fr-FR"/>
        </w:rPr>
        <w:t>poursuivre son instruction</w:t>
      </w:r>
      <w:r w:rsidR="00500174" w:rsidRPr="00953692">
        <w:rPr>
          <w:sz w:val="24"/>
          <w:szCs w:val="24"/>
          <w:lang w:val="fr-FR"/>
        </w:rPr>
        <w:t xml:space="preserve"> dans un délai </w:t>
      </w:r>
      <w:r w:rsidR="00F0491E" w:rsidRPr="00953692">
        <w:rPr>
          <w:sz w:val="24"/>
          <w:szCs w:val="24"/>
          <w:lang w:val="fr-FR"/>
        </w:rPr>
        <w:t>raisonnable, conformément au point A de l’article 106 du RPP de cette Cour</w:t>
      </w:r>
      <w:r w:rsidR="00500174" w:rsidRPr="00953692">
        <w:rPr>
          <w:sz w:val="24"/>
          <w:szCs w:val="24"/>
          <w:lang w:val="fr-FR"/>
        </w:rPr>
        <w:t xml:space="preserve">. </w:t>
      </w:r>
      <w:r w:rsidR="00EA4898" w:rsidRPr="00953692">
        <w:rPr>
          <w:sz w:val="24"/>
          <w:szCs w:val="24"/>
          <w:lang w:val="fr-FR"/>
        </w:rPr>
        <w:t>L</w:t>
      </w:r>
      <w:r w:rsidR="00F0491E" w:rsidRPr="00953692">
        <w:rPr>
          <w:sz w:val="24"/>
          <w:szCs w:val="24"/>
          <w:lang w:val="fr-FR"/>
        </w:rPr>
        <w:t>e point</w:t>
      </w:r>
      <w:r w:rsidR="00EA4898" w:rsidRPr="00953692">
        <w:rPr>
          <w:sz w:val="24"/>
          <w:szCs w:val="24"/>
          <w:lang w:val="fr-FR"/>
        </w:rPr>
        <w:t xml:space="preserve"> B) du</w:t>
      </w:r>
      <w:r w:rsidR="00F0491E" w:rsidRPr="00953692">
        <w:rPr>
          <w:sz w:val="24"/>
          <w:szCs w:val="24"/>
          <w:lang w:val="fr-FR"/>
        </w:rPr>
        <w:t>dit article</w:t>
      </w:r>
      <w:r w:rsidR="00EA4898" w:rsidRPr="00953692">
        <w:rPr>
          <w:sz w:val="24"/>
          <w:szCs w:val="24"/>
          <w:lang w:val="fr-FR"/>
        </w:rPr>
        <w:t xml:space="preserve"> </w:t>
      </w:r>
      <w:r w:rsidR="00894F8F" w:rsidRPr="00953692">
        <w:rPr>
          <w:sz w:val="24"/>
          <w:szCs w:val="24"/>
          <w:lang w:val="fr-FR"/>
        </w:rPr>
        <w:t xml:space="preserve">en </w:t>
      </w:r>
      <w:r w:rsidR="00EA4898" w:rsidRPr="00953692">
        <w:rPr>
          <w:sz w:val="24"/>
          <w:szCs w:val="24"/>
          <w:lang w:val="fr-FR"/>
        </w:rPr>
        <w:t>limite</w:t>
      </w:r>
      <w:r w:rsidR="00F0491E" w:rsidRPr="00953692">
        <w:rPr>
          <w:sz w:val="24"/>
          <w:szCs w:val="24"/>
          <w:lang w:val="fr-FR"/>
        </w:rPr>
        <w:t xml:space="preserve"> </w:t>
      </w:r>
      <w:r w:rsidR="00894F8F" w:rsidRPr="00953692">
        <w:rPr>
          <w:sz w:val="24"/>
          <w:szCs w:val="24"/>
          <w:lang w:val="fr-FR"/>
        </w:rPr>
        <w:t>clairement</w:t>
      </w:r>
      <w:r w:rsidR="00F0491E" w:rsidRPr="00953692">
        <w:rPr>
          <w:sz w:val="24"/>
          <w:szCs w:val="24"/>
          <w:lang w:val="fr-FR"/>
        </w:rPr>
        <w:t xml:space="preserve"> la durée</w:t>
      </w:r>
      <w:r w:rsidR="00EA4898" w:rsidRPr="00953692">
        <w:rPr>
          <w:sz w:val="24"/>
          <w:szCs w:val="24"/>
          <w:lang w:val="fr-FR"/>
        </w:rPr>
        <w:t xml:space="preserve"> à deux ans à compter du réquisitoire introductif</w:t>
      </w:r>
      <w:r w:rsidR="004724EE" w:rsidRPr="00953692">
        <w:rPr>
          <w:sz w:val="24"/>
          <w:szCs w:val="24"/>
          <w:lang w:val="fr-FR"/>
        </w:rPr>
        <w:t xml:space="preserve"> du procureur spécial</w:t>
      </w:r>
      <w:r w:rsidR="00EA4898" w:rsidRPr="00953692">
        <w:rPr>
          <w:sz w:val="24"/>
          <w:szCs w:val="24"/>
          <w:lang w:val="fr-FR"/>
        </w:rPr>
        <w:t xml:space="preserve">. </w:t>
      </w:r>
    </w:p>
    <w:p w14:paraId="60EB73F0" w14:textId="2F4FCAA6" w:rsidR="004D1F4A" w:rsidRPr="00953692" w:rsidRDefault="00C970DB" w:rsidP="00864BBF">
      <w:pPr>
        <w:spacing w:after="0" w:line="276" w:lineRule="auto"/>
        <w:ind w:firstLine="1134"/>
        <w:jc w:val="both"/>
        <w:rPr>
          <w:sz w:val="24"/>
          <w:szCs w:val="24"/>
          <w:lang w:val="fr-FR"/>
        </w:rPr>
      </w:pPr>
      <w:r w:rsidRPr="00953692">
        <w:rPr>
          <w:b/>
          <w:bCs/>
          <w:sz w:val="24"/>
          <w:szCs w:val="24"/>
          <w:lang w:val="fr-FR"/>
        </w:rPr>
        <w:t>139.</w:t>
      </w:r>
      <w:r w:rsidRPr="00953692">
        <w:rPr>
          <w:sz w:val="24"/>
          <w:szCs w:val="24"/>
          <w:lang w:val="fr-FR"/>
        </w:rPr>
        <w:t xml:space="preserve"> </w:t>
      </w:r>
      <w:r w:rsidR="00293953" w:rsidRPr="00953692">
        <w:rPr>
          <w:sz w:val="24"/>
          <w:szCs w:val="24"/>
          <w:lang w:val="fr-FR"/>
        </w:rPr>
        <w:t>Cependant</w:t>
      </w:r>
      <w:r w:rsidR="00584A69" w:rsidRPr="00953692">
        <w:rPr>
          <w:sz w:val="24"/>
          <w:szCs w:val="24"/>
          <w:lang w:val="fr-FR"/>
        </w:rPr>
        <w:t xml:space="preserve">, </w:t>
      </w:r>
      <w:r w:rsidR="00CC7F64" w:rsidRPr="00953692">
        <w:rPr>
          <w:sz w:val="24"/>
          <w:szCs w:val="24"/>
          <w:lang w:val="fr-FR"/>
        </w:rPr>
        <w:t xml:space="preserve">en vertu de cette disposition, </w:t>
      </w:r>
      <w:r w:rsidR="00584A69" w:rsidRPr="00953692">
        <w:rPr>
          <w:sz w:val="24"/>
          <w:szCs w:val="24"/>
          <w:lang w:val="fr-FR"/>
        </w:rPr>
        <w:t>si l</w:t>
      </w:r>
      <w:r w:rsidR="00997119" w:rsidRPr="00953692">
        <w:rPr>
          <w:sz w:val="24"/>
          <w:szCs w:val="24"/>
          <w:lang w:val="fr-FR"/>
        </w:rPr>
        <w:t xml:space="preserve">’instruction n’est pas terminée, le </w:t>
      </w:r>
      <w:r w:rsidR="00894F8F" w:rsidRPr="00953692">
        <w:rPr>
          <w:sz w:val="24"/>
          <w:szCs w:val="24"/>
          <w:lang w:val="fr-FR"/>
        </w:rPr>
        <w:t>C</w:t>
      </w:r>
      <w:r w:rsidR="00997119" w:rsidRPr="00953692">
        <w:rPr>
          <w:sz w:val="24"/>
          <w:szCs w:val="24"/>
          <w:lang w:val="fr-FR"/>
        </w:rPr>
        <w:t>abinet d’instruction rend une ordonnance motivée sur base des critères de complexité et des droits de la défense, par laquelle</w:t>
      </w:r>
      <w:r w:rsidR="00997119" w:rsidRPr="00953692">
        <w:rPr>
          <w:i/>
          <w:iCs/>
          <w:sz w:val="24"/>
          <w:szCs w:val="24"/>
          <w:lang w:val="fr-FR"/>
        </w:rPr>
        <w:t xml:space="preserve"> </w:t>
      </w:r>
      <w:r w:rsidR="00894F8F" w:rsidRPr="00953692">
        <w:rPr>
          <w:i/>
          <w:iCs/>
          <w:sz w:val="24"/>
          <w:szCs w:val="24"/>
          <w:lang w:val="fr-FR"/>
        </w:rPr>
        <w:t>« </w:t>
      </w:r>
      <w:r w:rsidR="00997119" w:rsidRPr="00953692">
        <w:rPr>
          <w:i/>
          <w:iCs/>
          <w:sz w:val="24"/>
          <w:szCs w:val="24"/>
          <w:lang w:val="fr-FR"/>
        </w:rPr>
        <w:t xml:space="preserve">il explique les raisons d’une durée plus longue de l’instruction, </w:t>
      </w:r>
      <w:r w:rsidR="004D1F4A" w:rsidRPr="00953692">
        <w:rPr>
          <w:i/>
          <w:iCs/>
          <w:sz w:val="24"/>
          <w:szCs w:val="24"/>
          <w:lang w:val="fr-FR"/>
        </w:rPr>
        <w:t>donne des indications qui justifient la poursuite de l’instruction et précise les perspectives de règlement</w:t>
      </w:r>
      <w:r w:rsidR="004D1F4A" w:rsidRPr="00953692">
        <w:rPr>
          <w:sz w:val="24"/>
          <w:szCs w:val="24"/>
          <w:lang w:val="fr-FR"/>
        </w:rPr>
        <w:t>.</w:t>
      </w:r>
      <w:r w:rsidR="00484C2E" w:rsidRPr="00953692">
        <w:rPr>
          <w:sz w:val="24"/>
          <w:szCs w:val="24"/>
          <w:lang w:val="fr-FR"/>
        </w:rPr>
        <w:t xml:space="preserve"> </w:t>
      </w:r>
      <w:r w:rsidR="00484C2E" w:rsidRPr="00953692">
        <w:rPr>
          <w:i/>
          <w:iCs/>
          <w:sz w:val="24"/>
          <w:szCs w:val="24"/>
          <w:lang w:val="fr-FR"/>
        </w:rPr>
        <w:t xml:space="preserve">L’ordonnance est communiquée à la Chambre spéciale d’accusation, qui peut décider de </w:t>
      </w:r>
      <w:r w:rsidR="00D734C4" w:rsidRPr="00953692">
        <w:rPr>
          <w:i/>
          <w:iCs/>
          <w:sz w:val="24"/>
          <w:szCs w:val="24"/>
          <w:lang w:val="fr-FR"/>
        </w:rPr>
        <w:t>renvoyer le dossier au Cabinet d’instruction saisi, à un autre Cabinet d’instruction ou encore de poursuivre elle l’instruction</w:t>
      </w:r>
      <w:r w:rsidR="00894F8F" w:rsidRPr="00953692">
        <w:rPr>
          <w:i/>
          <w:iCs/>
          <w:sz w:val="24"/>
          <w:szCs w:val="24"/>
          <w:lang w:val="fr-FR"/>
        </w:rPr>
        <w:t> »</w:t>
      </w:r>
      <w:r w:rsidR="00D734C4" w:rsidRPr="00953692">
        <w:rPr>
          <w:sz w:val="24"/>
          <w:szCs w:val="24"/>
          <w:lang w:val="fr-FR"/>
        </w:rPr>
        <w:t>.</w:t>
      </w:r>
    </w:p>
    <w:p w14:paraId="0361175D" w14:textId="77C7780C" w:rsidR="00A02C2A" w:rsidRPr="00953692" w:rsidRDefault="00C970DB" w:rsidP="00864BBF">
      <w:pPr>
        <w:spacing w:after="0" w:line="276" w:lineRule="auto"/>
        <w:ind w:firstLine="1134"/>
        <w:jc w:val="both"/>
        <w:rPr>
          <w:sz w:val="24"/>
          <w:szCs w:val="24"/>
          <w:lang w:val="fr-FR"/>
        </w:rPr>
      </w:pPr>
      <w:r w:rsidRPr="00953692">
        <w:rPr>
          <w:b/>
          <w:bCs/>
          <w:sz w:val="24"/>
          <w:szCs w:val="24"/>
          <w:lang w:val="fr-FR"/>
        </w:rPr>
        <w:t>140</w:t>
      </w:r>
      <w:r w:rsidR="00F93A12" w:rsidRPr="00953692">
        <w:rPr>
          <w:b/>
          <w:bCs/>
          <w:sz w:val="24"/>
          <w:szCs w:val="24"/>
          <w:lang w:val="fr-FR"/>
        </w:rPr>
        <w:t>.</w:t>
      </w:r>
      <w:r w:rsidR="00F93A12" w:rsidRPr="00953692">
        <w:rPr>
          <w:sz w:val="24"/>
          <w:szCs w:val="24"/>
          <w:lang w:val="fr-FR"/>
        </w:rPr>
        <w:t xml:space="preserve"> </w:t>
      </w:r>
      <w:r w:rsidR="003C73E2" w:rsidRPr="00953692">
        <w:rPr>
          <w:sz w:val="24"/>
          <w:szCs w:val="24"/>
          <w:lang w:val="fr-FR"/>
        </w:rPr>
        <w:t>On peut observer également une procédure similaire devant les CETC, où le</w:t>
      </w:r>
      <w:r w:rsidR="00EB7FB3" w:rsidRPr="00953692">
        <w:rPr>
          <w:sz w:val="24"/>
          <w:szCs w:val="24"/>
          <w:lang w:val="fr-FR"/>
        </w:rPr>
        <w:t>s</w:t>
      </w:r>
      <w:r w:rsidR="003C73E2" w:rsidRPr="00953692">
        <w:rPr>
          <w:sz w:val="24"/>
          <w:szCs w:val="24"/>
          <w:lang w:val="fr-FR"/>
        </w:rPr>
        <w:t xml:space="preserve"> </w:t>
      </w:r>
      <w:r w:rsidR="00894F8F" w:rsidRPr="00953692">
        <w:rPr>
          <w:sz w:val="24"/>
          <w:szCs w:val="24"/>
          <w:lang w:val="fr-FR"/>
        </w:rPr>
        <w:t>C</w:t>
      </w:r>
      <w:r w:rsidR="003C73E2" w:rsidRPr="00953692">
        <w:rPr>
          <w:sz w:val="24"/>
          <w:szCs w:val="24"/>
          <w:lang w:val="fr-FR"/>
        </w:rPr>
        <w:t xml:space="preserve">o-juges d’instruction peuvent poursuivre leur instruction après avoir mis en examen les personnes citées dans le réquisitoire introductifs ou d’autres personnes qui n’y sont pas citées, mais </w:t>
      </w:r>
      <w:r w:rsidR="00A02C2A" w:rsidRPr="00953692">
        <w:rPr>
          <w:sz w:val="24"/>
          <w:szCs w:val="24"/>
          <w:lang w:val="fr-FR"/>
        </w:rPr>
        <w:t xml:space="preserve">dont </w:t>
      </w:r>
      <w:r w:rsidR="003C73E2" w:rsidRPr="00953692">
        <w:rPr>
          <w:sz w:val="24"/>
          <w:szCs w:val="24"/>
          <w:lang w:val="fr-FR"/>
        </w:rPr>
        <w:t>le lien avec les faits visés dans un réquisitoire introductif ou un réquisitoire supplétif est établi</w:t>
      </w:r>
      <w:r w:rsidR="00407F27" w:rsidRPr="00953692">
        <w:rPr>
          <w:rFonts w:cs="Times New Roman"/>
          <w:lang w:val="fr-FR"/>
        </w:rPr>
        <w:t xml:space="preserve"> </w:t>
      </w:r>
      <w:r w:rsidR="00407F27" w:rsidRPr="00953692">
        <w:rPr>
          <w:rFonts w:cs="Times New Roman"/>
          <w:sz w:val="24"/>
          <w:szCs w:val="24"/>
          <w:lang w:val="fr-FR"/>
        </w:rPr>
        <w:t>(Règle 55-4 du RPP des CETC</w:t>
      </w:r>
      <w:r w:rsidR="00407F27" w:rsidRPr="00953692">
        <w:rPr>
          <w:sz w:val="24"/>
          <w:szCs w:val="24"/>
          <w:lang w:val="fr-FR"/>
        </w:rPr>
        <w:t>)</w:t>
      </w:r>
      <w:r w:rsidR="003C73E2" w:rsidRPr="00953692">
        <w:rPr>
          <w:sz w:val="24"/>
          <w:szCs w:val="24"/>
          <w:lang w:val="fr-FR"/>
        </w:rPr>
        <w:t>.</w:t>
      </w:r>
      <w:r w:rsidR="00AD780C" w:rsidRPr="00953692">
        <w:rPr>
          <w:sz w:val="24"/>
          <w:szCs w:val="24"/>
          <w:lang w:val="fr-FR"/>
        </w:rPr>
        <w:t xml:space="preserve"> Contrairement à la procédure devant la CPS centrafricaine, l’instruction n’est pas</w:t>
      </w:r>
      <w:r w:rsidR="00A02C2A" w:rsidRPr="00953692">
        <w:rPr>
          <w:sz w:val="24"/>
          <w:szCs w:val="24"/>
          <w:lang w:val="fr-FR"/>
        </w:rPr>
        <w:t xml:space="preserve"> strictement</w:t>
      </w:r>
      <w:r w:rsidR="00AD780C" w:rsidRPr="00953692">
        <w:rPr>
          <w:sz w:val="24"/>
          <w:szCs w:val="24"/>
          <w:lang w:val="fr-FR"/>
        </w:rPr>
        <w:t xml:space="preserve"> limitée dans le temps. Cependant, en vue </w:t>
      </w:r>
      <w:r w:rsidR="00563B73" w:rsidRPr="00953692">
        <w:rPr>
          <w:sz w:val="24"/>
          <w:szCs w:val="24"/>
          <w:lang w:val="fr-FR"/>
        </w:rPr>
        <w:t>de garantir que la procédure judiciaire aboutisse à un résultat significatif dans un délai raisonnable</w:t>
      </w:r>
      <w:r w:rsidR="00AD780C" w:rsidRPr="00953692">
        <w:rPr>
          <w:sz w:val="24"/>
          <w:szCs w:val="24"/>
          <w:lang w:val="fr-FR"/>
        </w:rPr>
        <w:t xml:space="preserve">, les </w:t>
      </w:r>
      <w:r w:rsidR="00894F8F" w:rsidRPr="00953692">
        <w:rPr>
          <w:sz w:val="24"/>
          <w:szCs w:val="24"/>
          <w:lang w:val="fr-FR"/>
        </w:rPr>
        <w:t>C</w:t>
      </w:r>
      <w:r w:rsidR="00AD780C" w:rsidRPr="00953692">
        <w:rPr>
          <w:sz w:val="24"/>
          <w:szCs w:val="24"/>
          <w:lang w:val="fr-FR"/>
        </w:rPr>
        <w:t>o-juges d’instruction peuvent en limiter plutôt la portée</w:t>
      </w:r>
      <w:r w:rsidR="00F93A12" w:rsidRPr="00953692">
        <w:rPr>
          <w:sz w:val="24"/>
          <w:szCs w:val="24"/>
          <w:lang w:val="fr-FR"/>
        </w:rPr>
        <w:t xml:space="preserve">. </w:t>
      </w:r>
      <w:r w:rsidR="00EB7FB3" w:rsidRPr="00953692">
        <w:rPr>
          <w:rStyle w:val="grammar"/>
          <w:rFonts w:cs="Times New Roman"/>
          <w:sz w:val="24"/>
          <w:szCs w:val="24"/>
          <w:lang w:val="fr-FR"/>
        </w:rPr>
        <w:t>À</w:t>
      </w:r>
      <w:r w:rsidR="00EB7FB3" w:rsidRPr="00953692">
        <w:rPr>
          <w:rFonts w:cs="Times New Roman"/>
          <w:sz w:val="24"/>
          <w:szCs w:val="24"/>
          <w:shd w:val="clear" w:color="auto" w:fill="FFFFFF"/>
          <w:lang w:val="fr-FR"/>
        </w:rPr>
        <w:t xml:space="preserve"> cet effet,</w:t>
      </w:r>
      <w:r w:rsidR="00EB7FB3" w:rsidRPr="00953692">
        <w:rPr>
          <w:rFonts w:ascii="Tahoma" w:hAnsi="Tahoma" w:cs="Tahoma"/>
          <w:sz w:val="24"/>
          <w:szCs w:val="24"/>
          <w:shd w:val="clear" w:color="auto" w:fill="FFFFFF"/>
          <w:lang w:val="fr-FR"/>
        </w:rPr>
        <w:t xml:space="preserve"> </w:t>
      </w:r>
      <w:r w:rsidR="00F93A12" w:rsidRPr="00953692">
        <w:rPr>
          <w:sz w:val="24"/>
          <w:szCs w:val="24"/>
          <w:lang w:val="fr-FR"/>
        </w:rPr>
        <w:t>ils</w:t>
      </w:r>
      <w:r w:rsidR="00AD780C" w:rsidRPr="00953692">
        <w:rPr>
          <w:i/>
          <w:iCs/>
          <w:sz w:val="24"/>
          <w:szCs w:val="24"/>
          <w:lang w:val="fr-FR"/>
        </w:rPr>
        <w:t xml:space="preserve"> </w:t>
      </w:r>
      <w:r w:rsidR="00563B73" w:rsidRPr="00953692">
        <w:rPr>
          <w:i/>
          <w:iCs/>
          <w:sz w:val="24"/>
          <w:szCs w:val="24"/>
          <w:lang w:val="fr-FR"/>
        </w:rPr>
        <w:t>exclu</w:t>
      </w:r>
      <w:r w:rsidR="00F93A12" w:rsidRPr="00953692">
        <w:rPr>
          <w:i/>
          <w:iCs/>
          <w:sz w:val="24"/>
          <w:szCs w:val="24"/>
          <w:lang w:val="fr-FR"/>
        </w:rPr>
        <w:t>e</w:t>
      </w:r>
      <w:r w:rsidR="00563B73" w:rsidRPr="00953692">
        <w:rPr>
          <w:i/>
          <w:iCs/>
          <w:sz w:val="24"/>
          <w:szCs w:val="24"/>
          <w:lang w:val="fr-FR"/>
        </w:rPr>
        <w:t>nt un certain nombre de faits figurant parmi ceux énoncés dans le réquisitoire introductif et, le cas échéant, un ou plusieurs réquisitoires supplétifs</w:t>
      </w:r>
      <w:r w:rsidR="00A57866" w:rsidRPr="00953692">
        <w:rPr>
          <w:rStyle w:val="Appelnotedebasdep"/>
          <w:i/>
          <w:iCs/>
          <w:sz w:val="24"/>
          <w:szCs w:val="24"/>
          <w:lang w:val="fr-FR"/>
        </w:rPr>
        <w:footnoteReference w:customMarkFollows="1" w:id="110"/>
        <w:t>88</w:t>
      </w:r>
      <w:r w:rsidR="00563B73" w:rsidRPr="00953692">
        <w:rPr>
          <w:sz w:val="24"/>
          <w:szCs w:val="24"/>
          <w:lang w:val="fr-FR"/>
        </w:rPr>
        <w:t>.</w:t>
      </w:r>
      <w:r w:rsidR="00E61053" w:rsidRPr="00953692">
        <w:rPr>
          <w:sz w:val="24"/>
          <w:szCs w:val="24"/>
          <w:lang w:val="fr-FR"/>
        </w:rPr>
        <w:t xml:space="preserve"> Cette réduction est </w:t>
      </w:r>
      <w:r w:rsidR="006B5187" w:rsidRPr="00953692">
        <w:rPr>
          <w:sz w:val="24"/>
          <w:szCs w:val="24"/>
          <w:lang w:val="fr-FR"/>
        </w:rPr>
        <w:t>envisagée</w:t>
      </w:r>
      <w:r w:rsidR="00E61053" w:rsidRPr="00953692">
        <w:rPr>
          <w:sz w:val="24"/>
          <w:szCs w:val="24"/>
          <w:lang w:val="fr-FR"/>
        </w:rPr>
        <w:t xml:space="preserve"> en tenant également comme du contexte temporel dans lequel opèrent les CETC. </w:t>
      </w:r>
    </w:p>
    <w:p w14:paraId="37055003" w14:textId="6439C00A" w:rsidR="00F93A12" w:rsidRPr="00953692" w:rsidRDefault="00C970DB" w:rsidP="00864BBF">
      <w:pPr>
        <w:spacing w:after="0" w:line="276" w:lineRule="auto"/>
        <w:ind w:firstLine="1134"/>
        <w:jc w:val="both"/>
        <w:rPr>
          <w:sz w:val="24"/>
          <w:szCs w:val="24"/>
          <w:lang w:val="fr-FR"/>
        </w:rPr>
      </w:pPr>
      <w:r w:rsidRPr="00953692">
        <w:rPr>
          <w:b/>
          <w:bCs/>
          <w:sz w:val="24"/>
          <w:szCs w:val="24"/>
          <w:lang w:val="fr-FR"/>
        </w:rPr>
        <w:t>141</w:t>
      </w:r>
      <w:r w:rsidR="00F93A12" w:rsidRPr="00953692">
        <w:rPr>
          <w:b/>
          <w:bCs/>
          <w:sz w:val="24"/>
          <w:szCs w:val="24"/>
          <w:lang w:val="fr-FR"/>
        </w:rPr>
        <w:t>.</w:t>
      </w:r>
      <w:r w:rsidR="00F93A12" w:rsidRPr="00953692">
        <w:rPr>
          <w:sz w:val="24"/>
          <w:szCs w:val="24"/>
          <w:lang w:val="fr-FR"/>
        </w:rPr>
        <w:t xml:space="preserve"> </w:t>
      </w:r>
      <w:r w:rsidR="00AD780C" w:rsidRPr="00953692">
        <w:rPr>
          <w:sz w:val="24"/>
          <w:szCs w:val="24"/>
          <w:lang w:val="fr-FR"/>
        </w:rPr>
        <w:t xml:space="preserve">Dans tous les cas, l’instruction se clôture par une ordonnance de non-lieu </w:t>
      </w:r>
      <w:r w:rsidR="008F5973" w:rsidRPr="00953692">
        <w:rPr>
          <w:sz w:val="24"/>
          <w:szCs w:val="24"/>
          <w:lang w:val="fr-FR"/>
        </w:rPr>
        <w:t xml:space="preserve">ou de renvoi, marquant ainsi, dans ce dernier cas, le début d’un procès en première instance. </w:t>
      </w:r>
      <w:r w:rsidR="004724EE" w:rsidRPr="00953692">
        <w:rPr>
          <w:sz w:val="24"/>
          <w:szCs w:val="24"/>
          <w:lang w:val="fr-FR"/>
        </w:rPr>
        <w:t>Dans ce cas, le chemin vers le procès en premièr</w:t>
      </w:r>
      <w:r w:rsidR="006F2517" w:rsidRPr="00953692">
        <w:rPr>
          <w:sz w:val="24"/>
          <w:szCs w:val="24"/>
          <w:lang w:val="fr-FR"/>
        </w:rPr>
        <w:t>e</w:t>
      </w:r>
      <w:r w:rsidR="004724EE" w:rsidRPr="00953692">
        <w:rPr>
          <w:sz w:val="24"/>
          <w:szCs w:val="24"/>
          <w:lang w:val="fr-FR"/>
        </w:rPr>
        <w:t xml:space="preserve"> instance à partir de la première comparution du suspect reste</w:t>
      </w:r>
      <w:r w:rsidR="00B115F1" w:rsidRPr="00953692">
        <w:rPr>
          <w:sz w:val="24"/>
          <w:szCs w:val="24"/>
          <w:lang w:val="fr-FR"/>
        </w:rPr>
        <w:t xml:space="preserve"> </w:t>
      </w:r>
      <w:r w:rsidR="000C2695" w:rsidRPr="00953692">
        <w:rPr>
          <w:sz w:val="24"/>
          <w:szCs w:val="24"/>
          <w:lang w:val="fr-FR"/>
        </w:rPr>
        <w:t>quand-même</w:t>
      </w:r>
      <w:r w:rsidR="004724EE" w:rsidRPr="00953692">
        <w:rPr>
          <w:sz w:val="24"/>
          <w:szCs w:val="24"/>
          <w:lang w:val="fr-FR"/>
        </w:rPr>
        <w:t xml:space="preserve"> </w:t>
      </w:r>
      <w:r w:rsidR="008B7FFA" w:rsidRPr="00953692">
        <w:rPr>
          <w:sz w:val="24"/>
          <w:szCs w:val="24"/>
          <w:lang w:val="fr-FR"/>
        </w:rPr>
        <w:t xml:space="preserve">important ou </w:t>
      </w:r>
      <w:r w:rsidR="004724EE" w:rsidRPr="00953692">
        <w:rPr>
          <w:sz w:val="24"/>
          <w:szCs w:val="24"/>
          <w:lang w:val="fr-FR"/>
        </w:rPr>
        <w:t>long</w:t>
      </w:r>
      <w:r w:rsidR="00B115F1" w:rsidRPr="00953692">
        <w:rPr>
          <w:sz w:val="24"/>
          <w:szCs w:val="24"/>
          <w:lang w:val="fr-FR"/>
        </w:rPr>
        <w:t>. Par conséquent, il est difficile d’imaginer théoriquement une liaison entre cette comparution et le procès dans un délai raisonnable</w:t>
      </w:r>
      <w:r w:rsidR="00DD2155" w:rsidRPr="00953692">
        <w:rPr>
          <w:sz w:val="24"/>
          <w:szCs w:val="24"/>
          <w:lang w:val="fr-FR"/>
        </w:rPr>
        <w:t xml:space="preserve"> au regard d</w:t>
      </w:r>
      <w:r w:rsidR="008B7FFA" w:rsidRPr="00953692">
        <w:rPr>
          <w:sz w:val="24"/>
          <w:szCs w:val="24"/>
          <w:lang w:val="fr-FR"/>
        </w:rPr>
        <w:t>e l’intervalle de temps plus ou moins long</w:t>
      </w:r>
      <w:r w:rsidR="00DD2155" w:rsidRPr="00953692">
        <w:rPr>
          <w:sz w:val="24"/>
          <w:szCs w:val="24"/>
          <w:lang w:val="fr-FR"/>
        </w:rPr>
        <w:t xml:space="preserve"> qui devrait pratiquement séparer les deux moments. </w:t>
      </w:r>
    </w:p>
    <w:p w14:paraId="23073507" w14:textId="017269BC" w:rsidR="00FF15E6" w:rsidRPr="00953692" w:rsidRDefault="00C970DB" w:rsidP="00864BBF">
      <w:pPr>
        <w:spacing w:after="0" w:line="276" w:lineRule="auto"/>
        <w:ind w:firstLine="1134"/>
        <w:jc w:val="both"/>
        <w:rPr>
          <w:sz w:val="24"/>
          <w:szCs w:val="24"/>
          <w:lang w:val="fr-FR"/>
        </w:rPr>
      </w:pPr>
      <w:r w:rsidRPr="00953692">
        <w:rPr>
          <w:b/>
          <w:bCs/>
          <w:sz w:val="24"/>
          <w:szCs w:val="24"/>
          <w:lang w:val="fr-FR"/>
        </w:rPr>
        <w:lastRenderedPageBreak/>
        <w:t>142</w:t>
      </w:r>
      <w:r w:rsidR="00F93A12" w:rsidRPr="00953692">
        <w:rPr>
          <w:b/>
          <w:bCs/>
          <w:sz w:val="24"/>
          <w:szCs w:val="24"/>
          <w:lang w:val="fr-FR"/>
        </w:rPr>
        <w:t>.</w:t>
      </w:r>
      <w:r w:rsidR="00F93A12" w:rsidRPr="00953692">
        <w:rPr>
          <w:sz w:val="24"/>
          <w:szCs w:val="24"/>
          <w:lang w:val="fr-FR"/>
        </w:rPr>
        <w:t xml:space="preserve"> </w:t>
      </w:r>
      <w:r w:rsidR="008B7FFA" w:rsidRPr="00953692">
        <w:rPr>
          <w:sz w:val="24"/>
          <w:szCs w:val="24"/>
          <w:lang w:val="fr-FR"/>
        </w:rPr>
        <w:t>On en vient la remarque selon laquelle</w:t>
      </w:r>
      <w:r w:rsidR="00DD2155" w:rsidRPr="00953692">
        <w:rPr>
          <w:sz w:val="24"/>
          <w:szCs w:val="24"/>
          <w:lang w:val="fr-FR"/>
        </w:rPr>
        <w:t>, le contexte d’application de la comparution initiale sans délai devant les TPI est plutôt favorable à l’ouverture d’un procès rapide</w:t>
      </w:r>
      <w:r w:rsidR="008B7FFA" w:rsidRPr="00953692">
        <w:rPr>
          <w:sz w:val="24"/>
          <w:szCs w:val="24"/>
          <w:lang w:val="fr-FR"/>
        </w:rPr>
        <w:t>ment</w:t>
      </w:r>
      <w:r w:rsidR="00DD2155" w:rsidRPr="00953692">
        <w:rPr>
          <w:sz w:val="24"/>
          <w:szCs w:val="24"/>
          <w:lang w:val="fr-FR"/>
        </w:rPr>
        <w:t>, puisque, comme il a été indiqué plus haut, la personne visée par la justice arrive au siège du tribunal compétent</w:t>
      </w:r>
      <w:r w:rsidR="00EB7FB3" w:rsidRPr="00953692">
        <w:rPr>
          <w:sz w:val="24"/>
          <w:szCs w:val="24"/>
          <w:lang w:val="fr-FR"/>
        </w:rPr>
        <w:t xml:space="preserve">, </w:t>
      </w:r>
      <w:r w:rsidR="008B7FFA" w:rsidRPr="00953692">
        <w:rPr>
          <w:sz w:val="24"/>
          <w:szCs w:val="24"/>
          <w:lang w:val="fr-FR"/>
        </w:rPr>
        <w:t>généralement</w:t>
      </w:r>
      <w:r w:rsidR="00EB7FB3" w:rsidRPr="00953692">
        <w:rPr>
          <w:sz w:val="24"/>
          <w:szCs w:val="24"/>
          <w:lang w:val="fr-FR"/>
        </w:rPr>
        <w:t>,</w:t>
      </w:r>
      <w:r w:rsidR="00DD2155" w:rsidRPr="00953692">
        <w:rPr>
          <w:sz w:val="24"/>
          <w:szCs w:val="24"/>
          <w:lang w:val="fr-FR"/>
        </w:rPr>
        <w:t xml:space="preserve"> en qualité d’accusé. Sa comparution initiale sans délai</w:t>
      </w:r>
      <w:r w:rsidR="008B7FFA" w:rsidRPr="00953692">
        <w:rPr>
          <w:sz w:val="24"/>
          <w:szCs w:val="24"/>
          <w:lang w:val="fr-FR"/>
        </w:rPr>
        <w:t>,</w:t>
      </w:r>
      <w:r w:rsidR="00DD2155" w:rsidRPr="00953692">
        <w:rPr>
          <w:sz w:val="24"/>
          <w:szCs w:val="24"/>
          <w:lang w:val="fr-FR"/>
        </w:rPr>
        <w:t xml:space="preserve"> telle que prévue par l’article 62 des RPP</w:t>
      </w:r>
      <w:r w:rsidR="008B7FFA" w:rsidRPr="00953692">
        <w:rPr>
          <w:sz w:val="24"/>
          <w:szCs w:val="24"/>
          <w:lang w:val="fr-FR"/>
        </w:rPr>
        <w:t>,</w:t>
      </w:r>
      <w:r w:rsidR="00DD2155" w:rsidRPr="00953692">
        <w:rPr>
          <w:sz w:val="24"/>
          <w:szCs w:val="24"/>
          <w:lang w:val="fr-FR"/>
        </w:rPr>
        <w:t xml:space="preserve"> a pour objet</w:t>
      </w:r>
      <w:r w:rsidR="008B7FFA" w:rsidRPr="00953692">
        <w:rPr>
          <w:sz w:val="24"/>
          <w:szCs w:val="24"/>
          <w:lang w:val="fr-FR"/>
        </w:rPr>
        <w:t>,</w:t>
      </w:r>
      <w:r w:rsidR="00DD2155" w:rsidRPr="00953692">
        <w:rPr>
          <w:sz w:val="24"/>
          <w:szCs w:val="24"/>
          <w:lang w:val="fr-FR"/>
        </w:rPr>
        <w:t xml:space="preserve"> </w:t>
      </w:r>
      <w:r w:rsidR="008B7FFA" w:rsidRPr="00953692">
        <w:rPr>
          <w:i/>
          <w:iCs/>
          <w:sz w:val="24"/>
          <w:szCs w:val="24"/>
          <w:lang w:val="fr-FR"/>
        </w:rPr>
        <w:t>grosso modo,</w:t>
      </w:r>
      <w:r w:rsidR="008B7FFA" w:rsidRPr="00953692">
        <w:rPr>
          <w:sz w:val="24"/>
          <w:szCs w:val="24"/>
          <w:lang w:val="fr-FR"/>
        </w:rPr>
        <w:t xml:space="preserve"> </w:t>
      </w:r>
      <w:r w:rsidR="00DD2155" w:rsidRPr="00953692">
        <w:rPr>
          <w:sz w:val="24"/>
          <w:szCs w:val="24"/>
          <w:lang w:val="fr-FR"/>
        </w:rPr>
        <w:t>de la mettre officiellement en accusation</w:t>
      </w:r>
      <w:r w:rsidR="00A57866" w:rsidRPr="00953692">
        <w:rPr>
          <w:sz w:val="24"/>
          <w:szCs w:val="24"/>
          <w:lang w:val="fr-FR"/>
        </w:rPr>
        <w:t>.</w:t>
      </w:r>
      <w:r w:rsidR="005E3297" w:rsidRPr="00953692">
        <w:rPr>
          <w:sz w:val="24"/>
          <w:szCs w:val="24"/>
          <w:lang w:val="fr-FR"/>
        </w:rPr>
        <w:t xml:space="preserve"> Ainsi, le moindre retard peut être lié à la durée globale de la procédure</w:t>
      </w:r>
      <w:r w:rsidR="00894F8F" w:rsidRPr="00953692">
        <w:rPr>
          <w:sz w:val="24"/>
          <w:szCs w:val="24"/>
          <w:lang w:val="fr-FR"/>
        </w:rPr>
        <w:t>, au droit d’être jugé sans retard excessif,</w:t>
      </w:r>
      <w:r w:rsidR="005E3297" w:rsidRPr="00953692">
        <w:rPr>
          <w:sz w:val="24"/>
          <w:szCs w:val="24"/>
          <w:lang w:val="fr-FR"/>
        </w:rPr>
        <w:t xml:space="preserve"> et en exiger une réparation.</w:t>
      </w:r>
    </w:p>
    <w:p w14:paraId="4DA72AB4" w14:textId="61B700EC" w:rsidR="00E65F6A" w:rsidRPr="00953692" w:rsidRDefault="00C970DB" w:rsidP="00864BBF">
      <w:pPr>
        <w:spacing w:after="0" w:line="276" w:lineRule="auto"/>
        <w:ind w:firstLine="1134"/>
        <w:jc w:val="both"/>
        <w:rPr>
          <w:sz w:val="24"/>
          <w:szCs w:val="24"/>
          <w:lang w:val="fr-FR"/>
        </w:rPr>
      </w:pPr>
      <w:r w:rsidRPr="00953692">
        <w:rPr>
          <w:b/>
          <w:bCs/>
          <w:sz w:val="24"/>
          <w:szCs w:val="24"/>
          <w:lang w:val="fr-FR"/>
        </w:rPr>
        <w:t>143</w:t>
      </w:r>
      <w:r w:rsidR="00FF15E6" w:rsidRPr="00953692">
        <w:rPr>
          <w:b/>
          <w:bCs/>
          <w:sz w:val="24"/>
          <w:szCs w:val="24"/>
          <w:lang w:val="fr-FR"/>
        </w:rPr>
        <w:t>.</w:t>
      </w:r>
      <w:r w:rsidR="00FF15E6" w:rsidRPr="00953692">
        <w:rPr>
          <w:sz w:val="24"/>
          <w:szCs w:val="24"/>
          <w:lang w:val="fr-FR"/>
        </w:rPr>
        <w:t xml:space="preserve"> </w:t>
      </w:r>
      <w:r w:rsidR="005E3297" w:rsidRPr="00953692">
        <w:rPr>
          <w:sz w:val="24"/>
          <w:szCs w:val="24"/>
          <w:lang w:val="fr-FR"/>
        </w:rPr>
        <w:t>Tel avait été le cas dans l’affaire Barayagwiza devant la Chambre d’appel du TPIR</w:t>
      </w:r>
      <w:r w:rsidR="006F2517" w:rsidRPr="00953692">
        <w:rPr>
          <w:sz w:val="24"/>
          <w:szCs w:val="24"/>
          <w:lang w:val="fr-FR"/>
        </w:rPr>
        <w:t>. Ce dernier qui interjetait appel contre la décision</w:t>
      </w:r>
      <w:r w:rsidR="00F93A12" w:rsidRPr="00953692">
        <w:rPr>
          <w:sz w:val="24"/>
          <w:szCs w:val="24"/>
          <w:lang w:val="fr-FR"/>
        </w:rPr>
        <w:t xml:space="preserve"> du 17 novembre 1998</w:t>
      </w:r>
      <w:r w:rsidR="00D8487C" w:rsidRPr="00953692">
        <w:rPr>
          <w:sz w:val="24"/>
          <w:szCs w:val="24"/>
          <w:lang w:val="fr-FR"/>
        </w:rPr>
        <w:t>,</w:t>
      </w:r>
      <w:r w:rsidR="006F2517" w:rsidRPr="00953692">
        <w:rPr>
          <w:sz w:val="24"/>
          <w:szCs w:val="24"/>
          <w:lang w:val="fr-FR"/>
        </w:rPr>
        <w:t xml:space="preserve"> </w:t>
      </w:r>
      <w:r w:rsidR="00215579" w:rsidRPr="00953692">
        <w:rPr>
          <w:sz w:val="24"/>
          <w:szCs w:val="24"/>
          <w:lang w:val="fr-FR"/>
        </w:rPr>
        <w:t>de la Chambre de première instanc</w:t>
      </w:r>
      <w:r w:rsidR="00F93A12" w:rsidRPr="00953692">
        <w:rPr>
          <w:sz w:val="24"/>
          <w:szCs w:val="24"/>
          <w:lang w:val="fr-FR"/>
        </w:rPr>
        <w:t>e, ayant</w:t>
      </w:r>
      <w:r w:rsidR="00215579" w:rsidRPr="00953692">
        <w:rPr>
          <w:sz w:val="24"/>
          <w:szCs w:val="24"/>
          <w:lang w:val="fr-FR"/>
        </w:rPr>
        <w:t xml:space="preserve"> rejeté sa requête en annulation de son arrestation et de sa détention, avait été arrêté au Cameroun le 15 avril 1996</w:t>
      </w:r>
      <w:r w:rsidR="00F93A12" w:rsidRPr="00953692">
        <w:rPr>
          <w:sz w:val="24"/>
          <w:szCs w:val="24"/>
          <w:lang w:val="fr-FR"/>
        </w:rPr>
        <w:t>,</w:t>
      </w:r>
      <w:r w:rsidR="00215579" w:rsidRPr="00953692">
        <w:rPr>
          <w:sz w:val="24"/>
          <w:szCs w:val="24"/>
          <w:lang w:val="fr-FR"/>
        </w:rPr>
        <w:t xml:space="preserve"> et transféré au siège du Tribunal le 19 novembre 1997. Sa comparution initiale n’a eu lieu que le 23 février 1998, soit 96 jours après son transfert</w:t>
      </w:r>
      <w:r w:rsidR="00D8487C" w:rsidRPr="00953692">
        <w:rPr>
          <w:sz w:val="24"/>
          <w:szCs w:val="24"/>
          <w:lang w:val="fr-FR"/>
        </w:rPr>
        <w:t xml:space="preserve"> au siège du tribunal international</w:t>
      </w:r>
      <w:r w:rsidR="00A57866" w:rsidRPr="00953692">
        <w:rPr>
          <w:rStyle w:val="Appelnotedebasdep"/>
          <w:sz w:val="24"/>
          <w:szCs w:val="24"/>
          <w:lang w:val="fr-FR"/>
        </w:rPr>
        <w:footnoteReference w:customMarkFollows="1" w:id="111"/>
        <w:t>89</w:t>
      </w:r>
      <w:r w:rsidR="00215579" w:rsidRPr="00953692">
        <w:rPr>
          <w:sz w:val="24"/>
          <w:szCs w:val="24"/>
          <w:lang w:val="fr-FR"/>
        </w:rPr>
        <w:t xml:space="preserve">. </w:t>
      </w:r>
      <w:r w:rsidR="0065553C" w:rsidRPr="00953692">
        <w:rPr>
          <w:sz w:val="24"/>
          <w:szCs w:val="24"/>
          <w:lang w:val="fr-FR"/>
        </w:rPr>
        <w:t>La Chambre d’appel</w:t>
      </w:r>
      <w:r w:rsidR="00EB7FB3" w:rsidRPr="00953692">
        <w:rPr>
          <w:sz w:val="24"/>
          <w:szCs w:val="24"/>
          <w:lang w:val="fr-FR"/>
        </w:rPr>
        <w:t xml:space="preserve">, </w:t>
      </w:r>
      <w:r w:rsidR="0065553C" w:rsidRPr="00953692">
        <w:rPr>
          <w:sz w:val="24"/>
          <w:szCs w:val="24"/>
          <w:lang w:val="fr-FR"/>
        </w:rPr>
        <w:t>constatant l’injustification de ce retard, a</w:t>
      </w:r>
      <w:r w:rsidR="00F2519D" w:rsidRPr="00953692">
        <w:rPr>
          <w:sz w:val="24"/>
          <w:szCs w:val="24"/>
          <w:lang w:val="fr-FR"/>
        </w:rPr>
        <w:t>vait</w:t>
      </w:r>
      <w:r w:rsidR="0065553C" w:rsidRPr="00953692">
        <w:rPr>
          <w:sz w:val="24"/>
          <w:szCs w:val="24"/>
          <w:lang w:val="fr-FR"/>
        </w:rPr>
        <w:t xml:space="preserve"> donc jugé qu’il constituait une violation du droit d</w:t>
      </w:r>
      <w:r w:rsidR="008B7FFA" w:rsidRPr="00953692">
        <w:rPr>
          <w:sz w:val="24"/>
          <w:szCs w:val="24"/>
          <w:lang w:val="fr-FR"/>
        </w:rPr>
        <w:t>e l’accusé</w:t>
      </w:r>
      <w:r w:rsidR="0065553C" w:rsidRPr="00953692">
        <w:rPr>
          <w:sz w:val="24"/>
          <w:szCs w:val="24"/>
          <w:lang w:val="fr-FR"/>
        </w:rPr>
        <w:t xml:space="preserve"> de comparaitre initialement sans délai dès son transfert au siège du Tribunal</w:t>
      </w:r>
      <w:r w:rsidR="00455BF7" w:rsidRPr="00953692">
        <w:rPr>
          <w:sz w:val="24"/>
          <w:szCs w:val="24"/>
          <w:lang w:val="fr-FR"/>
        </w:rPr>
        <w:t>.</w:t>
      </w:r>
      <w:r w:rsidR="00151320" w:rsidRPr="00953692">
        <w:rPr>
          <w:sz w:val="24"/>
          <w:szCs w:val="24"/>
          <w:lang w:val="fr-FR"/>
        </w:rPr>
        <w:t xml:space="preserve"> Dans s</w:t>
      </w:r>
      <w:r w:rsidR="00D8487C" w:rsidRPr="00953692">
        <w:rPr>
          <w:sz w:val="24"/>
          <w:szCs w:val="24"/>
          <w:lang w:val="fr-FR"/>
        </w:rPr>
        <w:t>on argumentation</w:t>
      </w:r>
      <w:r w:rsidR="00151320" w:rsidRPr="00953692">
        <w:rPr>
          <w:sz w:val="24"/>
          <w:szCs w:val="24"/>
          <w:lang w:val="fr-FR"/>
        </w:rPr>
        <w:t>, la Chambre a combiné l’article 62 du RPP avec les articles 19, 20 du statut du TPIR</w:t>
      </w:r>
      <w:r w:rsidR="00786845" w:rsidRPr="00953692">
        <w:rPr>
          <w:rStyle w:val="Appelnotedebasdep"/>
          <w:sz w:val="24"/>
          <w:szCs w:val="24"/>
          <w:lang w:val="fr-FR"/>
        </w:rPr>
        <w:footnoteReference w:customMarkFollows="1" w:id="112"/>
        <w:t>90</w:t>
      </w:r>
      <w:r w:rsidR="00A023C6" w:rsidRPr="00953692">
        <w:rPr>
          <w:sz w:val="24"/>
          <w:szCs w:val="24"/>
          <w:lang w:val="fr-FR"/>
        </w:rPr>
        <w:t xml:space="preserve">, </w:t>
      </w:r>
      <w:r w:rsidR="00151320" w:rsidRPr="00953692">
        <w:rPr>
          <w:sz w:val="24"/>
          <w:szCs w:val="24"/>
          <w:lang w:val="fr-FR"/>
        </w:rPr>
        <w:t>qui prévoient</w:t>
      </w:r>
      <w:r w:rsidR="00EB7FB3" w:rsidRPr="00953692">
        <w:rPr>
          <w:sz w:val="24"/>
          <w:szCs w:val="24"/>
          <w:lang w:val="fr-FR"/>
        </w:rPr>
        <w:t>,</w:t>
      </w:r>
      <w:r w:rsidR="00151320" w:rsidRPr="00953692">
        <w:rPr>
          <w:sz w:val="24"/>
          <w:szCs w:val="24"/>
          <w:lang w:val="fr-FR"/>
        </w:rPr>
        <w:t xml:space="preserve"> respectivement</w:t>
      </w:r>
      <w:r w:rsidR="00D8487C" w:rsidRPr="00953692">
        <w:rPr>
          <w:sz w:val="24"/>
          <w:szCs w:val="24"/>
          <w:lang w:val="fr-FR"/>
        </w:rPr>
        <w:t xml:space="preserve"> le droit à la comparution initiale sans délai,</w:t>
      </w:r>
      <w:r w:rsidR="00151320" w:rsidRPr="00953692">
        <w:rPr>
          <w:sz w:val="24"/>
          <w:szCs w:val="24"/>
          <w:lang w:val="fr-FR"/>
        </w:rPr>
        <w:t xml:space="preserve"> le droit d’être jugé sans retard excessif et l’obligation incombant aux juges de conduire le procès avec rapidité et équité.</w:t>
      </w:r>
      <w:r w:rsidR="00455BF7" w:rsidRPr="00953692">
        <w:rPr>
          <w:sz w:val="24"/>
          <w:szCs w:val="24"/>
          <w:lang w:val="fr-FR"/>
        </w:rPr>
        <w:t xml:space="preserve"> </w:t>
      </w:r>
      <w:r w:rsidR="00BF5D91" w:rsidRPr="00953692">
        <w:rPr>
          <w:sz w:val="24"/>
          <w:szCs w:val="24"/>
          <w:lang w:val="fr-FR"/>
        </w:rPr>
        <w:t>Une telle lecture combinée montre le lien inconditionnel qui existe entre cette comparution initiale et le délai raisonnable du procès</w:t>
      </w:r>
      <w:r w:rsidR="00CB7D85" w:rsidRPr="00953692">
        <w:rPr>
          <w:sz w:val="24"/>
          <w:szCs w:val="24"/>
          <w:lang w:val="fr-FR"/>
        </w:rPr>
        <w:t xml:space="preserve"> entretenu par l</w:t>
      </w:r>
      <w:r w:rsidR="000C2695" w:rsidRPr="00953692">
        <w:rPr>
          <w:sz w:val="24"/>
          <w:szCs w:val="24"/>
          <w:lang w:val="fr-FR"/>
        </w:rPr>
        <w:t xml:space="preserve">a </w:t>
      </w:r>
      <w:r w:rsidR="00A023C6" w:rsidRPr="00953692">
        <w:rPr>
          <w:sz w:val="24"/>
          <w:szCs w:val="24"/>
          <w:lang w:val="fr-FR"/>
        </w:rPr>
        <w:t>continuité</w:t>
      </w:r>
      <w:r w:rsidR="00CB7D85" w:rsidRPr="00953692">
        <w:rPr>
          <w:sz w:val="24"/>
          <w:szCs w:val="24"/>
          <w:lang w:val="fr-FR"/>
        </w:rPr>
        <w:t xml:space="preserve"> du temps</w:t>
      </w:r>
      <w:r w:rsidR="00A023C6" w:rsidRPr="00953692">
        <w:rPr>
          <w:sz w:val="24"/>
          <w:szCs w:val="24"/>
          <w:lang w:val="fr-FR"/>
        </w:rPr>
        <w:t xml:space="preserve"> de la procédure</w:t>
      </w:r>
      <w:r w:rsidR="00CB7D85" w:rsidRPr="00953692">
        <w:rPr>
          <w:sz w:val="24"/>
          <w:szCs w:val="24"/>
          <w:lang w:val="fr-FR"/>
        </w:rPr>
        <w:t>.</w:t>
      </w:r>
    </w:p>
    <w:p w14:paraId="0BA9B44F" w14:textId="1C7E6683" w:rsidR="00FF15E6" w:rsidRPr="00953692" w:rsidRDefault="00C970DB" w:rsidP="00864BBF">
      <w:pPr>
        <w:spacing w:after="0" w:line="276" w:lineRule="auto"/>
        <w:ind w:firstLine="1134"/>
        <w:jc w:val="both"/>
        <w:rPr>
          <w:sz w:val="24"/>
          <w:szCs w:val="24"/>
          <w:lang w:val="fr-FR"/>
        </w:rPr>
      </w:pPr>
      <w:r w:rsidRPr="00953692">
        <w:rPr>
          <w:b/>
          <w:bCs/>
          <w:sz w:val="24"/>
          <w:szCs w:val="24"/>
          <w:lang w:val="fr-FR"/>
        </w:rPr>
        <w:t>144</w:t>
      </w:r>
      <w:r w:rsidR="00FF15E6" w:rsidRPr="00953692">
        <w:rPr>
          <w:b/>
          <w:bCs/>
          <w:sz w:val="24"/>
          <w:szCs w:val="24"/>
          <w:lang w:val="fr-FR"/>
        </w:rPr>
        <w:t>.</w:t>
      </w:r>
      <w:r w:rsidR="00FF15E6" w:rsidRPr="00953692">
        <w:rPr>
          <w:sz w:val="24"/>
          <w:szCs w:val="24"/>
          <w:lang w:val="fr-FR"/>
        </w:rPr>
        <w:t xml:space="preserve"> </w:t>
      </w:r>
      <w:r w:rsidR="00E65F6A" w:rsidRPr="00953692">
        <w:rPr>
          <w:sz w:val="24"/>
          <w:szCs w:val="24"/>
          <w:lang w:val="fr-FR"/>
        </w:rPr>
        <w:t>Pour arriver à la conclusion d’une violation de l’article 62 sous examen, l</w:t>
      </w:r>
      <w:r w:rsidR="00455BF7" w:rsidRPr="00953692">
        <w:rPr>
          <w:sz w:val="24"/>
          <w:szCs w:val="24"/>
          <w:lang w:val="fr-FR"/>
        </w:rPr>
        <w:t xml:space="preserve">a Chambre s’est </w:t>
      </w:r>
      <w:r w:rsidR="00151320" w:rsidRPr="00953692">
        <w:rPr>
          <w:sz w:val="24"/>
          <w:szCs w:val="24"/>
          <w:lang w:val="fr-FR"/>
        </w:rPr>
        <w:t>appuyée</w:t>
      </w:r>
      <w:r w:rsidR="00455BF7" w:rsidRPr="00953692">
        <w:rPr>
          <w:sz w:val="24"/>
          <w:szCs w:val="24"/>
          <w:lang w:val="fr-FR"/>
        </w:rPr>
        <w:t xml:space="preserve"> </w:t>
      </w:r>
      <w:r w:rsidR="00E65F6A" w:rsidRPr="00953692">
        <w:rPr>
          <w:sz w:val="24"/>
          <w:szCs w:val="24"/>
          <w:lang w:val="fr-FR"/>
        </w:rPr>
        <w:t>fin</w:t>
      </w:r>
      <w:r w:rsidR="00455BF7" w:rsidRPr="00953692">
        <w:rPr>
          <w:sz w:val="24"/>
          <w:szCs w:val="24"/>
          <w:lang w:val="fr-FR"/>
        </w:rPr>
        <w:t>alement sur l’expression « sans délai »</w:t>
      </w:r>
      <w:r w:rsidR="00786845" w:rsidRPr="00953692">
        <w:rPr>
          <w:rStyle w:val="Appelnotedebasdep"/>
          <w:sz w:val="24"/>
          <w:szCs w:val="24"/>
          <w:lang w:val="fr-FR"/>
        </w:rPr>
        <w:footnoteReference w:customMarkFollows="1" w:id="113"/>
        <w:t>91</w:t>
      </w:r>
      <w:r w:rsidR="001359C5" w:rsidRPr="00953692">
        <w:rPr>
          <w:sz w:val="24"/>
          <w:szCs w:val="24"/>
          <w:lang w:val="fr-FR"/>
        </w:rPr>
        <w:t>, qu’elle n’a pas défini</w:t>
      </w:r>
      <w:r w:rsidR="00E3409F" w:rsidRPr="00953692">
        <w:rPr>
          <w:sz w:val="24"/>
          <w:szCs w:val="24"/>
          <w:lang w:val="fr-FR"/>
        </w:rPr>
        <w:t>e par ailleurs</w:t>
      </w:r>
      <w:r w:rsidR="001359C5" w:rsidRPr="00953692">
        <w:rPr>
          <w:sz w:val="24"/>
          <w:szCs w:val="24"/>
          <w:lang w:val="fr-FR"/>
        </w:rPr>
        <w:t xml:space="preserve">. Cependant, cette </w:t>
      </w:r>
      <w:r w:rsidR="009C5163" w:rsidRPr="00953692">
        <w:rPr>
          <w:sz w:val="24"/>
          <w:szCs w:val="24"/>
          <w:lang w:val="fr-FR"/>
        </w:rPr>
        <w:t xml:space="preserve">locution adverbiale signifie dans son sens conventionnel « sur-le-champ, aussitôt, tout de suite ». Elle prend également le sens </w:t>
      </w:r>
      <w:r w:rsidR="00EB7FB3" w:rsidRPr="00953692">
        <w:rPr>
          <w:sz w:val="24"/>
          <w:szCs w:val="24"/>
          <w:lang w:val="fr-FR"/>
        </w:rPr>
        <w:t>‘’</w:t>
      </w:r>
      <w:r w:rsidR="009C5163" w:rsidRPr="00953692">
        <w:rPr>
          <w:sz w:val="24"/>
          <w:szCs w:val="24"/>
          <w:lang w:val="fr-FR"/>
        </w:rPr>
        <w:t>d</w:t>
      </w:r>
      <w:r w:rsidR="00EB7FB3" w:rsidRPr="00953692">
        <w:rPr>
          <w:sz w:val="24"/>
          <w:szCs w:val="24"/>
          <w:lang w:val="fr-FR"/>
        </w:rPr>
        <w:t>’</w:t>
      </w:r>
      <w:r w:rsidR="009C5163" w:rsidRPr="00953692">
        <w:rPr>
          <w:sz w:val="24"/>
          <w:szCs w:val="24"/>
          <w:lang w:val="fr-FR"/>
        </w:rPr>
        <w:t xml:space="preserve">immédiatement’’. </w:t>
      </w:r>
      <w:r w:rsidR="00593E5F" w:rsidRPr="00953692">
        <w:rPr>
          <w:sz w:val="24"/>
          <w:szCs w:val="24"/>
          <w:lang w:val="fr-FR"/>
        </w:rPr>
        <w:t>On voit la rigidité d’une telle exigence qui semble laisser aucune marge des manœuvres possible aux acteurs judiciaires</w:t>
      </w:r>
      <w:r w:rsidR="00D8487C" w:rsidRPr="00953692">
        <w:rPr>
          <w:sz w:val="24"/>
          <w:szCs w:val="24"/>
          <w:lang w:val="fr-FR"/>
        </w:rPr>
        <w:t>, chargés de mettre en œuvre cette disposition</w:t>
      </w:r>
      <w:r w:rsidR="00593E5F" w:rsidRPr="00953692">
        <w:rPr>
          <w:sz w:val="24"/>
          <w:szCs w:val="24"/>
          <w:lang w:val="fr-FR"/>
        </w:rPr>
        <w:t xml:space="preserve">. Il y a plutôt en effet une forme d’idéalisation de cette temporalité. </w:t>
      </w:r>
      <w:r w:rsidR="00A023C6" w:rsidRPr="00953692">
        <w:rPr>
          <w:sz w:val="24"/>
          <w:szCs w:val="24"/>
          <w:lang w:val="fr-FR"/>
        </w:rPr>
        <w:t>Or, on le sait, l</w:t>
      </w:r>
      <w:r w:rsidR="00593E5F" w:rsidRPr="00953692">
        <w:rPr>
          <w:sz w:val="24"/>
          <w:szCs w:val="24"/>
          <w:lang w:val="fr-FR"/>
        </w:rPr>
        <w:t>a justice n’est pas une machine à taper qui s’exécute instantanément à la suite de chaque mouvement. Il faut du temps nécessaire aux formalités administratives, aux rituels judiciaires</w:t>
      </w:r>
      <w:r w:rsidR="008B7FFA" w:rsidRPr="00953692">
        <w:rPr>
          <w:sz w:val="24"/>
          <w:szCs w:val="24"/>
          <w:lang w:val="fr-FR"/>
        </w:rPr>
        <w:t>,</w:t>
      </w:r>
      <w:r w:rsidR="00593E5F" w:rsidRPr="00953692">
        <w:rPr>
          <w:sz w:val="24"/>
          <w:szCs w:val="24"/>
          <w:lang w:val="fr-FR"/>
        </w:rPr>
        <w:t xml:space="preserve"> etc. Mais, une telle exigence élevée</w:t>
      </w:r>
      <w:r w:rsidR="008B7FFA" w:rsidRPr="00953692">
        <w:rPr>
          <w:sz w:val="24"/>
          <w:szCs w:val="24"/>
          <w:lang w:val="fr-FR"/>
        </w:rPr>
        <w:t>,</w:t>
      </w:r>
      <w:r w:rsidR="00593E5F" w:rsidRPr="00953692">
        <w:rPr>
          <w:sz w:val="24"/>
          <w:szCs w:val="24"/>
          <w:lang w:val="fr-FR"/>
        </w:rPr>
        <w:t xml:space="preserve"> </w:t>
      </w:r>
      <w:r w:rsidR="00A023C6" w:rsidRPr="00953692">
        <w:rPr>
          <w:sz w:val="24"/>
          <w:szCs w:val="24"/>
          <w:lang w:val="fr-FR"/>
        </w:rPr>
        <w:t>viserait plutôt à</w:t>
      </w:r>
      <w:r w:rsidR="00593E5F" w:rsidRPr="00953692">
        <w:rPr>
          <w:sz w:val="24"/>
          <w:szCs w:val="24"/>
          <w:lang w:val="fr-FR"/>
        </w:rPr>
        <w:t xml:space="preserve"> limiter strictement</w:t>
      </w:r>
      <w:r w:rsidR="00A023C6" w:rsidRPr="00953692">
        <w:rPr>
          <w:sz w:val="24"/>
          <w:szCs w:val="24"/>
          <w:lang w:val="fr-FR"/>
        </w:rPr>
        <w:t xml:space="preserve"> possible</w:t>
      </w:r>
      <w:r w:rsidR="00593E5F" w:rsidRPr="00953692">
        <w:rPr>
          <w:sz w:val="24"/>
          <w:szCs w:val="24"/>
          <w:lang w:val="fr-FR"/>
        </w:rPr>
        <w:t xml:space="preserve"> ce temps</w:t>
      </w:r>
      <w:r w:rsidR="00A023C6" w:rsidRPr="00953692">
        <w:rPr>
          <w:sz w:val="24"/>
          <w:szCs w:val="24"/>
          <w:lang w:val="fr-FR"/>
        </w:rPr>
        <w:t xml:space="preserve"> judiciaire</w:t>
      </w:r>
      <w:r w:rsidR="00593E5F" w:rsidRPr="00953692">
        <w:rPr>
          <w:sz w:val="24"/>
          <w:szCs w:val="24"/>
          <w:lang w:val="fr-FR"/>
        </w:rPr>
        <w:t xml:space="preserve">. Ainsi, </w:t>
      </w:r>
      <w:r w:rsidR="00A023C6" w:rsidRPr="00953692">
        <w:rPr>
          <w:sz w:val="24"/>
          <w:szCs w:val="24"/>
          <w:lang w:val="fr-FR"/>
        </w:rPr>
        <w:t xml:space="preserve">par exemple, </w:t>
      </w:r>
      <w:r w:rsidR="00593E5F" w:rsidRPr="00953692">
        <w:rPr>
          <w:sz w:val="24"/>
          <w:szCs w:val="24"/>
          <w:lang w:val="fr-FR"/>
        </w:rPr>
        <w:t>le délai de 2 ou 3 jours tel que prévu dans le Guide pratique des Chambres de la CPI</w:t>
      </w:r>
      <w:r w:rsidR="00786845" w:rsidRPr="00953692">
        <w:rPr>
          <w:rStyle w:val="Appelnotedebasdep"/>
          <w:sz w:val="24"/>
          <w:szCs w:val="24"/>
          <w:lang w:val="fr-FR"/>
        </w:rPr>
        <w:footnoteReference w:customMarkFollows="1" w:id="114"/>
        <w:t>92</w:t>
      </w:r>
      <w:r w:rsidR="00EB7FB3" w:rsidRPr="00953692">
        <w:rPr>
          <w:sz w:val="24"/>
          <w:szCs w:val="24"/>
          <w:lang w:val="fr-FR"/>
        </w:rPr>
        <w:t xml:space="preserve">, </w:t>
      </w:r>
      <w:r w:rsidR="00593E5F" w:rsidRPr="00953692">
        <w:rPr>
          <w:sz w:val="24"/>
          <w:szCs w:val="24"/>
          <w:lang w:val="fr-FR"/>
        </w:rPr>
        <w:t xml:space="preserve">semble raisonnable et </w:t>
      </w:r>
      <w:r w:rsidR="00745EF0" w:rsidRPr="00953692">
        <w:rPr>
          <w:sz w:val="24"/>
          <w:szCs w:val="24"/>
          <w:lang w:val="fr-FR"/>
        </w:rPr>
        <w:t xml:space="preserve">peut </w:t>
      </w:r>
      <w:r w:rsidR="00593E5F" w:rsidRPr="00953692">
        <w:rPr>
          <w:sz w:val="24"/>
          <w:szCs w:val="24"/>
          <w:lang w:val="fr-FR"/>
        </w:rPr>
        <w:t>correspond</w:t>
      </w:r>
      <w:r w:rsidR="00745EF0" w:rsidRPr="00953692">
        <w:rPr>
          <w:sz w:val="24"/>
          <w:szCs w:val="24"/>
          <w:lang w:val="fr-FR"/>
        </w:rPr>
        <w:t>re</w:t>
      </w:r>
      <w:r w:rsidR="00593E5F" w:rsidRPr="00953692">
        <w:rPr>
          <w:sz w:val="24"/>
          <w:szCs w:val="24"/>
          <w:lang w:val="fr-FR"/>
        </w:rPr>
        <w:t xml:space="preserve"> à l’exigence de l’article 6</w:t>
      </w:r>
      <w:r w:rsidR="00745EF0" w:rsidRPr="00953692">
        <w:rPr>
          <w:sz w:val="24"/>
          <w:szCs w:val="24"/>
          <w:lang w:val="fr-FR"/>
        </w:rPr>
        <w:t>2</w:t>
      </w:r>
      <w:r w:rsidR="00593E5F" w:rsidRPr="00953692">
        <w:rPr>
          <w:sz w:val="24"/>
          <w:szCs w:val="24"/>
          <w:lang w:val="fr-FR"/>
        </w:rPr>
        <w:t xml:space="preserve"> du </w:t>
      </w:r>
      <w:r w:rsidR="00745EF0" w:rsidRPr="00953692">
        <w:rPr>
          <w:sz w:val="24"/>
          <w:szCs w:val="24"/>
          <w:lang w:val="fr-FR"/>
        </w:rPr>
        <w:t>RPP des TPI</w:t>
      </w:r>
      <w:r w:rsidR="00593E5F" w:rsidRPr="00953692">
        <w:rPr>
          <w:sz w:val="24"/>
          <w:szCs w:val="24"/>
          <w:lang w:val="fr-FR"/>
        </w:rPr>
        <w:t>.</w:t>
      </w:r>
    </w:p>
    <w:p w14:paraId="67F0DC4D" w14:textId="63852C81" w:rsidR="00FF15E6" w:rsidRPr="00953692" w:rsidRDefault="00C970DB" w:rsidP="00864BBF">
      <w:pPr>
        <w:spacing w:after="0" w:line="276" w:lineRule="auto"/>
        <w:ind w:firstLine="1134"/>
        <w:jc w:val="both"/>
        <w:rPr>
          <w:sz w:val="24"/>
          <w:szCs w:val="24"/>
          <w:lang w:val="fr-FR"/>
        </w:rPr>
      </w:pPr>
      <w:r w:rsidRPr="00953692">
        <w:rPr>
          <w:b/>
          <w:bCs/>
          <w:sz w:val="24"/>
          <w:szCs w:val="24"/>
          <w:lang w:val="fr-FR"/>
        </w:rPr>
        <w:t>145</w:t>
      </w:r>
      <w:r w:rsidR="00FF15E6" w:rsidRPr="00953692">
        <w:rPr>
          <w:b/>
          <w:bCs/>
          <w:sz w:val="24"/>
          <w:szCs w:val="24"/>
          <w:lang w:val="fr-FR"/>
        </w:rPr>
        <w:t>.</w:t>
      </w:r>
      <w:r w:rsidR="00FF15E6" w:rsidRPr="00953692">
        <w:rPr>
          <w:sz w:val="24"/>
          <w:szCs w:val="24"/>
          <w:lang w:val="fr-FR"/>
        </w:rPr>
        <w:t xml:space="preserve"> </w:t>
      </w:r>
      <w:r w:rsidR="00A023C6" w:rsidRPr="00953692">
        <w:rPr>
          <w:sz w:val="24"/>
          <w:szCs w:val="24"/>
          <w:lang w:val="fr-FR"/>
        </w:rPr>
        <w:t>Voyons d</w:t>
      </w:r>
      <w:r w:rsidR="007B2822" w:rsidRPr="00953692">
        <w:rPr>
          <w:sz w:val="24"/>
          <w:szCs w:val="24"/>
          <w:lang w:val="fr-FR"/>
        </w:rPr>
        <w:t xml:space="preserve">ans l’affaire Joseph Kanyabashi, </w:t>
      </w:r>
      <w:r w:rsidR="00A023C6" w:rsidRPr="00953692">
        <w:rPr>
          <w:sz w:val="24"/>
          <w:szCs w:val="24"/>
          <w:lang w:val="fr-FR"/>
        </w:rPr>
        <w:t xml:space="preserve">où </w:t>
      </w:r>
      <w:r w:rsidR="007B2822" w:rsidRPr="00953692">
        <w:rPr>
          <w:sz w:val="24"/>
          <w:szCs w:val="24"/>
          <w:lang w:val="fr-FR"/>
        </w:rPr>
        <w:t xml:space="preserve">la Chambre de première instance II du TPIR a pu développer un raisonnement quelque peu inquiétant de l’article </w:t>
      </w:r>
      <w:r w:rsidR="007B2822" w:rsidRPr="00953692">
        <w:rPr>
          <w:sz w:val="24"/>
          <w:szCs w:val="24"/>
          <w:lang w:val="fr-FR"/>
        </w:rPr>
        <w:lastRenderedPageBreak/>
        <w:t xml:space="preserve">62, plus spécialement de l’expression sans délai qui </w:t>
      </w:r>
      <w:r w:rsidR="00A023C6" w:rsidRPr="00953692">
        <w:rPr>
          <w:sz w:val="24"/>
          <w:szCs w:val="24"/>
          <w:lang w:val="fr-FR"/>
        </w:rPr>
        <w:t>l’</w:t>
      </w:r>
      <w:r w:rsidR="007B2822" w:rsidRPr="00953692">
        <w:rPr>
          <w:sz w:val="24"/>
          <w:szCs w:val="24"/>
          <w:lang w:val="fr-FR"/>
        </w:rPr>
        <w:t xml:space="preserve">en particularise. </w:t>
      </w:r>
      <w:r w:rsidR="00BF740B" w:rsidRPr="00953692">
        <w:rPr>
          <w:sz w:val="24"/>
          <w:szCs w:val="24"/>
          <w:lang w:val="fr-FR"/>
        </w:rPr>
        <w:t xml:space="preserve">D’abord, il sied de noter que cette affaire a </w:t>
      </w:r>
      <w:r w:rsidR="00745EF0" w:rsidRPr="00953692">
        <w:rPr>
          <w:sz w:val="24"/>
          <w:szCs w:val="24"/>
          <w:lang w:val="fr-FR"/>
        </w:rPr>
        <w:t xml:space="preserve">également </w:t>
      </w:r>
      <w:r w:rsidR="00BF740B" w:rsidRPr="00953692">
        <w:rPr>
          <w:sz w:val="24"/>
          <w:szCs w:val="24"/>
          <w:lang w:val="fr-FR"/>
        </w:rPr>
        <w:t xml:space="preserve">le mérite d’associer clairement </w:t>
      </w:r>
      <w:r w:rsidR="00B14CD9" w:rsidRPr="00953692">
        <w:rPr>
          <w:sz w:val="24"/>
          <w:szCs w:val="24"/>
          <w:lang w:val="fr-FR"/>
        </w:rPr>
        <w:t>la comparution initiale au droit de l’accusé d’être jugé sans retard excessif</w:t>
      </w:r>
      <w:r w:rsidR="00A023C6" w:rsidRPr="00953692">
        <w:rPr>
          <w:sz w:val="24"/>
          <w:szCs w:val="24"/>
          <w:lang w:val="fr-FR"/>
        </w:rPr>
        <w:t>, contrairement à l’affaire Barayagwiza</w:t>
      </w:r>
      <w:r w:rsidR="00B14CD9" w:rsidRPr="00953692">
        <w:rPr>
          <w:sz w:val="24"/>
          <w:szCs w:val="24"/>
          <w:lang w:val="fr-FR"/>
        </w:rPr>
        <w:t xml:space="preserve">. Car, </w:t>
      </w:r>
      <w:r w:rsidR="00A023C6" w:rsidRPr="00953692">
        <w:rPr>
          <w:sz w:val="24"/>
          <w:szCs w:val="24"/>
          <w:lang w:val="fr-FR"/>
        </w:rPr>
        <w:t>Joseph Kanyabashi</w:t>
      </w:r>
      <w:r w:rsidR="00B14CD9" w:rsidRPr="00953692">
        <w:rPr>
          <w:sz w:val="24"/>
          <w:szCs w:val="24"/>
          <w:lang w:val="fr-FR"/>
        </w:rPr>
        <w:t xml:space="preserve"> </w:t>
      </w:r>
      <w:r w:rsidR="00EE107F" w:rsidRPr="00953692">
        <w:rPr>
          <w:sz w:val="24"/>
          <w:szCs w:val="24"/>
          <w:lang w:val="fr-FR"/>
        </w:rPr>
        <w:t xml:space="preserve">s’est plaint </w:t>
      </w:r>
      <w:r w:rsidR="00BD7176" w:rsidRPr="00953692">
        <w:rPr>
          <w:sz w:val="24"/>
          <w:szCs w:val="24"/>
          <w:lang w:val="fr-FR"/>
        </w:rPr>
        <w:t>dans une</w:t>
      </w:r>
      <w:r w:rsidR="00B14CD9" w:rsidRPr="00953692">
        <w:rPr>
          <w:sz w:val="24"/>
          <w:szCs w:val="24"/>
          <w:lang w:val="fr-FR"/>
        </w:rPr>
        <w:t xml:space="preserve"> </w:t>
      </w:r>
      <w:r w:rsidR="00BD7176" w:rsidRPr="00953692">
        <w:rPr>
          <w:sz w:val="24"/>
          <w:szCs w:val="24"/>
          <w:lang w:val="fr-FR"/>
        </w:rPr>
        <w:t>requête en extrême urgence en habeas corpus et arrêt des procédures le 25 février 2000,</w:t>
      </w:r>
      <w:r w:rsidR="00A023C6" w:rsidRPr="00953692">
        <w:rPr>
          <w:sz w:val="24"/>
          <w:szCs w:val="24"/>
          <w:lang w:val="fr-FR"/>
        </w:rPr>
        <w:t xml:space="preserve"> dans laquelle</w:t>
      </w:r>
      <w:r w:rsidR="00BD7176" w:rsidRPr="00953692">
        <w:rPr>
          <w:sz w:val="24"/>
          <w:szCs w:val="24"/>
          <w:lang w:val="fr-FR"/>
        </w:rPr>
        <w:t xml:space="preserve"> </w:t>
      </w:r>
      <w:r w:rsidR="001A79AD" w:rsidRPr="00953692">
        <w:rPr>
          <w:sz w:val="24"/>
          <w:szCs w:val="24"/>
          <w:lang w:val="fr-FR"/>
        </w:rPr>
        <w:t>il a invoqué la violation de son droit d’être jugé sans retard excessif</w:t>
      </w:r>
      <w:r w:rsidR="00A023C6" w:rsidRPr="00953692">
        <w:rPr>
          <w:sz w:val="24"/>
          <w:szCs w:val="24"/>
          <w:lang w:val="fr-FR"/>
        </w:rPr>
        <w:t xml:space="preserve">. L’accusé </w:t>
      </w:r>
      <w:r w:rsidR="00A93CBF" w:rsidRPr="00953692">
        <w:rPr>
          <w:sz w:val="24"/>
          <w:szCs w:val="24"/>
          <w:lang w:val="fr-FR"/>
        </w:rPr>
        <w:t>soulève</w:t>
      </w:r>
      <w:r w:rsidR="00A023C6" w:rsidRPr="00953692">
        <w:rPr>
          <w:sz w:val="24"/>
          <w:szCs w:val="24"/>
          <w:lang w:val="fr-FR"/>
        </w:rPr>
        <w:t xml:space="preserve"> comme</w:t>
      </w:r>
      <w:r w:rsidR="001A79AD" w:rsidRPr="00953692">
        <w:rPr>
          <w:sz w:val="24"/>
          <w:szCs w:val="24"/>
          <w:lang w:val="fr-FR"/>
        </w:rPr>
        <w:t xml:space="preserve"> motifs pris</w:t>
      </w:r>
      <w:r w:rsidR="00A93CBF" w:rsidRPr="00953692">
        <w:rPr>
          <w:sz w:val="24"/>
          <w:szCs w:val="24"/>
          <w:lang w:val="fr-FR"/>
        </w:rPr>
        <w:t>,</w:t>
      </w:r>
      <w:r w:rsidR="001A79AD" w:rsidRPr="00953692">
        <w:rPr>
          <w:sz w:val="24"/>
          <w:szCs w:val="24"/>
          <w:lang w:val="fr-FR"/>
        </w:rPr>
        <w:t xml:space="preserve"> notamment</w:t>
      </w:r>
      <w:r w:rsidR="00EB7FB3" w:rsidRPr="00953692">
        <w:rPr>
          <w:sz w:val="24"/>
          <w:szCs w:val="24"/>
          <w:lang w:val="fr-FR"/>
        </w:rPr>
        <w:t>,</w:t>
      </w:r>
      <w:r w:rsidR="001A79AD" w:rsidRPr="00953692">
        <w:rPr>
          <w:sz w:val="24"/>
          <w:szCs w:val="24"/>
          <w:lang w:val="fr-FR"/>
        </w:rPr>
        <w:t xml:space="preserve"> </w:t>
      </w:r>
      <w:r w:rsidR="00EB7FB3" w:rsidRPr="00953692">
        <w:rPr>
          <w:sz w:val="24"/>
          <w:szCs w:val="24"/>
          <w:lang w:val="fr-FR"/>
        </w:rPr>
        <w:t>du</w:t>
      </w:r>
      <w:r w:rsidR="001A79AD" w:rsidRPr="00953692">
        <w:rPr>
          <w:sz w:val="24"/>
          <w:szCs w:val="24"/>
          <w:lang w:val="fr-FR"/>
        </w:rPr>
        <w:t xml:space="preserve"> retard constaté entre son transfert au siège du Tribunal le 8 novembre 1996 et sa comparution</w:t>
      </w:r>
      <w:r w:rsidR="00A93CBF" w:rsidRPr="00953692">
        <w:rPr>
          <w:sz w:val="24"/>
          <w:szCs w:val="24"/>
          <w:lang w:val="fr-FR"/>
        </w:rPr>
        <w:t xml:space="preserve"> initiale</w:t>
      </w:r>
      <w:r w:rsidR="001A79AD" w:rsidRPr="00953692">
        <w:rPr>
          <w:sz w:val="24"/>
          <w:szCs w:val="24"/>
          <w:lang w:val="fr-FR"/>
        </w:rPr>
        <w:t xml:space="preserve"> le 29 novembre de la même année</w:t>
      </w:r>
      <w:r w:rsidR="00786845" w:rsidRPr="00953692">
        <w:rPr>
          <w:rStyle w:val="Appelnotedebasdep"/>
          <w:sz w:val="24"/>
          <w:szCs w:val="24"/>
          <w:lang w:val="fr-FR"/>
        </w:rPr>
        <w:footnoteReference w:customMarkFollows="1" w:id="115"/>
        <w:t>93</w:t>
      </w:r>
      <w:r w:rsidR="001A79AD" w:rsidRPr="00953692">
        <w:rPr>
          <w:sz w:val="24"/>
          <w:szCs w:val="24"/>
          <w:lang w:val="fr-FR"/>
        </w:rPr>
        <w:t>.</w:t>
      </w:r>
    </w:p>
    <w:p w14:paraId="228A203F" w14:textId="5746B130" w:rsidR="00FF15E6" w:rsidRPr="00953692" w:rsidRDefault="00FF15E6" w:rsidP="00864BBF">
      <w:pPr>
        <w:spacing w:after="0" w:line="276" w:lineRule="auto"/>
        <w:ind w:firstLine="1134"/>
        <w:jc w:val="both"/>
        <w:rPr>
          <w:sz w:val="24"/>
          <w:szCs w:val="24"/>
          <w:lang w:val="fr-FR"/>
        </w:rPr>
      </w:pPr>
      <w:r w:rsidRPr="00953692">
        <w:rPr>
          <w:b/>
          <w:bCs/>
          <w:sz w:val="24"/>
          <w:szCs w:val="24"/>
          <w:lang w:val="fr-FR"/>
        </w:rPr>
        <w:t>1</w:t>
      </w:r>
      <w:r w:rsidR="00C970DB" w:rsidRPr="00953692">
        <w:rPr>
          <w:b/>
          <w:bCs/>
          <w:sz w:val="24"/>
          <w:szCs w:val="24"/>
          <w:lang w:val="fr-FR"/>
        </w:rPr>
        <w:t>46</w:t>
      </w:r>
      <w:r w:rsidRPr="00953692">
        <w:rPr>
          <w:b/>
          <w:bCs/>
          <w:sz w:val="24"/>
          <w:szCs w:val="24"/>
          <w:lang w:val="fr-FR"/>
        </w:rPr>
        <w:t>.</w:t>
      </w:r>
      <w:r w:rsidRPr="00953692">
        <w:rPr>
          <w:sz w:val="24"/>
          <w:szCs w:val="24"/>
          <w:lang w:val="fr-FR"/>
        </w:rPr>
        <w:t xml:space="preserve"> </w:t>
      </w:r>
      <w:r w:rsidR="005E5362" w:rsidRPr="00953692">
        <w:rPr>
          <w:sz w:val="24"/>
          <w:szCs w:val="24"/>
          <w:lang w:val="fr-FR"/>
        </w:rPr>
        <w:t xml:space="preserve">Traitant particulièrement cette question, la Chambre de première instance a pris le soin de reprendre quelques textes relatifs aux droits de l’homme qui prévoient ce droit, dont le PIDCP en son article 9-3, qui exige à ce que l’individu arrêté et détenu soit traduit dans le plus court délai </w:t>
      </w:r>
      <w:r w:rsidR="00185177" w:rsidRPr="00953692">
        <w:rPr>
          <w:sz w:val="24"/>
          <w:szCs w:val="24"/>
          <w:lang w:val="fr-FR"/>
        </w:rPr>
        <w:t xml:space="preserve">devant une autorité judiciaire. </w:t>
      </w:r>
      <w:r w:rsidR="00782DE8" w:rsidRPr="00953692">
        <w:rPr>
          <w:sz w:val="24"/>
          <w:szCs w:val="24"/>
          <w:lang w:val="fr-FR"/>
        </w:rPr>
        <w:t>Premièrement, la Chambre note que cette expression s’apprécie au cas par cas, selon les spécificités de chaque affaire</w:t>
      </w:r>
      <w:r w:rsidR="00786845" w:rsidRPr="00953692">
        <w:rPr>
          <w:rStyle w:val="Appelnotedebasdep"/>
          <w:sz w:val="24"/>
          <w:szCs w:val="24"/>
          <w:lang w:val="fr-FR"/>
        </w:rPr>
        <w:footnoteReference w:customMarkFollows="1" w:id="116"/>
        <w:t>94</w:t>
      </w:r>
      <w:r w:rsidR="00782DE8" w:rsidRPr="00953692">
        <w:rPr>
          <w:sz w:val="24"/>
          <w:szCs w:val="24"/>
          <w:lang w:val="fr-FR"/>
        </w:rPr>
        <w:t xml:space="preserve">. </w:t>
      </w:r>
      <w:r w:rsidR="00844BC2" w:rsidRPr="00953692">
        <w:rPr>
          <w:sz w:val="24"/>
          <w:szCs w:val="24"/>
          <w:lang w:val="fr-FR"/>
        </w:rPr>
        <w:t xml:space="preserve">Ce qui s’explique par le simple fait de </w:t>
      </w:r>
      <w:r w:rsidR="00745EF0" w:rsidRPr="00953692">
        <w:rPr>
          <w:sz w:val="24"/>
          <w:szCs w:val="24"/>
          <w:lang w:val="fr-FR"/>
        </w:rPr>
        <w:t xml:space="preserve"> son </w:t>
      </w:r>
      <w:r w:rsidR="00844BC2" w:rsidRPr="00953692">
        <w:rPr>
          <w:sz w:val="24"/>
          <w:szCs w:val="24"/>
          <w:lang w:val="fr-FR"/>
        </w:rPr>
        <w:t>indétermination</w:t>
      </w:r>
      <w:r w:rsidR="00BD319B" w:rsidRPr="00953692">
        <w:rPr>
          <w:sz w:val="24"/>
          <w:szCs w:val="24"/>
          <w:lang w:val="fr-FR"/>
        </w:rPr>
        <w:t xml:space="preserve"> pratique. Nous avons vu plus haut comment</w:t>
      </w:r>
      <w:r w:rsidR="00520455" w:rsidRPr="00953692">
        <w:rPr>
          <w:sz w:val="24"/>
          <w:szCs w:val="24"/>
          <w:lang w:val="fr-FR"/>
        </w:rPr>
        <w:t>,</w:t>
      </w:r>
      <w:r w:rsidR="00BD319B" w:rsidRPr="00953692">
        <w:rPr>
          <w:sz w:val="24"/>
          <w:szCs w:val="24"/>
          <w:lang w:val="fr-FR"/>
        </w:rPr>
        <w:t xml:space="preserve"> dans le cadre de cette comparution</w:t>
      </w:r>
      <w:r w:rsidR="00520455" w:rsidRPr="00953692">
        <w:rPr>
          <w:sz w:val="24"/>
          <w:szCs w:val="24"/>
          <w:lang w:val="fr-FR"/>
        </w:rPr>
        <w:t xml:space="preserve"> initiale,</w:t>
      </w:r>
      <w:r w:rsidR="00BD319B" w:rsidRPr="00953692">
        <w:rPr>
          <w:sz w:val="24"/>
          <w:szCs w:val="24"/>
          <w:lang w:val="fr-FR"/>
        </w:rPr>
        <w:t xml:space="preserve"> certains actes constitutifs précisent plutôt le délai maximal. </w:t>
      </w:r>
      <w:r w:rsidR="00495054" w:rsidRPr="00953692">
        <w:rPr>
          <w:sz w:val="24"/>
          <w:szCs w:val="24"/>
          <w:lang w:val="fr-FR"/>
        </w:rPr>
        <w:t xml:space="preserve">Deuxièmement, la Chambre a évoqué </w:t>
      </w:r>
      <w:r w:rsidR="00A90B90" w:rsidRPr="00953692">
        <w:rPr>
          <w:sz w:val="24"/>
          <w:szCs w:val="24"/>
          <w:lang w:val="fr-FR"/>
        </w:rPr>
        <w:t xml:space="preserve">la question relative à l’objet de la comparution initiale. </w:t>
      </w:r>
      <w:r w:rsidR="00520455" w:rsidRPr="00953692">
        <w:rPr>
          <w:rStyle w:val="grammar"/>
          <w:rFonts w:cs="Times New Roman"/>
          <w:sz w:val="24"/>
          <w:szCs w:val="24"/>
          <w:lang w:val="fr-FR"/>
        </w:rPr>
        <w:t>À</w:t>
      </w:r>
      <w:r w:rsidR="00520455" w:rsidRPr="00953692">
        <w:rPr>
          <w:rFonts w:cs="Times New Roman"/>
          <w:sz w:val="24"/>
          <w:szCs w:val="24"/>
          <w:shd w:val="clear" w:color="auto" w:fill="FFFFFF"/>
          <w:lang w:val="fr-FR"/>
        </w:rPr>
        <w:t xml:space="preserve"> l’appui</w:t>
      </w:r>
      <w:r w:rsidR="00520455" w:rsidRPr="00953692">
        <w:rPr>
          <w:rFonts w:ascii="Tahoma" w:hAnsi="Tahoma" w:cs="Tahoma"/>
          <w:sz w:val="24"/>
          <w:szCs w:val="24"/>
          <w:shd w:val="clear" w:color="auto" w:fill="FFFFFF"/>
          <w:lang w:val="fr-FR"/>
        </w:rPr>
        <w:t xml:space="preserve"> </w:t>
      </w:r>
      <w:r w:rsidR="00A90B90" w:rsidRPr="00953692">
        <w:rPr>
          <w:sz w:val="24"/>
          <w:szCs w:val="24"/>
          <w:lang w:val="fr-FR"/>
        </w:rPr>
        <w:t xml:space="preserve">de son argumentaire, elle a </w:t>
      </w:r>
      <w:r w:rsidR="000C2695" w:rsidRPr="00953692">
        <w:rPr>
          <w:sz w:val="24"/>
          <w:szCs w:val="24"/>
          <w:lang w:val="fr-FR"/>
        </w:rPr>
        <w:t>comparativ</w:t>
      </w:r>
      <w:r w:rsidR="00A90B90" w:rsidRPr="00953692">
        <w:rPr>
          <w:sz w:val="24"/>
          <w:szCs w:val="24"/>
          <w:lang w:val="fr-FR"/>
        </w:rPr>
        <w:t>ement analysé l</w:t>
      </w:r>
      <w:r w:rsidR="00BB3B33" w:rsidRPr="00953692">
        <w:rPr>
          <w:sz w:val="24"/>
          <w:szCs w:val="24"/>
          <w:lang w:val="fr-FR"/>
        </w:rPr>
        <w:t xml:space="preserve">es </w:t>
      </w:r>
      <w:r w:rsidR="00A90B90" w:rsidRPr="00953692">
        <w:rPr>
          <w:sz w:val="24"/>
          <w:szCs w:val="24"/>
          <w:lang w:val="fr-FR"/>
        </w:rPr>
        <w:t>article</w:t>
      </w:r>
      <w:r w:rsidR="00BB3B33" w:rsidRPr="00953692">
        <w:rPr>
          <w:sz w:val="24"/>
          <w:szCs w:val="24"/>
          <w:lang w:val="fr-FR"/>
        </w:rPr>
        <w:t>s 9-3 du PIDCP</w:t>
      </w:r>
      <w:r w:rsidR="00A93CBF" w:rsidRPr="00953692">
        <w:rPr>
          <w:sz w:val="24"/>
          <w:szCs w:val="24"/>
          <w:lang w:val="fr-FR"/>
        </w:rPr>
        <w:t xml:space="preserve">, </w:t>
      </w:r>
      <w:r w:rsidR="00BB3B33" w:rsidRPr="00953692">
        <w:rPr>
          <w:sz w:val="24"/>
          <w:szCs w:val="24"/>
          <w:lang w:val="fr-FR"/>
        </w:rPr>
        <w:t xml:space="preserve">7 5) de la Convention américaine relative aux droits de l'homme, </w:t>
      </w:r>
      <w:r w:rsidR="00A90B90" w:rsidRPr="00953692">
        <w:rPr>
          <w:sz w:val="24"/>
          <w:szCs w:val="24"/>
          <w:lang w:val="fr-FR"/>
        </w:rPr>
        <w:t>5-3 de la Convention européenne des droits de l’homme</w:t>
      </w:r>
      <w:r w:rsidR="004E71C5" w:rsidRPr="00953692">
        <w:rPr>
          <w:sz w:val="24"/>
          <w:szCs w:val="24"/>
          <w:lang w:val="fr-FR"/>
        </w:rPr>
        <w:t>, précisément en son objet distinctement à celui de l’article 62</w:t>
      </w:r>
      <w:r w:rsidR="00596FE9" w:rsidRPr="00953692">
        <w:rPr>
          <w:sz w:val="24"/>
          <w:szCs w:val="24"/>
          <w:lang w:val="fr-FR"/>
        </w:rPr>
        <w:t xml:space="preserve"> du RPP</w:t>
      </w:r>
      <w:r w:rsidR="004E71C5" w:rsidRPr="00953692">
        <w:rPr>
          <w:sz w:val="24"/>
          <w:szCs w:val="24"/>
          <w:lang w:val="fr-FR"/>
        </w:rPr>
        <w:t>.</w:t>
      </w:r>
      <w:r w:rsidR="00BB3B33" w:rsidRPr="00953692">
        <w:rPr>
          <w:sz w:val="24"/>
          <w:szCs w:val="24"/>
          <w:lang w:val="fr-FR"/>
        </w:rPr>
        <w:t xml:space="preserve"> </w:t>
      </w:r>
    </w:p>
    <w:p w14:paraId="67C1A86D" w14:textId="5474560A" w:rsidR="00B214D8" w:rsidRPr="00953692" w:rsidRDefault="00FF15E6" w:rsidP="00864BBF">
      <w:pPr>
        <w:spacing w:after="0" w:line="276" w:lineRule="auto"/>
        <w:ind w:firstLine="1134"/>
        <w:jc w:val="both"/>
        <w:rPr>
          <w:sz w:val="24"/>
          <w:szCs w:val="24"/>
          <w:lang w:val="fr-FR"/>
        </w:rPr>
      </w:pPr>
      <w:r w:rsidRPr="00953692">
        <w:rPr>
          <w:b/>
          <w:bCs/>
          <w:sz w:val="24"/>
          <w:szCs w:val="24"/>
          <w:lang w:val="fr-FR"/>
        </w:rPr>
        <w:t>1</w:t>
      </w:r>
      <w:r w:rsidR="00C970DB" w:rsidRPr="00953692">
        <w:rPr>
          <w:b/>
          <w:bCs/>
          <w:sz w:val="24"/>
          <w:szCs w:val="24"/>
          <w:lang w:val="fr-FR"/>
        </w:rPr>
        <w:t>47</w:t>
      </w:r>
      <w:r w:rsidRPr="00953692">
        <w:rPr>
          <w:b/>
          <w:bCs/>
          <w:sz w:val="24"/>
          <w:szCs w:val="24"/>
          <w:lang w:val="fr-FR"/>
        </w:rPr>
        <w:t>.</w:t>
      </w:r>
      <w:r w:rsidRPr="00953692">
        <w:rPr>
          <w:sz w:val="24"/>
          <w:szCs w:val="24"/>
          <w:lang w:val="fr-FR"/>
        </w:rPr>
        <w:t xml:space="preserve"> </w:t>
      </w:r>
      <w:r w:rsidR="00596FE9" w:rsidRPr="00953692">
        <w:rPr>
          <w:sz w:val="24"/>
          <w:szCs w:val="24"/>
          <w:lang w:val="fr-FR"/>
        </w:rPr>
        <w:t>Pour la Chambre</w:t>
      </w:r>
      <w:r w:rsidR="00745EF0" w:rsidRPr="00953692">
        <w:rPr>
          <w:sz w:val="24"/>
          <w:szCs w:val="24"/>
          <w:lang w:val="fr-FR"/>
        </w:rPr>
        <w:t xml:space="preserve"> de première instance</w:t>
      </w:r>
      <w:r w:rsidR="00520455" w:rsidRPr="00953692">
        <w:rPr>
          <w:sz w:val="24"/>
          <w:szCs w:val="24"/>
          <w:lang w:val="fr-FR"/>
        </w:rPr>
        <w:t>,</w:t>
      </w:r>
      <w:r w:rsidR="006D5625" w:rsidRPr="00953692">
        <w:rPr>
          <w:sz w:val="24"/>
          <w:szCs w:val="24"/>
          <w:lang w:val="fr-FR"/>
        </w:rPr>
        <w:t> </w:t>
      </w:r>
      <w:r w:rsidR="001E75BE" w:rsidRPr="00953692">
        <w:rPr>
          <w:sz w:val="24"/>
          <w:szCs w:val="24"/>
          <w:lang w:val="fr-FR"/>
        </w:rPr>
        <w:t>c</w:t>
      </w:r>
      <w:r w:rsidR="006D5625" w:rsidRPr="00953692">
        <w:rPr>
          <w:sz w:val="24"/>
          <w:szCs w:val="24"/>
          <w:lang w:val="fr-FR"/>
        </w:rPr>
        <w:t xml:space="preserve">es articles visent </w:t>
      </w:r>
      <w:r w:rsidR="006D5625" w:rsidRPr="00953692">
        <w:rPr>
          <w:i/>
          <w:iCs/>
          <w:sz w:val="24"/>
          <w:szCs w:val="24"/>
          <w:lang w:val="fr-FR"/>
        </w:rPr>
        <w:t>à</w:t>
      </w:r>
      <w:r w:rsidR="00596FE9" w:rsidRPr="00953692">
        <w:rPr>
          <w:sz w:val="24"/>
          <w:szCs w:val="24"/>
          <w:lang w:val="fr-FR"/>
        </w:rPr>
        <w:t xml:space="preserve"> </w:t>
      </w:r>
      <w:r w:rsidR="00BB3B33" w:rsidRPr="00953692">
        <w:rPr>
          <w:i/>
          <w:iCs/>
          <w:sz w:val="24"/>
          <w:szCs w:val="24"/>
          <w:lang w:val="fr-FR"/>
        </w:rPr>
        <w:t>placer sous le contrôle des tribunaux les actes de l’exécutif postérieurs à l’arrestation et à la détention de l’individu et de réduire au minimum les privations illégales des droits des individus à la liberté</w:t>
      </w:r>
      <w:r w:rsidR="00BB3B33" w:rsidRPr="00953692">
        <w:rPr>
          <w:sz w:val="24"/>
          <w:szCs w:val="24"/>
          <w:lang w:val="fr-FR"/>
        </w:rPr>
        <w:t xml:space="preserve">. </w:t>
      </w:r>
      <w:r w:rsidR="00BB3B33" w:rsidRPr="00953692">
        <w:rPr>
          <w:i/>
          <w:iCs/>
          <w:sz w:val="24"/>
          <w:szCs w:val="24"/>
          <w:lang w:val="fr-FR"/>
        </w:rPr>
        <w:t>C'est pourquoi le droit international humanitaire exige que le détenu comparaisse dans le plus court délai devant un juge ou une autorité qui est habilitée d’ordonner sa détention préventive ou la remise en liberté. Ainsi, la détention préventive ne doit durer que quelques jours, et prendre fin soit avec la remise en liberté, soit avec une ordonnance de détention provisoire d'un juge</w:t>
      </w:r>
      <w:r w:rsidR="006C711A" w:rsidRPr="00953692">
        <w:rPr>
          <w:rStyle w:val="Appelnotedebasdep"/>
          <w:i/>
          <w:iCs/>
          <w:sz w:val="24"/>
          <w:szCs w:val="24"/>
          <w:lang w:val="fr-FR"/>
        </w:rPr>
        <w:footnoteReference w:customMarkFollows="1" w:id="117"/>
        <w:t>95</w:t>
      </w:r>
      <w:r w:rsidR="00BB3B33" w:rsidRPr="00953692">
        <w:rPr>
          <w:sz w:val="24"/>
          <w:szCs w:val="24"/>
          <w:lang w:val="fr-FR"/>
        </w:rPr>
        <w:t>.</w:t>
      </w:r>
      <w:r w:rsidR="00E402EF" w:rsidRPr="00953692">
        <w:rPr>
          <w:sz w:val="24"/>
          <w:szCs w:val="24"/>
          <w:lang w:val="fr-FR"/>
        </w:rPr>
        <w:t xml:space="preserve"> </w:t>
      </w:r>
    </w:p>
    <w:p w14:paraId="1A6B52B0" w14:textId="089294C4" w:rsidR="00FF15E6" w:rsidRPr="00953692" w:rsidRDefault="00CB0492" w:rsidP="00864BBF">
      <w:pPr>
        <w:spacing w:after="0" w:line="276" w:lineRule="auto"/>
        <w:ind w:firstLine="1134"/>
        <w:jc w:val="both"/>
        <w:rPr>
          <w:sz w:val="24"/>
          <w:szCs w:val="24"/>
          <w:lang w:val="fr-FR"/>
        </w:rPr>
      </w:pPr>
      <w:r w:rsidRPr="00953692">
        <w:rPr>
          <w:b/>
          <w:bCs/>
          <w:sz w:val="24"/>
          <w:szCs w:val="24"/>
          <w:lang w:val="fr-FR"/>
        </w:rPr>
        <w:t>148.</w:t>
      </w:r>
      <w:r w:rsidRPr="00953692">
        <w:rPr>
          <w:sz w:val="24"/>
          <w:szCs w:val="24"/>
          <w:lang w:val="fr-FR"/>
        </w:rPr>
        <w:t xml:space="preserve"> </w:t>
      </w:r>
      <w:r w:rsidR="00E402EF" w:rsidRPr="00953692">
        <w:rPr>
          <w:sz w:val="24"/>
          <w:szCs w:val="24"/>
          <w:lang w:val="fr-FR"/>
        </w:rPr>
        <w:t>Cette exigence s’explique par le fait qu’en droit interne,</w:t>
      </w:r>
      <w:r w:rsidRPr="00953692">
        <w:rPr>
          <w:sz w:val="24"/>
          <w:szCs w:val="24"/>
          <w:lang w:val="fr-FR"/>
        </w:rPr>
        <w:t xml:space="preserve"> le principe, c’est que</w:t>
      </w:r>
      <w:r w:rsidR="00E402EF" w:rsidRPr="00953692">
        <w:rPr>
          <w:sz w:val="24"/>
          <w:szCs w:val="24"/>
          <w:lang w:val="fr-FR"/>
        </w:rPr>
        <w:t xml:space="preserve"> les juges n’interviennent pas préalablement à l’arrestation et à la détention des suspects (d’où la vérification de leur légalité)</w:t>
      </w:r>
      <w:r w:rsidR="006C711A" w:rsidRPr="00953692">
        <w:rPr>
          <w:rStyle w:val="Appelnotedebasdep"/>
          <w:sz w:val="24"/>
          <w:szCs w:val="24"/>
          <w:lang w:val="fr-FR"/>
        </w:rPr>
        <w:footnoteReference w:customMarkFollows="1" w:id="118"/>
        <w:t>96</w:t>
      </w:r>
      <w:r w:rsidR="00E402EF" w:rsidRPr="00953692">
        <w:rPr>
          <w:sz w:val="24"/>
          <w:szCs w:val="24"/>
          <w:lang w:val="fr-FR"/>
        </w:rPr>
        <w:t xml:space="preserve">. Tandis qu’en droit international pénal, </w:t>
      </w:r>
      <w:r w:rsidR="00E402EF" w:rsidRPr="00953692">
        <w:rPr>
          <w:i/>
          <w:iCs/>
          <w:sz w:val="24"/>
          <w:szCs w:val="24"/>
          <w:lang w:val="fr-FR"/>
        </w:rPr>
        <w:t>les juges interviennent dans l'arrestation et la détention de l'accusé en confirmant les actes d'accusation et en décernant des mandats d'arrêt et ordonnances de transfert. La comparution initiale n'a pas pour objet de vérifier la légalité de la détention prolongée de l'accusé, mais sa mise en accusation officielle ; de s'assurer que son droit à l'assistance d'un conseil est respecté et de l'inviter à plaider coupable ou non coupable</w:t>
      </w:r>
      <w:r w:rsidR="006C711A" w:rsidRPr="00953692">
        <w:rPr>
          <w:rStyle w:val="Appelnotedebasdep"/>
          <w:i/>
          <w:iCs/>
          <w:sz w:val="24"/>
          <w:szCs w:val="24"/>
          <w:lang w:val="fr-FR"/>
        </w:rPr>
        <w:footnoteReference w:customMarkFollows="1" w:id="119"/>
        <w:t>97</w:t>
      </w:r>
      <w:r w:rsidR="00E402EF" w:rsidRPr="00953692">
        <w:rPr>
          <w:sz w:val="24"/>
          <w:szCs w:val="24"/>
          <w:lang w:val="fr-FR"/>
        </w:rPr>
        <w:t>.</w:t>
      </w:r>
      <w:r w:rsidRPr="00953692">
        <w:rPr>
          <w:sz w:val="24"/>
          <w:szCs w:val="24"/>
          <w:lang w:val="fr-FR"/>
        </w:rPr>
        <w:t xml:space="preserve"> </w:t>
      </w:r>
    </w:p>
    <w:p w14:paraId="0ED5882C" w14:textId="434D53BF" w:rsidR="00FF15E6" w:rsidRPr="00953692" w:rsidRDefault="00FF15E6" w:rsidP="00864BBF">
      <w:pPr>
        <w:spacing w:after="0" w:line="276" w:lineRule="auto"/>
        <w:ind w:firstLine="1134"/>
        <w:jc w:val="both"/>
        <w:rPr>
          <w:sz w:val="24"/>
          <w:szCs w:val="24"/>
          <w:lang w:val="fr-FR"/>
        </w:rPr>
      </w:pPr>
      <w:r w:rsidRPr="00953692">
        <w:rPr>
          <w:b/>
          <w:bCs/>
          <w:sz w:val="24"/>
          <w:szCs w:val="24"/>
          <w:lang w:val="fr-FR"/>
        </w:rPr>
        <w:lastRenderedPageBreak/>
        <w:t>1</w:t>
      </w:r>
      <w:r w:rsidR="00CB0492" w:rsidRPr="00953692">
        <w:rPr>
          <w:b/>
          <w:bCs/>
          <w:sz w:val="24"/>
          <w:szCs w:val="24"/>
          <w:lang w:val="fr-FR"/>
        </w:rPr>
        <w:t>49</w:t>
      </w:r>
      <w:r w:rsidRPr="00953692">
        <w:rPr>
          <w:b/>
          <w:bCs/>
          <w:sz w:val="24"/>
          <w:szCs w:val="24"/>
          <w:lang w:val="fr-FR"/>
        </w:rPr>
        <w:t>.</w:t>
      </w:r>
      <w:r w:rsidRPr="00953692">
        <w:rPr>
          <w:sz w:val="24"/>
          <w:szCs w:val="24"/>
          <w:lang w:val="fr-FR"/>
        </w:rPr>
        <w:t xml:space="preserve"> </w:t>
      </w:r>
      <w:r w:rsidR="00A424D4" w:rsidRPr="00953692">
        <w:rPr>
          <w:sz w:val="24"/>
          <w:szCs w:val="24"/>
          <w:lang w:val="fr-FR"/>
        </w:rPr>
        <w:t xml:space="preserve">Avec cette distinction objectale, </w:t>
      </w:r>
      <w:r w:rsidR="003B2651" w:rsidRPr="00953692">
        <w:rPr>
          <w:sz w:val="24"/>
          <w:szCs w:val="24"/>
          <w:lang w:val="fr-FR"/>
        </w:rPr>
        <w:t>la Chambre</w:t>
      </w:r>
      <w:r w:rsidR="00745EF0" w:rsidRPr="00953692">
        <w:rPr>
          <w:sz w:val="24"/>
          <w:szCs w:val="24"/>
          <w:lang w:val="fr-FR"/>
        </w:rPr>
        <w:t xml:space="preserve"> de première instance du TPI</w:t>
      </w:r>
      <w:r w:rsidR="003B2651" w:rsidRPr="00953692">
        <w:rPr>
          <w:sz w:val="24"/>
          <w:szCs w:val="24"/>
          <w:lang w:val="fr-FR"/>
        </w:rPr>
        <w:t xml:space="preserve"> est </w:t>
      </w:r>
      <w:r w:rsidR="004E682F" w:rsidRPr="00953692">
        <w:rPr>
          <w:sz w:val="24"/>
          <w:szCs w:val="24"/>
          <w:lang w:val="fr-FR"/>
        </w:rPr>
        <w:t>arrivée</w:t>
      </w:r>
      <w:r w:rsidR="003B2651" w:rsidRPr="00953692">
        <w:rPr>
          <w:sz w:val="24"/>
          <w:szCs w:val="24"/>
          <w:lang w:val="fr-FR"/>
        </w:rPr>
        <w:t xml:space="preserve"> à </w:t>
      </w:r>
      <w:r w:rsidR="00786845" w:rsidRPr="00953692">
        <w:rPr>
          <w:sz w:val="24"/>
          <w:szCs w:val="24"/>
          <w:lang w:val="fr-FR"/>
        </w:rPr>
        <w:t xml:space="preserve">une </w:t>
      </w:r>
      <w:r w:rsidR="003B2651" w:rsidRPr="00953692">
        <w:rPr>
          <w:sz w:val="24"/>
          <w:szCs w:val="24"/>
          <w:lang w:val="fr-FR"/>
        </w:rPr>
        <w:t>conclusion</w:t>
      </w:r>
      <w:r w:rsidR="00F72D66" w:rsidRPr="00953692">
        <w:rPr>
          <w:sz w:val="24"/>
          <w:szCs w:val="24"/>
          <w:lang w:val="fr-FR"/>
        </w:rPr>
        <w:t xml:space="preserve"> tranchée</w:t>
      </w:r>
      <w:r w:rsidR="003B2651" w:rsidRPr="00953692">
        <w:rPr>
          <w:sz w:val="24"/>
          <w:szCs w:val="24"/>
          <w:lang w:val="fr-FR"/>
        </w:rPr>
        <w:t xml:space="preserve"> selon </w:t>
      </w:r>
      <w:r w:rsidR="00F72D66" w:rsidRPr="00953692">
        <w:rPr>
          <w:sz w:val="24"/>
          <w:szCs w:val="24"/>
          <w:lang w:val="fr-FR"/>
        </w:rPr>
        <w:t>laquelle, l’interprétation de l’expression ‘’dans le plus court délai’’ contenue dans les textes généraux des droits de l’homme n’est pas</w:t>
      </w:r>
      <w:r w:rsidR="0024049C" w:rsidRPr="00953692">
        <w:rPr>
          <w:sz w:val="24"/>
          <w:szCs w:val="24"/>
          <w:lang w:val="fr-FR"/>
        </w:rPr>
        <w:t xml:space="preserve"> nécessairement</w:t>
      </w:r>
      <w:r w:rsidR="00F72D66" w:rsidRPr="00953692">
        <w:rPr>
          <w:sz w:val="24"/>
          <w:szCs w:val="24"/>
          <w:lang w:val="fr-FR"/>
        </w:rPr>
        <w:t xml:space="preserve"> la même que l’expression ‘’sans délai ‘’ de l’article 62 </w:t>
      </w:r>
      <w:r w:rsidR="0024049C" w:rsidRPr="00953692">
        <w:rPr>
          <w:sz w:val="24"/>
          <w:szCs w:val="24"/>
          <w:lang w:val="fr-FR"/>
        </w:rPr>
        <w:t>du RPP</w:t>
      </w:r>
      <w:r w:rsidR="006C711A" w:rsidRPr="00953692">
        <w:rPr>
          <w:rStyle w:val="Appelnotedebasdep"/>
          <w:sz w:val="24"/>
          <w:szCs w:val="24"/>
          <w:lang w:val="fr-FR"/>
        </w:rPr>
        <w:footnoteReference w:customMarkFollows="1" w:id="120"/>
        <w:t>98</w:t>
      </w:r>
      <w:r w:rsidR="0024049C" w:rsidRPr="00953692">
        <w:rPr>
          <w:sz w:val="24"/>
          <w:szCs w:val="24"/>
          <w:lang w:val="fr-FR"/>
        </w:rPr>
        <w:t xml:space="preserve">. </w:t>
      </w:r>
      <w:r w:rsidR="002B25DC" w:rsidRPr="00953692">
        <w:rPr>
          <w:sz w:val="24"/>
          <w:szCs w:val="24"/>
          <w:lang w:val="fr-FR"/>
        </w:rPr>
        <w:t xml:space="preserve">En conséquence, pour </w:t>
      </w:r>
      <w:r w:rsidR="00745EF0" w:rsidRPr="00953692">
        <w:rPr>
          <w:sz w:val="24"/>
          <w:szCs w:val="24"/>
          <w:lang w:val="fr-FR"/>
        </w:rPr>
        <w:t xml:space="preserve">cette </w:t>
      </w:r>
      <w:r w:rsidR="002B25DC" w:rsidRPr="00953692">
        <w:rPr>
          <w:sz w:val="24"/>
          <w:szCs w:val="24"/>
          <w:lang w:val="fr-FR"/>
        </w:rPr>
        <w:t>Chambre</w:t>
      </w:r>
      <w:r w:rsidR="00065E60" w:rsidRPr="00953692">
        <w:rPr>
          <w:sz w:val="24"/>
          <w:szCs w:val="24"/>
          <w:lang w:val="fr-FR"/>
        </w:rPr>
        <w:t xml:space="preserve"> de première instance</w:t>
      </w:r>
      <w:r w:rsidR="00520455" w:rsidRPr="00953692">
        <w:rPr>
          <w:sz w:val="24"/>
          <w:szCs w:val="24"/>
          <w:lang w:val="fr-FR"/>
        </w:rPr>
        <w:t>,</w:t>
      </w:r>
      <w:r w:rsidR="002B25DC" w:rsidRPr="00953692">
        <w:rPr>
          <w:sz w:val="24"/>
          <w:szCs w:val="24"/>
          <w:lang w:val="fr-FR"/>
        </w:rPr>
        <w:t xml:space="preserve"> </w:t>
      </w:r>
      <w:r w:rsidR="002B25DC" w:rsidRPr="00953692">
        <w:rPr>
          <w:i/>
          <w:iCs/>
          <w:sz w:val="24"/>
          <w:szCs w:val="24"/>
          <w:lang w:val="fr-FR"/>
        </w:rPr>
        <w:t>le délai de 21 jours écoulés entre le transfert et la comparution initiale de l’accusé n’a causé aucun préjudice substantiel à l’accusé, et ne peut constituer une violation du droit d’être jugé sans retard excessif</w:t>
      </w:r>
      <w:r w:rsidR="006C711A" w:rsidRPr="00953692">
        <w:rPr>
          <w:rStyle w:val="Appelnotedebasdep"/>
          <w:i/>
          <w:iCs/>
          <w:sz w:val="24"/>
          <w:szCs w:val="24"/>
          <w:lang w:val="fr-FR"/>
        </w:rPr>
        <w:footnoteReference w:customMarkFollows="1" w:id="121"/>
        <w:t>99</w:t>
      </w:r>
      <w:r w:rsidR="002B25DC" w:rsidRPr="00953692">
        <w:rPr>
          <w:sz w:val="24"/>
          <w:szCs w:val="24"/>
          <w:lang w:val="fr-FR"/>
        </w:rPr>
        <w:t>.</w:t>
      </w:r>
    </w:p>
    <w:p w14:paraId="2EE39951" w14:textId="218FC619" w:rsidR="00FF15E6" w:rsidRPr="00953692" w:rsidRDefault="00FF15E6" w:rsidP="00864BBF">
      <w:pPr>
        <w:spacing w:after="0" w:line="276" w:lineRule="auto"/>
        <w:ind w:firstLine="1134"/>
        <w:jc w:val="both"/>
        <w:rPr>
          <w:sz w:val="24"/>
          <w:szCs w:val="24"/>
          <w:lang w:val="fr-FR"/>
        </w:rPr>
      </w:pPr>
      <w:r w:rsidRPr="00953692">
        <w:rPr>
          <w:b/>
          <w:bCs/>
          <w:sz w:val="24"/>
          <w:szCs w:val="24"/>
          <w:lang w:val="fr-FR"/>
        </w:rPr>
        <w:t>1</w:t>
      </w:r>
      <w:r w:rsidR="00CB0492" w:rsidRPr="00953692">
        <w:rPr>
          <w:b/>
          <w:bCs/>
          <w:sz w:val="24"/>
          <w:szCs w:val="24"/>
          <w:lang w:val="fr-FR"/>
        </w:rPr>
        <w:t>50</w:t>
      </w:r>
      <w:r w:rsidRPr="00953692">
        <w:rPr>
          <w:b/>
          <w:bCs/>
          <w:sz w:val="24"/>
          <w:szCs w:val="24"/>
          <w:lang w:val="fr-FR"/>
        </w:rPr>
        <w:t>.</w:t>
      </w:r>
      <w:r w:rsidRPr="00953692">
        <w:rPr>
          <w:sz w:val="24"/>
          <w:szCs w:val="24"/>
          <w:lang w:val="fr-FR"/>
        </w:rPr>
        <w:t xml:space="preserve"> </w:t>
      </w:r>
      <w:r w:rsidR="00415945" w:rsidRPr="00953692">
        <w:rPr>
          <w:sz w:val="24"/>
          <w:szCs w:val="24"/>
          <w:lang w:val="fr-FR"/>
        </w:rPr>
        <w:t>Le problème, c’est qu’il semble y avoir une incohérence en</w:t>
      </w:r>
      <w:r w:rsidR="00887080" w:rsidRPr="00953692">
        <w:rPr>
          <w:sz w:val="24"/>
          <w:szCs w:val="24"/>
          <w:lang w:val="fr-FR"/>
        </w:rPr>
        <w:t xml:space="preserve">tre le raisonnement de la Chambre </w:t>
      </w:r>
      <w:r w:rsidR="00786845" w:rsidRPr="00953692">
        <w:rPr>
          <w:sz w:val="24"/>
          <w:szCs w:val="24"/>
          <w:lang w:val="fr-FR"/>
        </w:rPr>
        <w:t xml:space="preserve">sur </w:t>
      </w:r>
      <w:r w:rsidR="00887080" w:rsidRPr="00953692">
        <w:rPr>
          <w:sz w:val="24"/>
          <w:szCs w:val="24"/>
          <w:lang w:val="fr-FR"/>
        </w:rPr>
        <w:t xml:space="preserve">la distinction objectale qu’elle a faite et la conclusion qui en </w:t>
      </w:r>
      <w:r w:rsidR="00A93CBF" w:rsidRPr="00953692">
        <w:rPr>
          <w:sz w:val="24"/>
          <w:szCs w:val="24"/>
          <w:lang w:val="fr-FR"/>
        </w:rPr>
        <w:t>a</w:t>
      </w:r>
      <w:r w:rsidR="00887080" w:rsidRPr="00953692">
        <w:rPr>
          <w:sz w:val="24"/>
          <w:szCs w:val="24"/>
          <w:lang w:val="fr-FR"/>
        </w:rPr>
        <w:t xml:space="preserve"> résulté. La Chambre a semblé élev</w:t>
      </w:r>
      <w:r w:rsidR="00520455" w:rsidRPr="00953692">
        <w:rPr>
          <w:sz w:val="24"/>
          <w:szCs w:val="24"/>
          <w:lang w:val="fr-FR"/>
        </w:rPr>
        <w:t>er</w:t>
      </w:r>
      <w:r w:rsidR="00887080" w:rsidRPr="00953692">
        <w:rPr>
          <w:sz w:val="24"/>
          <w:szCs w:val="24"/>
          <w:lang w:val="fr-FR"/>
        </w:rPr>
        <w:t xml:space="preserve"> l’exigence du temps intervallaire </w:t>
      </w:r>
      <w:r w:rsidR="00772BFD" w:rsidRPr="00953692">
        <w:rPr>
          <w:sz w:val="24"/>
          <w:szCs w:val="24"/>
          <w:lang w:val="fr-FR"/>
        </w:rPr>
        <w:t xml:space="preserve">contenue dans les textes généraux au-dessus de celle de l’article 62 du RPP. Ce qui </w:t>
      </w:r>
      <w:r w:rsidR="00520455" w:rsidRPr="00953692">
        <w:rPr>
          <w:sz w:val="24"/>
          <w:szCs w:val="24"/>
          <w:lang w:val="fr-FR"/>
        </w:rPr>
        <w:t>parait</w:t>
      </w:r>
      <w:r w:rsidR="00772BFD" w:rsidRPr="00953692">
        <w:rPr>
          <w:sz w:val="24"/>
          <w:szCs w:val="24"/>
          <w:lang w:val="fr-FR"/>
        </w:rPr>
        <w:t xml:space="preserve"> plutôt, en notre sens, une inversion</w:t>
      </w:r>
      <w:r w:rsidR="00C62B2A" w:rsidRPr="00953692">
        <w:rPr>
          <w:sz w:val="24"/>
          <w:szCs w:val="24"/>
          <w:lang w:val="fr-FR"/>
        </w:rPr>
        <w:t xml:space="preserve"> impertinente</w:t>
      </w:r>
      <w:r w:rsidR="00772BFD" w:rsidRPr="00953692">
        <w:rPr>
          <w:sz w:val="24"/>
          <w:szCs w:val="24"/>
          <w:lang w:val="fr-FR"/>
        </w:rPr>
        <w:t xml:space="preserve"> qui a simplement permis de minimiser le retard auquel </w:t>
      </w:r>
      <w:r w:rsidR="001A7377" w:rsidRPr="00953692">
        <w:rPr>
          <w:sz w:val="24"/>
          <w:szCs w:val="24"/>
          <w:lang w:val="fr-FR"/>
        </w:rPr>
        <w:t xml:space="preserve">a fait allusion le requérant. En fait, </w:t>
      </w:r>
      <w:r w:rsidR="00B53948" w:rsidRPr="00953692">
        <w:rPr>
          <w:sz w:val="24"/>
          <w:szCs w:val="24"/>
          <w:lang w:val="fr-FR"/>
        </w:rPr>
        <w:t>à défaut d’être des expressions équi</w:t>
      </w:r>
      <w:r w:rsidR="003663BD" w:rsidRPr="00953692">
        <w:rPr>
          <w:sz w:val="24"/>
          <w:szCs w:val="24"/>
          <w:lang w:val="fr-FR"/>
        </w:rPr>
        <w:t>valentes</w:t>
      </w:r>
      <w:r w:rsidR="001C16D2" w:rsidRPr="00953692">
        <w:rPr>
          <w:sz w:val="24"/>
          <w:szCs w:val="24"/>
          <w:lang w:val="fr-FR"/>
        </w:rPr>
        <w:t>,</w:t>
      </w:r>
      <w:r w:rsidR="003663BD" w:rsidRPr="00953692">
        <w:rPr>
          <w:sz w:val="24"/>
          <w:szCs w:val="24"/>
          <w:lang w:val="fr-FR"/>
        </w:rPr>
        <w:t xml:space="preserve"> le terme sans délai laisse entendre une exécution sur-le-champ, alors que le terme</w:t>
      </w:r>
      <w:r w:rsidR="007B62AF" w:rsidRPr="00953692">
        <w:rPr>
          <w:sz w:val="24"/>
          <w:szCs w:val="24"/>
          <w:lang w:val="fr-FR"/>
        </w:rPr>
        <w:t>,</w:t>
      </w:r>
      <w:r w:rsidR="003663BD" w:rsidRPr="00953692">
        <w:rPr>
          <w:sz w:val="24"/>
          <w:szCs w:val="24"/>
          <w:lang w:val="fr-FR"/>
        </w:rPr>
        <w:t xml:space="preserve"> dans le plus court délai</w:t>
      </w:r>
      <w:r w:rsidR="00A93CBF" w:rsidRPr="00953692">
        <w:rPr>
          <w:sz w:val="24"/>
          <w:szCs w:val="24"/>
          <w:lang w:val="fr-FR"/>
        </w:rPr>
        <w:t>,</w:t>
      </w:r>
      <w:r w:rsidR="003663BD" w:rsidRPr="00953692">
        <w:rPr>
          <w:sz w:val="24"/>
          <w:szCs w:val="24"/>
          <w:lang w:val="fr-FR"/>
        </w:rPr>
        <w:t xml:space="preserve"> renvoie à l’idée d’une limitation stricte de l’intervalle de temps envisagé. Dans ce dernier, il peut s’agir d’un délai de quelques jours qui correspondraient </w:t>
      </w:r>
      <w:r w:rsidR="00CA1F98" w:rsidRPr="00953692">
        <w:rPr>
          <w:sz w:val="24"/>
          <w:szCs w:val="24"/>
          <w:lang w:val="fr-FR"/>
        </w:rPr>
        <w:t xml:space="preserve">en pratique à la durée d’une garde à vue avant de conduire le suspect devant le juge. </w:t>
      </w:r>
      <w:r w:rsidR="00A67C9C" w:rsidRPr="00953692">
        <w:rPr>
          <w:sz w:val="24"/>
          <w:szCs w:val="24"/>
          <w:lang w:val="fr-FR"/>
        </w:rPr>
        <w:t>Mais il faut reconnaitre que cette</w:t>
      </w:r>
      <w:r w:rsidR="00B53948" w:rsidRPr="00953692">
        <w:rPr>
          <w:sz w:val="24"/>
          <w:szCs w:val="24"/>
          <w:lang w:val="fr-FR"/>
        </w:rPr>
        <w:t xml:space="preserve"> </w:t>
      </w:r>
      <w:r w:rsidR="00A93CBF" w:rsidRPr="00953692">
        <w:rPr>
          <w:sz w:val="24"/>
          <w:szCs w:val="24"/>
          <w:lang w:val="fr-FR"/>
        </w:rPr>
        <w:t>distinction</w:t>
      </w:r>
      <w:r w:rsidR="00C62B2A" w:rsidRPr="00953692">
        <w:rPr>
          <w:sz w:val="24"/>
          <w:szCs w:val="24"/>
          <w:lang w:val="fr-FR"/>
        </w:rPr>
        <w:t xml:space="preserve"> que l’</w:t>
      </w:r>
      <w:r w:rsidR="00A36AEB" w:rsidRPr="00953692">
        <w:rPr>
          <w:sz w:val="24"/>
          <w:szCs w:val="24"/>
          <w:lang w:val="fr-FR"/>
        </w:rPr>
        <w:t>on peut se permettre d’établir, n’a qu</w:t>
      </w:r>
      <w:r w:rsidR="00A93CBF" w:rsidRPr="00953692">
        <w:rPr>
          <w:sz w:val="24"/>
          <w:szCs w:val="24"/>
          <w:lang w:val="fr-FR"/>
        </w:rPr>
        <w:t>’une</w:t>
      </w:r>
      <w:r w:rsidR="00A36AEB" w:rsidRPr="00953692">
        <w:rPr>
          <w:sz w:val="24"/>
          <w:szCs w:val="24"/>
          <w:lang w:val="fr-FR"/>
        </w:rPr>
        <w:t xml:space="preserve"> valeur théorique, puisque dans la pratique</w:t>
      </w:r>
      <w:r w:rsidR="00A93CBF" w:rsidRPr="00953692">
        <w:rPr>
          <w:sz w:val="24"/>
          <w:szCs w:val="24"/>
          <w:lang w:val="fr-FR"/>
        </w:rPr>
        <w:t>,</w:t>
      </w:r>
      <w:r w:rsidR="00A36AEB" w:rsidRPr="00953692">
        <w:rPr>
          <w:sz w:val="24"/>
          <w:szCs w:val="24"/>
          <w:lang w:val="fr-FR"/>
        </w:rPr>
        <w:t xml:space="preserve"> il est impossible de désenchevêtrer </w:t>
      </w:r>
      <w:r w:rsidR="00B66E1F" w:rsidRPr="00953692">
        <w:rPr>
          <w:sz w:val="24"/>
          <w:szCs w:val="24"/>
          <w:lang w:val="fr-FR"/>
        </w:rPr>
        <w:t xml:space="preserve">très </w:t>
      </w:r>
      <w:r w:rsidR="00A36AEB" w:rsidRPr="00953692">
        <w:rPr>
          <w:sz w:val="24"/>
          <w:szCs w:val="24"/>
          <w:lang w:val="fr-FR"/>
        </w:rPr>
        <w:t>nettement ces deux expressions</w:t>
      </w:r>
      <w:r w:rsidR="007B62AF" w:rsidRPr="00953692">
        <w:rPr>
          <w:sz w:val="24"/>
          <w:szCs w:val="24"/>
          <w:lang w:val="fr-FR"/>
        </w:rPr>
        <w:t>,</w:t>
      </w:r>
      <w:r w:rsidR="00B66E1F" w:rsidRPr="00953692">
        <w:rPr>
          <w:sz w:val="24"/>
          <w:szCs w:val="24"/>
          <w:lang w:val="fr-FR"/>
        </w:rPr>
        <w:t xml:space="preserve"> comme l’a voulu le faire la </w:t>
      </w:r>
      <w:r w:rsidR="00A93CBF" w:rsidRPr="00953692">
        <w:rPr>
          <w:sz w:val="24"/>
          <w:szCs w:val="24"/>
          <w:lang w:val="fr-FR"/>
        </w:rPr>
        <w:t>C</w:t>
      </w:r>
      <w:r w:rsidR="00B66E1F" w:rsidRPr="00953692">
        <w:rPr>
          <w:sz w:val="24"/>
          <w:szCs w:val="24"/>
          <w:lang w:val="fr-FR"/>
        </w:rPr>
        <w:t xml:space="preserve">hambre de première instance dans </w:t>
      </w:r>
      <w:r w:rsidR="00745EF0" w:rsidRPr="00953692">
        <w:rPr>
          <w:sz w:val="24"/>
          <w:szCs w:val="24"/>
          <w:lang w:val="fr-FR"/>
        </w:rPr>
        <w:t>s</w:t>
      </w:r>
      <w:r w:rsidR="00A93CBF" w:rsidRPr="00953692">
        <w:rPr>
          <w:sz w:val="24"/>
          <w:szCs w:val="24"/>
          <w:lang w:val="fr-FR"/>
        </w:rPr>
        <w:t>on obiter dictum</w:t>
      </w:r>
      <w:r w:rsidR="00A36AEB" w:rsidRPr="00953692">
        <w:rPr>
          <w:sz w:val="24"/>
          <w:szCs w:val="24"/>
          <w:lang w:val="fr-FR"/>
        </w:rPr>
        <w:t>.</w:t>
      </w:r>
    </w:p>
    <w:p w14:paraId="0E9AFB5D" w14:textId="579C4574" w:rsidR="008B4080" w:rsidRPr="00953692" w:rsidRDefault="00FF15E6" w:rsidP="00864BBF">
      <w:pPr>
        <w:spacing w:after="0" w:line="276" w:lineRule="auto"/>
        <w:ind w:firstLine="1134"/>
        <w:jc w:val="both"/>
        <w:rPr>
          <w:sz w:val="24"/>
          <w:szCs w:val="24"/>
          <w:lang w:val="fr-FR"/>
        </w:rPr>
      </w:pPr>
      <w:r w:rsidRPr="00953692">
        <w:rPr>
          <w:b/>
          <w:bCs/>
          <w:sz w:val="24"/>
          <w:szCs w:val="24"/>
          <w:lang w:val="fr-FR"/>
        </w:rPr>
        <w:t>1</w:t>
      </w:r>
      <w:r w:rsidR="00CB0492" w:rsidRPr="00953692">
        <w:rPr>
          <w:b/>
          <w:bCs/>
          <w:sz w:val="24"/>
          <w:szCs w:val="24"/>
          <w:lang w:val="fr-FR"/>
        </w:rPr>
        <w:t>51</w:t>
      </w:r>
      <w:r w:rsidRPr="00953692">
        <w:rPr>
          <w:b/>
          <w:bCs/>
          <w:sz w:val="24"/>
          <w:szCs w:val="24"/>
          <w:lang w:val="fr-FR"/>
        </w:rPr>
        <w:t>.</w:t>
      </w:r>
      <w:r w:rsidRPr="00953692">
        <w:rPr>
          <w:sz w:val="24"/>
          <w:szCs w:val="24"/>
          <w:lang w:val="fr-FR"/>
        </w:rPr>
        <w:t xml:space="preserve"> </w:t>
      </w:r>
      <w:r w:rsidR="00745EF0" w:rsidRPr="00953692">
        <w:rPr>
          <w:sz w:val="24"/>
          <w:szCs w:val="24"/>
          <w:lang w:val="fr-FR"/>
        </w:rPr>
        <w:t>C’est ainsi que, q</w:t>
      </w:r>
      <w:r w:rsidR="00B61475" w:rsidRPr="00953692">
        <w:rPr>
          <w:sz w:val="24"/>
          <w:szCs w:val="24"/>
          <w:lang w:val="fr-FR"/>
        </w:rPr>
        <w:t>uelle qu’en soit</w:t>
      </w:r>
      <w:r w:rsidR="00B66E1F" w:rsidRPr="00953692">
        <w:rPr>
          <w:sz w:val="24"/>
          <w:szCs w:val="24"/>
          <w:lang w:val="fr-FR"/>
        </w:rPr>
        <w:t xml:space="preserve"> la différenciation de l’objet, le but de cette prérogative de l’accusé ou du suspect est à retrouver dans la temporalité</w:t>
      </w:r>
      <w:r w:rsidR="005966F7" w:rsidRPr="00953692">
        <w:rPr>
          <w:sz w:val="24"/>
          <w:szCs w:val="24"/>
          <w:lang w:val="fr-FR"/>
        </w:rPr>
        <w:t xml:space="preserve"> courte</w:t>
      </w:r>
      <w:r w:rsidR="00B66E1F" w:rsidRPr="00953692">
        <w:rPr>
          <w:sz w:val="24"/>
          <w:szCs w:val="24"/>
          <w:lang w:val="fr-FR"/>
        </w:rPr>
        <w:t xml:space="preserve"> de l’action judiciaire. </w:t>
      </w:r>
      <w:r w:rsidR="009326C4" w:rsidRPr="00953692">
        <w:rPr>
          <w:sz w:val="24"/>
          <w:szCs w:val="24"/>
          <w:lang w:val="fr-FR"/>
        </w:rPr>
        <w:t>Le droit à la comparution initiale sans délai a pour but de limiter la durée de la procédure dès son entame, donc d’éviter tout retard que l’on peut sans difficulté rattach</w:t>
      </w:r>
      <w:r w:rsidR="00A75DF4" w:rsidRPr="00953692">
        <w:rPr>
          <w:sz w:val="24"/>
          <w:szCs w:val="24"/>
          <w:lang w:val="fr-FR"/>
        </w:rPr>
        <w:t>er</w:t>
      </w:r>
      <w:r w:rsidR="009326C4" w:rsidRPr="00953692">
        <w:rPr>
          <w:sz w:val="24"/>
          <w:szCs w:val="24"/>
          <w:lang w:val="fr-FR"/>
        </w:rPr>
        <w:t xml:space="preserve"> au droit d’être jugé dans un délai raisonnable. D’ailleurs</w:t>
      </w:r>
      <w:r w:rsidR="007B62AF" w:rsidRPr="00953692">
        <w:rPr>
          <w:sz w:val="24"/>
          <w:szCs w:val="24"/>
          <w:lang w:val="fr-FR"/>
        </w:rPr>
        <w:t>,</w:t>
      </w:r>
      <w:r w:rsidR="009326C4" w:rsidRPr="00953692">
        <w:rPr>
          <w:sz w:val="24"/>
          <w:szCs w:val="24"/>
          <w:lang w:val="fr-FR"/>
        </w:rPr>
        <w:t xml:space="preserve"> dans cette affaire, la Chambre a elle-même reconnu en filigrane qu’il y a eu retard</w:t>
      </w:r>
      <w:r w:rsidR="00FF61D4" w:rsidRPr="00953692">
        <w:rPr>
          <w:sz w:val="24"/>
          <w:szCs w:val="24"/>
          <w:lang w:val="fr-FR"/>
        </w:rPr>
        <w:t xml:space="preserve"> considérable</w:t>
      </w:r>
      <w:r w:rsidR="009326C4" w:rsidRPr="00953692">
        <w:rPr>
          <w:sz w:val="24"/>
          <w:szCs w:val="24"/>
          <w:lang w:val="fr-FR"/>
        </w:rPr>
        <w:t>, mais qui ne pouvait</w:t>
      </w:r>
      <w:r w:rsidR="00FF61D4" w:rsidRPr="00953692">
        <w:rPr>
          <w:sz w:val="24"/>
          <w:szCs w:val="24"/>
          <w:lang w:val="fr-FR"/>
        </w:rPr>
        <w:t xml:space="preserve"> pas</w:t>
      </w:r>
      <w:r w:rsidR="009326C4" w:rsidRPr="00953692">
        <w:rPr>
          <w:sz w:val="24"/>
          <w:szCs w:val="24"/>
          <w:lang w:val="fr-FR"/>
        </w:rPr>
        <w:t xml:space="preserve"> cependant fonder l’arrêt</w:t>
      </w:r>
      <w:r w:rsidR="00FF61D4" w:rsidRPr="00953692">
        <w:rPr>
          <w:sz w:val="24"/>
          <w:szCs w:val="24"/>
          <w:lang w:val="fr-FR"/>
        </w:rPr>
        <w:t xml:space="preserve"> ou la suspension</w:t>
      </w:r>
      <w:r w:rsidR="009326C4" w:rsidRPr="00953692">
        <w:rPr>
          <w:sz w:val="24"/>
          <w:szCs w:val="24"/>
          <w:lang w:val="fr-FR"/>
        </w:rPr>
        <w:t xml:space="preserve"> des poursuites comme l’exigeait le requérant</w:t>
      </w:r>
      <w:r w:rsidR="006C711A" w:rsidRPr="00953692">
        <w:rPr>
          <w:rStyle w:val="Appelnotedebasdep"/>
          <w:sz w:val="24"/>
          <w:szCs w:val="24"/>
          <w:lang w:val="fr-FR"/>
        </w:rPr>
        <w:footnoteReference w:customMarkFollows="1" w:id="122"/>
        <w:t>100</w:t>
      </w:r>
      <w:r w:rsidR="009326C4" w:rsidRPr="00953692">
        <w:rPr>
          <w:sz w:val="24"/>
          <w:szCs w:val="24"/>
          <w:lang w:val="fr-FR"/>
        </w:rPr>
        <w:t>.</w:t>
      </w:r>
    </w:p>
    <w:p w14:paraId="27B1E6C6" w14:textId="44AA4D39" w:rsidR="008B4080" w:rsidRPr="00953692" w:rsidRDefault="008B4080" w:rsidP="00864BBF">
      <w:pPr>
        <w:spacing w:after="0" w:line="276" w:lineRule="auto"/>
        <w:ind w:firstLine="1134"/>
        <w:jc w:val="both"/>
        <w:rPr>
          <w:sz w:val="24"/>
          <w:szCs w:val="24"/>
          <w:lang w:val="fr-FR"/>
        </w:rPr>
      </w:pPr>
      <w:r w:rsidRPr="00953692">
        <w:rPr>
          <w:b/>
          <w:bCs/>
          <w:sz w:val="24"/>
          <w:szCs w:val="24"/>
          <w:lang w:val="fr-FR"/>
        </w:rPr>
        <w:t>1</w:t>
      </w:r>
      <w:r w:rsidR="00CB0492" w:rsidRPr="00953692">
        <w:rPr>
          <w:b/>
          <w:bCs/>
          <w:sz w:val="24"/>
          <w:szCs w:val="24"/>
          <w:lang w:val="fr-FR"/>
        </w:rPr>
        <w:t>52</w:t>
      </w:r>
      <w:r w:rsidRPr="00953692">
        <w:rPr>
          <w:b/>
          <w:bCs/>
          <w:sz w:val="24"/>
          <w:szCs w:val="24"/>
          <w:lang w:val="fr-FR"/>
        </w:rPr>
        <w:t>.</w:t>
      </w:r>
      <w:r w:rsidRPr="00953692">
        <w:rPr>
          <w:sz w:val="24"/>
          <w:szCs w:val="24"/>
          <w:lang w:val="fr-FR"/>
        </w:rPr>
        <w:t xml:space="preserve"> </w:t>
      </w:r>
      <w:r w:rsidR="00A75DF4" w:rsidRPr="00953692">
        <w:rPr>
          <w:sz w:val="24"/>
          <w:szCs w:val="24"/>
          <w:lang w:val="fr-FR"/>
        </w:rPr>
        <w:t>C’est</w:t>
      </w:r>
      <w:r w:rsidR="007B62AF" w:rsidRPr="00953692">
        <w:rPr>
          <w:sz w:val="24"/>
          <w:szCs w:val="24"/>
          <w:lang w:val="fr-FR"/>
        </w:rPr>
        <w:t xml:space="preserve">, </w:t>
      </w:r>
      <w:r w:rsidR="00A75DF4" w:rsidRPr="00953692">
        <w:rPr>
          <w:sz w:val="24"/>
          <w:szCs w:val="24"/>
          <w:lang w:val="fr-FR"/>
        </w:rPr>
        <w:t>en effet, ce retard qui ouvre la voie à la problémati</w:t>
      </w:r>
      <w:r w:rsidR="00A93CBF" w:rsidRPr="00953692">
        <w:rPr>
          <w:sz w:val="24"/>
          <w:szCs w:val="24"/>
          <w:lang w:val="fr-FR"/>
        </w:rPr>
        <w:t>sation</w:t>
      </w:r>
      <w:r w:rsidR="00A75DF4" w:rsidRPr="00953692">
        <w:rPr>
          <w:sz w:val="24"/>
          <w:szCs w:val="24"/>
          <w:lang w:val="fr-FR"/>
        </w:rPr>
        <w:t xml:space="preserve"> de la durée globale du procès, </w:t>
      </w:r>
      <w:r w:rsidR="007B62AF" w:rsidRPr="00953692">
        <w:rPr>
          <w:sz w:val="24"/>
          <w:szCs w:val="24"/>
          <w:lang w:val="fr-FR"/>
        </w:rPr>
        <w:t>en conséquence</w:t>
      </w:r>
      <w:r w:rsidR="0097318A" w:rsidRPr="00953692">
        <w:rPr>
          <w:sz w:val="24"/>
          <w:szCs w:val="24"/>
          <w:lang w:val="fr-FR"/>
        </w:rPr>
        <w:t>,</w:t>
      </w:r>
      <w:r w:rsidR="00A75DF4" w:rsidRPr="00953692">
        <w:rPr>
          <w:sz w:val="24"/>
          <w:szCs w:val="24"/>
          <w:lang w:val="fr-FR"/>
        </w:rPr>
        <w:t xml:space="preserve"> du délai raisonnable. Dans l’affaire Bagosora</w:t>
      </w:r>
      <w:r w:rsidR="00D4301F" w:rsidRPr="00953692">
        <w:rPr>
          <w:sz w:val="24"/>
          <w:szCs w:val="24"/>
          <w:lang w:val="fr-FR"/>
        </w:rPr>
        <w:t xml:space="preserve"> devant la Chambre de première instance I du TPIR</w:t>
      </w:r>
      <w:r w:rsidR="00A75DF4" w:rsidRPr="00953692">
        <w:rPr>
          <w:sz w:val="24"/>
          <w:szCs w:val="24"/>
          <w:lang w:val="fr-FR"/>
        </w:rPr>
        <w:t>,</w:t>
      </w:r>
      <w:r w:rsidR="00D4301F" w:rsidRPr="00953692">
        <w:rPr>
          <w:sz w:val="24"/>
          <w:szCs w:val="24"/>
          <w:lang w:val="fr-FR"/>
        </w:rPr>
        <w:t xml:space="preserve"> </w:t>
      </w:r>
      <w:r w:rsidR="00BF4E20" w:rsidRPr="00953692">
        <w:rPr>
          <w:sz w:val="24"/>
          <w:szCs w:val="24"/>
          <w:lang w:val="fr-FR"/>
        </w:rPr>
        <w:t>l’accusé s’est plaint de la violation de son droit d’être jugé sans retard excessif, en ayant inclus le retard accumulé entre son transfert au siège du Tribunal le 23 janvier 1997</w:t>
      </w:r>
      <w:r w:rsidR="00745EF0" w:rsidRPr="00953692">
        <w:rPr>
          <w:sz w:val="24"/>
          <w:szCs w:val="24"/>
          <w:lang w:val="fr-FR"/>
        </w:rPr>
        <w:t>,</w:t>
      </w:r>
      <w:r w:rsidR="00BF4E20" w:rsidRPr="00953692">
        <w:rPr>
          <w:sz w:val="24"/>
          <w:szCs w:val="24"/>
          <w:lang w:val="fr-FR"/>
        </w:rPr>
        <w:t xml:space="preserve"> et sa comparution initiale intervenue le 20 février 1997</w:t>
      </w:r>
      <w:r w:rsidR="005966F7" w:rsidRPr="00953692">
        <w:rPr>
          <w:rStyle w:val="Appelnotedebasdep"/>
          <w:sz w:val="24"/>
          <w:szCs w:val="24"/>
          <w:lang w:val="fr-FR"/>
        </w:rPr>
        <w:footnoteReference w:customMarkFollows="1" w:id="123"/>
        <w:t>101</w:t>
      </w:r>
      <w:r w:rsidR="00BF4E20" w:rsidRPr="00953692">
        <w:rPr>
          <w:sz w:val="24"/>
          <w:szCs w:val="24"/>
          <w:lang w:val="fr-FR"/>
        </w:rPr>
        <w:t xml:space="preserve">. </w:t>
      </w:r>
      <w:r w:rsidR="00C72DE6" w:rsidRPr="00953692">
        <w:rPr>
          <w:sz w:val="24"/>
          <w:szCs w:val="24"/>
          <w:lang w:val="fr-FR"/>
        </w:rPr>
        <w:t xml:space="preserve">Pour répondre à la prétention fondée sur la violation du droit d’être jugé sans retard excessif, la Chambre </w:t>
      </w:r>
      <w:r w:rsidR="00745EF0" w:rsidRPr="00953692">
        <w:rPr>
          <w:sz w:val="24"/>
          <w:szCs w:val="24"/>
          <w:lang w:val="fr-FR"/>
        </w:rPr>
        <w:t xml:space="preserve">de première instance </w:t>
      </w:r>
      <w:r w:rsidR="00694761" w:rsidRPr="00953692">
        <w:rPr>
          <w:sz w:val="24"/>
          <w:szCs w:val="24"/>
          <w:lang w:val="fr-FR"/>
        </w:rPr>
        <w:t xml:space="preserve">s’est </w:t>
      </w:r>
      <w:r w:rsidR="00E0053E" w:rsidRPr="00953692">
        <w:rPr>
          <w:sz w:val="24"/>
          <w:szCs w:val="24"/>
          <w:lang w:val="fr-FR"/>
        </w:rPr>
        <w:t>basée,</w:t>
      </w:r>
      <w:r w:rsidR="00694761" w:rsidRPr="00953692">
        <w:rPr>
          <w:sz w:val="24"/>
          <w:szCs w:val="24"/>
          <w:lang w:val="fr-FR"/>
        </w:rPr>
        <w:t xml:space="preserve"> </w:t>
      </w:r>
      <w:r w:rsidR="00694761" w:rsidRPr="00953692">
        <w:rPr>
          <w:i/>
          <w:iCs/>
          <w:sz w:val="24"/>
          <w:szCs w:val="24"/>
          <w:lang w:val="fr-FR"/>
        </w:rPr>
        <w:t>grosso modo</w:t>
      </w:r>
      <w:r w:rsidR="00E0053E" w:rsidRPr="00953692">
        <w:rPr>
          <w:i/>
          <w:iCs/>
          <w:sz w:val="24"/>
          <w:szCs w:val="24"/>
          <w:lang w:val="fr-FR"/>
        </w:rPr>
        <w:t>,</w:t>
      </w:r>
      <w:r w:rsidR="00694761" w:rsidRPr="00953692">
        <w:rPr>
          <w:sz w:val="24"/>
          <w:szCs w:val="24"/>
          <w:lang w:val="fr-FR"/>
        </w:rPr>
        <w:t xml:space="preserve"> sur </w:t>
      </w:r>
      <w:r w:rsidR="00694761" w:rsidRPr="00953692">
        <w:rPr>
          <w:sz w:val="24"/>
          <w:szCs w:val="24"/>
          <w:lang w:val="fr-FR"/>
        </w:rPr>
        <w:lastRenderedPageBreak/>
        <w:t>la complexité de l’affaire pour conclure</w:t>
      </w:r>
      <w:r w:rsidR="0097318A" w:rsidRPr="00953692">
        <w:rPr>
          <w:sz w:val="24"/>
          <w:szCs w:val="24"/>
          <w:lang w:val="fr-FR"/>
        </w:rPr>
        <w:t>,</w:t>
      </w:r>
      <w:r w:rsidR="00694761" w:rsidRPr="00953692">
        <w:rPr>
          <w:sz w:val="24"/>
          <w:szCs w:val="24"/>
          <w:lang w:val="fr-FR"/>
        </w:rPr>
        <w:t xml:space="preserve"> que la conduite du procès n’a pas été entachée par un retard excessif. En outre, la Chambre, </w:t>
      </w:r>
      <w:r w:rsidR="00C72DE6" w:rsidRPr="00953692">
        <w:rPr>
          <w:sz w:val="24"/>
          <w:szCs w:val="24"/>
          <w:lang w:val="fr-FR"/>
        </w:rPr>
        <w:t>particulièrement</w:t>
      </w:r>
      <w:r w:rsidR="00694761" w:rsidRPr="00953692">
        <w:rPr>
          <w:sz w:val="24"/>
          <w:szCs w:val="24"/>
          <w:lang w:val="fr-FR"/>
        </w:rPr>
        <w:t>,</w:t>
      </w:r>
      <w:r w:rsidR="00C72DE6" w:rsidRPr="00953692">
        <w:rPr>
          <w:sz w:val="24"/>
          <w:szCs w:val="24"/>
          <w:lang w:val="fr-FR"/>
        </w:rPr>
        <w:t xml:space="preserve"> en ce qui concerne </w:t>
      </w:r>
      <w:r w:rsidR="00694761" w:rsidRPr="00953692">
        <w:rPr>
          <w:sz w:val="24"/>
          <w:szCs w:val="24"/>
          <w:lang w:val="fr-FR"/>
        </w:rPr>
        <w:t>la violation de son droit à une comparution initiale sans délai, l’a analysé séparément avec un peu plus de nuance.</w:t>
      </w:r>
    </w:p>
    <w:p w14:paraId="4EFFC62A" w14:textId="2C38E69D" w:rsidR="008B4080" w:rsidRPr="00953692" w:rsidRDefault="008B4080" w:rsidP="00864BBF">
      <w:pPr>
        <w:spacing w:after="0" w:line="276" w:lineRule="auto"/>
        <w:ind w:firstLine="1134"/>
        <w:jc w:val="both"/>
        <w:rPr>
          <w:sz w:val="24"/>
          <w:szCs w:val="24"/>
          <w:lang w:val="fr-FR"/>
        </w:rPr>
      </w:pPr>
      <w:r w:rsidRPr="00953692">
        <w:rPr>
          <w:b/>
          <w:bCs/>
          <w:sz w:val="24"/>
          <w:szCs w:val="24"/>
          <w:lang w:val="fr-FR"/>
        </w:rPr>
        <w:t>1</w:t>
      </w:r>
      <w:r w:rsidR="00CB0492" w:rsidRPr="00953692">
        <w:rPr>
          <w:b/>
          <w:bCs/>
          <w:sz w:val="24"/>
          <w:szCs w:val="24"/>
          <w:lang w:val="fr-FR"/>
        </w:rPr>
        <w:t>53</w:t>
      </w:r>
      <w:r w:rsidRPr="00953692">
        <w:rPr>
          <w:b/>
          <w:bCs/>
          <w:sz w:val="24"/>
          <w:szCs w:val="24"/>
          <w:lang w:val="fr-FR"/>
        </w:rPr>
        <w:t>.</w:t>
      </w:r>
      <w:r w:rsidRPr="00953692">
        <w:rPr>
          <w:sz w:val="24"/>
          <w:szCs w:val="24"/>
          <w:lang w:val="fr-FR"/>
        </w:rPr>
        <w:t xml:space="preserve"> </w:t>
      </w:r>
      <w:r w:rsidR="00F01381" w:rsidRPr="00953692">
        <w:rPr>
          <w:sz w:val="24"/>
          <w:szCs w:val="24"/>
          <w:lang w:val="fr-FR"/>
        </w:rPr>
        <w:t>En fait, « la Chambre a jugé que le retard de 28 jours enregistré relativement à la comparution initiale de l’accusé est excessif et constitutif d’une violation de son droit d’être conduit sans délai devant un juge »</w:t>
      </w:r>
      <w:r w:rsidR="005966F7" w:rsidRPr="00953692">
        <w:rPr>
          <w:rStyle w:val="Appelnotedebasdep"/>
          <w:sz w:val="24"/>
          <w:szCs w:val="24"/>
          <w:lang w:val="fr-FR"/>
        </w:rPr>
        <w:footnoteReference w:customMarkFollows="1" w:id="124"/>
        <w:t>102</w:t>
      </w:r>
      <w:r w:rsidR="00F01381" w:rsidRPr="00953692">
        <w:rPr>
          <w:sz w:val="24"/>
          <w:szCs w:val="24"/>
          <w:lang w:val="fr-FR"/>
        </w:rPr>
        <w:t>. Cependant, elle fait observer en outre que</w:t>
      </w:r>
      <w:r w:rsidR="00834A82" w:rsidRPr="00953692">
        <w:rPr>
          <w:sz w:val="24"/>
          <w:szCs w:val="24"/>
          <w:lang w:val="fr-FR"/>
        </w:rPr>
        <w:t xml:space="preserve"> le fait pour la Défense de n</w:t>
      </w:r>
      <w:r w:rsidR="00E0053E" w:rsidRPr="00953692">
        <w:rPr>
          <w:sz w:val="24"/>
          <w:szCs w:val="24"/>
          <w:lang w:val="fr-FR"/>
        </w:rPr>
        <w:t>e</w:t>
      </w:r>
      <w:r w:rsidR="00834A82" w:rsidRPr="00953692">
        <w:rPr>
          <w:sz w:val="24"/>
          <w:szCs w:val="24"/>
          <w:lang w:val="fr-FR"/>
        </w:rPr>
        <w:t xml:space="preserve"> pas plus tôt soulev</w:t>
      </w:r>
      <w:r w:rsidR="00E0053E" w:rsidRPr="00953692">
        <w:rPr>
          <w:sz w:val="24"/>
          <w:szCs w:val="24"/>
          <w:lang w:val="fr-FR"/>
        </w:rPr>
        <w:t>er</w:t>
      </w:r>
      <w:r w:rsidR="00834A82" w:rsidRPr="00953692">
        <w:rPr>
          <w:sz w:val="24"/>
          <w:szCs w:val="24"/>
          <w:lang w:val="fr-FR"/>
        </w:rPr>
        <w:t xml:space="preserve"> cette objection est de</w:t>
      </w:r>
      <w:r w:rsidR="00F01381" w:rsidRPr="00953692">
        <w:rPr>
          <w:sz w:val="24"/>
          <w:szCs w:val="24"/>
          <w:lang w:val="fr-FR"/>
        </w:rPr>
        <w:t xml:space="preserve"> nature à établir que si tant est </w:t>
      </w:r>
      <w:r w:rsidR="00834A82" w:rsidRPr="00953692">
        <w:rPr>
          <w:sz w:val="24"/>
          <w:szCs w:val="24"/>
          <w:lang w:val="fr-FR"/>
        </w:rPr>
        <w:t>qu’il n’a</w:t>
      </w:r>
      <w:r w:rsidR="00721BBB" w:rsidRPr="00953692">
        <w:rPr>
          <w:sz w:val="24"/>
          <w:szCs w:val="24"/>
          <w:lang w:val="fr-FR"/>
        </w:rPr>
        <w:t xml:space="preserve"> </w:t>
      </w:r>
      <w:r w:rsidR="00834A82" w:rsidRPr="00953692">
        <w:rPr>
          <w:sz w:val="24"/>
          <w:szCs w:val="24"/>
          <w:lang w:val="fr-FR"/>
        </w:rPr>
        <w:t>jamais</w:t>
      </w:r>
      <w:r w:rsidR="00F01381" w:rsidRPr="00953692">
        <w:rPr>
          <w:sz w:val="24"/>
          <w:szCs w:val="24"/>
          <w:lang w:val="fr-FR"/>
        </w:rPr>
        <w:t xml:space="preserve"> existé, le préjudice qui</w:t>
      </w:r>
      <w:r w:rsidR="00E0053E" w:rsidRPr="00953692">
        <w:rPr>
          <w:sz w:val="24"/>
          <w:szCs w:val="24"/>
          <w:lang w:val="fr-FR"/>
        </w:rPr>
        <w:t xml:space="preserve"> en</w:t>
      </w:r>
      <w:r w:rsidR="00F01381" w:rsidRPr="00953692">
        <w:rPr>
          <w:sz w:val="24"/>
          <w:szCs w:val="24"/>
          <w:lang w:val="fr-FR"/>
        </w:rPr>
        <w:t xml:space="preserve"> </w:t>
      </w:r>
      <w:r w:rsidR="00E0053E" w:rsidRPr="00953692">
        <w:rPr>
          <w:sz w:val="24"/>
          <w:szCs w:val="24"/>
          <w:lang w:val="fr-FR"/>
        </w:rPr>
        <w:t>a</w:t>
      </w:r>
      <w:r w:rsidR="00F01381" w:rsidRPr="00953692">
        <w:rPr>
          <w:sz w:val="24"/>
          <w:szCs w:val="24"/>
          <w:lang w:val="fr-FR"/>
        </w:rPr>
        <w:t xml:space="preserve"> résulté pour l’accusé de cette violation ne prête pas à conséquence</w:t>
      </w:r>
      <w:r w:rsidR="005966F7" w:rsidRPr="00953692">
        <w:rPr>
          <w:rStyle w:val="Appelnotedebasdep"/>
          <w:sz w:val="24"/>
          <w:szCs w:val="24"/>
          <w:lang w:val="fr-FR"/>
        </w:rPr>
        <w:footnoteReference w:customMarkFollows="1" w:id="125"/>
        <w:t>103</w:t>
      </w:r>
      <w:r w:rsidR="00F01381" w:rsidRPr="00953692">
        <w:rPr>
          <w:sz w:val="24"/>
          <w:szCs w:val="24"/>
          <w:lang w:val="fr-FR"/>
        </w:rPr>
        <w:t>.</w:t>
      </w:r>
      <w:r w:rsidR="000B53BD" w:rsidRPr="00953692">
        <w:rPr>
          <w:sz w:val="24"/>
          <w:szCs w:val="24"/>
          <w:lang w:val="fr-FR"/>
        </w:rPr>
        <w:t xml:space="preserve"> La Chambre a également examiné la </w:t>
      </w:r>
      <w:r w:rsidR="00E37F2B" w:rsidRPr="00953692">
        <w:rPr>
          <w:sz w:val="24"/>
          <w:szCs w:val="24"/>
          <w:lang w:val="fr-FR"/>
        </w:rPr>
        <w:t>même question en ce qui concerne Kabiligi, qui a soulevé la violation de son droit à la comparution initiale</w:t>
      </w:r>
      <w:r w:rsidR="00E57934" w:rsidRPr="00953692">
        <w:rPr>
          <w:sz w:val="24"/>
          <w:szCs w:val="24"/>
          <w:lang w:val="fr-FR"/>
        </w:rPr>
        <w:t>,</w:t>
      </w:r>
      <w:r w:rsidR="00E37F2B" w:rsidRPr="00953692">
        <w:rPr>
          <w:sz w:val="24"/>
          <w:szCs w:val="24"/>
          <w:lang w:val="fr-FR"/>
        </w:rPr>
        <w:t xml:space="preserve"> d’une part, du fait qu’il a été transféré en qualité de suspect au siège du Tribunal le 18 juillet 1997</w:t>
      </w:r>
      <w:r w:rsidR="00277DA0" w:rsidRPr="00953692">
        <w:rPr>
          <w:sz w:val="24"/>
          <w:szCs w:val="24"/>
          <w:lang w:val="fr-FR"/>
        </w:rPr>
        <w:t>,</w:t>
      </w:r>
      <w:r w:rsidR="00E37F2B" w:rsidRPr="00953692">
        <w:rPr>
          <w:sz w:val="24"/>
          <w:szCs w:val="24"/>
          <w:lang w:val="fr-FR"/>
        </w:rPr>
        <w:t xml:space="preserve"> et a comparu pour la première fois le 14 aout 1997, soit 27 jours de retard. Et d’autre part, </w:t>
      </w:r>
      <w:r w:rsidR="000B7822" w:rsidRPr="00953692">
        <w:rPr>
          <w:sz w:val="24"/>
          <w:szCs w:val="24"/>
          <w:lang w:val="fr-FR"/>
        </w:rPr>
        <w:t>son acte d’accusation a été confirmé le 15 oct</w:t>
      </w:r>
      <w:r w:rsidR="00D87AE8" w:rsidRPr="00953692">
        <w:rPr>
          <w:sz w:val="24"/>
          <w:szCs w:val="24"/>
          <w:lang w:val="fr-FR"/>
        </w:rPr>
        <w:t>.</w:t>
      </w:r>
      <w:r w:rsidR="000B7822" w:rsidRPr="00953692">
        <w:rPr>
          <w:sz w:val="24"/>
          <w:szCs w:val="24"/>
          <w:lang w:val="fr-FR"/>
        </w:rPr>
        <w:t xml:space="preserve"> 1997 et sa comparution initiale, </w:t>
      </w:r>
      <w:r w:rsidR="00D87AE8" w:rsidRPr="00953692">
        <w:rPr>
          <w:sz w:val="24"/>
          <w:szCs w:val="24"/>
          <w:lang w:val="fr-FR"/>
        </w:rPr>
        <w:t>comme</w:t>
      </w:r>
      <w:r w:rsidR="005F4030" w:rsidRPr="00953692">
        <w:rPr>
          <w:sz w:val="24"/>
          <w:szCs w:val="24"/>
          <w:lang w:val="fr-FR"/>
        </w:rPr>
        <w:t xml:space="preserve"> </w:t>
      </w:r>
      <w:r w:rsidR="000B7822" w:rsidRPr="00953692">
        <w:rPr>
          <w:sz w:val="24"/>
          <w:szCs w:val="24"/>
          <w:lang w:val="fr-FR"/>
        </w:rPr>
        <w:t>accusé, a eu lieu le 17 fév</w:t>
      </w:r>
      <w:r w:rsidR="00D87AE8" w:rsidRPr="00953692">
        <w:rPr>
          <w:sz w:val="24"/>
          <w:szCs w:val="24"/>
          <w:lang w:val="fr-FR"/>
        </w:rPr>
        <w:t>.</w:t>
      </w:r>
      <w:r w:rsidR="000B7822" w:rsidRPr="00953692">
        <w:rPr>
          <w:sz w:val="24"/>
          <w:szCs w:val="24"/>
          <w:lang w:val="fr-FR"/>
        </w:rPr>
        <w:t xml:space="preserve"> 1998, soit 125 jours de retard</w:t>
      </w:r>
      <w:r w:rsidR="005966F7" w:rsidRPr="00953692">
        <w:rPr>
          <w:rStyle w:val="Appelnotedebasdep"/>
          <w:sz w:val="24"/>
          <w:szCs w:val="24"/>
          <w:lang w:val="fr-FR"/>
        </w:rPr>
        <w:footnoteReference w:customMarkFollows="1" w:id="126"/>
        <w:t>104</w:t>
      </w:r>
      <w:r w:rsidR="000B7822" w:rsidRPr="00953692">
        <w:rPr>
          <w:sz w:val="24"/>
          <w:szCs w:val="24"/>
          <w:lang w:val="fr-FR"/>
        </w:rPr>
        <w:t>.</w:t>
      </w:r>
    </w:p>
    <w:p w14:paraId="361792EA" w14:textId="4EEF4D45" w:rsidR="008B4080" w:rsidRPr="00953692" w:rsidRDefault="008B4080" w:rsidP="00864BBF">
      <w:pPr>
        <w:spacing w:after="0" w:line="276" w:lineRule="auto"/>
        <w:ind w:firstLine="1134"/>
        <w:jc w:val="both"/>
        <w:rPr>
          <w:sz w:val="24"/>
          <w:szCs w:val="24"/>
          <w:lang w:val="fr-FR"/>
        </w:rPr>
      </w:pPr>
      <w:r w:rsidRPr="00953692">
        <w:rPr>
          <w:b/>
          <w:bCs/>
          <w:sz w:val="24"/>
          <w:szCs w:val="24"/>
          <w:lang w:val="fr-FR"/>
        </w:rPr>
        <w:t>1</w:t>
      </w:r>
      <w:r w:rsidR="00CB0492" w:rsidRPr="00953692">
        <w:rPr>
          <w:b/>
          <w:bCs/>
          <w:sz w:val="24"/>
          <w:szCs w:val="24"/>
          <w:lang w:val="fr-FR"/>
        </w:rPr>
        <w:t>54</w:t>
      </w:r>
      <w:r w:rsidRPr="00953692">
        <w:rPr>
          <w:b/>
          <w:bCs/>
          <w:sz w:val="24"/>
          <w:szCs w:val="24"/>
          <w:lang w:val="fr-FR"/>
        </w:rPr>
        <w:t>.</w:t>
      </w:r>
      <w:r w:rsidRPr="00953692">
        <w:rPr>
          <w:sz w:val="24"/>
          <w:szCs w:val="24"/>
          <w:lang w:val="fr-FR"/>
        </w:rPr>
        <w:t xml:space="preserve"> </w:t>
      </w:r>
      <w:r w:rsidR="00E65B2F" w:rsidRPr="00953692">
        <w:rPr>
          <w:sz w:val="24"/>
          <w:szCs w:val="24"/>
          <w:lang w:val="fr-FR"/>
        </w:rPr>
        <w:t>Dans le premier cas, la Chambre</w:t>
      </w:r>
      <w:r w:rsidR="00455902" w:rsidRPr="00953692">
        <w:rPr>
          <w:sz w:val="24"/>
          <w:szCs w:val="24"/>
          <w:lang w:val="fr-FR"/>
        </w:rPr>
        <w:t xml:space="preserve"> de première instance</w:t>
      </w:r>
      <w:r w:rsidR="00E65B2F" w:rsidRPr="00953692">
        <w:rPr>
          <w:sz w:val="24"/>
          <w:szCs w:val="24"/>
          <w:lang w:val="fr-FR"/>
        </w:rPr>
        <w:t xml:space="preserve"> a considéré que ce retard a violé le droit du suspect de comparaitre sans délai, et qu’en l’espèce, aucune preuve documentaire propre à justifier ce retard n’a été fournie. Dans le second cas, elle a fait remarque</w:t>
      </w:r>
      <w:r w:rsidR="00E0053E" w:rsidRPr="00953692">
        <w:rPr>
          <w:sz w:val="24"/>
          <w:szCs w:val="24"/>
          <w:lang w:val="fr-FR"/>
        </w:rPr>
        <w:t>r</w:t>
      </w:r>
      <w:r w:rsidR="00E65B2F" w:rsidRPr="00953692">
        <w:rPr>
          <w:sz w:val="24"/>
          <w:szCs w:val="24"/>
          <w:lang w:val="fr-FR"/>
        </w:rPr>
        <w:t xml:space="preserve"> que le retard de 125 jours paraissait excessivement long, avant de le justifier ensuite par la position d</w:t>
      </w:r>
      <w:r w:rsidR="00E0053E" w:rsidRPr="00953692">
        <w:rPr>
          <w:sz w:val="24"/>
          <w:szCs w:val="24"/>
          <w:lang w:val="fr-FR"/>
        </w:rPr>
        <w:t>u</w:t>
      </w:r>
      <w:r w:rsidR="00E65B2F" w:rsidRPr="00953692">
        <w:rPr>
          <w:sz w:val="24"/>
          <w:szCs w:val="24"/>
          <w:lang w:val="fr-FR"/>
        </w:rPr>
        <w:t xml:space="preserve"> Conseil</w:t>
      </w:r>
      <w:r w:rsidR="00E0053E" w:rsidRPr="00953692">
        <w:rPr>
          <w:sz w:val="24"/>
          <w:szCs w:val="24"/>
          <w:lang w:val="fr-FR"/>
        </w:rPr>
        <w:t xml:space="preserve"> de l’accusé</w:t>
      </w:r>
      <w:r w:rsidR="00E65B2F" w:rsidRPr="00953692">
        <w:rPr>
          <w:sz w:val="24"/>
          <w:szCs w:val="24"/>
          <w:lang w:val="fr-FR"/>
        </w:rPr>
        <w:t xml:space="preserve"> qui, selon la Chambre, semblait </w:t>
      </w:r>
      <w:r w:rsidR="000110F0" w:rsidRPr="00953692">
        <w:rPr>
          <w:sz w:val="24"/>
          <w:szCs w:val="24"/>
          <w:lang w:val="fr-FR"/>
        </w:rPr>
        <w:t>inconciliable avec les dates que proposait le greffier après la confirmation de l’acte d’accusation</w:t>
      </w:r>
      <w:r w:rsidR="005966F7" w:rsidRPr="00953692">
        <w:rPr>
          <w:rStyle w:val="Appelnotedebasdep"/>
          <w:sz w:val="24"/>
          <w:szCs w:val="24"/>
          <w:lang w:val="fr-FR"/>
        </w:rPr>
        <w:footnoteReference w:customMarkFollows="1" w:id="127"/>
        <w:t>105</w:t>
      </w:r>
      <w:r w:rsidR="000110F0" w:rsidRPr="00953692">
        <w:rPr>
          <w:sz w:val="24"/>
          <w:szCs w:val="24"/>
          <w:lang w:val="fr-FR"/>
        </w:rPr>
        <w:t xml:space="preserve">. </w:t>
      </w:r>
      <w:r w:rsidR="00E0053E" w:rsidRPr="00953692">
        <w:rPr>
          <w:sz w:val="24"/>
          <w:szCs w:val="24"/>
          <w:lang w:val="fr-FR"/>
        </w:rPr>
        <w:t>En outre, i</w:t>
      </w:r>
      <w:r w:rsidR="005A0005" w:rsidRPr="00953692">
        <w:rPr>
          <w:sz w:val="24"/>
          <w:szCs w:val="24"/>
          <w:lang w:val="fr-FR"/>
        </w:rPr>
        <w:t>l a été reproché également à Kabiligi le fait de n’avoir pas soulevé ces questions</w:t>
      </w:r>
      <w:r w:rsidR="009108A8" w:rsidRPr="00953692">
        <w:rPr>
          <w:sz w:val="24"/>
          <w:szCs w:val="24"/>
          <w:lang w:val="fr-FR"/>
        </w:rPr>
        <w:t xml:space="preserve"> </w:t>
      </w:r>
      <w:r w:rsidR="00A8182B" w:rsidRPr="00953692">
        <w:rPr>
          <w:sz w:val="24"/>
          <w:szCs w:val="24"/>
          <w:lang w:val="fr-FR"/>
        </w:rPr>
        <w:t>neuf</w:t>
      </w:r>
      <w:r w:rsidR="009108A8" w:rsidRPr="00953692">
        <w:rPr>
          <w:sz w:val="24"/>
          <w:szCs w:val="24"/>
          <w:lang w:val="fr-FR"/>
        </w:rPr>
        <w:t xml:space="preserve"> ans auparavant. </w:t>
      </w:r>
      <w:r w:rsidR="00C35B33" w:rsidRPr="00953692">
        <w:rPr>
          <w:sz w:val="24"/>
          <w:szCs w:val="24"/>
          <w:lang w:val="fr-FR"/>
        </w:rPr>
        <w:t>Ce qui paraissait tel un renoncement de l’accusé à son droit de comparaitre sans délai. Cependant, il n’en demeure pas moins vrai que ces retards ont été constitutifs d’une violation du droit des accusés</w:t>
      </w:r>
      <w:r w:rsidR="000054D1" w:rsidRPr="00953692">
        <w:rPr>
          <w:sz w:val="24"/>
          <w:szCs w:val="24"/>
          <w:lang w:val="fr-FR"/>
        </w:rPr>
        <w:t>,</w:t>
      </w:r>
      <w:r w:rsidR="00C35B33" w:rsidRPr="00953692">
        <w:rPr>
          <w:sz w:val="24"/>
          <w:szCs w:val="24"/>
          <w:lang w:val="fr-FR"/>
        </w:rPr>
        <w:t xml:space="preserve"> chacun en ce qui le concerne, que la Chambre </w:t>
      </w:r>
      <w:r w:rsidR="00E0053E" w:rsidRPr="00953692">
        <w:rPr>
          <w:sz w:val="24"/>
          <w:szCs w:val="24"/>
          <w:lang w:val="fr-FR"/>
        </w:rPr>
        <w:t xml:space="preserve">a </w:t>
      </w:r>
      <w:r w:rsidR="00C35B33" w:rsidRPr="00953692">
        <w:rPr>
          <w:sz w:val="24"/>
          <w:szCs w:val="24"/>
          <w:lang w:val="fr-FR"/>
        </w:rPr>
        <w:t xml:space="preserve">tenu </w:t>
      </w:r>
      <w:r w:rsidR="00C35B33" w:rsidRPr="00953692">
        <w:rPr>
          <w:i/>
          <w:iCs/>
          <w:sz w:val="24"/>
          <w:szCs w:val="24"/>
          <w:lang w:val="fr-FR"/>
        </w:rPr>
        <w:t>in fin</w:t>
      </w:r>
      <w:r w:rsidR="00963E31" w:rsidRPr="00953692">
        <w:rPr>
          <w:i/>
          <w:iCs/>
          <w:sz w:val="24"/>
          <w:szCs w:val="24"/>
          <w:lang w:val="fr-FR"/>
        </w:rPr>
        <w:t>e</w:t>
      </w:r>
      <w:r w:rsidR="00C35B33" w:rsidRPr="00953692">
        <w:rPr>
          <w:sz w:val="24"/>
          <w:szCs w:val="24"/>
          <w:lang w:val="fr-FR"/>
        </w:rPr>
        <w:t xml:space="preserve"> </w:t>
      </w:r>
      <w:r w:rsidR="00E0053E" w:rsidRPr="00953692">
        <w:rPr>
          <w:sz w:val="24"/>
          <w:szCs w:val="24"/>
          <w:lang w:val="fr-FR"/>
        </w:rPr>
        <w:t>à</w:t>
      </w:r>
      <w:r w:rsidR="00C35B33" w:rsidRPr="00953692">
        <w:rPr>
          <w:sz w:val="24"/>
          <w:szCs w:val="24"/>
          <w:lang w:val="fr-FR"/>
        </w:rPr>
        <w:t xml:space="preserve"> réparer au travers une </w:t>
      </w:r>
      <w:r w:rsidR="00455902" w:rsidRPr="00953692">
        <w:rPr>
          <w:sz w:val="24"/>
          <w:szCs w:val="24"/>
          <w:lang w:val="fr-FR"/>
        </w:rPr>
        <w:t xml:space="preserve">simple </w:t>
      </w:r>
      <w:r w:rsidR="00C35B33" w:rsidRPr="00953692">
        <w:rPr>
          <w:sz w:val="24"/>
          <w:szCs w:val="24"/>
          <w:lang w:val="fr-FR"/>
        </w:rPr>
        <w:t>reconnaissance formelle</w:t>
      </w:r>
      <w:r w:rsidR="005966F7" w:rsidRPr="00953692">
        <w:rPr>
          <w:sz w:val="24"/>
          <w:szCs w:val="24"/>
          <w:lang w:val="fr-FR"/>
        </w:rPr>
        <w:t xml:space="preserve"> de ces violations</w:t>
      </w:r>
      <w:r w:rsidR="005966F7" w:rsidRPr="00953692">
        <w:rPr>
          <w:rStyle w:val="Appelnotedebasdep"/>
          <w:sz w:val="24"/>
          <w:szCs w:val="24"/>
          <w:lang w:val="fr-FR"/>
        </w:rPr>
        <w:footnoteReference w:customMarkFollows="1" w:id="128"/>
        <w:t>106</w:t>
      </w:r>
      <w:r w:rsidR="00C35B33" w:rsidRPr="00953692">
        <w:rPr>
          <w:sz w:val="24"/>
          <w:szCs w:val="24"/>
          <w:lang w:val="fr-FR"/>
        </w:rPr>
        <w:t>.</w:t>
      </w:r>
    </w:p>
    <w:p w14:paraId="3DEA308D" w14:textId="41A59881" w:rsidR="00153549" w:rsidRPr="00953692" w:rsidRDefault="008B4080" w:rsidP="00864BBF">
      <w:pPr>
        <w:spacing w:after="0" w:line="276" w:lineRule="auto"/>
        <w:ind w:firstLine="1134"/>
        <w:jc w:val="both"/>
        <w:rPr>
          <w:sz w:val="24"/>
          <w:szCs w:val="24"/>
          <w:lang w:val="fr-FR"/>
        </w:rPr>
      </w:pPr>
      <w:r w:rsidRPr="00953692">
        <w:rPr>
          <w:b/>
          <w:bCs/>
          <w:sz w:val="24"/>
          <w:szCs w:val="24"/>
          <w:lang w:val="fr-FR"/>
        </w:rPr>
        <w:t>1</w:t>
      </w:r>
      <w:r w:rsidR="00CB0492" w:rsidRPr="00953692">
        <w:rPr>
          <w:b/>
          <w:bCs/>
          <w:sz w:val="24"/>
          <w:szCs w:val="24"/>
          <w:lang w:val="fr-FR"/>
        </w:rPr>
        <w:t>55</w:t>
      </w:r>
      <w:r w:rsidRPr="00953692">
        <w:rPr>
          <w:b/>
          <w:bCs/>
          <w:sz w:val="24"/>
          <w:szCs w:val="24"/>
          <w:lang w:val="fr-FR"/>
        </w:rPr>
        <w:t>.</w:t>
      </w:r>
      <w:r w:rsidRPr="00953692">
        <w:rPr>
          <w:sz w:val="24"/>
          <w:szCs w:val="24"/>
          <w:lang w:val="fr-FR"/>
        </w:rPr>
        <w:t xml:space="preserve"> </w:t>
      </w:r>
      <w:r w:rsidR="00AA7756" w:rsidRPr="00953692">
        <w:rPr>
          <w:sz w:val="24"/>
          <w:szCs w:val="24"/>
          <w:lang w:val="fr-FR"/>
        </w:rPr>
        <w:t>Il faut remarquer de prime abord que l’analyse séparée de ces deux prérogatives de l’accusé n’entame pas les rapports</w:t>
      </w:r>
      <w:r w:rsidR="00E0053E" w:rsidRPr="00953692">
        <w:rPr>
          <w:sz w:val="24"/>
          <w:szCs w:val="24"/>
          <w:lang w:val="fr-FR"/>
        </w:rPr>
        <w:t xml:space="preserve"> de</w:t>
      </w:r>
      <w:r w:rsidR="00AA7756" w:rsidRPr="00953692">
        <w:rPr>
          <w:sz w:val="24"/>
          <w:szCs w:val="24"/>
          <w:lang w:val="fr-FR"/>
        </w:rPr>
        <w:t xml:space="preserve"> complémentarité qui existent entre elles</w:t>
      </w:r>
      <w:r w:rsidR="00282983" w:rsidRPr="00953692">
        <w:rPr>
          <w:sz w:val="24"/>
          <w:szCs w:val="24"/>
          <w:lang w:val="fr-FR"/>
        </w:rPr>
        <w:t>.</w:t>
      </w:r>
      <w:r w:rsidR="00AA7756" w:rsidRPr="00953692">
        <w:rPr>
          <w:sz w:val="24"/>
          <w:szCs w:val="24"/>
          <w:lang w:val="fr-FR"/>
        </w:rPr>
        <w:t xml:space="preserve"> </w:t>
      </w:r>
      <w:r w:rsidR="00282983" w:rsidRPr="00953692">
        <w:rPr>
          <w:sz w:val="24"/>
          <w:szCs w:val="24"/>
          <w:lang w:val="fr-FR"/>
        </w:rPr>
        <w:t>M</w:t>
      </w:r>
      <w:r w:rsidR="00AA7756" w:rsidRPr="00953692">
        <w:rPr>
          <w:sz w:val="24"/>
          <w:szCs w:val="24"/>
          <w:lang w:val="fr-FR"/>
        </w:rPr>
        <w:t>ais</w:t>
      </w:r>
      <w:r w:rsidR="00282983" w:rsidRPr="00953692">
        <w:rPr>
          <w:sz w:val="24"/>
          <w:szCs w:val="24"/>
          <w:lang w:val="fr-FR"/>
        </w:rPr>
        <w:t xml:space="preserve"> elle </w:t>
      </w:r>
      <w:r w:rsidR="00470989" w:rsidRPr="00953692">
        <w:rPr>
          <w:sz w:val="24"/>
          <w:szCs w:val="24"/>
          <w:lang w:val="fr-FR"/>
        </w:rPr>
        <w:t>peut s’expliquer par l’autonomie du droit à la comparution initiale sans délai</w:t>
      </w:r>
      <w:r w:rsidR="005E440F" w:rsidRPr="00953692">
        <w:rPr>
          <w:sz w:val="24"/>
          <w:szCs w:val="24"/>
          <w:lang w:val="fr-FR"/>
        </w:rPr>
        <w:t xml:space="preserve">, qui n’est pas voué à être inclus dans le droit à un délai raisonnable du procès. </w:t>
      </w:r>
      <w:r w:rsidR="008317E3" w:rsidRPr="00953692">
        <w:rPr>
          <w:sz w:val="24"/>
          <w:szCs w:val="24"/>
          <w:lang w:val="fr-FR"/>
        </w:rPr>
        <w:t>Cette autonomie dévoile</w:t>
      </w:r>
      <w:r w:rsidR="005966F7" w:rsidRPr="00953692">
        <w:rPr>
          <w:sz w:val="24"/>
          <w:szCs w:val="24"/>
          <w:lang w:val="fr-FR"/>
        </w:rPr>
        <w:t>, sans surprise,</w:t>
      </w:r>
      <w:r w:rsidR="008317E3" w:rsidRPr="00953692">
        <w:rPr>
          <w:sz w:val="24"/>
          <w:szCs w:val="24"/>
          <w:lang w:val="fr-FR"/>
        </w:rPr>
        <w:t xml:space="preserve"> une complémentarité à sens unique. </w:t>
      </w:r>
      <w:r w:rsidR="00C37E62" w:rsidRPr="00953692">
        <w:rPr>
          <w:sz w:val="24"/>
          <w:szCs w:val="24"/>
          <w:lang w:val="fr-FR"/>
        </w:rPr>
        <w:t>En théorie de la procédure pénale internationale, l</w:t>
      </w:r>
      <w:r w:rsidR="008317E3" w:rsidRPr="00953692">
        <w:rPr>
          <w:sz w:val="24"/>
          <w:szCs w:val="24"/>
          <w:lang w:val="fr-FR"/>
        </w:rPr>
        <w:t xml:space="preserve">a violation du droit de comparaitre initialement sans délai peut </w:t>
      </w:r>
      <w:r w:rsidR="0027260C" w:rsidRPr="00953692">
        <w:rPr>
          <w:sz w:val="24"/>
          <w:szCs w:val="24"/>
          <w:lang w:val="fr-FR"/>
        </w:rPr>
        <w:t>être</w:t>
      </w:r>
      <w:r w:rsidR="008317E3" w:rsidRPr="00953692">
        <w:rPr>
          <w:sz w:val="24"/>
          <w:szCs w:val="24"/>
          <w:lang w:val="fr-FR"/>
        </w:rPr>
        <w:t xml:space="preserve"> établie et sanctionnée, sans qu’il n’y ait nécessité de s’appuyer sur </w:t>
      </w:r>
      <w:r w:rsidR="006C711A" w:rsidRPr="00953692">
        <w:rPr>
          <w:sz w:val="24"/>
          <w:szCs w:val="24"/>
          <w:lang w:val="fr-FR"/>
        </w:rPr>
        <w:t>une</w:t>
      </w:r>
      <w:r w:rsidR="008317E3" w:rsidRPr="00953692">
        <w:rPr>
          <w:sz w:val="24"/>
          <w:szCs w:val="24"/>
          <w:lang w:val="fr-FR"/>
        </w:rPr>
        <w:t xml:space="preserve"> violation (possible</w:t>
      </w:r>
      <w:r w:rsidR="00C37E62" w:rsidRPr="00953692">
        <w:rPr>
          <w:sz w:val="24"/>
          <w:szCs w:val="24"/>
          <w:lang w:val="fr-FR"/>
        </w:rPr>
        <w:t xml:space="preserve"> ou probable</w:t>
      </w:r>
      <w:r w:rsidR="008317E3" w:rsidRPr="00953692">
        <w:rPr>
          <w:sz w:val="24"/>
          <w:szCs w:val="24"/>
          <w:lang w:val="fr-FR"/>
        </w:rPr>
        <w:t>) du droit à un délai raisonnable.</w:t>
      </w:r>
      <w:r w:rsidR="00A442C6" w:rsidRPr="00953692">
        <w:rPr>
          <w:sz w:val="24"/>
          <w:szCs w:val="24"/>
          <w:lang w:val="fr-FR"/>
        </w:rPr>
        <w:t xml:space="preserve"> </w:t>
      </w:r>
      <w:r w:rsidR="00C37E62" w:rsidRPr="00953692">
        <w:rPr>
          <w:sz w:val="24"/>
          <w:szCs w:val="24"/>
          <w:lang w:val="fr-FR"/>
        </w:rPr>
        <w:t xml:space="preserve">En pratique, il est d’ailleurs très improbable qu’il en soit ainsi, car la comparution initiale du suspect ou de </w:t>
      </w:r>
      <w:r w:rsidR="00C37E62" w:rsidRPr="00953692">
        <w:rPr>
          <w:sz w:val="24"/>
          <w:szCs w:val="24"/>
          <w:lang w:val="fr-FR"/>
        </w:rPr>
        <w:lastRenderedPageBreak/>
        <w:t>l’accusé selon le cas est l’un des premiers moments de la procédure pénale internationale et qui en déterminent la continuité.</w:t>
      </w:r>
    </w:p>
    <w:p w14:paraId="3B91640B" w14:textId="6F9FFA5E" w:rsidR="008B4080" w:rsidRPr="00953692" w:rsidRDefault="00153549" w:rsidP="00864BBF">
      <w:pPr>
        <w:spacing w:after="0" w:line="276" w:lineRule="auto"/>
        <w:ind w:firstLine="1134"/>
        <w:jc w:val="both"/>
        <w:rPr>
          <w:sz w:val="24"/>
          <w:szCs w:val="24"/>
          <w:lang w:val="fr-FR"/>
        </w:rPr>
      </w:pPr>
      <w:r w:rsidRPr="00953692">
        <w:rPr>
          <w:b/>
          <w:bCs/>
          <w:sz w:val="24"/>
          <w:szCs w:val="24"/>
          <w:lang w:val="fr-FR"/>
        </w:rPr>
        <w:t>1</w:t>
      </w:r>
      <w:r w:rsidR="00CB0492" w:rsidRPr="00953692">
        <w:rPr>
          <w:b/>
          <w:bCs/>
          <w:sz w:val="24"/>
          <w:szCs w:val="24"/>
          <w:lang w:val="fr-FR"/>
        </w:rPr>
        <w:t>56</w:t>
      </w:r>
      <w:r w:rsidRPr="00953692">
        <w:rPr>
          <w:b/>
          <w:bCs/>
          <w:sz w:val="24"/>
          <w:szCs w:val="24"/>
          <w:lang w:val="fr-FR"/>
        </w:rPr>
        <w:t>.</w:t>
      </w:r>
      <w:r w:rsidRPr="00953692">
        <w:rPr>
          <w:sz w:val="24"/>
          <w:szCs w:val="24"/>
          <w:lang w:val="fr-FR"/>
        </w:rPr>
        <w:t xml:space="preserve"> </w:t>
      </w:r>
      <w:r w:rsidR="008317E3" w:rsidRPr="00953692">
        <w:rPr>
          <w:sz w:val="24"/>
          <w:szCs w:val="24"/>
          <w:lang w:val="fr-FR"/>
        </w:rPr>
        <w:t xml:space="preserve">Par contre, </w:t>
      </w:r>
      <w:r w:rsidR="0027260C" w:rsidRPr="00953692">
        <w:rPr>
          <w:sz w:val="24"/>
          <w:szCs w:val="24"/>
          <w:lang w:val="fr-FR"/>
        </w:rPr>
        <w:t>la violation du délai raisonnable inclu</w:t>
      </w:r>
      <w:r w:rsidR="00C37E62" w:rsidRPr="00953692">
        <w:rPr>
          <w:sz w:val="24"/>
          <w:szCs w:val="24"/>
          <w:lang w:val="fr-FR"/>
        </w:rPr>
        <w:t>t</w:t>
      </w:r>
      <w:r w:rsidR="0027260C" w:rsidRPr="00953692">
        <w:rPr>
          <w:sz w:val="24"/>
          <w:szCs w:val="24"/>
          <w:lang w:val="fr-FR"/>
        </w:rPr>
        <w:t xml:space="preserve"> une variété des retards, </w:t>
      </w:r>
      <w:r w:rsidR="00C37E62" w:rsidRPr="00953692">
        <w:rPr>
          <w:sz w:val="24"/>
          <w:szCs w:val="24"/>
          <w:lang w:val="fr-FR"/>
        </w:rPr>
        <w:t>notamment</w:t>
      </w:r>
      <w:r w:rsidR="0027260C" w:rsidRPr="00953692">
        <w:rPr>
          <w:sz w:val="24"/>
          <w:szCs w:val="24"/>
          <w:lang w:val="fr-FR"/>
        </w:rPr>
        <w:t xml:space="preserve"> celui résultant éventuellement de la violation du droit à la comparution </w:t>
      </w:r>
      <w:r w:rsidR="00861DEC" w:rsidRPr="00953692">
        <w:rPr>
          <w:sz w:val="24"/>
          <w:szCs w:val="24"/>
          <w:lang w:val="fr-FR"/>
        </w:rPr>
        <w:t xml:space="preserve">initiale </w:t>
      </w:r>
      <w:r w:rsidR="0027260C" w:rsidRPr="00953692">
        <w:rPr>
          <w:sz w:val="24"/>
          <w:szCs w:val="24"/>
          <w:lang w:val="fr-FR"/>
        </w:rPr>
        <w:t>immédiate</w:t>
      </w:r>
      <w:r w:rsidR="00EA76E1" w:rsidRPr="00953692">
        <w:rPr>
          <w:sz w:val="24"/>
          <w:szCs w:val="24"/>
          <w:lang w:val="fr-FR"/>
        </w:rPr>
        <w:t xml:space="preserve"> ou sans délai</w:t>
      </w:r>
      <w:r w:rsidR="0027260C" w:rsidRPr="00953692">
        <w:rPr>
          <w:sz w:val="24"/>
          <w:szCs w:val="24"/>
          <w:lang w:val="fr-FR"/>
        </w:rPr>
        <w:t>.</w:t>
      </w:r>
      <w:r w:rsidR="008317E3" w:rsidRPr="00953692">
        <w:rPr>
          <w:sz w:val="24"/>
          <w:szCs w:val="24"/>
          <w:lang w:val="fr-FR"/>
        </w:rPr>
        <w:t xml:space="preserve"> </w:t>
      </w:r>
      <w:r w:rsidR="005E440F" w:rsidRPr="00953692">
        <w:rPr>
          <w:sz w:val="24"/>
          <w:szCs w:val="24"/>
          <w:lang w:val="fr-FR"/>
        </w:rPr>
        <w:t>Néanmoins, l</w:t>
      </w:r>
      <w:r w:rsidR="00963E31" w:rsidRPr="00953692">
        <w:rPr>
          <w:sz w:val="24"/>
          <w:szCs w:val="24"/>
          <w:lang w:val="fr-FR"/>
        </w:rPr>
        <w:t>e fait pour la Chambre</w:t>
      </w:r>
      <w:r w:rsidR="00874243" w:rsidRPr="00953692">
        <w:rPr>
          <w:sz w:val="24"/>
          <w:szCs w:val="24"/>
          <w:lang w:val="fr-FR"/>
        </w:rPr>
        <w:t xml:space="preserve"> de première instance</w:t>
      </w:r>
      <w:r w:rsidR="00963E31" w:rsidRPr="00953692">
        <w:rPr>
          <w:sz w:val="24"/>
          <w:szCs w:val="24"/>
          <w:lang w:val="fr-FR"/>
        </w:rPr>
        <w:t xml:space="preserve"> de trait</w:t>
      </w:r>
      <w:r w:rsidR="00C213C5" w:rsidRPr="00953692">
        <w:rPr>
          <w:sz w:val="24"/>
          <w:szCs w:val="24"/>
          <w:lang w:val="fr-FR"/>
        </w:rPr>
        <w:t>er</w:t>
      </w:r>
      <w:r w:rsidR="00963E31" w:rsidRPr="00953692">
        <w:rPr>
          <w:sz w:val="24"/>
          <w:szCs w:val="24"/>
          <w:lang w:val="fr-FR"/>
        </w:rPr>
        <w:t xml:space="preserve"> cette question en plus d’avoir inclu</w:t>
      </w:r>
      <w:r w:rsidR="00C37E62" w:rsidRPr="00953692">
        <w:rPr>
          <w:sz w:val="24"/>
          <w:szCs w:val="24"/>
          <w:lang w:val="fr-FR"/>
        </w:rPr>
        <w:t>s</w:t>
      </w:r>
      <w:r w:rsidR="00963E31" w:rsidRPr="00953692">
        <w:rPr>
          <w:sz w:val="24"/>
          <w:szCs w:val="24"/>
          <w:lang w:val="fr-FR"/>
        </w:rPr>
        <w:t xml:space="preserve"> ces périodes considérées dans le calcul global de la durée constituant le droit de l’accusé d’être jugé sans retard excessif,</w:t>
      </w:r>
      <w:r w:rsidR="00185541" w:rsidRPr="00953692">
        <w:rPr>
          <w:sz w:val="24"/>
          <w:szCs w:val="24"/>
          <w:lang w:val="fr-FR"/>
        </w:rPr>
        <w:t xml:space="preserve"> tel qu’il en résulte des faits soulevés par le requérant,</w:t>
      </w:r>
      <w:r w:rsidR="00963E31" w:rsidRPr="00953692">
        <w:rPr>
          <w:sz w:val="24"/>
          <w:szCs w:val="24"/>
          <w:lang w:val="fr-FR"/>
        </w:rPr>
        <w:t xml:space="preserve"> </w:t>
      </w:r>
      <w:r w:rsidR="00185541" w:rsidRPr="00953692">
        <w:rPr>
          <w:sz w:val="24"/>
          <w:szCs w:val="24"/>
          <w:lang w:val="fr-FR"/>
        </w:rPr>
        <w:t xml:space="preserve">montre l’incidence particulière que peut avoir le droit à la comparution initiale sans délai sur le </w:t>
      </w:r>
      <w:r w:rsidR="00EA76E1" w:rsidRPr="00953692">
        <w:rPr>
          <w:sz w:val="24"/>
          <w:szCs w:val="24"/>
          <w:lang w:val="fr-FR"/>
        </w:rPr>
        <w:t xml:space="preserve">droit d’être jugé dans </w:t>
      </w:r>
      <w:r w:rsidR="00185541" w:rsidRPr="00953692">
        <w:rPr>
          <w:sz w:val="24"/>
          <w:szCs w:val="24"/>
          <w:lang w:val="fr-FR"/>
        </w:rPr>
        <w:t xml:space="preserve">délai raisonnable. </w:t>
      </w:r>
    </w:p>
    <w:p w14:paraId="5F8CEF56" w14:textId="1E32E959" w:rsidR="008B4080" w:rsidRPr="00953692" w:rsidRDefault="008B4080" w:rsidP="00864BBF">
      <w:pPr>
        <w:spacing w:after="0" w:line="276" w:lineRule="auto"/>
        <w:ind w:firstLine="1134"/>
        <w:jc w:val="both"/>
        <w:rPr>
          <w:sz w:val="24"/>
          <w:szCs w:val="24"/>
          <w:lang w:val="fr-FR"/>
        </w:rPr>
      </w:pPr>
      <w:r w:rsidRPr="00953692">
        <w:rPr>
          <w:b/>
          <w:bCs/>
          <w:sz w:val="24"/>
          <w:szCs w:val="24"/>
          <w:lang w:val="fr-FR"/>
        </w:rPr>
        <w:t>1</w:t>
      </w:r>
      <w:r w:rsidR="00874243" w:rsidRPr="00953692">
        <w:rPr>
          <w:b/>
          <w:bCs/>
          <w:sz w:val="24"/>
          <w:szCs w:val="24"/>
          <w:lang w:val="fr-FR"/>
        </w:rPr>
        <w:t>57</w:t>
      </w:r>
      <w:r w:rsidRPr="00953692">
        <w:rPr>
          <w:b/>
          <w:bCs/>
          <w:sz w:val="24"/>
          <w:szCs w:val="24"/>
          <w:lang w:val="fr-FR"/>
        </w:rPr>
        <w:t>.</w:t>
      </w:r>
      <w:r w:rsidRPr="00953692">
        <w:rPr>
          <w:sz w:val="24"/>
          <w:szCs w:val="24"/>
          <w:lang w:val="fr-FR"/>
        </w:rPr>
        <w:t xml:space="preserve"> </w:t>
      </w:r>
      <w:r w:rsidR="00CE47ED" w:rsidRPr="00953692">
        <w:rPr>
          <w:sz w:val="24"/>
          <w:szCs w:val="24"/>
          <w:lang w:val="fr-FR"/>
        </w:rPr>
        <w:t xml:space="preserve">On peut </w:t>
      </w:r>
      <w:r w:rsidR="00444AEB" w:rsidRPr="00953692">
        <w:rPr>
          <w:sz w:val="24"/>
          <w:szCs w:val="24"/>
          <w:lang w:val="fr-FR"/>
        </w:rPr>
        <w:t>observer</w:t>
      </w:r>
      <w:r w:rsidR="00735D92" w:rsidRPr="00953692">
        <w:rPr>
          <w:sz w:val="24"/>
          <w:szCs w:val="24"/>
          <w:lang w:val="fr-FR"/>
        </w:rPr>
        <w:t xml:space="preserve"> que</w:t>
      </w:r>
      <w:r w:rsidR="00CE47ED" w:rsidRPr="00953692">
        <w:rPr>
          <w:sz w:val="24"/>
          <w:szCs w:val="24"/>
          <w:lang w:val="fr-FR"/>
        </w:rPr>
        <w:t>,</w:t>
      </w:r>
      <w:r w:rsidR="00735D92" w:rsidRPr="00953692">
        <w:rPr>
          <w:sz w:val="24"/>
          <w:szCs w:val="24"/>
          <w:lang w:val="fr-FR"/>
        </w:rPr>
        <w:t xml:space="preserve"> </w:t>
      </w:r>
      <w:r w:rsidR="00DE3F13" w:rsidRPr="00953692">
        <w:rPr>
          <w:sz w:val="24"/>
          <w:szCs w:val="24"/>
          <w:lang w:val="fr-FR"/>
        </w:rPr>
        <w:t xml:space="preserve">pour arriver à la conclusion d’une violation du droit de l’accusé d’être jugé dans un délai raisonnable, </w:t>
      </w:r>
      <w:r w:rsidR="00735D92" w:rsidRPr="00953692">
        <w:rPr>
          <w:sz w:val="24"/>
          <w:szCs w:val="24"/>
          <w:lang w:val="fr-FR"/>
        </w:rPr>
        <w:t>les retards constatés sont déduits en règle générale de la durée globale du procès</w:t>
      </w:r>
      <w:r w:rsidR="00444AEB" w:rsidRPr="00953692">
        <w:rPr>
          <w:sz w:val="24"/>
          <w:szCs w:val="24"/>
          <w:lang w:val="fr-FR"/>
        </w:rPr>
        <w:t xml:space="preserve"> é</w:t>
      </w:r>
      <w:r w:rsidR="00DE3F13" w:rsidRPr="00953692">
        <w:rPr>
          <w:sz w:val="24"/>
          <w:szCs w:val="24"/>
          <w:lang w:val="fr-FR"/>
        </w:rPr>
        <w:t>tant donné que, comme nous l’avons mentionné plus haut, le délai raisonnable couvre</w:t>
      </w:r>
      <w:r w:rsidR="00735D92" w:rsidRPr="00953692">
        <w:rPr>
          <w:sz w:val="24"/>
          <w:szCs w:val="24"/>
          <w:lang w:val="fr-FR"/>
        </w:rPr>
        <w:t xml:space="preserve"> </w:t>
      </w:r>
      <w:r w:rsidR="00DE3F13" w:rsidRPr="00953692">
        <w:rPr>
          <w:sz w:val="24"/>
          <w:szCs w:val="24"/>
          <w:lang w:val="fr-FR"/>
        </w:rPr>
        <w:t>toute la durée du procès ; du début à la fin ou au moment où l’accusé s’en plaint</w:t>
      </w:r>
      <w:r w:rsidR="00444AEB" w:rsidRPr="00953692">
        <w:rPr>
          <w:sz w:val="24"/>
          <w:szCs w:val="24"/>
          <w:lang w:val="fr-FR"/>
        </w:rPr>
        <w:t xml:space="preserve"> ou en conteste la raisonnabilité</w:t>
      </w:r>
      <w:r w:rsidR="00DE3F13" w:rsidRPr="00953692">
        <w:rPr>
          <w:sz w:val="24"/>
          <w:szCs w:val="24"/>
          <w:lang w:val="fr-FR"/>
        </w:rPr>
        <w:t xml:space="preserve">. </w:t>
      </w:r>
      <w:r w:rsidR="00735D92" w:rsidRPr="00953692">
        <w:rPr>
          <w:sz w:val="24"/>
          <w:szCs w:val="24"/>
          <w:lang w:val="fr-FR"/>
        </w:rPr>
        <w:t>Par exemple, dans l’affaire Kabiligi</w:t>
      </w:r>
      <w:r w:rsidR="00DE3F13" w:rsidRPr="00953692">
        <w:rPr>
          <w:sz w:val="24"/>
          <w:szCs w:val="24"/>
          <w:lang w:val="fr-FR"/>
        </w:rPr>
        <w:t xml:space="preserve"> que nous avons cité</w:t>
      </w:r>
      <w:r w:rsidR="00735D92" w:rsidRPr="00953692">
        <w:rPr>
          <w:sz w:val="24"/>
          <w:szCs w:val="24"/>
          <w:lang w:val="fr-FR"/>
        </w:rPr>
        <w:t xml:space="preserve">, </w:t>
      </w:r>
      <w:r w:rsidR="00D304AF" w:rsidRPr="00953692">
        <w:rPr>
          <w:sz w:val="24"/>
          <w:szCs w:val="24"/>
          <w:lang w:val="fr-FR"/>
        </w:rPr>
        <w:t>la première période de 27 jour</w:t>
      </w:r>
      <w:r w:rsidR="00101DB4" w:rsidRPr="00953692">
        <w:rPr>
          <w:sz w:val="24"/>
          <w:szCs w:val="24"/>
          <w:lang w:val="fr-FR"/>
        </w:rPr>
        <w:t>s</w:t>
      </w:r>
      <w:r w:rsidR="00D304AF" w:rsidRPr="00953692">
        <w:rPr>
          <w:sz w:val="24"/>
          <w:szCs w:val="24"/>
          <w:lang w:val="fr-FR"/>
        </w:rPr>
        <w:t xml:space="preserve"> ajouté</w:t>
      </w:r>
      <w:r w:rsidR="00101DB4" w:rsidRPr="00953692">
        <w:rPr>
          <w:sz w:val="24"/>
          <w:szCs w:val="24"/>
          <w:lang w:val="fr-FR"/>
        </w:rPr>
        <w:t>e à la seconde de</w:t>
      </w:r>
      <w:r w:rsidR="00735D92" w:rsidRPr="00953692">
        <w:rPr>
          <w:sz w:val="24"/>
          <w:szCs w:val="24"/>
          <w:lang w:val="fr-FR"/>
        </w:rPr>
        <w:t xml:space="preserve"> 125 jours constitueront en tout </w:t>
      </w:r>
      <w:r w:rsidR="00D304AF" w:rsidRPr="00953692">
        <w:rPr>
          <w:sz w:val="24"/>
          <w:szCs w:val="24"/>
          <w:lang w:val="fr-FR"/>
        </w:rPr>
        <w:t xml:space="preserve">152 jours d’inactivités à déduire de la durée de </w:t>
      </w:r>
      <w:r w:rsidR="00282983" w:rsidRPr="00953692">
        <w:rPr>
          <w:sz w:val="24"/>
          <w:szCs w:val="24"/>
          <w:lang w:val="fr-FR"/>
        </w:rPr>
        <w:t xml:space="preserve">neuf </w:t>
      </w:r>
      <w:r w:rsidR="00D304AF" w:rsidRPr="00953692">
        <w:rPr>
          <w:sz w:val="24"/>
          <w:szCs w:val="24"/>
          <w:lang w:val="fr-FR"/>
        </w:rPr>
        <w:t>ans</w:t>
      </w:r>
      <w:r w:rsidR="00EA76E1" w:rsidRPr="00953692">
        <w:rPr>
          <w:sz w:val="24"/>
          <w:szCs w:val="24"/>
          <w:lang w:val="fr-FR"/>
        </w:rPr>
        <w:t>,</w:t>
      </w:r>
      <w:r w:rsidR="00D304AF" w:rsidRPr="00953692">
        <w:rPr>
          <w:sz w:val="24"/>
          <w:szCs w:val="24"/>
          <w:lang w:val="fr-FR"/>
        </w:rPr>
        <w:t xml:space="preserve"> mise en cause par l’accusé dans le cadre </w:t>
      </w:r>
      <w:r w:rsidR="00EA76E1" w:rsidRPr="00953692">
        <w:rPr>
          <w:sz w:val="24"/>
          <w:szCs w:val="24"/>
          <w:lang w:val="fr-FR"/>
        </w:rPr>
        <w:t>sa requête basée sur</w:t>
      </w:r>
      <w:r w:rsidR="00D304AF" w:rsidRPr="00953692">
        <w:rPr>
          <w:sz w:val="24"/>
          <w:szCs w:val="24"/>
          <w:lang w:val="fr-FR"/>
        </w:rPr>
        <w:t xml:space="preserve"> la violation de son droit d’être jugé sans retard excessif. </w:t>
      </w:r>
      <w:r w:rsidR="00DE3F13" w:rsidRPr="00953692">
        <w:rPr>
          <w:sz w:val="24"/>
          <w:szCs w:val="24"/>
          <w:lang w:val="fr-FR"/>
        </w:rPr>
        <w:t>Dans l’analyse de la violation du délai raisonnable, il va sans dire que c</w:t>
      </w:r>
      <w:r w:rsidR="00101DB4" w:rsidRPr="00953692">
        <w:rPr>
          <w:sz w:val="24"/>
          <w:szCs w:val="24"/>
          <w:lang w:val="fr-FR"/>
        </w:rPr>
        <w:t xml:space="preserve">es </w:t>
      </w:r>
      <w:r w:rsidR="002169B0" w:rsidRPr="00953692">
        <w:rPr>
          <w:sz w:val="24"/>
          <w:szCs w:val="24"/>
          <w:lang w:val="fr-FR"/>
        </w:rPr>
        <w:t xml:space="preserve">retards ne peuvent pas être pris séparément, comme il en a été le cas dans l’affaire </w:t>
      </w:r>
      <w:r w:rsidR="00793A30" w:rsidRPr="00953692">
        <w:rPr>
          <w:sz w:val="24"/>
          <w:szCs w:val="24"/>
          <w:lang w:val="fr-FR"/>
        </w:rPr>
        <w:t>Joseph Kanyabashi, mais devr</w:t>
      </w:r>
      <w:r w:rsidR="00444AEB" w:rsidRPr="00953692">
        <w:rPr>
          <w:sz w:val="24"/>
          <w:szCs w:val="24"/>
          <w:lang w:val="fr-FR"/>
        </w:rPr>
        <w:t>o</w:t>
      </w:r>
      <w:r w:rsidR="00793A30" w:rsidRPr="00953692">
        <w:rPr>
          <w:sz w:val="24"/>
          <w:szCs w:val="24"/>
          <w:lang w:val="fr-FR"/>
        </w:rPr>
        <w:t>nt être intégr</w:t>
      </w:r>
      <w:r w:rsidR="00AA7756" w:rsidRPr="00953692">
        <w:rPr>
          <w:sz w:val="24"/>
          <w:szCs w:val="24"/>
          <w:lang w:val="fr-FR"/>
        </w:rPr>
        <w:t>és</w:t>
      </w:r>
      <w:r w:rsidR="00793A30" w:rsidRPr="00953692">
        <w:rPr>
          <w:sz w:val="24"/>
          <w:szCs w:val="24"/>
          <w:lang w:val="fr-FR"/>
        </w:rPr>
        <w:t xml:space="preserve"> dans la pluralité </w:t>
      </w:r>
      <w:r w:rsidR="004900E5" w:rsidRPr="00953692">
        <w:rPr>
          <w:sz w:val="24"/>
          <w:szCs w:val="24"/>
          <w:lang w:val="fr-FR"/>
        </w:rPr>
        <w:t>des retards ou des délais</w:t>
      </w:r>
      <w:r w:rsidR="00EA76E1" w:rsidRPr="00953692">
        <w:rPr>
          <w:sz w:val="24"/>
          <w:szCs w:val="24"/>
          <w:lang w:val="fr-FR"/>
        </w:rPr>
        <w:t xml:space="preserve"> injustifiés</w:t>
      </w:r>
      <w:r w:rsidR="004900E5" w:rsidRPr="00953692">
        <w:rPr>
          <w:sz w:val="24"/>
          <w:szCs w:val="24"/>
          <w:lang w:val="fr-FR"/>
        </w:rPr>
        <w:t xml:space="preserve"> </w:t>
      </w:r>
      <w:r w:rsidR="00AA7756" w:rsidRPr="00953692">
        <w:rPr>
          <w:sz w:val="24"/>
          <w:szCs w:val="24"/>
          <w:lang w:val="fr-FR"/>
        </w:rPr>
        <w:t>qui constitueraient l</w:t>
      </w:r>
      <w:r w:rsidR="00BD48BD" w:rsidRPr="00953692">
        <w:rPr>
          <w:sz w:val="24"/>
          <w:szCs w:val="24"/>
          <w:lang w:val="fr-FR"/>
        </w:rPr>
        <w:t>e fondement de la violation du</w:t>
      </w:r>
      <w:r w:rsidR="00AA7756" w:rsidRPr="00953692">
        <w:rPr>
          <w:sz w:val="24"/>
          <w:szCs w:val="24"/>
          <w:lang w:val="fr-FR"/>
        </w:rPr>
        <w:t xml:space="preserve"> droit d’être jugé sans retard excessif. </w:t>
      </w:r>
    </w:p>
    <w:p w14:paraId="400787AE" w14:textId="323CCBF3" w:rsidR="008B4080" w:rsidRPr="00953692" w:rsidRDefault="008B4080" w:rsidP="00864BBF">
      <w:pPr>
        <w:spacing w:after="0" w:line="276" w:lineRule="auto"/>
        <w:ind w:firstLine="1134"/>
        <w:jc w:val="both"/>
        <w:rPr>
          <w:sz w:val="24"/>
          <w:szCs w:val="24"/>
          <w:lang w:val="fr-FR"/>
        </w:rPr>
      </w:pPr>
      <w:r w:rsidRPr="00953692">
        <w:rPr>
          <w:b/>
          <w:bCs/>
          <w:sz w:val="24"/>
          <w:szCs w:val="24"/>
          <w:lang w:val="fr-FR"/>
        </w:rPr>
        <w:t>1</w:t>
      </w:r>
      <w:r w:rsidR="00874243" w:rsidRPr="00953692">
        <w:rPr>
          <w:b/>
          <w:bCs/>
          <w:sz w:val="24"/>
          <w:szCs w:val="24"/>
          <w:lang w:val="fr-FR"/>
        </w:rPr>
        <w:t>58</w:t>
      </w:r>
      <w:r w:rsidRPr="00953692">
        <w:rPr>
          <w:b/>
          <w:bCs/>
          <w:sz w:val="24"/>
          <w:szCs w:val="24"/>
          <w:lang w:val="fr-FR"/>
        </w:rPr>
        <w:t>.</w:t>
      </w:r>
      <w:r w:rsidRPr="00953692">
        <w:rPr>
          <w:sz w:val="24"/>
          <w:szCs w:val="24"/>
          <w:lang w:val="fr-FR"/>
        </w:rPr>
        <w:t xml:space="preserve"> </w:t>
      </w:r>
      <w:r w:rsidR="00355E4B" w:rsidRPr="00953692">
        <w:rPr>
          <w:sz w:val="24"/>
          <w:szCs w:val="24"/>
          <w:lang w:val="fr-FR"/>
        </w:rPr>
        <w:t>Il résulte de ce qui précède</w:t>
      </w:r>
      <w:r w:rsidR="00AA33AC" w:rsidRPr="00953692">
        <w:rPr>
          <w:sz w:val="24"/>
          <w:szCs w:val="24"/>
          <w:lang w:val="fr-FR"/>
        </w:rPr>
        <w:t>,</w:t>
      </w:r>
      <w:r w:rsidR="0091201C" w:rsidRPr="00953692">
        <w:rPr>
          <w:sz w:val="24"/>
          <w:szCs w:val="24"/>
          <w:lang w:val="fr-FR"/>
        </w:rPr>
        <w:t xml:space="preserve"> qu</w:t>
      </w:r>
      <w:r w:rsidR="00870FF8" w:rsidRPr="00953692">
        <w:rPr>
          <w:sz w:val="24"/>
          <w:szCs w:val="24"/>
          <w:lang w:val="fr-FR"/>
        </w:rPr>
        <w:t>’en dépit du coup de pouce qu</w:t>
      </w:r>
      <w:r w:rsidR="00355E4B" w:rsidRPr="00953692">
        <w:rPr>
          <w:sz w:val="24"/>
          <w:szCs w:val="24"/>
          <w:lang w:val="fr-FR"/>
        </w:rPr>
        <w:t>e son observation</w:t>
      </w:r>
      <w:r w:rsidR="00870FF8" w:rsidRPr="00953692">
        <w:rPr>
          <w:sz w:val="24"/>
          <w:szCs w:val="24"/>
          <w:lang w:val="fr-FR"/>
        </w:rPr>
        <w:t xml:space="preserve"> donne au délai raisonnable du procès</w:t>
      </w:r>
      <w:r w:rsidR="00355E4B" w:rsidRPr="00953692">
        <w:rPr>
          <w:sz w:val="24"/>
          <w:szCs w:val="24"/>
          <w:lang w:val="fr-FR"/>
        </w:rPr>
        <w:t xml:space="preserve"> pénal international</w:t>
      </w:r>
      <w:r w:rsidR="00870FF8" w:rsidRPr="00953692">
        <w:rPr>
          <w:sz w:val="24"/>
          <w:szCs w:val="24"/>
          <w:lang w:val="fr-FR"/>
        </w:rPr>
        <w:t>,</w:t>
      </w:r>
      <w:r w:rsidR="00355E4B" w:rsidRPr="00953692">
        <w:rPr>
          <w:sz w:val="24"/>
          <w:szCs w:val="24"/>
          <w:lang w:val="fr-FR"/>
        </w:rPr>
        <w:t xml:space="preserve"> l</w:t>
      </w:r>
      <w:r w:rsidR="004B797F" w:rsidRPr="00953692">
        <w:rPr>
          <w:sz w:val="24"/>
          <w:szCs w:val="24"/>
          <w:lang w:val="fr-FR"/>
        </w:rPr>
        <w:t>a comparution initiale</w:t>
      </w:r>
      <w:r w:rsidR="00355E4B" w:rsidRPr="00953692">
        <w:rPr>
          <w:sz w:val="24"/>
          <w:szCs w:val="24"/>
          <w:lang w:val="fr-FR"/>
        </w:rPr>
        <w:t xml:space="preserve"> sans délai</w:t>
      </w:r>
      <w:r w:rsidR="00444AEB" w:rsidRPr="00953692">
        <w:rPr>
          <w:sz w:val="24"/>
          <w:szCs w:val="24"/>
          <w:lang w:val="fr-FR"/>
        </w:rPr>
        <w:t xml:space="preserve"> ou immédiate</w:t>
      </w:r>
      <w:r w:rsidR="004B797F" w:rsidRPr="00953692">
        <w:rPr>
          <w:sz w:val="24"/>
          <w:szCs w:val="24"/>
          <w:lang w:val="fr-FR"/>
        </w:rPr>
        <w:t xml:space="preserve"> n’est</w:t>
      </w:r>
      <w:r w:rsidR="00355E4B" w:rsidRPr="00953692">
        <w:rPr>
          <w:sz w:val="24"/>
          <w:szCs w:val="24"/>
          <w:lang w:val="fr-FR"/>
        </w:rPr>
        <w:t xml:space="preserve"> pas</w:t>
      </w:r>
      <w:r w:rsidR="004B797F" w:rsidRPr="00953692">
        <w:rPr>
          <w:sz w:val="24"/>
          <w:szCs w:val="24"/>
          <w:lang w:val="fr-FR"/>
        </w:rPr>
        <w:t xml:space="preserve"> de facto une garantie suffisante à l’organisation d’un procès</w:t>
      </w:r>
      <w:r w:rsidR="00355E4B" w:rsidRPr="00953692">
        <w:rPr>
          <w:sz w:val="24"/>
          <w:szCs w:val="24"/>
          <w:lang w:val="fr-FR"/>
        </w:rPr>
        <w:t xml:space="preserve"> rapide. </w:t>
      </w:r>
      <w:r w:rsidR="00454F84" w:rsidRPr="00953692">
        <w:rPr>
          <w:sz w:val="24"/>
          <w:szCs w:val="24"/>
          <w:lang w:val="fr-FR"/>
        </w:rPr>
        <w:t xml:space="preserve">Celle-ci est dépendante de plusieurs facteurs qui interagissent dans le but de juger finalement dans des conditions qui soient non seulement acceptables, mais d’abord faisables. </w:t>
      </w:r>
      <w:r w:rsidR="00596E76" w:rsidRPr="00953692">
        <w:rPr>
          <w:sz w:val="24"/>
          <w:szCs w:val="24"/>
          <w:lang w:val="fr-FR"/>
        </w:rPr>
        <w:t>Les procès pénaux internationaux sont particulièrement marqués</w:t>
      </w:r>
      <w:r w:rsidR="0017256B" w:rsidRPr="00953692">
        <w:rPr>
          <w:sz w:val="24"/>
          <w:szCs w:val="24"/>
          <w:lang w:val="fr-FR"/>
        </w:rPr>
        <w:t xml:space="preserve"> par leur légendaire complexité qui rend en pratique difficile la gestion du temps. </w:t>
      </w:r>
      <w:r w:rsidR="004B401F" w:rsidRPr="00953692">
        <w:rPr>
          <w:sz w:val="24"/>
          <w:szCs w:val="24"/>
          <w:lang w:val="fr-FR"/>
        </w:rPr>
        <w:t>On en vient au fait que, l</w:t>
      </w:r>
      <w:r w:rsidR="00BD48BD" w:rsidRPr="00953692">
        <w:rPr>
          <w:sz w:val="24"/>
          <w:szCs w:val="24"/>
          <w:lang w:val="fr-FR"/>
        </w:rPr>
        <w:t>e début du procès</w:t>
      </w:r>
      <w:r w:rsidR="004B401F" w:rsidRPr="00953692">
        <w:rPr>
          <w:sz w:val="24"/>
          <w:szCs w:val="24"/>
          <w:lang w:val="fr-FR"/>
        </w:rPr>
        <w:t xml:space="preserve"> pénal international, précisément</w:t>
      </w:r>
      <w:r w:rsidR="00BD48BD" w:rsidRPr="00953692">
        <w:rPr>
          <w:sz w:val="24"/>
          <w:szCs w:val="24"/>
          <w:lang w:val="fr-FR"/>
        </w:rPr>
        <w:t xml:space="preserve"> en première instance</w:t>
      </w:r>
      <w:r w:rsidR="004B401F" w:rsidRPr="00953692">
        <w:rPr>
          <w:sz w:val="24"/>
          <w:szCs w:val="24"/>
          <w:lang w:val="fr-FR"/>
        </w:rPr>
        <w:t>,</w:t>
      </w:r>
      <w:r w:rsidR="00BD48BD" w:rsidRPr="00953692">
        <w:rPr>
          <w:sz w:val="24"/>
          <w:szCs w:val="24"/>
          <w:lang w:val="fr-FR"/>
        </w:rPr>
        <w:t xml:space="preserve"> peut être retardé en dépit du fait que l’accusé a comparu sans délai après son arrivée au siège de la juridiction de jugement.</w:t>
      </w:r>
    </w:p>
    <w:p w14:paraId="6BA19CB4" w14:textId="7ECD3F38" w:rsidR="0017256B" w:rsidRPr="00953692" w:rsidRDefault="008B4080" w:rsidP="00864BBF">
      <w:pPr>
        <w:spacing w:after="0" w:line="276" w:lineRule="auto"/>
        <w:ind w:firstLine="1134"/>
        <w:jc w:val="both"/>
        <w:rPr>
          <w:sz w:val="24"/>
          <w:szCs w:val="24"/>
          <w:lang w:val="fr-FR"/>
        </w:rPr>
      </w:pPr>
      <w:r w:rsidRPr="00953692">
        <w:rPr>
          <w:b/>
          <w:bCs/>
          <w:sz w:val="24"/>
          <w:szCs w:val="24"/>
          <w:lang w:val="fr-FR"/>
        </w:rPr>
        <w:t>1</w:t>
      </w:r>
      <w:r w:rsidR="00874243" w:rsidRPr="00953692">
        <w:rPr>
          <w:b/>
          <w:bCs/>
          <w:sz w:val="24"/>
          <w:szCs w:val="24"/>
          <w:lang w:val="fr-FR"/>
        </w:rPr>
        <w:t>59</w:t>
      </w:r>
      <w:r w:rsidRPr="00953692">
        <w:rPr>
          <w:b/>
          <w:bCs/>
          <w:sz w:val="24"/>
          <w:szCs w:val="24"/>
          <w:lang w:val="fr-FR"/>
        </w:rPr>
        <w:t>.</w:t>
      </w:r>
      <w:r w:rsidRPr="00953692">
        <w:rPr>
          <w:sz w:val="24"/>
          <w:szCs w:val="24"/>
          <w:lang w:val="fr-FR"/>
        </w:rPr>
        <w:t xml:space="preserve"> </w:t>
      </w:r>
      <w:r w:rsidR="00BD48BD" w:rsidRPr="00953692">
        <w:rPr>
          <w:sz w:val="24"/>
          <w:szCs w:val="24"/>
          <w:lang w:val="fr-FR"/>
        </w:rPr>
        <w:t>Voyons par exemple, d</w:t>
      </w:r>
      <w:r w:rsidR="0017256B" w:rsidRPr="00953692">
        <w:rPr>
          <w:sz w:val="24"/>
          <w:szCs w:val="24"/>
          <w:lang w:val="fr-FR"/>
        </w:rPr>
        <w:t>ans l’affaire Gatete, ce dernier a été arrêté le 11 septembre 2002</w:t>
      </w:r>
      <w:r w:rsidR="00EA76E1" w:rsidRPr="00953692">
        <w:rPr>
          <w:sz w:val="24"/>
          <w:szCs w:val="24"/>
          <w:lang w:val="fr-FR"/>
        </w:rPr>
        <w:t>,</w:t>
      </w:r>
      <w:r w:rsidR="0017256B" w:rsidRPr="00953692">
        <w:rPr>
          <w:sz w:val="24"/>
          <w:szCs w:val="24"/>
          <w:lang w:val="fr-FR"/>
        </w:rPr>
        <w:t xml:space="preserve"> en République démocratique du Congo, transféré au siège du Tribunal le 13 septembre et a comparu initialement le 20 septembre 2002, soit </w:t>
      </w:r>
      <w:r w:rsidR="00AA33AC" w:rsidRPr="00953692">
        <w:rPr>
          <w:sz w:val="24"/>
          <w:szCs w:val="24"/>
          <w:lang w:val="fr-FR"/>
        </w:rPr>
        <w:t>sept</w:t>
      </w:r>
      <w:r w:rsidR="0017256B" w:rsidRPr="00953692">
        <w:rPr>
          <w:sz w:val="24"/>
          <w:szCs w:val="24"/>
          <w:lang w:val="fr-FR"/>
        </w:rPr>
        <w:t xml:space="preserve"> jours après. </w:t>
      </w:r>
      <w:r w:rsidR="001B261B" w:rsidRPr="00953692">
        <w:rPr>
          <w:sz w:val="24"/>
          <w:szCs w:val="24"/>
          <w:lang w:val="fr-FR"/>
        </w:rPr>
        <w:t>Dans ses conclusions écrites devant la Chambre de première instance en 2010, l’accusé s’est plaint de la violation de son droit d’être jugé sans retard excessif.</w:t>
      </w:r>
      <w:r w:rsidR="00730B01" w:rsidRPr="00953692">
        <w:rPr>
          <w:sz w:val="24"/>
          <w:szCs w:val="24"/>
          <w:lang w:val="fr-FR"/>
        </w:rPr>
        <w:t xml:space="preserve"> Le principal grief, c’est que l’accusé a passé plus de sept ans entre sa comparution initiale </w:t>
      </w:r>
      <w:r w:rsidR="00BA63E9" w:rsidRPr="00953692">
        <w:rPr>
          <w:sz w:val="24"/>
          <w:szCs w:val="24"/>
          <w:lang w:val="fr-FR"/>
        </w:rPr>
        <w:t>le 20 septembre 2002</w:t>
      </w:r>
      <w:r w:rsidR="00EA76E1" w:rsidRPr="00953692">
        <w:rPr>
          <w:sz w:val="24"/>
          <w:szCs w:val="24"/>
          <w:lang w:val="fr-FR"/>
        </w:rPr>
        <w:t>,</w:t>
      </w:r>
      <w:r w:rsidR="00BA63E9" w:rsidRPr="00953692">
        <w:rPr>
          <w:sz w:val="24"/>
          <w:szCs w:val="24"/>
          <w:lang w:val="fr-FR"/>
        </w:rPr>
        <w:t xml:space="preserve"> et l’ouverture de son procès le 20 octobre 2009</w:t>
      </w:r>
      <w:r w:rsidR="00F420D6" w:rsidRPr="00953692">
        <w:rPr>
          <w:rStyle w:val="Appelnotedebasdep"/>
          <w:sz w:val="24"/>
          <w:szCs w:val="24"/>
          <w:lang w:val="fr-FR"/>
        </w:rPr>
        <w:footnoteReference w:customMarkFollows="1" w:id="129"/>
        <w:t>107</w:t>
      </w:r>
      <w:r w:rsidR="00BA63E9" w:rsidRPr="00953692">
        <w:rPr>
          <w:sz w:val="24"/>
          <w:szCs w:val="24"/>
          <w:lang w:val="fr-FR"/>
        </w:rPr>
        <w:t xml:space="preserve">. Il s’agit d’un retard </w:t>
      </w:r>
      <w:r w:rsidR="00444AEB" w:rsidRPr="00953692">
        <w:rPr>
          <w:sz w:val="24"/>
          <w:szCs w:val="24"/>
          <w:lang w:val="fr-FR"/>
        </w:rPr>
        <w:t>pour lequel</w:t>
      </w:r>
      <w:r w:rsidR="00BA63E9" w:rsidRPr="00953692">
        <w:rPr>
          <w:sz w:val="24"/>
          <w:szCs w:val="24"/>
          <w:lang w:val="fr-FR"/>
        </w:rPr>
        <w:t xml:space="preserve"> </w:t>
      </w:r>
      <w:r w:rsidR="00BA63E9" w:rsidRPr="00953692">
        <w:rPr>
          <w:sz w:val="24"/>
          <w:szCs w:val="24"/>
          <w:lang w:val="fr-FR"/>
        </w:rPr>
        <w:lastRenderedPageBreak/>
        <w:t>la Chambre</w:t>
      </w:r>
      <w:r w:rsidR="00444AEB" w:rsidRPr="00953692">
        <w:rPr>
          <w:sz w:val="24"/>
          <w:szCs w:val="24"/>
          <w:lang w:val="fr-FR"/>
        </w:rPr>
        <w:t xml:space="preserve"> de première instance</w:t>
      </w:r>
      <w:r w:rsidR="00BA63E9" w:rsidRPr="00953692">
        <w:rPr>
          <w:sz w:val="24"/>
          <w:szCs w:val="24"/>
          <w:lang w:val="fr-FR"/>
        </w:rPr>
        <w:t xml:space="preserve"> n’a pas trouvé de justification possible compte tenu des faits</w:t>
      </w:r>
      <w:r w:rsidR="00444AEB" w:rsidRPr="00953692">
        <w:rPr>
          <w:sz w:val="24"/>
          <w:szCs w:val="24"/>
          <w:lang w:val="fr-FR"/>
        </w:rPr>
        <w:t xml:space="preserve"> incontestables</w:t>
      </w:r>
      <w:r w:rsidR="00BA63E9" w:rsidRPr="00953692">
        <w:rPr>
          <w:sz w:val="24"/>
          <w:szCs w:val="24"/>
          <w:lang w:val="fr-FR"/>
        </w:rPr>
        <w:t xml:space="preserve"> qu’elle a elle-même soulevés dans son jugement portant condamnation du 31 mars 2011</w:t>
      </w:r>
      <w:r w:rsidR="00BA32A4" w:rsidRPr="00953692">
        <w:rPr>
          <w:rStyle w:val="Appelnotedebasdep"/>
          <w:sz w:val="24"/>
          <w:szCs w:val="24"/>
          <w:lang w:val="fr-FR"/>
        </w:rPr>
        <w:footnoteReference w:customMarkFollows="1" w:id="130"/>
        <w:t>108</w:t>
      </w:r>
      <w:r w:rsidR="00BA63E9" w:rsidRPr="00953692">
        <w:rPr>
          <w:sz w:val="24"/>
          <w:szCs w:val="24"/>
          <w:lang w:val="fr-FR"/>
        </w:rPr>
        <w:t xml:space="preserve">. </w:t>
      </w:r>
      <w:r w:rsidR="00444AEB" w:rsidRPr="00953692">
        <w:rPr>
          <w:sz w:val="24"/>
          <w:szCs w:val="24"/>
          <w:lang w:val="fr-FR"/>
        </w:rPr>
        <w:t>La Chambre de première instance a</w:t>
      </w:r>
      <w:r w:rsidR="00BA63E9" w:rsidRPr="00953692">
        <w:rPr>
          <w:sz w:val="24"/>
          <w:szCs w:val="24"/>
          <w:lang w:val="fr-FR"/>
        </w:rPr>
        <w:t xml:space="preserve"> </w:t>
      </w:r>
      <w:r w:rsidR="00856562" w:rsidRPr="00953692">
        <w:rPr>
          <w:sz w:val="24"/>
          <w:szCs w:val="24"/>
          <w:lang w:val="fr-FR"/>
        </w:rPr>
        <w:t>qualifi</w:t>
      </w:r>
      <w:r w:rsidR="00444AEB" w:rsidRPr="00953692">
        <w:rPr>
          <w:sz w:val="24"/>
          <w:szCs w:val="24"/>
          <w:lang w:val="fr-FR"/>
        </w:rPr>
        <w:t>é</w:t>
      </w:r>
      <w:r w:rsidR="00BA63E9" w:rsidRPr="00953692">
        <w:rPr>
          <w:sz w:val="24"/>
          <w:szCs w:val="24"/>
          <w:lang w:val="fr-FR"/>
        </w:rPr>
        <w:t xml:space="preserve"> </w:t>
      </w:r>
      <w:r w:rsidR="00856562" w:rsidRPr="00953692">
        <w:rPr>
          <w:sz w:val="24"/>
          <w:szCs w:val="24"/>
          <w:lang w:val="fr-FR"/>
        </w:rPr>
        <w:t>conséquemment</w:t>
      </w:r>
      <w:r w:rsidR="00BA63E9" w:rsidRPr="00953692">
        <w:rPr>
          <w:sz w:val="24"/>
          <w:szCs w:val="24"/>
          <w:lang w:val="fr-FR"/>
        </w:rPr>
        <w:t xml:space="preserve"> ces</w:t>
      </w:r>
      <w:r w:rsidR="00164E96" w:rsidRPr="00953692">
        <w:rPr>
          <w:sz w:val="24"/>
          <w:szCs w:val="24"/>
          <w:lang w:val="fr-FR"/>
        </w:rPr>
        <w:t xml:space="preserve"> retards d’importants, mais </w:t>
      </w:r>
      <w:r w:rsidR="00444AEB" w:rsidRPr="00953692">
        <w:rPr>
          <w:sz w:val="24"/>
          <w:szCs w:val="24"/>
          <w:lang w:val="fr-FR"/>
        </w:rPr>
        <w:t xml:space="preserve">a </w:t>
      </w:r>
      <w:r w:rsidR="00164E96" w:rsidRPr="00953692">
        <w:rPr>
          <w:sz w:val="24"/>
          <w:szCs w:val="24"/>
          <w:lang w:val="fr-FR"/>
        </w:rPr>
        <w:t>conclu qu’ils ne sont pas excessifs en raison</w:t>
      </w:r>
      <w:r w:rsidR="00370020" w:rsidRPr="00953692">
        <w:rPr>
          <w:sz w:val="24"/>
          <w:szCs w:val="24"/>
          <w:lang w:val="fr-FR"/>
        </w:rPr>
        <w:t>,</w:t>
      </w:r>
      <w:r w:rsidR="00164E96" w:rsidRPr="00953692">
        <w:rPr>
          <w:sz w:val="24"/>
          <w:szCs w:val="24"/>
          <w:lang w:val="fr-FR"/>
        </w:rPr>
        <w:t xml:space="preserve"> tout </w:t>
      </w:r>
      <w:r w:rsidR="009A6415" w:rsidRPr="00953692">
        <w:rPr>
          <w:sz w:val="24"/>
          <w:szCs w:val="24"/>
          <w:lang w:val="fr-FR"/>
        </w:rPr>
        <w:t>particulièrement</w:t>
      </w:r>
      <w:r w:rsidR="00370020" w:rsidRPr="00953692">
        <w:rPr>
          <w:sz w:val="24"/>
          <w:szCs w:val="24"/>
          <w:lang w:val="fr-FR"/>
        </w:rPr>
        <w:t>,</w:t>
      </w:r>
      <w:r w:rsidR="009A6415" w:rsidRPr="00953692">
        <w:rPr>
          <w:sz w:val="24"/>
          <w:szCs w:val="24"/>
          <w:lang w:val="fr-FR"/>
        </w:rPr>
        <w:t xml:space="preserve"> </w:t>
      </w:r>
      <w:r w:rsidR="00164E96" w:rsidRPr="00953692">
        <w:rPr>
          <w:sz w:val="24"/>
          <w:szCs w:val="24"/>
          <w:lang w:val="fr-FR"/>
        </w:rPr>
        <w:t>de la complexité de l’affaire</w:t>
      </w:r>
      <w:r w:rsidR="00856562" w:rsidRPr="00953692">
        <w:rPr>
          <w:sz w:val="24"/>
          <w:szCs w:val="24"/>
          <w:lang w:val="fr-FR"/>
        </w:rPr>
        <w:t xml:space="preserve"> </w:t>
      </w:r>
      <w:r w:rsidR="00444AEB" w:rsidRPr="00953692">
        <w:rPr>
          <w:sz w:val="24"/>
          <w:szCs w:val="24"/>
          <w:lang w:val="fr-FR"/>
        </w:rPr>
        <w:t xml:space="preserve">avant de </w:t>
      </w:r>
      <w:r w:rsidR="00856562" w:rsidRPr="00953692">
        <w:rPr>
          <w:sz w:val="24"/>
          <w:szCs w:val="24"/>
          <w:lang w:val="fr-FR"/>
        </w:rPr>
        <w:t>rejet</w:t>
      </w:r>
      <w:r w:rsidR="00444AEB" w:rsidRPr="00953692">
        <w:rPr>
          <w:sz w:val="24"/>
          <w:szCs w:val="24"/>
          <w:lang w:val="fr-FR"/>
        </w:rPr>
        <w:t>er</w:t>
      </w:r>
      <w:r w:rsidR="00856562" w:rsidRPr="00953692">
        <w:rPr>
          <w:sz w:val="24"/>
          <w:szCs w:val="24"/>
          <w:lang w:val="fr-FR"/>
        </w:rPr>
        <w:t xml:space="preserve"> la prétention d’une réparation quelle qu’en </w:t>
      </w:r>
      <w:r w:rsidR="009A6415" w:rsidRPr="00953692">
        <w:rPr>
          <w:sz w:val="24"/>
          <w:szCs w:val="24"/>
          <w:lang w:val="fr-FR"/>
        </w:rPr>
        <w:t>puisse être</w:t>
      </w:r>
      <w:r w:rsidR="00856562" w:rsidRPr="00953692">
        <w:rPr>
          <w:sz w:val="24"/>
          <w:szCs w:val="24"/>
          <w:lang w:val="fr-FR"/>
        </w:rPr>
        <w:t xml:space="preserve"> la nature</w:t>
      </w:r>
      <w:r w:rsidR="00BA32A4" w:rsidRPr="00953692">
        <w:rPr>
          <w:rStyle w:val="Appelnotedebasdep"/>
          <w:sz w:val="24"/>
          <w:szCs w:val="24"/>
          <w:lang w:val="fr-FR"/>
        </w:rPr>
        <w:footnoteReference w:customMarkFollows="1" w:id="131"/>
        <w:t>109</w:t>
      </w:r>
      <w:r w:rsidR="00164E96" w:rsidRPr="00953692">
        <w:rPr>
          <w:sz w:val="24"/>
          <w:szCs w:val="24"/>
          <w:lang w:val="fr-FR"/>
        </w:rPr>
        <w:t>.</w:t>
      </w:r>
    </w:p>
    <w:p w14:paraId="52A52C4D" w14:textId="4FE6D667" w:rsidR="00D37E36" w:rsidRPr="00953692" w:rsidRDefault="008B4080" w:rsidP="00864BBF">
      <w:pPr>
        <w:spacing w:after="0" w:line="276" w:lineRule="auto"/>
        <w:ind w:firstLine="1134"/>
        <w:jc w:val="both"/>
        <w:rPr>
          <w:sz w:val="24"/>
          <w:szCs w:val="24"/>
          <w:lang w:val="fr-FR"/>
        </w:rPr>
      </w:pPr>
      <w:r w:rsidRPr="00953692">
        <w:rPr>
          <w:b/>
          <w:bCs/>
          <w:sz w:val="24"/>
          <w:szCs w:val="24"/>
          <w:lang w:val="fr-FR"/>
        </w:rPr>
        <w:t>1</w:t>
      </w:r>
      <w:r w:rsidR="00874243" w:rsidRPr="00953692">
        <w:rPr>
          <w:b/>
          <w:bCs/>
          <w:sz w:val="24"/>
          <w:szCs w:val="24"/>
          <w:lang w:val="fr-FR"/>
        </w:rPr>
        <w:t>60</w:t>
      </w:r>
      <w:r w:rsidRPr="00953692">
        <w:rPr>
          <w:b/>
          <w:bCs/>
          <w:sz w:val="24"/>
          <w:szCs w:val="24"/>
          <w:lang w:val="fr-FR"/>
        </w:rPr>
        <w:t>.</w:t>
      </w:r>
      <w:r w:rsidRPr="00953692">
        <w:rPr>
          <w:sz w:val="24"/>
          <w:szCs w:val="24"/>
          <w:lang w:val="fr-FR"/>
        </w:rPr>
        <w:t xml:space="preserve"> </w:t>
      </w:r>
      <w:r w:rsidR="00203350" w:rsidRPr="00953692">
        <w:rPr>
          <w:sz w:val="24"/>
          <w:szCs w:val="24"/>
          <w:lang w:val="fr-FR"/>
        </w:rPr>
        <w:t xml:space="preserve">On peut également </w:t>
      </w:r>
      <w:r w:rsidR="00C81D20" w:rsidRPr="00953692">
        <w:rPr>
          <w:sz w:val="24"/>
          <w:szCs w:val="24"/>
          <w:lang w:val="fr-FR"/>
        </w:rPr>
        <w:t xml:space="preserve">relever l’affaire Renzaho </w:t>
      </w:r>
      <w:r w:rsidR="009528E9" w:rsidRPr="00953692">
        <w:rPr>
          <w:sz w:val="24"/>
          <w:szCs w:val="24"/>
          <w:lang w:val="fr-FR"/>
        </w:rPr>
        <w:t>qui s’est plaint devant la Chambre d’appel du TPIR de la violation de son droit d’être jugé sans retard excessif</w:t>
      </w:r>
      <w:r w:rsidR="00FF15E6" w:rsidRPr="00953692">
        <w:rPr>
          <w:sz w:val="24"/>
          <w:szCs w:val="24"/>
          <w:lang w:val="fr-FR"/>
        </w:rPr>
        <w:t xml:space="preserve">, </w:t>
      </w:r>
      <w:r w:rsidR="009528E9" w:rsidRPr="00953692">
        <w:rPr>
          <w:sz w:val="24"/>
          <w:szCs w:val="24"/>
          <w:lang w:val="fr-FR"/>
        </w:rPr>
        <w:t xml:space="preserve">au motif que sept ans se sont écoulés entre son arrestation et le prononcé du jugement portant condamnation. </w:t>
      </w:r>
      <w:r w:rsidR="002B375D" w:rsidRPr="00953692">
        <w:rPr>
          <w:sz w:val="24"/>
          <w:szCs w:val="24"/>
          <w:lang w:val="fr-FR"/>
        </w:rPr>
        <w:t>En fait, la grande partie de ce retard est à situer dans la phase préalable du procès, où il est à remarquer que le 29 septembre 2002</w:t>
      </w:r>
      <w:r w:rsidR="00AA33AC" w:rsidRPr="00953692">
        <w:rPr>
          <w:sz w:val="24"/>
          <w:szCs w:val="24"/>
          <w:lang w:val="fr-FR"/>
        </w:rPr>
        <w:t>,</w:t>
      </w:r>
      <w:r w:rsidR="002B375D" w:rsidRPr="00953692">
        <w:rPr>
          <w:sz w:val="24"/>
          <w:szCs w:val="24"/>
          <w:lang w:val="fr-FR"/>
        </w:rPr>
        <w:t xml:space="preserve"> l’accusé a été transféré au siège du Tribunal</w:t>
      </w:r>
      <w:r w:rsidR="00444AEB" w:rsidRPr="00953692">
        <w:rPr>
          <w:sz w:val="24"/>
          <w:szCs w:val="24"/>
          <w:lang w:val="fr-FR"/>
        </w:rPr>
        <w:t xml:space="preserve"> évidemment</w:t>
      </w:r>
      <w:r w:rsidR="002B375D" w:rsidRPr="00953692">
        <w:rPr>
          <w:sz w:val="24"/>
          <w:szCs w:val="24"/>
          <w:lang w:val="fr-FR"/>
        </w:rPr>
        <w:t xml:space="preserve"> </w:t>
      </w:r>
      <w:r w:rsidR="008929B1" w:rsidRPr="00953692">
        <w:rPr>
          <w:sz w:val="24"/>
          <w:szCs w:val="24"/>
          <w:lang w:val="fr-FR"/>
        </w:rPr>
        <w:t xml:space="preserve">en qualité de suspect et sa comparution initiale comme accusé est intervenue le 21 novembre 2002. Et pourtant, son procès s’est ouvert que le 8 janvier 2007. </w:t>
      </w:r>
      <w:r w:rsidR="00B63D55" w:rsidRPr="00953692">
        <w:rPr>
          <w:sz w:val="24"/>
          <w:szCs w:val="24"/>
          <w:lang w:val="fr-FR"/>
        </w:rPr>
        <w:t>Pour justifier ce retard, la Chambre</w:t>
      </w:r>
      <w:r w:rsidR="00444AEB" w:rsidRPr="00953692">
        <w:rPr>
          <w:sz w:val="24"/>
          <w:szCs w:val="24"/>
          <w:lang w:val="fr-FR"/>
        </w:rPr>
        <w:t xml:space="preserve"> d’appel</w:t>
      </w:r>
      <w:r w:rsidR="00B63D55" w:rsidRPr="00953692">
        <w:rPr>
          <w:sz w:val="24"/>
          <w:szCs w:val="24"/>
          <w:lang w:val="fr-FR"/>
        </w:rPr>
        <w:t xml:space="preserve"> a </w:t>
      </w:r>
      <w:r w:rsidR="00CF1A7B" w:rsidRPr="00953692">
        <w:rPr>
          <w:sz w:val="24"/>
          <w:szCs w:val="24"/>
          <w:lang w:val="fr-FR"/>
        </w:rPr>
        <w:t>dû</w:t>
      </w:r>
      <w:r w:rsidR="002F4C93" w:rsidRPr="00953692">
        <w:rPr>
          <w:sz w:val="24"/>
          <w:szCs w:val="24"/>
          <w:lang w:val="fr-FR"/>
        </w:rPr>
        <w:t xml:space="preserve"> relever le nombre de fois que l’acte d’accusation a été modifié, </w:t>
      </w:r>
      <w:r w:rsidR="004B401F" w:rsidRPr="00953692">
        <w:rPr>
          <w:sz w:val="24"/>
          <w:szCs w:val="24"/>
          <w:lang w:val="fr-FR"/>
        </w:rPr>
        <w:t>martelant sur le fait que</w:t>
      </w:r>
      <w:r w:rsidR="002F4C93" w:rsidRPr="00953692">
        <w:rPr>
          <w:sz w:val="24"/>
          <w:szCs w:val="24"/>
          <w:lang w:val="fr-FR"/>
        </w:rPr>
        <w:t xml:space="preserve"> l’accusé n’en a fait état d’aucune erreur</w:t>
      </w:r>
      <w:r w:rsidR="00187876" w:rsidRPr="00953692">
        <w:rPr>
          <w:rStyle w:val="Appelnotedebasdep"/>
          <w:sz w:val="24"/>
          <w:szCs w:val="24"/>
          <w:lang w:val="fr-FR"/>
        </w:rPr>
        <w:footnoteReference w:customMarkFollows="1" w:id="132"/>
        <w:t>110</w:t>
      </w:r>
      <w:r w:rsidR="00187876" w:rsidRPr="00953692">
        <w:rPr>
          <w:sz w:val="24"/>
          <w:szCs w:val="24"/>
          <w:lang w:val="fr-FR"/>
        </w:rPr>
        <w:t xml:space="preserve"> en vue d’établir une violation d</w:t>
      </w:r>
      <w:r w:rsidR="00444AEB" w:rsidRPr="00953692">
        <w:rPr>
          <w:sz w:val="24"/>
          <w:szCs w:val="24"/>
          <w:lang w:val="fr-FR"/>
        </w:rPr>
        <w:t xml:space="preserve">e son </w:t>
      </w:r>
      <w:r w:rsidR="00187876" w:rsidRPr="00953692">
        <w:rPr>
          <w:sz w:val="24"/>
          <w:szCs w:val="24"/>
          <w:lang w:val="fr-FR"/>
        </w:rPr>
        <w:t>droit d’être jugé sans retard excessif</w:t>
      </w:r>
      <w:r w:rsidR="002F4C93" w:rsidRPr="00953692">
        <w:rPr>
          <w:sz w:val="24"/>
          <w:szCs w:val="24"/>
          <w:lang w:val="fr-FR"/>
        </w:rPr>
        <w:t xml:space="preserve">. </w:t>
      </w:r>
    </w:p>
    <w:p w14:paraId="067F679B" w14:textId="067D231F" w:rsidR="00F6593E" w:rsidRPr="00953692" w:rsidRDefault="00B03B3F" w:rsidP="00864BBF">
      <w:pPr>
        <w:spacing w:after="0" w:line="276" w:lineRule="auto"/>
        <w:ind w:firstLine="1134"/>
        <w:jc w:val="both"/>
        <w:rPr>
          <w:sz w:val="24"/>
          <w:szCs w:val="24"/>
          <w:lang w:val="fr-FR"/>
        </w:rPr>
      </w:pPr>
      <w:r w:rsidRPr="00953692">
        <w:rPr>
          <w:b/>
          <w:bCs/>
          <w:sz w:val="24"/>
          <w:szCs w:val="24"/>
          <w:lang w:val="fr-FR"/>
        </w:rPr>
        <w:t>1</w:t>
      </w:r>
      <w:r w:rsidR="00874243" w:rsidRPr="00953692">
        <w:rPr>
          <w:b/>
          <w:bCs/>
          <w:sz w:val="24"/>
          <w:szCs w:val="24"/>
          <w:lang w:val="fr-FR"/>
        </w:rPr>
        <w:t>61</w:t>
      </w:r>
      <w:r w:rsidRPr="00953692">
        <w:rPr>
          <w:b/>
          <w:bCs/>
          <w:sz w:val="24"/>
          <w:szCs w:val="24"/>
          <w:lang w:val="fr-FR"/>
        </w:rPr>
        <w:t>.</w:t>
      </w:r>
      <w:r w:rsidRPr="00953692">
        <w:rPr>
          <w:sz w:val="24"/>
          <w:szCs w:val="24"/>
          <w:lang w:val="fr-FR"/>
        </w:rPr>
        <w:t xml:space="preserve"> </w:t>
      </w:r>
      <w:r w:rsidR="00D37E36" w:rsidRPr="00953692">
        <w:rPr>
          <w:sz w:val="24"/>
          <w:szCs w:val="24"/>
          <w:lang w:val="fr-FR"/>
        </w:rPr>
        <w:t>En définitive, c</w:t>
      </w:r>
      <w:r w:rsidR="009D331D" w:rsidRPr="00953692">
        <w:rPr>
          <w:sz w:val="24"/>
          <w:szCs w:val="24"/>
          <w:lang w:val="fr-FR"/>
        </w:rPr>
        <w:t xml:space="preserve">es deux affaires </w:t>
      </w:r>
      <w:r w:rsidR="00D37E36" w:rsidRPr="00953692">
        <w:rPr>
          <w:sz w:val="24"/>
          <w:szCs w:val="24"/>
          <w:lang w:val="fr-FR"/>
        </w:rPr>
        <w:t>montrent</w:t>
      </w:r>
      <w:r w:rsidR="009D331D" w:rsidRPr="00953692">
        <w:rPr>
          <w:sz w:val="24"/>
          <w:szCs w:val="24"/>
          <w:lang w:val="fr-FR"/>
        </w:rPr>
        <w:t xml:space="preserve"> en réalité le décalage qui puisse y avoir entre la comparution initiale sans délai et le début rapide du procès. </w:t>
      </w:r>
      <w:r w:rsidR="00D37E36" w:rsidRPr="00953692">
        <w:rPr>
          <w:sz w:val="24"/>
          <w:szCs w:val="24"/>
          <w:lang w:val="fr-FR"/>
        </w:rPr>
        <w:t>Cependant</w:t>
      </w:r>
      <w:r w:rsidR="00AA33AC" w:rsidRPr="00953692">
        <w:rPr>
          <w:sz w:val="24"/>
          <w:szCs w:val="24"/>
          <w:lang w:val="fr-FR"/>
        </w:rPr>
        <w:t>,</w:t>
      </w:r>
      <w:r w:rsidR="00F74891" w:rsidRPr="00953692">
        <w:rPr>
          <w:sz w:val="24"/>
          <w:szCs w:val="24"/>
          <w:lang w:val="fr-FR"/>
        </w:rPr>
        <w:t xml:space="preserve"> la comparution initiale sans délai</w:t>
      </w:r>
      <w:bookmarkStart w:id="31" w:name="_Hlk96808447"/>
      <w:r w:rsidR="008C7ED1" w:rsidRPr="00953692">
        <w:rPr>
          <w:sz w:val="24"/>
          <w:szCs w:val="24"/>
          <w:lang w:val="fr-FR"/>
        </w:rPr>
        <w:t xml:space="preserve"> </w:t>
      </w:r>
      <w:r w:rsidR="00D37E36" w:rsidRPr="00953692">
        <w:rPr>
          <w:sz w:val="24"/>
          <w:szCs w:val="24"/>
          <w:lang w:val="fr-FR"/>
        </w:rPr>
        <w:t>n’en demeure pas moins</w:t>
      </w:r>
      <w:r w:rsidR="008C7ED1" w:rsidRPr="00953692">
        <w:rPr>
          <w:sz w:val="24"/>
          <w:szCs w:val="24"/>
          <w:lang w:val="fr-FR"/>
        </w:rPr>
        <w:t xml:space="preserve"> l’une des prérogatives de l’accusé qui servent de béquilles au droit de ce dernier d’être jugé sans retard excessif, simplement, par le fait qu</w:t>
      </w:r>
      <w:r w:rsidR="001D334A" w:rsidRPr="00953692">
        <w:rPr>
          <w:sz w:val="24"/>
          <w:szCs w:val="24"/>
          <w:lang w:val="fr-FR"/>
        </w:rPr>
        <w:t>’</w:t>
      </w:r>
      <w:r w:rsidR="00861DEC" w:rsidRPr="00953692">
        <w:rPr>
          <w:sz w:val="24"/>
          <w:szCs w:val="24"/>
          <w:lang w:val="fr-FR"/>
        </w:rPr>
        <w:t>elle</w:t>
      </w:r>
      <w:r w:rsidR="001D334A" w:rsidRPr="00953692">
        <w:rPr>
          <w:sz w:val="24"/>
          <w:szCs w:val="24"/>
          <w:lang w:val="fr-FR"/>
        </w:rPr>
        <w:t xml:space="preserve"> place les organes judiciaires sous pression</w:t>
      </w:r>
      <w:r w:rsidR="00D37E36" w:rsidRPr="00953692">
        <w:rPr>
          <w:sz w:val="24"/>
          <w:szCs w:val="24"/>
          <w:lang w:val="fr-FR"/>
        </w:rPr>
        <w:t xml:space="preserve"> remarquable</w:t>
      </w:r>
      <w:r w:rsidR="001D334A" w:rsidRPr="00953692">
        <w:rPr>
          <w:sz w:val="24"/>
          <w:szCs w:val="24"/>
          <w:lang w:val="fr-FR"/>
        </w:rPr>
        <w:t xml:space="preserve"> du temps</w:t>
      </w:r>
      <w:r w:rsidR="001D334A" w:rsidRPr="00953692">
        <w:rPr>
          <w:rFonts w:cs="Times New Roman"/>
          <w:sz w:val="24"/>
          <w:szCs w:val="24"/>
          <w:lang w:val="fr-FR"/>
        </w:rPr>
        <w:t xml:space="preserve">. </w:t>
      </w:r>
      <w:r w:rsidR="00AA33AC" w:rsidRPr="00953692">
        <w:rPr>
          <w:rStyle w:val="grammar"/>
          <w:rFonts w:cs="Times New Roman"/>
          <w:sz w:val="24"/>
          <w:szCs w:val="24"/>
          <w:lang w:val="fr-FR"/>
        </w:rPr>
        <w:t>À</w:t>
      </w:r>
      <w:r w:rsidR="00AA33AC" w:rsidRPr="00953692">
        <w:rPr>
          <w:rFonts w:cs="Times New Roman"/>
          <w:sz w:val="24"/>
          <w:szCs w:val="24"/>
          <w:shd w:val="clear" w:color="auto" w:fill="FFFFFF"/>
          <w:lang w:val="fr-FR"/>
        </w:rPr>
        <w:t xml:space="preserve"> l’exception</w:t>
      </w:r>
      <w:r w:rsidR="00AA33AC" w:rsidRPr="00953692">
        <w:rPr>
          <w:rFonts w:ascii="Tahoma" w:hAnsi="Tahoma" w:cs="Tahoma"/>
          <w:sz w:val="24"/>
          <w:szCs w:val="24"/>
          <w:shd w:val="clear" w:color="auto" w:fill="FFFFFF"/>
          <w:lang w:val="fr-FR"/>
        </w:rPr>
        <w:t xml:space="preserve"> </w:t>
      </w:r>
      <w:r w:rsidR="001D334A" w:rsidRPr="00953692">
        <w:rPr>
          <w:sz w:val="24"/>
          <w:szCs w:val="24"/>
          <w:lang w:val="fr-FR"/>
        </w:rPr>
        <w:t xml:space="preserve">de l’expression dans le plus court délai utilisée dans le PIDCP, toutes celles que l’on retrouve dans les actes constitutifs des juridictions pénales internationales ne laissent aucune marge des manœuvres à ces organes. </w:t>
      </w:r>
    </w:p>
    <w:p w14:paraId="0FD0D688" w14:textId="1AF0D5D9" w:rsidR="00677BB6" w:rsidRPr="00953692" w:rsidRDefault="00874243" w:rsidP="00864BBF">
      <w:pPr>
        <w:spacing w:after="0" w:line="276" w:lineRule="auto"/>
        <w:ind w:firstLine="1134"/>
        <w:jc w:val="both"/>
        <w:rPr>
          <w:sz w:val="24"/>
          <w:szCs w:val="24"/>
          <w:lang w:val="fr-FR"/>
        </w:rPr>
      </w:pPr>
      <w:r w:rsidRPr="00953692">
        <w:rPr>
          <w:b/>
          <w:bCs/>
          <w:sz w:val="24"/>
          <w:szCs w:val="24"/>
          <w:lang w:val="fr-FR"/>
        </w:rPr>
        <w:lastRenderedPageBreak/>
        <w:t>162.</w:t>
      </w:r>
      <w:r w:rsidRPr="00953692">
        <w:rPr>
          <w:sz w:val="24"/>
          <w:szCs w:val="24"/>
          <w:lang w:val="fr-FR"/>
        </w:rPr>
        <w:t xml:space="preserve"> </w:t>
      </w:r>
      <w:r w:rsidR="001D334A" w:rsidRPr="00953692">
        <w:rPr>
          <w:sz w:val="24"/>
          <w:szCs w:val="24"/>
          <w:lang w:val="fr-FR"/>
        </w:rPr>
        <w:t>L’accusé doit être présenté au juge dans l’immédiateté. Si le délai de 48 ou 96 heures</w:t>
      </w:r>
      <w:r w:rsidR="00ED3698" w:rsidRPr="00953692">
        <w:rPr>
          <w:sz w:val="24"/>
          <w:szCs w:val="24"/>
          <w:lang w:val="fr-FR"/>
        </w:rPr>
        <w:t xml:space="preserve"> tel que prévu par les juges de la CPI</w:t>
      </w:r>
      <w:r w:rsidR="001D334A" w:rsidRPr="00953692">
        <w:rPr>
          <w:sz w:val="24"/>
          <w:szCs w:val="24"/>
          <w:lang w:val="fr-FR"/>
        </w:rPr>
        <w:t xml:space="preserve"> est a priori concevable, il va sans que ceci devra être justifié par </w:t>
      </w:r>
      <w:r w:rsidR="00ED3698" w:rsidRPr="00953692">
        <w:rPr>
          <w:sz w:val="24"/>
          <w:szCs w:val="24"/>
          <w:lang w:val="fr-FR"/>
        </w:rPr>
        <w:t>d</w:t>
      </w:r>
      <w:r w:rsidR="001D334A" w:rsidRPr="00953692">
        <w:rPr>
          <w:sz w:val="24"/>
          <w:szCs w:val="24"/>
          <w:lang w:val="fr-FR"/>
        </w:rPr>
        <w:t xml:space="preserve">es éléments </w:t>
      </w:r>
      <w:r w:rsidR="00ED3698" w:rsidRPr="00953692">
        <w:rPr>
          <w:sz w:val="24"/>
          <w:szCs w:val="24"/>
          <w:lang w:val="fr-FR"/>
        </w:rPr>
        <w:t xml:space="preserve">pratiques </w:t>
      </w:r>
      <w:r w:rsidR="001D334A" w:rsidRPr="00953692">
        <w:rPr>
          <w:sz w:val="24"/>
          <w:szCs w:val="24"/>
          <w:lang w:val="fr-FR"/>
        </w:rPr>
        <w:t>ou</w:t>
      </w:r>
      <w:r w:rsidR="00ED3698" w:rsidRPr="00953692">
        <w:rPr>
          <w:sz w:val="24"/>
          <w:szCs w:val="24"/>
          <w:lang w:val="fr-FR"/>
        </w:rPr>
        <w:t xml:space="preserve"> des</w:t>
      </w:r>
      <w:r w:rsidR="001D334A" w:rsidRPr="00953692">
        <w:rPr>
          <w:sz w:val="24"/>
          <w:szCs w:val="24"/>
          <w:lang w:val="fr-FR"/>
        </w:rPr>
        <w:t xml:space="preserve"> contraintes administratives que nécessit</w:t>
      </w:r>
      <w:r w:rsidR="00861DEC" w:rsidRPr="00953692">
        <w:rPr>
          <w:sz w:val="24"/>
          <w:szCs w:val="24"/>
          <w:lang w:val="fr-FR"/>
        </w:rPr>
        <w:t>e</w:t>
      </w:r>
      <w:r w:rsidR="001D334A" w:rsidRPr="00953692">
        <w:rPr>
          <w:sz w:val="24"/>
          <w:szCs w:val="24"/>
          <w:lang w:val="fr-FR"/>
        </w:rPr>
        <w:t xml:space="preserve"> la réalisation d’un tel droit.</w:t>
      </w:r>
      <w:r w:rsidR="00ED3698" w:rsidRPr="00953692">
        <w:rPr>
          <w:sz w:val="24"/>
          <w:szCs w:val="24"/>
          <w:lang w:val="fr-FR"/>
        </w:rPr>
        <w:t xml:space="preserve"> </w:t>
      </w:r>
      <w:r w:rsidR="00AA33AC" w:rsidRPr="00953692">
        <w:rPr>
          <w:rStyle w:val="grammar"/>
          <w:rFonts w:cs="Times New Roman"/>
          <w:sz w:val="24"/>
          <w:szCs w:val="24"/>
          <w:lang w:val="fr-FR"/>
        </w:rPr>
        <w:t>À</w:t>
      </w:r>
      <w:r w:rsidR="00ED3698" w:rsidRPr="00953692">
        <w:rPr>
          <w:sz w:val="24"/>
          <w:szCs w:val="24"/>
          <w:lang w:val="fr-FR"/>
        </w:rPr>
        <w:t xml:space="preserve"> défaut, toute violation de ce droit ne s</w:t>
      </w:r>
      <w:r w:rsidR="00D37E36" w:rsidRPr="00953692">
        <w:rPr>
          <w:sz w:val="24"/>
          <w:szCs w:val="24"/>
          <w:lang w:val="fr-FR"/>
        </w:rPr>
        <w:t>au</w:t>
      </w:r>
      <w:r w:rsidR="00ED3698" w:rsidRPr="00953692">
        <w:rPr>
          <w:sz w:val="24"/>
          <w:szCs w:val="24"/>
          <w:lang w:val="fr-FR"/>
        </w:rPr>
        <w:t xml:space="preserve">rait </w:t>
      </w:r>
      <w:r w:rsidR="00D37E36" w:rsidRPr="00953692">
        <w:rPr>
          <w:sz w:val="24"/>
          <w:szCs w:val="24"/>
          <w:lang w:val="fr-FR"/>
        </w:rPr>
        <w:t>être</w:t>
      </w:r>
      <w:r w:rsidR="00ED3698" w:rsidRPr="00953692">
        <w:rPr>
          <w:sz w:val="24"/>
          <w:szCs w:val="24"/>
          <w:lang w:val="fr-FR"/>
        </w:rPr>
        <w:t xml:space="preserve"> minimisée</w:t>
      </w:r>
      <w:r w:rsidR="00D634FE" w:rsidRPr="00953692">
        <w:rPr>
          <w:sz w:val="24"/>
          <w:szCs w:val="24"/>
          <w:lang w:val="fr-FR"/>
        </w:rPr>
        <w:t>.</w:t>
      </w:r>
      <w:r w:rsidR="005F7F60" w:rsidRPr="00953692">
        <w:rPr>
          <w:sz w:val="24"/>
          <w:szCs w:val="24"/>
          <w:lang w:val="fr-FR"/>
        </w:rPr>
        <w:t xml:space="preserve"> </w:t>
      </w:r>
      <w:r w:rsidR="009263EB" w:rsidRPr="00953692">
        <w:rPr>
          <w:sz w:val="24"/>
          <w:szCs w:val="24"/>
          <w:lang w:val="fr-FR"/>
        </w:rPr>
        <w:t>Le problème, c’est que</w:t>
      </w:r>
      <w:r w:rsidR="005F7F60" w:rsidRPr="00953692">
        <w:rPr>
          <w:sz w:val="24"/>
          <w:szCs w:val="24"/>
          <w:lang w:val="fr-FR"/>
        </w:rPr>
        <w:t xml:space="preserve"> le défaut d’une comparution initiale immédiate </w:t>
      </w:r>
      <w:r w:rsidR="00D37E36" w:rsidRPr="00953692">
        <w:rPr>
          <w:sz w:val="24"/>
          <w:szCs w:val="24"/>
          <w:lang w:val="fr-FR"/>
        </w:rPr>
        <w:t xml:space="preserve">ou sans délai </w:t>
      </w:r>
      <w:r w:rsidR="005F7F60" w:rsidRPr="00953692">
        <w:rPr>
          <w:sz w:val="24"/>
          <w:szCs w:val="24"/>
          <w:lang w:val="fr-FR"/>
        </w:rPr>
        <w:t>affecte l’ensemble de la procédure</w:t>
      </w:r>
      <w:r w:rsidR="00D37E36" w:rsidRPr="00953692">
        <w:rPr>
          <w:sz w:val="24"/>
          <w:szCs w:val="24"/>
          <w:lang w:val="fr-FR"/>
        </w:rPr>
        <w:t> ; car s</w:t>
      </w:r>
      <w:r w:rsidR="0097703E" w:rsidRPr="00953692">
        <w:rPr>
          <w:sz w:val="24"/>
          <w:szCs w:val="24"/>
          <w:lang w:val="fr-FR"/>
        </w:rPr>
        <w:t xml:space="preserve">ans </w:t>
      </w:r>
      <w:r w:rsidR="00D37E36" w:rsidRPr="00953692">
        <w:rPr>
          <w:sz w:val="24"/>
          <w:szCs w:val="24"/>
          <w:lang w:val="fr-FR"/>
        </w:rPr>
        <w:t>une</w:t>
      </w:r>
      <w:r w:rsidR="0097703E" w:rsidRPr="00953692">
        <w:rPr>
          <w:sz w:val="24"/>
          <w:szCs w:val="24"/>
          <w:lang w:val="fr-FR"/>
        </w:rPr>
        <w:t xml:space="preserve"> comparution initiale</w:t>
      </w:r>
      <w:r w:rsidR="00AA33AC" w:rsidRPr="00953692">
        <w:rPr>
          <w:sz w:val="24"/>
          <w:szCs w:val="24"/>
          <w:lang w:val="fr-FR"/>
        </w:rPr>
        <w:t xml:space="preserve"> </w:t>
      </w:r>
      <w:r w:rsidR="00D37E36" w:rsidRPr="00953692">
        <w:rPr>
          <w:sz w:val="24"/>
          <w:szCs w:val="24"/>
          <w:lang w:val="fr-FR"/>
        </w:rPr>
        <w:t>(</w:t>
      </w:r>
      <w:r w:rsidR="00AA33AC" w:rsidRPr="00953692">
        <w:rPr>
          <w:sz w:val="24"/>
          <w:szCs w:val="24"/>
          <w:lang w:val="fr-FR"/>
        </w:rPr>
        <w:t>et en cas d’un retard</w:t>
      </w:r>
      <w:r w:rsidR="00D37E36" w:rsidRPr="00953692">
        <w:rPr>
          <w:sz w:val="24"/>
          <w:szCs w:val="24"/>
          <w:lang w:val="fr-FR"/>
        </w:rPr>
        <w:t xml:space="preserve"> considérable)</w:t>
      </w:r>
      <w:r w:rsidR="0097703E" w:rsidRPr="00953692">
        <w:rPr>
          <w:sz w:val="24"/>
          <w:szCs w:val="24"/>
          <w:lang w:val="fr-FR"/>
        </w:rPr>
        <w:t>, le procès est censé ne pas commencer</w:t>
      </w:r>
      <w:r w:rsidR="00D37E36" w:rsidRPr="00953692">
        <w:rPr>
          <w:sz w:val="24"/>
          <w:szCs w:val="24"/>
          <w:lang w:val="fr-FR"/>
        </w:rPr>
        <w:t> ;</w:t>
      </w:r>
      <w:r w:rsidR="0097703E" w:rsidRPr="00953692">
        <w:rPr>
          <w:sz w:val="24"/>
          <w:szCs w:val="24"/>
          <w:lang w:val="fr-FR"/>
        </w:rPr>
        <w:t xml:space="preserve"> l’accusé risque d’</w:t>
      </w:r>
      <w:r w:rsidR="003F2540" w:rsidRPr="00953692">
        <w:rPr>
          <w:sz w:val="24"/>
          <w:szCs w:val="24"/>
          <w:lang w:val="fr-FR"/>
        </w:rPr>
        <w:t>être</w:t>
      </w:r>
      <w:r w:rsidR="0097703E" w:rsidRPr="00953692">
        <w:rPr>
          <w:sz w:val="24"/>
          <w:szCs w:val="24"/>
          <w:lang w:val="fr-FR"/>
        </w:rPr>
        <w:t xml:space="preserve"> jugé </w:t>
      </w:r>
      <w:r w:rsidR="003B18DA" w:rsidRPr="00953692">
        <w:rPr>
          <w:sz w:val="24"/>
          <w:szCs w:val="24"/>
          <w:lang w:val="fr-FR"/>
        </w:rPr>
        <w:t>avec</w:t>
      </w:r>
      <w:r w:rsidR="0097703E" w:rsidRPr="00953692">
        <w:rPr>
          <w:sz w:val="24"/>
          <w:szCs w:val="24"/>
          <w:lang w:val="fr-FR"/>
        </w:rPr>
        <w:t xml:space="preserve"> retard excessif, </w:t>
      </w:r>
      <w:r w:rsidR="003F2540" w:rsidRPr="00953692">
        <w:rPr>
          <w:sz w:val="24"/>
          <w:szCs w:val="24"/>
          <w:lang w:val="fr-FR"/>
        </w:rPr>
        <w:t xml:space="preserve">et </w:t>
      </w:r>
      <w:r w:rsidR="00F24756" w:rsidRPr="00953692">
        <w:rPr>
          <w:sz w:val="24"/>
          <w:szCs w:val="24"/>
          <w:lang w:val="fr-FR"/>
        </w:rPr>
        <w:t>éventuellement</w:t>
      </w:r>
      <w:r w:rsidR="003F2540" w:rsidRPr="00953692">
        <w:rPr>
          <w:sz w:val="24"/>
          <w:szCs w:val="24"/>
          <w:lang w:val="fr-FR"/>
        </w:rPr>
        <w:t xml:space="preserve"> bien avant cela, </w:t>
      </w:r>
      <w:r w:rsidR="009263EB" w:rsidRPr="00953692">
        <w:rPr>
          <w:sz w:val="24"/>
          <w:szCs w:val="24"/>
          <w:lang w:val="fr-FR"/>
        </w:rPr>
        <w:t>ce dernier</w:t>
      </w:r>
      <w:r w:rsidR="003F2540" w:rsidRPr="00953692">
        <w:rPr>
          <w:sz w:val="24"/>
          <w:szCs w:val="24"/>
          <w:lang w:val="fr-FR"/>
        </w:rPr>
        <w:t xml:space="preserve"> ne saurait être inculpé dans le délai.</w:t>
      </w:r>
    </w:p>
    <w:p w14:paraId="226E9649" w14:textId="45F6EBFC" w:rsidR="00677BB6" w:rsidRPr="00953692" w:rsidRDefault="0076405D" w:rsidP="0051789F">
      <w:pPr>
        <w:pStyle w:val="Titre3"/>
        <w:ind w:left="1134"/>
        <w:rPr>
          <w:rFonts w:ascii="Times New Roman" w:hAnsi="Times New Roman"/>
          <w:bCs/>
          <w:color w:val="auto"/>
          <w:sz w:val="24"/>
          <w:szCs w:val="24"/>
          <w:lang w:val="fr-FR"/>
        </w:rPr>
      </w:pPr>
      <w:bookmarkStart w:id="32" w:name="_Toc195179418"/>
      <w:bookmarkStart w:id="33" w:name="_Hlk118297154"/>
      <w:r w:rsidRPr="00953692">
        <w:rPr>
          <w:rFonts w:ascii="Times New Roman" w:hAnsi="Times New Roman"/>
          <w:bCs/>
          <w:color w:val="auto"/>
          <w:sz w:val="24"/>
          <w:szCs w:val="24"/>
          <w:lang w:val="fr-FR"/>
        </w:rPr>
        <w:t>Section 0</w:t>
      </w:r>
      <w:r w:rsidR="00D43A72" w:rsidRPr="00953692">
        <w:rPr>
          <w:rFonts w:ascii="Times New Roman" w:hAnsi="Times New Roman"/>
          <w:bCs/>
          <w:color w:val="auto"/>
          <w:sz w:val="24"/>
          <w:szCs w:val="24"/>
          <w:lang w:val="fr-FR"/>
        </w:rPr>
        <w:t>3</w:t>
      </w:r>
      <w:r w:rsidRPr="00953692">
        <w:rPr>
          <w:rFonts w:ascii="Times New Roman" w:hAnsi="Times New Roman"/>
          <w:bCs/>
          <w:color w:val="auto"/>
          <w:sz w:val="24"/>
          <w:szCs w:val="24"/>
          <w:lang w:val="fr-FR"/>
        </w:rPr>
        <w:t>. Le droit d’être inculpé dans le délai</w:t>
      </w:r>
      <w:bookmarkEnd w:id="32"/>
    </w:p>
    <w:bookmarkEnd w:id="33"/>
    <w:p w14:paraId="5DCB848F" w14:textId="3073EFBB" w:rsidR="00677BB6" w:rsidRPr="00953692" w:rsidRDefault="00F24756" w:rsidP="00864BBF">
      <w:pPr>
        <w:spacing w:before="240" w:line="276" w:lineRule="auto"/>
        <w:ind w:firstLine="1134"/>
        <w:jc w:val="both"/>
        <w:rPr>
          <w:rFonts w:cs="Times New Roman"/>
          <w:sz w:val="24"/>
          <w:szCs w:val="24"/>
          <w:lang w:val="fr-FR"/>
        </w:rPr>
      </w:pPr>
      <w:r w:rsidRPr="00953692">
        <w:rPr>
          <w:rFonts w:cs="Times New Roman"/>
          <w:b/>
          <w:bCs/>
          <w:sz w:val="24"/>
          <w:szCs w:val="24"/>
          <w:lang w:val="fr-FR"/>
        </w:rPr>
        <w:t>1</w:t>
      </w:r>
      <w:r w:rsidR="00874243" w:rsidRPr="00953692">
        <w:rPr>
          <w:rFonts w:cs="Times New Roman"/>
          <w:b/>
          <w:bCs/>
          <w:sz w:val="24"/>
          <w:szCs w:val="24"/>
          <w:lang w:val="fr-FR"/>
        </w:rPr>
        <w:t>63</w:t>
      </w:r>
      <w:r w:rsidRPr="00953692">
        <w:rPr>
          <w:rFonts w:cs="Times New Roman"/>
          <w:b/>
          <w:bCs/>
          <w:sz w:val="24"/>
          <w:szCs w:val="24"/>
          <w:lang w:val="fr-FR"/>
        </w:rPr>
        <w:t>.</w:t>
      </w:r>
      <w:r w:rsidRPr="00953692">
        <w:rPr>
          <w:rFonts w:cs="Times New Roman"/>
          <w:sz w:val="24"/>
          <w:szCs w:val="24"/>
          <w:lang w:val="fr-FR"/>
        </w:rPr>
        <w:t xml:space="preserve"> </w:t>
      </w:r>
      <w:r w:rsidR="00A024FC" w:rsidRPr="00953692">
        <w:rPr>
          <w:rFonts w:cs="Times New Roman"/>
          <w:sz w:val="24"/>
          <w:szCs w:val="24"/>
          <w:lang w:val="fr-FR"/>
        </w:rPr>
        <w:t>Le droit d’être inculpé dans le délai est en réalité l’une des prérogatives les moins connues en doctrine, notamment dans les analyses des législations nationales. Il semble être une spécificité du droit international pénal et dont</w:t>
      </w:r>
      <w:r w:rsidR="00286797" w:rsidRPr="00953692">
        <w:rPr>
          <w:rFonts w:cs="Times New Roman"/>
          <w:sz w:val="24"/>
          <w:szCs w:val="24"/>
          <w:lang w:val="fr-FR"/>
        </w:rPr>
        <w:t xml:space="preserve"> le but est</w:t>
      </w:r>
      <w:r w:rsidR="0076405D" w:rsidRPr="00953692">
        <w:rPr>
          <w:rFonts w:cs="Times New Roman"/>
          <w:sz w:val="24"/>
          <w:szCs w:val="24"/>
          <w:lang w:val="fr-FR"/>
        </w:rPr>
        <w:t xml:space="preserve"> de protéger </w:t>
      </w:r>
      <w:r w:rsidRPr="00953692">
        <w:rPr>
          <w:rFonts w:cs="Times New Roman"/>
          <w:sz w:val="24"/>
          <w:szCs w:val="24"/>
          <w:lang w:val="fr-FR"/>
        </w:rPr>
        <w:t xml:space="preserve">spécialement </w:t>
      </w:r>
      <w:r w:rsidR="0076405D" w:rsidRPr="00953692">
        <w:rPr>
          <w:rFonts w:cs="Times New Roman"/>
          <w:sz w:val="24"/>
          <w:szCs w:val="24"/>
          <w:lang w:val="fr-FR"/>
        </w:rPr>
        <w:t xml:space="preserve">le suspect contre la </w:t>
      </w:r>
      <w:r w:rsidR="00153549" w:rsidRPr="00953692">
        <w:rPr>
          <w:rFonts w:cs="Times New Roman"/>
          <w:sz w:val="24"/>
          <w:szCs w:val="24"/>
          <w:lang w:val="fr-FR"/>
        </w:rPr>
        <w:t xml:space="preserve">menace de sa </w:t>
      </w:r>
      <w:r w:rsidR="0076405D" w:rsidRPr="00953692">
        <w:rPr>
          <w:rFonts w:cs="Times New Roman"/>
          <w:sz w:val="24"/>
          <w:szCs w:val="24"/>
          <w:lang w:val="fr-FR"/>
        </w:rPr>
        <w:t xml:space="preserve">liberté </w:t>
      </w:r>
      <w:r w:rsidR="00153549" w:rsidRPr="00953692">
        <w:rPr>
          <w:rFonts w:cs="Times New Roman"/>
          <w:sz w:val="24"/>
          <w:szCs w:val="24"/>
          <w:lang w:val="fr-FR"/>
        </w:rPr>
        <w:t xml:space="preserve">que lui font légitimement </w:t>
      </w:r>
      <w:r w:rsidR="00A024FC" w:rsidRPr="00953692">
        <w:rPr>
          <w:rFonts w:cs="Times New Roman"/>
          <w:sz w:val="24"/>
          <w:szCs w:val="24"/>
          <w:lang w:val="fr-FR"/>
        </w:rPr>
        <w:t>peser</w:t>
      </w:r>
      <w:r w:rsidRPr="00953692">
        <w:rPr>
          <w:rFonts w:cs="Times New Roman"/>
          <w:sz w:val="24"/>
          <w:szCs w:val="24"/>
          <w:lang w:val="fr-FR"/>
        </w:rPr>
        <w:t xml:space="preserve"> les pouvoirs exorbitants </w:t>
      </w:r>
      <w:r w:rsidR="0076405D" w:rsidRPr="00953692">
        <w:rPr>
          <w:rFonts w:cs="Times New Roman"/>
          <w:sz w:val="24"/>
          <w:szCs w:val="24"/>
          <w:lang w:val="fr-FR"/>
        </w:rPr>
        <w:t xml:space="preserve">du procureur </w:t>
      </w:r>
      <w:r w:rsidR="00286797" w:rsidRPr="00953692">
        <w:rPr>
          <w:rFonts w:cs="Times New Roman"/>
          <w:sz w:val="24"/>
          <w:szCs w:val="24"/>
          <w:lang w:val="fr-FR"/>
        </w:rPr>
        <w:t xml:space="preserve">(international) </w:t>
      </w:r>
      <w:r w:rsidRPr="00953692">
        <w:rPr>
          <w:rFonts w:cs="Times New Roman"/>
          <w:sz w:val="24"/>
          <w:szCs w:val="24"/>
          <w:lang w:val="fr-FR"/>
        </w:rPr>
        <w:t xml:space="preserve">en matière </w:t>
      </w:r>
      <w:r w:rsidR="0076405D" w:rsidRPr="00953692">
        <w:rPr>
          <w:rFonts w:cs="Times New Roman"/>
          <w:sz w:val="24"/>
          <w:szCs w:val="24"/>
          <w:lang w:val="fr-FR"/>
        </w:rPr>
        <w:t xml:space="preserve">d’enquête. </w:t>
      </w:r>
      <w:r w:rsidR="00A024FC" w:rsidRPr="00953692">
        <w:rPr>
          <w:rFonts w:cs="Times New Roman"/>
          <w:sz w:val="24"/>
          <w:szCs w:val="24"/>
          <w:lang w:val="fr-FR"/>
        </w:rPr>
        <w:t xml:space="preserve">Comme la formulation l’indique, le droit d’être inculpé dans le délai est suggestif d’une procédure qui ne devrait pas trop tarder à débuter. </w:t>
      </w:r>
      <w:r w:rsidR="0076405D" w:rsidRPr="00953692">
        <w:rPr>
          <w:rFonts w:cs="Times New Roman"/>
          <w:sz w:val="24"/>
          <w:szCs w:val="24"/>
          <w:lang w:val="fr-FR"/>
        </w:rPr>
        <w:t>Ce qui permettra d’établir</w:t>
      </w:r>
      <w:r w:rsidR="00D4158B" w:rsidRPr="00953692">
        <w:rPr>
          <w:rFonts w:cs="Times New Roman"/>
          <w:sz w:val="24"/>
          <w:szCs w:val="24"/>
          <w:lang w:val="fr-FR"/>
        </w:rPr>
        <w:t xml:space="preserve"> à cet effet</w:t>
      </w:r>
      <w:r w:rsidR="0076405D" w:rsidRPr="00953692">
        <w:rPr>
          <w:rFonts w:cs="Times New Roman"/>
          <w:sz w:val="24"/>
          <w:szCs w:val="24"/>
          <w:lang w:val="fr-FR"/>
        </w:rPr>
        <w:t xml:space="preserve"> une forme nuancée de complémentarité avec le droit à un délai raisonnable du procès, que nous tenterons d’aborder (§2.). Mais avant de s’y prendre, il conviendra d’analyser les </w:t>
      </w:r>
      <w:r w:rsidR="000E21D6" w:rsidRPr="00953692">
        <w:rPr>
          <w:rFonts w:cs="Times New Roman"/>
          <w:sz w:val="24"/>
          <w:szCs w:val="24"/>
          <w:lang w:val="fr-FR"/>
        </w:rPr>
        <w:t>prolégomènes</w:t>
      </w:r>
      <w:r w:rsidRPr="00953692">
        <w:rPr>
          <w:rFonts w:cs="Times New Roman"/>
          <w:sz w:val="24"/>
          <w:szCs w:val="24"/>
          <w:lang w:val="fr-FR"/>
        </w:rPr>
        <w:t xml:space="preserve"> d</w:t>
      </w:r>
      <w:r w:rsidR="000E21D6" w:rsidRPr="00953692">
        <w:rPr>
          <w:rFonts w:cs="Times New Roman"/>
          <w:sz w:val="24"/>
          <w:szCs w:val="24"/>
          <w:lang w:val="fr-FR"/>
        </w:rPr>
        <w:t>’un tel</w:t>
      </w:r>
      <w:r w:rsidRPr="00953692">
        <w:rPr>
          <w:rFonts w:cs="Times New Roman"/>
          <w:sz w:val="24"/>
          <w:szCs w:val="24"/>
          <w:lang w:val="fr-FR"/>
        </w:rPr>
        <w:t xml:space="preserve"> droit</w:t>
      </w:r>
      <w:r w:rsidR="0076405D" w:rsidRPr="00953692">
        <w:rPr>
          <w:rFonts w:cs="Times New Roman"/>
          <w:sz w:val="24"/>
          <w:szCs w:val="24"/>
          <w:lang w:val="fr-FR"/>
        </w:rPr>
        <w:t xml:space="preserve"> (§1.)</w:t>
      </w:r>
      <w:r w:rsidRPr="00953692">
        <w:rPr>
          <w:rFonts w:cs="Times New Roman"/>
          <w:sz w:val="24"/>
          <w:szCs w:val="24"/>
          <w:lang w:val="fr-FR"/>
        </w:rPr>
        <w:t>,</w:t>
      </w:r>
      <w:r w:rsidR="0076405D" w:rsidRPr="00953692">
        <w:rPr>
          <w:rFonts w:cs="Times New Roman"/>
          <w:sz w:val="24"/>
          <w:szCs w:val="24"/>
          <w:lang w:val="fr-FR"/>
        </w:rPr>
        <w:t xml:space="preserve"> tant sa portée et ses caractéristiques sont particulières, que son étendue</w:t>
      </w:r>
      <w:r w:rsidRPr="00953692">
        <w:rPr>
          <w:rFonts w:cs="Times New Roman"/>
          <w:sz w:val="24"/>
          <w:szCs w:val="24"/>
          <w:lang w:val="fr-FR"/>
        </w:rPr>
        <w:t xml:space="preserve"> semble être </w:t>
      </w:r>
      <w:r w:rsidR="00FB09D2" w:rsidRPr="00953692">
        <w:rPr>
          <w:rFonts w:cs="Times New Roman"/>
          <w:sz w:val="24"/>
          <w:szCs w:val="24"/>
          <w:lang w:val="fr-FR"/>
        </w:rPr>
        <w:t>aussi</w:t>
      </w:r>
      <w:r w:rsidR="0076405D" w:rsidRPr="00953692">
        <w:rPr>
          <w:rFonts w:cs="Times New Roman"/>
          <w:sz w:val="24"/>
          <w:szCs w:val="24"/>
          <w:lang w:val="fr-FR"/>
        </w:rPr>
        <w:t xml:space="preserve"> </w:t>
      </w:r>
      <w:r w:rsidR="000E21D6" w:rsidRPr="00953692">
        <w:rPr>
          <w:rFonts w:cs="Times New Roman"/>
          <w:sz w:val="24"/>
          <w:szCs w:val="24"/>
          <w:lang w:val="fr-FR"/>
        </w:rPr>
        <w:t>restreinte</w:t>
      </w:r>
      <w:r w:rsidR="0076405D" w:rsidRPr="00953692">
        <w:rPr>
          <w:rFonts w:cs="Times New Roman"/>
          <w:sz w:val="24"/>
          <w:szCs w:val="24"/>
          <w:lang w:val="fr-FR"/>
        </w:rPr>
        <w:t>.</w:t>
      </w:r>
    </w:p>
    <w:p w14:paraId="08F38A38" w14:textId="74F6C73C" w:rsidR="00677BB6" w:rsidRPr="00ED789C" w:rsidRDefault="00ED789C" w:rsidP="0051789F">
      <w:pPr>
        <w:pStyle w:val="Titre3"/>
        <w:ind w:left="1134"/>
        <w:rPr>
          <w:rFonts w:ascii="Times New Roman" w:hAnsi="Times New Roman"/>
          <w:b w:val="0"/>
          <w:bCs/>
          <w:i/>
          <w:iCs/>
          <w:color w:val="auto"/>
          <w:sz w:val="24"/>
          <w:szCs w:val="24"/>
          <w:lang w:val="fr-FR"/>
        </w:rPr>
      </w:pPr>
      <w:bookmarkStart w:id="34" w:name="_Toc195179419"/>
      <w:r w:rsidRPr="00ED789C">
        <w:rPr>
          <w:rFonts w:ascii="Times New Roman" w:hAnsi="Times New Roman"/>
          <w:b w:val="0"/>
          <w:bCs/>
          <w:i/>
          <w:iCs/>
          <w:color w:val="auto"/>
          <w:sz w:val="24"/>
          <w:szCs w:val="24"/>
          <w:lang w:val="fr-FR"/>
        </w:rPr>
        <w:t xml:space="preserve">Paragraphe </w:t>
      </w:r>
      <w:r w:rsidR="0076405D" w:rsidRPr="00ED789C">
        <w:rPr>
          <w:rFonts w:ascii="Times New Roman" w:hAnsi="Times New Roman"/>
          <w:b w:val="0"/>
          <w:bCs/>
          <w:i/>
          <w:iCs/>
          <w:color w:val="auto"/>
          <w:sz w:val="24"/>
          <w:szCs w:val="24"/>
          <w:lang w:val="fr-FR"/>
        </w:rPr>
        <w:t xml:space="preserve">1. </w:t>
      </w:r>
      <w:r w:rsidR="00D64A37" w:rsidRPr="00ED789C">
        <w:rPr>
          <w:rFonts w:ascii="Times New Roman" w:hAnsi="Times New Roman"/>
          <w:b w:val="0"/>
          <w:bCs/>
          <w:i/>
          <w:iCs/>
          <w:color w:val="auto"/>
          <w:sz w:val="24"/>
          <w:szCs w:val="24"/>
          <w:lang w:val="fr-FR"/>
        </w:rPr>
        <w:t>Notion, sources et caractéristiques</w:t>
      </w:r>
      <w:r w:rsidR="00F24756" w:rsidRPr="00ED789C">
        <w:rPr>
          <w:rFonts w:ascii="Times New Roman" w:hAnsi="Times New Roman"/>
          <w:b w:val="0"/>
          <w:bCs/>
          <w:i/>
          <w:iCs/>
          <w:color w:val="auto"/>
          <w:sz w:val="24"/>
          <w:szCs w:val="24"/>
          <w:lang w:val="fr-FR"/>
        </w:rPr>
        <w:t xml:space="preserve"> du droit d’être inculpé dans le délai</w:t>
      </w:r>
      <w:bookmarkEnd w:id="34"/>
    </w:p>
    <w:p w14:paraId="5176DD02" w14:textId="6ABAD440" w:rsidR="00286797" w:rsidRPr="00953692" w:rsidRDefault="00F24756"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w:t>
      </w:r>
      <w:r w:rsidR="00874243" w:rsidRPr="00953692">
        <w:rPr>
          <w:rFonts w:cs="Times New Roman"/>
          <w:b/>
          <w:bCs/>
          <w:sz w:val="24"/>
          <w:szCs w:val="24"/>
          <w:lang w:val="fr-FR"/>
        </w:rPr>
        <w:t>64</w:t>
      </w:r>
      <w:r w:rsidRPr="00953692">
        <w:rPr>
          <w:rFonts w:cs="Times New Roman"/>
          <w:b/>
          <w:bCs/>
          <w:sz w:val="24"/>
          <w:szCs w:val="24"/>
          <w:lang w:val="fr-FR"/>
        </w:rPr>
        <w:t>.</w:t>
      </w:r>
      <w:r w:rsidRPr="00953692">
        <w:rPr>
          <w:rFonts w:cs="Times New Roman"/>
          <w:sz w:val="24"/>
          <w:szCs w:val="24"/>
          <w:lang w:val="fr-FR"/>
        </w:rPr>
        <w:t xml:space="preserve"> </w:t>
      </w:r>
      <w:r w:rsidR="0076405D" w:rsidRPr="00953692">
        <w:rPr>
          <w:rFonts w:cs="Times New Roman"/>
          <w:sz w:val="24"/>
          <w:szCs w:val="24"/>
          <w:lang w:val="fr-FR"/>
        </w:rPr>
        <w:t xml:space="preserve">Le droit d’être inculpé dans le délai s’avère être une particularité des TPI, </w:t>
      </w:r>
      <w:r w:rsidR="00CE5D17" w:rsidRPr="00953692">
        <w:rPr>
          <w:rFonts w:cs="Times New Roman"/>
          <w:sz w:val="24"/>
          <w:szCs w:val="24"/>
          <w:lang w:val="fr-FR"/>
        </w:rPr>
        <w:t>que</w:t>
      </w:r>
      <w:r w:rsidR="0076405D" w:rsidRPr="00953692">
        <w:rPr>
          <w:rFonts w:cs="Times New Roman"/>
          <w:sz w:val="24"/>
          <w:szCs w:val="24"/>
          <w:lang w:val="fr-FR"/>
        </w:rPr>
        <w:t xml:space="preserve"> le</w:t>
      </w:r>
      <w:r w:rsidRPr="00953692">
        <w:rPr>
          <w:rFonts w:cs="Times New Roman"/>
          <w:sz w:val="24"/>
          <w:szCs w:val="24"/>
          <w:lang w:val="fr-FR"/>
        </w:rPr>
        <w:t>s</w:t>
      </w:r>
      <w:r w:rsidR="0076405D" w:rsidRPr="00953692">
        <w:rPr>
          <w:rFonts w:cs="Times New Roman"/>
          <w:sz w:val="24"/>
          <w:szCs w:val="24"/>
          <w:lang w:val="fr-FR"/>
        </w:rPr>
        <w:t xml:space="preserve"> RPP en consacre</w:t>
      </w:r>
      <w:r w:rsidRPr="00953692">
        <w:rPr>
          <w:rFonts w:cs="Times New Roman"/>
          <w:sz w:val="24"/>
          <w:szCs w:val="24"/>
          <w:lang w:val="fr-FR"/>
        </w:rPr>
        <w:t>nt</w:t>
      </w:r>
      <w:r w:rsidR="0076405D" w:rsidRPr="00953692">
        <w:rPr>
          <w:rFonts w:cs="Times New Roman"/>
          <w:sz w:val="24"/>
          <w:szCs w:val="24"/>
          <w:lang w:val="fr-FR"/>
        </w:rPr>
        <w:t xml:space="preserve"> à travers l’article 40bis. Ce droit trouve essentiellement sa justification dans la détention provisoire du suspect, entendu </w:t>
      </w:r>
      <w:r w:rsidR="00984285" w:rsidRPr="00953692">
        <w:rPr>
          <w:rFonts w:cs="Times New Roman"/>
          <w:sz w:val="24"/>
          <w:szCs w:val="24"/>
          <w:lang w:val="fr-FR"/>
        </w:rPr>
        <w:t>par-là</w:t>
      </w:r>
      <w:r w:rsidR="0076405D" w:rsidRPr="00953692">
        <w:rPr>
          <w:rFonts w:cs="Times New Roman"/>
          <w:sz w:val="24"/>
          <w:szCs w:val="24"/>
          <w:lang w:val="fr-FR"/>
        </w:rPr>
        <w:t xml:space="preserve">, la personne qui n’est pas encore officiellement mise en accusation. Le point A) de </w:t>
      </w:r>
      <w:r w:rsidR="008E75AC" w:rsidRPr="00953692">
        <w:rPr>
          <w:rFonts w:cs="Times New Roman"/>
          <w:sz w:val="24"/>
          <w:szCs w:val="24"/>
          <w:lang w:val="fr-FR"/>
        </w:rPr>
        <w:t xml:space="preserve">cet </w:t>
      </w:r>
      <w:r w:rsidR="0076405D" w:rsidRPr="00953692">
        <w:rPr>
          <w:rFonts w:cs="Times New Roman"/>
          <w:sz w:val="24"/>
          <w:szCs w:val="24"/>
          <w:lang w:val="fr-FR"/>
        </w:rPr>
        <w:t xml:space="preserve">article prévoit que le Procureur peut, </w:t>
      </w:r>
      <w:r w:rsidR="0076405D" w:rsidRPr="00953692">
        <w:rPr>
          <w:rFonts w:cs="Times New Roman"/>
          <w:i/>
          <w:iCs/>
          <w:sz w:val="24"/>
          <w:szCs w:val="24"/>
          <w:lang w:val="fr-FR"/>
        </w:rPr>
        <w:t xml:space="preserve">par une requête aux fins de transfert et de placement en détention provisoire d’un suspect dans les locaux du centre de détention relevant du </w:t>
      </w:r>
      <w:r w:rsidR="008D7999" w:rsidRPr="00953692">
        <w:rPr>
          <w:rFonts w:cs="Times New Roman"/>
          <w:i/>
          <w:iCs/>
          <w:sz w:val="24"/>
          <w:szCs w:val="24"/>
          <w:lang w:val="fr-FR"/>
        </w:rPr>
        <w:t>T</w:t>
      </w:r>
      <w:r w:rsidR="0076405D" w:rsidRPr="00953692">
        <w:rPr>
          <w:rFonts w:cs="Times New Roman"/>
          <w:i/>
          <w:iCs/>
          <w:sz w:val="24"/>
          <w:szCs w:val="24"/>
          <w:lang w:val="fr-FR"/>
        </w:rPr>
        <w:t>ribunal, solliciter une ordonnance du juge désigné à cet effet</w:t>
      </w:r>
      <w:r w:rsidR="0076405D" w:rsidRPr="00953692">
        <w:rPr>
          <w:rFonts w:cs="Times New Roman"/>
          <w:sz w:val="24"/>
          <w:szCs w:val="24"/>
          <w:lang w:val="fr-FR"/>
        </w:rPr>
        <w:t xml:space="preserve">. </w:t>
      </w:r>
      <w:r w:rsidR="00F1003E" w:rsidRPr="00953692">
        <w:rPr>
          <w:rFonts w:cs="Times New Roman"/>
          <w:sz w:val="24"/>
          <w:szCs w:val="24"/>
          <w:lang w:val="fr-FR"/>
        </w:rPr>
        <w:t xml:space="preserve">Il sied de rappeler que </w:t>
      </w:r>
      <w:r w:rsidR="008E75AC" w:rsidRPr="00953692">
        <w:rPr>
          <w:rFonts w:cs="Times New Roman"/>
          <w:sz w:val="24"/>
          <w:szCs w:val="24"/>
          <w:lang w:val="fr-FR"/>
        </w:rPr>
        <w:t>C</w:t>
      </w:r>
      <w:r w:rsidR="0076405D" w:rsidRPr="00953692">
        <w:rPr>
          <w:rFonts w:cs="Times New Roman"/>
          <w:sz w:val="24"/>
          <w:szCs w:val="24"/>
          <w:lang w:val="fr-FR"/>
        </w:rPr>
        <w:t>ette requête fait suite à la demande du Procureur adressée à un Etat d’arrêter et de détenir une personne sur laquelle pèse des soupçons d’avoir commis un crime relavant de la compétence du Tribunal.</w:t>
      </w:r>
    </w:p>
    <w:p w14:paraId="5BB6D941" w14:textId="2CA89135" w:rsidR="0076405D" w:rsidRPr="00953692" w:rsidRDefault="008D7999" w:rsidP="00864BBF">
      <w:pPr>
        <w:spacing w:after="0" w:line="276" w:lineRule="auto"/>
        <w:ind w:firstLine="1134"/>
        <w:jc w:val="both"/>
        <w:rPr>
          <w:rFonts w:cs="Times New Roman"/>
          <w:sz w:val="24"/>
          <w:szCs w:val="24"/>
          <w:lang w:val="fr-FR"/>
        </w:rPr>
      </w:pPr>
      <w:r w:rsidRPr="00953692">
        <w:rPr>
          <w:rFonts w:cs="Times New Roman"/>
          <w:sz w:val="24"/>
          <w:szCs w:val="24"/>
          <w:lang w:val="fr-FR"/>
        </w:rPr>
        <w:t xml:space="preserve"> </w:t>
      </w:r>
      <w:r w:rsidR="00F1003E" w:rsidRPr="00953692">
        <w:rPr>
          <w:rFonts w:cs="Times New Roman"/>
          <w:b/>
          <w:bCs/>
          <w:sz w:val="24"/>
          <w:szCs w:val="24"/>
          <w:lang w:val="fr-FR"/>
        </w:rPr>
        <w:t>165.</w:t>
      </w:r>
      <w:r w:rsidR="00F1003E" w:rsidRPr="00953692">
        <w:rPr>
          <w:rFonts w:cs="Times New Roman"/>
          <w:sz w:val="24"/>
          <w:szCs w:val="24"/>
          <w:lang w:val="fr-FR"/>
        </w:rPr>
        <w:t xml:space="preserve"> </w:t>
      </w:r>
      <w:r w:rsidRPr="00953692">
        <w:rPr>
          <w:rFonts w:cs="Times New Roman"/>
          <w:sz w:val="24"/>
          <w:szCs w:val="24"/>
          <w:lang w:val="fr-FR"/>
        </w:rPr>
        <w:t>L</w:t>
      </w:r>
      <w:r w:rsidR="0076405D" w:rsidRPr="00953692">
        <w:rPr>
          <w:rFonts w:cs="Times New Roman"/>
          <w:sz w:val="24"/>
          <w:szCs w:val="24"/>
          <w:lang w:val="fr-FR"/>
        </w:rPr>
        <w:t xml:space="preserve">e juge n’ordonne ce transfert et détention que </w:t>
      </w:r>
      <w:r w:rsidR="008E75AC" w:rsidRPr="00953692">
        <w:rPr>
          <w:rFonts w:cs="Times New Roman"/>
          <w:sz w:val="24"/>
          <w:szCs w:val="24"/>
          <w:lang w:val="fr-FR"/>
        </w:rPr>
        <w:t xml:space="preserve">si </w:t>
      </w:r>
      <w:r w:rsidR="0076405D" w:rsidRPr="00953692">
        <w:rPr>
          <w:rFonts w:cs="Times New Roman"/>
          <w:sz w:val="24"/>
          <w:szCs w:val="24"/>
          <w:lang w:val="fr-FR"/>
        </w:rPr>
        <w:t>le suspect est à la disposition de cet Etat à la demande du procureur conformément à l’article 40, mais il peut également s’agir d’une détention autrement décidée par ledit Etat. Ensuite, le juge entend le Procureur dans le but de déceler de</w:t>
      </w:r>
      <w:r w:rsidRPr="00953692">
        <w:rPr>
          <w:rFonts w:cs="Times New Roman"/>
          <w:sz w:val="24"/>
          <w:szCs w:val="24"/>
          <w:lang w:val="fr-FR"/>
        </w:rPr>
        <w:t>s</w:t>
      </w:r>
      <w:r w:rsidR="0076405D" w:rsidRPr="00953692">
        <w:rPr>
          <w:rFonts w:cs="Times New Roman"/>
          <w:sz w:val="24"/>
          <w:szCs w:val="24"/>
          <w:lang w:val="fr-FR"/>
        </w:rPr>
        <w:t xml:space="preserve"> graves et concordants</w:t>
      </w:r>
      <w:r w:rsidRPr="00953692">
        <w:rPr>
          <w:rFonts w:cs="Times New Roman"/>
          <w:sz w:val="24"/>
          <w:szCs w:val="24"/>
          <w:lang w:val="fr-FR"/>
        </w:rPr>
        <w:t xml:space="preserve"> indices</w:t>
      </w:r>
      <w:r w:rsidR="0076405D" w:rsidRPr="00953692">
        <w:rPr>
          <w:rFonts w:cs="Times New Roman"/>
          <w:sz w:val="24"/>
          <w:szCs w:val="24"/>
          <w:lang w:val="fr-FR"/>
        </w:rPr>
        <w:t xml:space="preserve"> sous-tendant ses soupçons ; enfin, la détention devra servir les intérêts de la justice tels que décrits au point B-iii) cet article.</w:t>
      </w:r>
    </w:p>
    <w:p w14:paraId="10B98568" w14:textId="3874F5EB" w:rsidR="0076405D" w:rsidRPr="00953692" w:rsidRDefault="007443FC"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lastRenderedPageBreak/>
        <w:t>1</w:t>
      </w:r>
      <w:r w:rsidR="00874243" w:rsidRPr="00953692">
        <w:rPr>
          <w:rFonts w:cs="Times New Roman"/>
          <w:b/>
          <w:bCs/>
          <w:sz w:val="24"/>
          <w:szCs w:val="24"/>
          <w:lang w:val="fr-FR"/>
        </w:rPr>
        <w:t>6</w:t>
      </w:r>
      <w:r w:rsidR="00F1003E" w:rsidRPr="00953692">
        <w:rPr>
          <w:rFonts w:cs="Times New Roman"/>
          <w:b/>
          <w:bCs/>
          <w:sz w:val="24"/>
          <w:szCs w:val="24"/>
          <w:lang w:val="fr-FR"/>
        </w:rPr>
        <w:t>6</w:t>
      </w:r>
      <w:r w:rsidRPr="00953692">
        <w:rPr>
          <w:rFonts w:cs="Times New Roman"/>
          <w:b/>
          <w:bCs/>
          <w:sz w:val="24"/>
          <w:szCs w:val="24"/>
          <w:lang w:val="fr-FR"/>
        </w:rPr>
        <w:t>.</w:t>
      </w:r>
      <w:r w:rsidRPr="00953692">
        <w:rPr>
          <w:rFonts w:cs="Times New Roman"/>
          <w:sz w:val="24"/>
          <w:szCs w:val="24"/>
          <w:lang w:val="fr-FR"/>
        </w:rPr>
        <w:t xml:space="preserve"> </w:t>
      </w:r>
      <w:r w:rsidR="0076405D" w:rsidRPr="00953692">
        <w:rPr>
          <w:rFonts w:cs="Times New Roman"/>
          <w:sz w:val="24"/>
          <w:szCs w:val="24"/>
          <w:lang w:val="fr-FR"/>
        </w:rPr>
        <w:t xml:space="preserve">Au cas où il décide de faire droit à la requête du procureur, le juge rend une ordonnance de transfert et de détention. La détention provisoire, à compter du lendemain du transfert du suspect au centre de détention du Tribunal, ne saurait être supérieure à 30 jours. Il peut s’agir </w:t>
      </w:r>
      <w:r w:rsidR="001B4C79" w:rsidRPr="00953692">
        <w:rPr>
          <w:rFonts w:cs="Times New Roman"/>
          <w:sz w:val="24"/>
          <w:szCs w:val="24"/>
          <w:lang w:val="fr-FR"/>
        </w:rPr>
        <w:t>d’</w:t>
      </w:r>
      <w:r w:rsidR="0076405D" w:rsidRPr="00953692">
        <w:rPr>
          <w:rFonts w:cs="Times New Roman"/>
          <w:sz w:val="24"/>
          <w:szCs w:val="24"/>
          <w:lang w:val="fr-FR"/>
        </w:rPr>
        <w:t xml:space="preserve">une détention de quelques jours ou semaines que le juge prendra </w:t>
      </w:r>
      <w:r w:rsidR="00AD7116" w:rsidRPr="00953692">
        <w:rPr>
          <w:rFonts w:cs="Times New Roman"/>
          <w:sz w:val="24"/>
          <w:szCs w:val="24"/>
          <w:lang w:val="fr-FR"/>
        </w:rPr>
        <w:t>évidemment</w:t>
      </w:r>
      <w:r w:rsidR="0076405D" w:rsidRPr="00953692">
        <w:rPr>
          <w:rFonts w:cs="Times New Roman"/>
          <w:sz w:val="24"/>
          <w:szCs w:val="24"/>
          <w:lang w:val="fr-FR"/>
        </w:rPr>
        <w:t xml:space="preserve"> le soin d’en préciser</w:t>
      </w:r>
      <w:r w:rsidR="00AD7116" w:rsidRPr="00953692">
        <w:rPr>
          <w:rFonts w:cs="Times New Roman"/>
          <w:sz w:val="24"/>
          <w:szCs w:val="24"/>
          <w:lang w:val="fr-FR"/>
        </w:rPr>
        <w:t xml:space="preserve"> dans son ordonnance</w:t>
      </w:r>
      <w:r w:rsidR="0076405D" w:rsidRPr="00953692">
        <w:rPr>
          <w:rFonts w:cs="Times New Roman"/>
          <w:sz w:val="24"/>
          <w:szCs w:val="24"/>
          <w:lang w:val="fr-FR"/>
        </w:rPr>
        <w:t>. Dès son transfert au centre de détention du tribunal, le point D de l’article 40 du RPP précise clairement que le suspect peut demander sa libération</w:t>
      </w:r>
      <w:r w:rsidR="001B4C79" w:rsidRPr="00953692">
        <w:rPr>
          <w:rFonts w:cs="Times New Roman"/>
          <w:sz w:val="24"/>
          <w:szCs w:val="24"/>
          <w:lang w:val="fr-FR"/>
        </w:rPr>
        <w:t xml:space="preserve"> provisoire</w:t>
      </w:r>
      <w:r w:rsidR="0076405D" w:rsidRPr="00953692">
        <w:rPr>
          <w:rFonts w:cs="Times New Roman"/>
          <w:sz w:val="24"/>
          <w:szCs w:val="24"/>
          <w:lang w:val="fr-FR"/>
        </w:rPr>
        <w:t xml:space="preserve"> à la Chambre de première instance, qui peut la lui accorder. Au cas contraire, il est remis en liberté </w:t>
      </w:r>
      <w:r w:rsidR="0076405D" w:rsidRPr="00953692">
        <w:rPr>
          <w:rFonts w:cs="Times New Roman"/>
          <w:i/>
          <w:iCs/>
          <w:sz w:val="24"/>
          <w:szCs w:val="24"/>
          <w:lang w:val="fr-FR"/>
        </w:rPr>
        <w:t>ipso facto</w:t>
      </w:r>
      <w:r w:rsidR="0076405D" w:rsidRPr="00953692">
        <w:rPr>
          <w:rFonts w:cs="Times New Roman"/>
          <w:sz w:val="24"/>
          <w:szCs w:val="24"/>
          <w:lang w:val="fr-FR"/>
        </w:rPr>
        <w:t xml:space="preserve"> dans un délai de 20 jours</w:t>
      </w:r>
      <w:r w:rsidR="001B4C79" w:rsidRPr="00953692">
        <w:rPr>
          <w:rFonts w:cs="Times New Roman"/>
          <w:sz w:val="24"/>
          <w:szCs w:val="24"/>
          <w:lang w:val="fr-FR"/>
        </w:rPr>
        <w:t xml:space="preserve">, à compter du transfert, si le </w:t>
      </w:r>
      <w:r w:rsidR="0076405D" w:rsidRPr="00953692">
        <w:rPr>
          <w:rFonts w:cs="Times New Roman"/>
          <w:sz w:val="24"/>
          <w:szCs w:val="24"/>
          <w:lang w:val="fr-FR"/>
        </w:rPr>
        <w:t>procureur ne soumet pas un acte d’accusation</w:t>
      </w:r>
      <w:r w:rsidR="00AD7116" w:rsidRPr="00953692">
        <w:rPr>
          <w:rFonts w:cs="Times New Roman"/>
          <w:sz w:val="24"/>
          <w:szCs w:val="24"/>
          <w:lang w:val="fr-FR"/>
        </w:rPr>
        <w:t xml:space="preserve"> (dans ce délai)</w:t>
      </w:r>
      <w:r w:rsidR="0076405D" w:rsidRPr="00953692">
        <w:rPr>
          <w:rFonts w:cs="Times New Roman"/>
          <w:sz w:val="24"/>
          <w:szCs w:val="24"/>
          <w:lang w:val="fr-FR"/>
        </w:rPr>
        <w:t>.</w:t>
      </w:r>
      <w:r w:rsidR="00B945C1" w:rsidRPr="00953692">
        <w:rPr>
          <w:rFonts w:cs="Times New Roman"/>
          <w:sz w:val="24"/>
          <w:szCs w:val="24"/>
          <w:lang w:val="fr-FR"/>
        </w:rPr>
        <w:t xml:space="preserve"> On voit ici que le Procureur </w:t>
      </w:r>
      <w:r w:rsidR="004F58D1" w:rsidRPr="00953692">
        <w:rPr>
          <w:rFonts w:cs="Times New Roman"/>
          <w:sz w:val="24"/>
          <w:szCs w:val="24"/>
          <w:lang w:val="fr-FR"/>
        </w:rPr>
        <w:t>n’</w:t>
      </w:r>
      <w:r w:rsidR="00B945C1" w:rsidRPr="00953692">
        <w:rPr>
          <w:rFonts w:cs="Times New Roman"/>
          <w:sz w:val="24"/>
          <w:szCs w:val="24"/>
          <w:lang w:val="fr-FR"/>
        </w:rPr>
        <w:t>a</w:t>
      </w:r>
      <w:r w:rsidR="004F58D1" w:rsidRPr="00953692">
        <w:rPr>
          <w:rFonts w:cs="Times New Roman"/>
          <w:sz w:val="24"/>
          <w:szCs w:val="24"/>
          <w:lang w:val="fr-FR"/>
        </w:rPr>
        <w:t>urait</w:t>
      </w:r>
      <w:r w:rsidR="00B945C1" w:rsidRPr="00953692">
        <w:rPr>
          <w:rFonts w:cs="Times New Roman"/>
          <w:sz w:val="24"/>
          <w:szCs w:val="24"/>
          <w:lang w:val="fr-FR"/>
        </w:rPr>
        <w:t xml:space="preserve"> </w:t>
      </w:r>
      <w:r w:rsidR="004F58D1" w:rsidRPr="00953692">
        <w:rPr>
          <w:rFonts w:cs="Times New Roman"/>
          <w:sz w:val="24"/>
          <w:szCs w:val="24"/>
          <w:lang w:val="fr-FR"/>
        </w:rPr>
        <w:t>qu’</w:t>
      </w:r>
      <w:r w:rsidR="00B945C1" w:rsidRPr="00953692">
        <w:rPr>
          <w:rFonts w:cs="Times New Roman"/>
          <w:sz w:val="24"/>
          <w:szCs w:val="24"/>
          <w:lang w:val="fr-FR"/>
        </w:rPr>
        <w:t xml:space="preserve">un temps </w:t>
      </w:r>
      <w:r w:rsidR="004F58D1" w:rsidRPr="00953692">
        <w:rPr>
          <w:rFonts w:cs="Times New Roman"/>
          <w:sz w:val="24"/>
          <w:szCs w:val="24"/>
          <w:lang w:val="fr-FR"/>
        </w:rPr>
        <w:t xml:space="preserve">très </w:t>
      </w:r>
      <w:r w:rsidR="00B945C1" w:rsidRPr="00953692">
        <w:rPr>
          <w:rFonts w:cs="Times New Roman"/>
          <w:sz w:val="24"/>
          <w:szCs w:val="24"/>
          <w:lang w:val="fr-FR"/>
        </w:rPr>
        <w:t>limité pour établir un acte d’accusation</w:t>
      </w:r>
      <w:r w:rsidR="00AD7116" w:rsidRPr="00953692">
        <w:rPr>
          <w:rFonts w:cs="Times New Roman"/>
          <w:sz w:val="24"/>
          <w:szCs w:val="24"/>
          <w:lang w:val="fr-FR"/>
        </w:rPr>
        <w:t>, c’est-à-dire, enclencher le processus judiciaire de changement de statut de la personne mise en cause</w:t>
      </w:r>
      <w:r w:rsidR="00B945C1" w:rsidRPr="00953692">
        <w:rPr>
          <w:rFonts w:cs="Times New Roman"/>
          <w:sz w:val="24"/>
          <w:szCs w:val="24"/>
          <w:lang w:val="fr-FR"/>
        </w:rPr>
        <w:t xml:space="preserve">. </w:t>
      </w:r>
    </w:p>
    <w:p w14:paraId="6DF4A70E" w14:textId="57B9C030" w:rsidR="007443FC" w:rsidRPr="00953692" w:rsidRDefault="007443FC" w:rsidP="00F1003E">
      <w:pPr>
        <w:spacing w:after="0" w:line="276" w:lineRule="auto"/>
        <w:ind w:firstLine="1134"/>
        <w:jc w:val="both"/>
        <w:rPr>
          <w:rFonts w:cs="Times New Roman"/>
          <w:sz w:val="24"/>
          <w:szCs w:val="24"/>
          <w:lang w:val="fr-FR"/>
        </w:rPr>
      </w:pPr>
      <w:r w:rsidRPr="00953692">
        <w:rPr>
          <w:b/>
          <w:bCs/>
          <w:sz w:val="24"/>
          <w:szCs w:val="24"/>
          <w:lang w:val="fr-FR"/>
        </w:rPr>
        <w:t>1</w:t>
      </w:r>
      <w:r w:rsidR="00F1003E" w:rsidRPr="00953692">
        <w:rPr>
          <w:b/>
          <w:bCs/>
          <w:sz w:val="24"/>
          <w:szCs w:val="24"/>
          <w:lang w:val="fr-FR"/>
        </w:rPr>
        <w:t>67</w:t>
      </w:r>
      <w:r w:rsidRPr="00953692">
        <w:rPr>
          <w:b/>
          <w:bCs/>
          <w:sz w:val="24"/>
          <w:szCs w:val="24"/>
          <w:lang w:val="fr-FR"/>
        </w:rPr>
        <w:t>.</w:t>
      </w:r>
      <w:r w:rsidRPr="00953692">
        <w:rPr>
          <w:sz w:val="24"/>
          <w:szCs w:val="24"/>
          <w:lang w:val="fr-FR"/>
        </w:rPr>
        <w:t xml:space="preserve"> </w:t>
      </w:r>
      <w:r w:rsidR="0076405D" w:rsidRPr="00953692">
        <w:rPr>
          <w:sz w:val="24"/>
          <w:szCs w:val="24"/>
          <w:lang w:val="fr-FR"/>
        </w:rPr>
        <w:t>Le procureur</w:t>
      </w:r>
      <w:r w:rsidRPr="00953692">
        <w:rPr>
          <w:sz w:val="24"/>
          <w:szCs w:val="24"/>
          <w:lang w:val="fr-FR"/>
        </w:rPr>
        <w:t>,</w:t>
      </w:r>
      <w:r w:rsidR="0076405D" w:rsidRPr="00953692">
        <w:rPr>
          <w:sz w:val="24"/>
          <w:szCs w:val="24"/>
          <w:lang w:val="fr-FR"/>
        </w:rPr>
        <w:t xml:space="preserve"> comme d’habitude</w:t>
      </w:r>
      <w:r w:rsidRPr="00953692">
        <w:rPr>
          <w:sz w:val="24"/>
          <w:szCs w:val="24"/>
          <w:lang w:val="fr-FR"/>
        </w:rPr>
        <w:t>,</w:t>
      </w:r>
      <w:r w:rsidR="0076405D" w:rsidRPr="00953692">
        <w:rPr>
          <w:sz w:val="24"/>
          <w:szCs w:val="24"/>
          <w:lang w:val="fr-FR"/>
        </w:rPr>
        <w:t xml:space="preserve"> peut, dans le premier cas, s’opposer à la libération provisoire du suspect. Dans le second cas, c’est-à-dire, s’il n’est pas en mesure de soumettre un acte d’accusation dans le délai prévu, </w:t>
      </w:r>
      <w:r w:rsidRPr="00953692">
        <w:rPr>
          <w:sz w:val="24"/>
          <w:szCs w:val="24"/>
          <w:lang w:val="fr-FR"/>
        </w:rPr>
        <w:t>il</w:t>
      </w:r>
      <w:r w:rsidR="0076405D" w:rsidRPr="00953692">
        <w:rPr>
          <w:sz w:val="24"/>
          <w:szCs w:val="24"/>
          <w:lang w:val="fr-FR"/>
        </w:rPr>
        <w:t xml:space="preserve"> peut recourir à l’article 40bis afin de solliciter une prolongation de la détention provisoire. </w:t>
      </w:r>
      <w:r w:rsidR="0076405D" w:rsidRPr="00953692">
        <w:rPr>
          <w:rFonts w:cs="Times New Roman"/>
          <w:sz w:val="24"/>
          <w:szCs w:val="24"/>
          <w:lang w:val="fr-FR"/>
        </w:rPr>
        <w:t xml:space="preserve">La décision du maintien en détention à l’expiration du délai initial est prise par le même juge ou un autre appartenant à la même Chambre à la demande motivée du </w:t>
      </w:r>
      <w:r w:rsidR="00AD7116" w:rsidRPr="00953692">
        <w:rPr>
          <w:rFonts w:cs="Times New Roman"/>
          <w:sz w:val="24"/>
          <w:szCs w:val="24"/>
          <w:lang w:val="fr-FR"/>
        </w:rPr>
        <w:t>P</w:t>
      </w:r>
      <w:r w:rsidR="0076405D" w:rsidRPr="00953692">
        <w:rPr>
          <w:rFonts w:cs="Times New Roman"/>
          <w:sz w:val="24"/>
          <w:szCs w:val="24"/>
          <w:lang w:val="fr-FR"/>
        </w:rPr>
        <w:t>rocureur.</w:t>
      </w:r>
      <w:r w:rsidR="00F1003E" w:rsidRPr="00953692">
        <w:rPr>
          <w:rFonts w:cs="Times New Roman"/>
          <w:sz w:val="24"/>
          <w:szCs w:val="24"/>
          <w:lang w:val="fr-FR"/>
        </w:rPr>
        <w:t xml:space="preserve"> </w:t>
      </w:r>
      <w:r w:rsidR="00585C8F" w:rsidRPr="00953692">
        <w:rPr>
          <w:rStyle w:val="grammar"/>
          <w:rFonts w:cs="Times New Roman"/>
          <w:sz w:val="24"/>
          <w:szCs w:val="24"/>
          <w:lang w:val="fr-FR"/>
        </w:rPr>
        <w:t>À</w:t>
      </w:r>
      <w:r w:rsidR="0076405D" w:rsidRPr="00953692">
        <w:rPr>
          <w:rFonts w:cs="Times New Roman"/>
          <w:sz w:val="24"/>
          <w:szCs w:val="24"/>
          <w:lang w:val="fr-FR"/>
        </w:rPr>
        <w:t xml:space="preserve"> la suite d’un débat contradictoire, la détention provisoire peut être prolongée pour une durée n’excédant pas 30 jours. Dans les mêmes conditions de fond et de forme, la détention peut à nouveau être prolongée. Ainsi, le point H de l’article sous </w:t>
      </w:r>
      <w:r w:rsidR="00585C8F" w:rsidRPr="00953692">
        <w:rPr>
          <w:rFonts w:cs="Times New Roman"/>
          <w:sz w:val="24"/>
          <w:szCs w:val="24"/>
          <w:lang w:val="fr-FR"/>
        </w:rPr>
        <w:t>examen</w:t>
      </w:r>
      <w:r w:rsidR="0076405D" w:rsidRPr="00953692">
        <w:rPr>
          <w:rFonts w:cs="Times New Roman"/>
          <w:sz w:val="24"/>
          <w:szCs w:val="24"/>
          <w:lang w:val="fr-FR"/>
        </w:rPr>
        <w:t xml:space="preserve"> conclut clairement que la détention provisoire du suspect ne peut en aucun cas excéder un délai de 90 jours</w:t>
      </w:r>
      <w:r w:rsidRPr="00953692">
        <w:rPr>
          <w:rFonts w:cs="Times New Roman"/>
          <w:sz w:val="24"/>
          <w:szCs w:val="24"/>
          <w:lang w:val="fr-FR"/>
        </w:rPr>
        <w:t>,</w:t>
      </w:r>
      <w:r w:rsidR="0076405D" w:rsidRPr="00953692">
        <w:rPr>
          <w:rFonts w:cs="Times New Roman"/>
          <w:sz w:val="24"/>
          <w:szCs w:val="24"/>
          <w:lang w:val="fr-FR"/>
        </w:rPr>
        <w:t xml:space="preserve"> à compter du lendemain du transfert au centre de détention du Tribunal.</w:t>
      </w:r>
      <w:r w:rsidR="00AE1659" w:rsidRPr="00953692">
        <w:rPr>
          <w:rFonts w:cs="Times New Roman"/>
          <w:sz w:val="24"/>
          <w:szCs w:val="24"/>
          <w:lang w:val="fr-FR"/>
        </w:rPr>
        <w:t xml:space="preserve"> Cette disposition est littéralement reprise par l’article 63 D du RPP du TSL.</w:t>
      </w:r>
    </w:p>
    <w:p w14:paraId="7CA0158A" w14:textId="17166CD6" w:rsidR="0076405D" w:rsidRPr="00953692" w:rsidRDefault="007443FC"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w:t>
      </w:r>
      <w:r w:rsidR="00F1003E" w:rsidRPr="00953692">
        <w:rPr>
          <w:rFonts w:cs="Times New Roman"/>
          <w:b/>
          <w:bCs/>
          <w:sz w:val="24"/>
          <w:szCs w:val="24"/>
          <w:lang w:val="fr-FR"/>
        </w:rPr>
        <w:t>68</w:t>
      </w:r>
      <w:r w:rsidRPr="00953692">
        <w:rPr>
          <w:rFonts w:cs="Times New Roman"/>
          <w:b/>
          <w:bCs/>
          <w:sz w:val="24"/>
          <w:szCs w:val="24"/>
          <w:lang w:val="fr-FR"/>
        </w:rPr>
        <w:t>.</w:t>
      </w:r>
      <w:r w:rsidRPr="00953692">
        <w:rPr>
          <w:rFonts w:cs="Times New Roman"/>
          <w:sz w:val="24"/>
          <w:szCs w:val="24"/>
          <w:lang w:val="fr-FR"/>
        </w:rPr>
        <w:t xml:space="preserve"> </w:t>
      </w:r>
      <w:r w:rsidR="00AE1659" w:rsidRPr="00953692">
        <w:rPr>
          <w:rFonts w:cs="Times New Roman"/>
          <w:sz w:val="24"/>
          <w:szCs w:val="24"/>
          <w:lang w:val="fr-FR"/>
        </w:rPr>
        <w:t>Dans tous les cas, c</w:t>
      </w:r>
      <w:r w:rsidR="0076405D" w:rsidRPr="00953692">
        <w:rPr>
          <w:rFonts w:cs="Times New Roman"/>
          <w:sz w:val="24"/>
          <w:szCs w:val="24"/>
          <w:lang w:val="fr-FR"/>
        </w:rPr>
        <w:t>e délai de 90 jours</w:t>
      </w:r>
      <w:r w:rsidR="00B42D5E" w:rsidRPr="00953692">
        <w:rPr>
          <w:rFonts w:cs="Times New Roman"/>
          <w:sz w:val="24"/>
          <w:szCs w:val="24"/>
          <w:lang w:val="fr-FR"/>
        </w:rPr>
        <w:t>,</w:t>
      </w:r>
      <w:r w:rsidR="0076405D" w:rsidRPr="00953692">
        <w:rPr>
          <w:rFonts w:cs="Times New Roman"/>
          <w:sz w:val="24"/>
          <w:szCs w:val="24"/>
          <w:lang w:val="fr-FR"/>
        </w:rPr>
        <w:t xml:space="preserve"> tout comme la décision de détention elle-même</w:t>
      </w:r>
      <w:r w:rsidR="00B42D5E" w:rsidRPr="00953692">
        <w:rPr>
          <w:rFonts w:cs="Times New Roman"/>
          <w:sz w:val="24"/>
          <w:szCs w:val="24"/>
          <w:lang w:val="fr-FR"/>
        </w:rPr>
        <w:t>,</w:t>
      </w:r>
      <w:r w:rsidR="0076405D" w:rsidRPr="00953692">
        <w:rPr>
          <w:rFonts w:cs="Times New Roman"/>
          <w:sz w:val="24"/>
          <w:szCs w:val="24"/>
          <w:lang w:val="fr-FR"/>
        </w:rPr>
        <w:t xml:space="preserve"> trouve son fondement dans la nécessité d’une enquête qui devrait aboutir à une mise en accusation du suspect. C’est ainsi qu’endéans ce délai, le procureur devra non seulement établir et soumettre un acte d’accusation</w:t>
      </w:r>
      <w:r w:rsidR="00AD7116" w:rsidRPr="00953692">
        <w:rPr>
          <w:rFonts w:cs="Times New Roman"/>
          <w:sz w:val="24"/>
          <w:szCs w:val="24"/>
          <w:lang w:val="fr-FR"/>
        </w:rPr>
        <w:t xml:space="preserve"> à l’organe juridictionnel</w:t>
      </w:r>
      <w:r w:rsidR="0076405D" w:rsidRPr="00953692">
        <w:rPr>
          <w:rFonts w:cs="Times New Roman"/>
          <w:sz w:val="24"/>
          <w:szCs w:val="24"/>
          <w:lang w:val="fr-FR"/>
        </w:rPr>
        <w:t xml:space="preserve">, mais en plus </w:t>
      </w:r>
      <w:r w:rsidRPr="00953692">
        <w:rPr>
          <w:rFonts w:cs="Times New Roman"/>
          <w:sz w:val="24"/>
          <w:szCs w:val="24"/>
          <w:lang w:val="fr-FR"/>
        </w:rPr>
        <w:t xml:space="preserve">en </w:t>
      </w:r>
      <w:r w:rsidR="0076405D" w:rsidRPr="00953692">
        <w:rPr>
          <w:rFonts w:cs="Times New Roman"/>
          <w:sz w:val="24"/>
          <w:szCs w:val="24"/>
          <w:lang w:val="fr-FR"/>
        </w:rPr>
        <w:t xml:space="preserve">obtenir confirmation. Si tel n’est pas le cas, </w:t>
      </w:r>
      <w:r w:rsidR="0076405D" w:rsidRPr="00953692">
        <w:rPr>
          <w:rFonts w:cs="Times New Roman"/>
          <w:i/>
          <w:iCs/>
          <w:sz w:val="24"/>
          <w:szCs w:val="24"/>
          <w:lang w:val="fr-FR"/>
        </w:rPr>
        <w:t>le suspect est remis en liberté ou, le cas échéant, remis aux autorités nationales de l’Etat initialement requis</w:t>
      </w:r>
      <w:r w:rsidR="0076405D" w:rsidRPr="00953692">
        <w:rPr>
          <w:rFonts w:cs="Times New Roman"/>
          <w:sz w:val="24"/>
          <w:szCs w:val="24"/>
          <w:lang w:val="fr-FR"/>
        </w:rPr>
        <w:t>. Ainsi, ces dispositions forment pour le procureur une obligation d’agir dans un délai</w:t>
      </w:r>
      <w:r w:rsidRPr="00953692">
        <w:rPr>
          <w:rFonts w:cs="Times New Roman"/>
          <w:sz w:val="24"/>
          <w:szCs w:val="24"/>
          <w:lang w:val="fr-FR"/>
        </w:rPr>
        <w:t>,</w:t>
      </w:r>
      <w:r w:rsidR="0076405D" w:rsidRPr="00953692">
        <w:rPr>
          <w:rFonts w:cs="Times New Roman"/>
          <w:sz w:val="24"/>
          <w:szCs w:val="24"/>
          <w:lang w:val="fr-FR"/>
        </w:rPr>
        <w:t xml:space="preserve"> </w:t>
      </w:r>
      <w:r w:rsidR="0076405D" w:rsidRPr="00953692">
        <w:rPr>
          <w:rFonts w:cs="Times New Roman"/>
          <w:i/>
          <w:iCs/>
          <w:sz w:val="24"/>
          <w:szCs w:val="24"/>
          <w:lang w:val="fr-FR"/>
        </w:rPr>
        <w:t>expressis verbis</w:t>
      </w:r>
      <w:r w:rsidRPr="00953692">
        <w:rPr>
          <w:rFonts w:cs="Times New Roman"/>
          <w:sz w:val="24"/>
          <w:szCs w:val="24"/>
          <w:lang w:val="fr-FR"/>
        </w:rPr>
        <w:t>,</w:t>
      </w:r>
      <w:r w:rsidR="0076405D" w:rsidRPr="00953692">
        <w:rPr>
          <w:rFonts w:cs="Times New Roman"/>
          <w:sz w:val="24"/>
          <w:szCs w:val="24"/>
          <w:lang w:val="fr-FR"/>
        </w:rPr>
        <w:t xml:space="preserve"> déterminé, et inversement un droit pour le suspect d’être inculpé dans un laps de temps fixé. On perçoit à cet égard la portée strictement limitée d’un tel droit, tendant à protéger le suspect d’une </w:t>
      </w:r>
      <w:r w:rsidR="00B42D5E" w:rsidRPr="00953692">
        <w:rPr>
          <w:rFonts w:cs="Times New Roman"/>
          <w:sz w:val="24"/>
          <w:szCs w:val="24"/>
          <w:lang w:val="fr-FR"/>
        </w:rPr>
        <w:t xml:space="preserve">longue </w:t>
      </w:r>
      <w:r w:rsidR="0076405D" w:rsidRPr="00953692">
        <w:rPr>
          <w:rFonts w:cs="Times New Roman"/>
          <w:sz w:val="24"/>
          <w:szCs w:val="24"/>
          <w:lang w:val="fr-FR"/>
        </w:rPr>
        <w:t>détention</w:t>
      </w:r>
      <w:r w:rsidR="00442CF9" w:rsidRPr="00953692">
        <w:rPr>
          <w:rFonts w:cs="Times New Roman"/>
          <w:sz w:val="24"/>
          <w:szCs w:val="24"/>
          <w:lang w:val="fr-FR"/>
        </w:rPr>
        <w:t>,</w:t>
      </w:r>
      <w:r w:rsidR="0076405D" w:rsidRPr="00953692">
        <w:rPr>
          <w:rFonts w:cs="Times New Roman"/>
          <w:sz w:val="24"/>
          <w:szCs w:val="24"/>
          <w:lang w:val="fr-FR"/>
        </w:rPr>
        <w:t xml:space="preserve"> alors que le procureur n’est pas depuis un certain temps prêt à boucler son enquête ou à prendre des conclusions </w:t>
      </w:r>
      <w:r w:rsidR="00442CF9" w:rsidRPr="00953692">
        <w:rPr>
          <w:rFonts w:cs="Times New Roman"/>
          <w:sz w:val="24"/>
          <w:szCs w:val="24"/>
          <w:lang w:val="fr-FR"/>
        </w:rPr>
        <w:t>allant dans le sens d’</w:t>
      </w:r>
      <w:r w:rsidR="0076405D" w:rsidRPr="00953692">
        <w:rPr>
          <w:rFonts w:cs="Times New Roman"/>
          <w:sz w:val="24"/>
          <w:szCs w:val="24"/>
          <w:lang w:val="fr-FR"/>
        </w:rPr>
        <w:t>une inculpation</w:t>
      </w:r>
      <w:r w:rsidR="00442CF9" w:rsidRPr="00953692">
        <w:rPr>
          <w:rFonts w:cs="Times New Roman"/>
          <w:sz w:val="24"/>
          <w:szCs w:val="24"/>
          <w:lang w:val="fr-FR"/>
        </w:rPr>
        <w:t>.</w:t>
      </w:r>
    </w:p>
    <w:p w14:paraId="2A4E0960" w14:textId="6A4D30C5" w:rsidR="00F6593E" w:rsidRPr="00953692" w:rsidRDefault="00442CF9"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w:t>
      </w:r>
      <w:r w:rsidR="00F1003E" w:rsidRPr="00953692">
        <w:rPr>
          <w:rFonts w:cs="Times New Roman"/>
          <w:b/>
          <w:bCs/>
          <w:sz w:val="24"/>
          <w:szCs w:val="24"/>
          <w:lang w:val="fr-FR"/>
        </w:rPr>
        <w:t>69</w:t>
      </w:r>
      <w:r w:rsidRPr="00953692">
        <w:rPr>
          <w:rFonts w:cs="Times New Roman"/>
          <w:b/>
          <w:bCs/>
          <w:sz w:val="24"/>
          <w:szCs w:val="24"/>
          <w:lang w:val="fr-FR"/>
        </w:rPr>
        <w:t>.</w:t>
      </w:r>
      <w:r w:rsidRPr="00953692">
        <w:rPr>
          <w:rFonts w:cs="Times New Roman"/>
          <w:sz w:val="24"/>
          <w:szCs w:val="24"/>
          <w:lang w:val="fr-FR"/>
        </w:rPr>
        <w:t xml:space="preserve"> </w:t>
      </w:r>
      <w:r w:rsidR="0076405D" w:rsidRPr="00953692">
        <w:rPr>
          <w:rFonts w:cs="Times New Roman"/>
          <w:sz w:val="24"/>
          <w:szCs w:val="24"/>
          <w:lang w:val="fr-FR"/>
        </w:rPr>
        <w:t xml:space="preserve">Dans sa décision du 3 novembre 1999, la Chambre d’appel du TPIR dans l’affaire Barayagwiza l’a abordé d’une manière quelque peu inaugurale. Puisqu’elle abordait la question pour la première fois et dans son intitulation, elle a bien précisé qu’il s’agissait du droit d’être inculpé dans le délai. En fait, la Chambre reprochait au Procureur </w:t>
      </w:r>
      <w:r w:rsidR="0076405D" w:rsidRPr="00953692">
        <w:rPr>
          <w:rFonts w:cs="Times New Roman"/>
          <w:sz w:val="24"/>
          <w:szCs w:val="24"/>
          <w:lang w:val="fr-FR"/>
        </w:rPr>
        <w:lastRenderedPageBreak/>
        <w:t>à la fois la violation de ces deux articles qu’elle a d’ailleurs estimé</w:t>
      </w:r>
      <w:r w:rsidR="00AD7116" w:rsidRPr="00953692">
        <w:rPr>
          <w:rFonts w:cs="Times New Roman"/>
          <w:sz w:val="24"/>
          <w:szCs w:val="24"/>
          <w:lang w:val="fr-FR"/>
        </w:rPr>
        <w:t>s</w:t>
      </w:r>
      <w:r w:rsidR="0076405D" w:rsidRPr="00953692">
        <w:rPr>
          <w:rFonts w:cs="Times New Roman"/>
          <w:sz w:val="24"/>
          <w:szCs w:val="24"/>
          <w:lang w:val="fr-FR"/>
        </w:rPr>
        <w:t xml:space="preserve"> être indissociables</w:t>
      </w:r>
      <w:r w:rsidR="004F58D1" w:rsidRPr="00953692">
        <w:rPr>
          <w:rStyle w:val="Appelnotedebasdep"/>
          <w:rFonts w:cs="Times New Roman"/>
          <w:sz w:val="24"/>
          <w:szCs w:val="24"/>
          <w:lang w:val="fr-FR"/>
        </w:rPr>
        <w:footnoteReference w:customMarkFollows="1" w:id="133"/>
        <w:t>111</w:t>
      </w:r>
      <w:r w:rsidR="0076405D" w:rsidRPr="00953692">
        <w:rPr>
          <w:rFonts w:cs="Times New Roman"/>
          <w:sz w:val="24"/>
          <w:szCs w:val="24"/>
          <w:lang w:val="fr-FR"/>
        </w:rPr>
        <w:t>. En ce qui concerne l’article 40, il lui a été reproché le fait d’avoir sollicit</w:t>
      </w:r>
      <w:r w:rsidR="006C498A" w:rsidRPr="00953692">
        <w:rPr>
          <w:rFonts w:cs="Times New Roman"/>
          <w:sz w:val="24"/>
          <w:szCs w:val="24"/>
          <w:lang w:val="fr-FR"/>
        </w:rPr>
        <w:t>é</w:t>
      </w:r>
      <w:r w:rsidR="0076405D" w:rsidRPr="00953692">
        <w:rPr>
          <w:rFonts w:cs="Times New Roman"/>
          <w:sz w:val="24"/>
          <w:szCs w:val="24"/>
          <w:lang w:val="fr-FR"/>
        </w:rPr>
        <w:t xml:space="preserve"> la détention du suspect sans soumettre un acte d’accusation en son encontre dans un délai de 20 jours, alors que ce dernier y est demeuré durant une période de 29 jours, soit du 17 avril au 16 mai 1996</w:t>
      </w:r>
      <w:r w:rsidR="004F58D1" w:rsidRPr="00953692">
        <w:rPr>
          <w:rStyle w:val="Appelnotedebasdep"/>
          <w:rFonts w:cs="Times New Roman"/>
          <w:sz w:val="24"/>
          <w:szCs w:val="24"/>
          <w:lang w:val="fr-FR"/>
        </w:rPr>
        <w:footnoteReference w:customMarkFollows="1" w:id="134"/>
        <w:t>112</w:t>
      </w:r>
      <w:r w:rsidR="0076405D" w:rsidRPr="00953692">
        <w:rPr>
          <w:rFonts w:cs="Times New Roman"/>
          <w:sz w:val="24"/>
          <w:szCs w:val="24"/>
          <w:lang w:val="fr-FR"/>
        </w:rPr>
        <w:t>.</w:t>
      </w:r>
    </w:p>
    <w:p w14:paraId="24674D64" w14:textId="08EC8C8A" w:rsidR="0076405D" w:rsidRPr="00953692" w:rsidRDefault="00F1003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170.</w:t>
      </w:r>
      <w:r w:rsidRPr="00953692">
        <w:rPr>
          <w:rFonts w:cs="Times New Roman"/>
          <w:sz w:val="24"/>
          <w:szCs w:val="24"/>
          <w:lang w:val="fr-FR"/>
        </w:rPr>
        <w:t xml:space="preserve"> </w:t>
      </w:r>
      <w:r w:rsidR="0076405D" w:rsidRPr="00953692">
        <w:rPr>
          <w:rFonts w:cs="Times New Roman"/>
          <w:sz w:val="24"/>
          <w:szCs w:val="24"/>
          <w:lang w:val="fr-FR"/>
        </w:rPr>
        <w:t xml:space="preserve">S’agissant de l’article 40bis, la Chambre a remarqué que le </w:t>
      </w:r>
      <w:r w:rsidR="00AD7116" w:rsidRPr="00953692">
        <w:rPr>
          <w:rFonts w:cs="Times New Roman"/>
          <w:sz w:val="24"/>
          <w:szCs w:val="24"/>
          <w:lang w:val="fr-FR"/>
        </w:rPr>
        <w:t>P</w:t>
      </w:r>
      <w:r w:rsidR="0076405D" w:rsidRPr="00953692">
        <w:rPr>
          <w:rFonts w:cs="Times New Roman"/>
          <w:sz w:val="24"/>
          <w:szCs w:val="24"/>
          <w:lang w:val="fr-FR"/>
        </w:rPr>
        <w:t>rocureur avait bien recouru à cette disposition dans une requête datée du 3 mars 1997</w:t>
      </w:r>
      <w:r w:rsidR="0012501D" w:rsidRPr="00953692">
        <w:rPr>
          <w:rFonts w:cs="Times New Roman"/>
          <w:sz w:val="24"/>
          <w:szCs w:val="24"/>
          <w:lang w:val="fr-FR"/>
        </w:rPr>
        <w:t>,</w:t>
      </w:r>
      <w:r w:rsidR="0076405D" w:rsidRPr="00953692">
        <w:rPr>
          <w:rFonts w:cs="Times New Roman"/>
          <w:sz w:val="24"/>
          <w:szCs w:val="24"/>
          <w:lang w:val="fr-FR"/>
        </w:rPr>
        <w:t xml:space="preserve"> en vue de transférer le suspect au siège du Tribunal. Un juge de la Chambre de première instance en a fait droit, précisément le 4 mars 1997</w:t>
      </w:r>
      <w:r w:rsidR="00AD7116" w:rsidRPr="00953692">
        <w:rPr>
          <w:rFonts w:cs="Times New Roman"/>
          <w:sz w:val="24"/>
          <w:szCs w:val="24"/>
          <w:lang w:val="fr-FR"/>
        </w:rPr>
        <w:t>,</w:t>
      </w:r>
      <w:r w:rsidR="0076405D" w:rsidRPr="00953692">
        <w:rPr>
          <w:rFonts w:cs="Times New Roman"/>
          <w:sz w:val="24"/>
          <w:szCs w:val="24"/>
          <w:lang w:val="fr-FR"/>
        </w:rPr>
        <w:t xml:space="preserve"> à travers une ordonnance dans laquelle il a enjoint au procureur de déposer un acte d’accusation dans un délai de 30 jours, étant considéré aussi comme la durée initiale de la détention provisoire</w:t>
      </w:r>
      <w:r w:rsidR="004F58D1" w:rsidRPr="00953692">
        <w:rPr>
          <w:rStyle w:val="Appelnotedebasdep"/>
          <w:rFonts w:cs="Times New Roman"/>
          <w:sz w:val="24"/>
          <w:szCs w:val="24"/>
          <w:lang w:val="fr-FR"/>
        </w:rPr>
        <w:footnoteReference w:customMarkFollows="1" w:id="135"/>
        <w:t>113</w:t>
      </w:r>
      <w:r w:rsidR="0076405D" w:rsidRPr="00953692">
        <w:rPr>
          <w:rFonts w:cs="Times New Roman"/>
          <w:sz w:val="24"/>
          <w:szCs w:val="24"/>
          <w:lang w:val="fr-FR"/>
        </w:rPr>
        <w:t>.</w:t>
      </w:r>
    </w:p>
    <w:p w14:paraId="2A10AB5A" w14:textId="0EDC062D" w:rsidR="0076405D" w:rsidRPr="00953692" w:rsidRDefault="00BD3134"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w:t>
      </w:r>
      <w:r w:rsidR="00F1003E" w:rsidRPr="00953692">
        <w:rPr>
          <w:rFonts w:cs="Times New Roman"/>
          <w:b/>
          <w:bCs/>
          <w:sz w:val="24"/>
          <w:szCs w:val="24"/>
          <w:lang w:val="fr-FR"/>
        </w:rPr>
        <w:t>7</w:t>
      </w:r>
      <w:r w:rsidRPr="00953692">
        <w:rPr>
          <w:rFonts w:cs="Times New Roman"/>
          <w:b/>
          <w:bCs/>
          <w:sz w:val="24"/>
          <w:szCs w:val="24"/>
          <w:lang w:val="fr-FR"/>
        </w:rPr>
        <w:t>1.</w:t>
      </w:r>
      <w:r w:rsidRPr="00953692">
        <w:rPr>
          <w:rFonts w:cs="Times New Roman"/>
          <w:sz w:val="24"/>
          <w:szCs w:val="24"/>
          <w:lang w:val="fr-FR"/>
        </w:rPr>
        <w:t xml:space="preserve"> </w:t>
      </w:r>
      <w:r w:rsidR="0076405D" w:rsidRPr="00953692">
        <w:rPr>
          <w:rFonts w:cs="Times New Roman"/>
          <w:sz w:val="24"/>
          <w:szCs w:val="24"/>
          <w:lang w:val="fr-FR"/>
        </w:rPr>
        <w:t>Cependant, la Chambre d’appel a constaté que non seulement rien n’a été entrepris pour effectuer le transfert du suspect</w:t>
      </w:r>
      <w:r w:rsidR="004F58D1" w:rsidRPr="00953692">
        <w:rPr>
          <w:rStyle w:val="Appelnotedebasdep"/>
          <w:rFonts w:cs="Times New Roman"/>
          <w:sz w:val="24"/>
          <w:szCs w:val="24"/>
          <w:lang w:val="fr-FR"/>
        </w:rPr>
        <w:footnoteReference w:customMarkFollows="1" w:id="136"/>
        <w:t>114</w:t>
      </w:r>
      <w:r w:rsidR="0076405D" w:rsidRPr="00953692">
        <w:rPr>
          <w:rFonts w:cs="Times New Roman"/>
          <w:sz w:val="24"/>
          <w:szCs w:val="24"/>
          <w:lang w:val="fr-FR"/>
        </w:rPr>
        <w:t>, mais le procureur n</w:t>
      </w:r>
      <w:r w:rsidRPr="00953692">
        <w:rPr>
          <w:rFonts w:cs="Times New Roman"/>
          <w:sz w:val="24"/>
          <w:szCs w:val="24"/>
          <w:lang w:val="fr-FR"/>
        </w:rPr>
        <w:t>’a</w:t>
      </w:r>
      <w:r w:rsidR="0076405D" w:rsidRPr="00953692">
        <w:rPr>
          <w:rFonts w:cs="Times New Roman"/>
          <w:sz w:val="24"/>
          <w:szCs w:val="24"/>
          <w:lang w:val="fr-FR"/>
        </w:rPr>
        <w:t xml:space="preserve"> dépos</w:t>
      </w:r>
      <w:r w:rsidRPr="00953692">
        <w:rPr>
          <w:rFonts w:cs="Times New Roman"/>
          <w:sz w:val="24"/>
          <w:szCs w:val="24"/>
          <w:lang w:val="fr-FR"/>
        </w:rPr>
        <w:t>é</w:t>
      </w:r>
      <w:r w:rsidR="0076405D" w:rsidRPr="00953692">
        <w:rPr>
          <w:rFonts w:cs="Times New Roman"/>
          <w:sz w:val="24"/>
          <w:szCs w:val="24"/>
          <w:lang w:val="fr-FR"/>
        </w:rPr>
        <w:t xml:space="preserve"> l’acte d’accusation que le 22 octobre 1997</w:t>
      </w:r>
      <w:r w:rsidRPr="00953692">
        <w:rPr>
          <w:rFonts w:cs="Times New Roman"/>
          <w:sz w:val="24"/>
          <w:szCs w:val="24"/>
          <w:lang w:val="fr-FR"/>
        </w:rPr>
        <w:t>,</w:t>
      </w:r>
      <w:r w:rsidR="0076405D" w:rsidRPr="00953692">
        <w:rPr>
          <w:rFonts w:cs="Times New Roman"/>
          <w:sz w:val="24"/>
          <w:szCs w:val="24"/>
          <w:lang w:val="fr-FR"/>
        </w:rPr>
        <w:t xml:space="preserve"> qui a été confirmé le lendemain</w:t>
      </w:r>
      <w:r w:rsidR="00AD0957" w:rsidRPr="00953692">
        <w:rPr>
          <w:rFonts w:cs="Times New Roman"/>
          <w:sz w:val="24"/>
          <w:szCs w:val="24"/>
          <w:lang w:val="fr-FR"/>
        </w:rPr>
        <w:t> ;</w:t>
      </w:r>
      <w:r w:rsidR="0076405D" w:rsidRPr="00953692">
        <w:rPr>
          <w:rFonts w:cs="Times New Roman"/>
          <w:sz w:val="24"/>
          <w:szCs w:val="24"/>
          <w:lang w:val="fr-FR"/>
        </w:rPr>
        <w:t xml:space="preserve"> et l’accusé a été transféré le 19 novembre 1997. Pratiquement, 233</w:t>
      </w:r>
      <w:r w:rsidRPr="00953692">
        <w:rPr>
          <w:rFonts w:cs="Times New Roman"/>
          <w:sz w:val="24"/>
          <w:szCs w:val="24"/>
          <w:lang w:val="fr-FR"/>
        </w:rPr>
        <w:t xml:space="preserve"> jours</w:t>
      </w:r>
      <w:r w:rsidR="0076405D" w:rsidRPr="00953692">
        <w:rPr>
          <w:rFonts w:cs="Times New Roman"/>
          <w:sz w:val="24"/>
          <w:szCs w:val="24"/>
          <w:lang w:val="fr-FR"/>
        </w:rPr>
        <w:t xml:space="preserve"> se sont écoulés depuis la confirmation de l’acte d’accusation et le transfert au siège du Tribunal, violant ainsi les dispositions de l’article 40bis. Répondant à l’ob</w:t>
      </w:r>
      <w:r w:rsidR="00AD0957" w:rsidRPr="00953692">
        <w:rPr>
          <w:rFonts w:cs="Times New Roman"/>
          <w:sz w:val="24"/>
          <w:szCs w:val="24"/>
          <w:lang w:val="fr-FR"/>
        </w:rPr>
        <w:t>je</w:t>
      </w:r>
      <w:r w:rsidR="0076405D" w:rsidRPr="00953692">
        <w:rPr>
          <w:rFonts w:cs="Times New Roman"/>
          <w:sz w:val="24"/>
          <w:szCs w:val="24"/>
          <w:lang w:val="fr-FR"/>
        </w:rPr>
        <w:t>ction du procureur</w:t>
      </w:r>
      <w:r w:rsidRPr="00953692">
        <w:rPr>
          <w:rFonts w:cs="Times New Roman"/>
          <w:sz w:val="24"/>
          <w:szCs w:val="24"/>
          <w:lang w:val="fr-FR"/>
        </w:rPr>
        <w:t>,</w:t>
      </w:r>
      <w:r w:rsidR="0076405D" w:rsidRPr="00953692">
        <w:rPr>
          <w:rFonts w:cs="Times New Roman"/>
          <w:sz w:val="24"/>
          <w:szCs w:val="24"/>
          <w:lang w:val="fr-FR"/>
        </w:rPr>
        <w:t xml:space="preserve"> selon laquelle</w:t>
      </w:r>
      <w:r w:rsidRPr="00953692">
        <w:rPr>
          <w:rFonts w:cs="Times New Roman"/>
          <w:sz w:val="24"/>
          <w:szCs w:val="24"/>
          <w:lang w:val="fr-FR"/>
        </w:rPr>
        <w:t>,</w:t>
      </w:r>
      <w:r w:rsidR="0076405D" w:rsidRPr="00953692">
        <w:rPr>
          <w:rFonts w:cs="Times New Roman"/>
          <w:sz w:val="24"/>
          <w:szCs w:val="24"/>
          <w:lang w:val="fr-FR"/>
        </w:rPr>
        <w:t xml:space="preserve"> l’article 40bis ne s’applique qu’après le transfert, la Chambre a tenu à préciser que Barayagwiza avait été détenu au Cameroun</w:t>
      </w:r>
      <w:r w:rsidR="00AD0957" w:rsidRPr="00953692">
        <w:rPr>
          <w:rFonts w:cs="Times New Roman"/>
          <w:sz w:val="24"/>
          <w:szCs w:val="24"/>
          <w:lang w:val="fr-FR"/>
        </w:rPr>
        <w:t>,</w:t>
      </w:r>
      <w:r w:rsidR="0076405D" w:rsidRPr="00953692">
        <w:rPr>
          <w:rFonts w:cs="Times New Roman"/>
          <w:sz w:val="24"/>
          <w:szCs w:val="24"/>
          <w:lang w:val="fr-FR"/>
        </w:rPr>
        <w:t xml:space="preserve"> durant la période considérée, à la demande expresse du procureur. Car, la Cour d’appel du Cameroun</w:t>
      </w:r>
      <w:r w:rsidRPr="00953692">
        <w:rPr>
          <w:rFonts w:cs="Times New Roman"/>
          <w:sz w:val="24"/>
          <w:szCs w:val="24"/>
          <w:lang w:val="fr-FR"/>
        </w:rPr>
        <w:t>,</w:t>
      </w:r>
      <w:r w:rsidR="0076405D" w:rsidRPr="00953692">
        <w:rPr>
          <w:rFonts w:cs="Times New Roman"/>
          <w:sz w:val="24"/>
          <w:szCs w:val="24"/>
          <w:lang w:val="fr-FR"/>
        </w:rPr>
        <w:t xml:space="preserve"> ayant rejeté la demande d’extradition du Rwanda</w:t>
      </w:r>
      <w:r w:rsidRPr="00953692">
        <w:rPr>
          <w:rFonts w:cs="Times New Roman"/>
          <w:sz w:val="24"/>
          <w:szCs w:val="24"/>
          <w:lang w:val="fr-FR"/>
        </w:rPr>
        <w:t>,</w:t>
      </w:r>
      <w:r w:rsidR="0076405D" w:rsidRPr="00953692">
        <w:rPr>
          <w:rFonts w:cs="Times New Roman"/>
          <w:sz w:val="24"/>
          <w:szCs w:val="24"/>
          <w:lang w:val="fr-FR"/>
        </w:rPr>
        <w:t xml:space="preserve"> avait décidé de libérer le suspect le 21 février 1997</w:t>
      </w:r>
      <w:r w:rsidR="004F58D1" w:rsidRPr="00953692">
        <w:rPr>
          <w:rStyle w:val="Appelnotedebasdep"/>
          <w:rFonts w:cs="Times New Roman"/>
          <w:sz w:val="24"/>
          <w:szCs w:val="24"/>
          <w:lang w:val="fr-FR"/>
        </w:rPr>
        <w:footnoteReference w:customMarkFollows="1" w:id="137"/>
        <w:t>115</w:t>
      </w:r>
      <w:r w:rsidR="0076405D" w:rsidRPr="00953692">
        <w:rPr>
          <w:rFonts w:cs="Times New Roman"/>
          <w:sz w:val="24"/>
          <w:szCs w:val="24"/>
          <w:lang w:val="fr-FR"/>
        </w:rPr>
        <w:t xml:space="preserve">. </w:t>
      </w:r>
      <w:r w:rsidR="0012501D" w:rsidRPr="00953692">
        <w:rPr>
          <w:rStyle w:val="grammar"/>
          <w:rFonts w:cs="Times New Roman"/>
          <w:sz w:val="24"/>
          <w:szCs w:val="24"/>
          <w:lang w:val="fr-FR"/>
        </w:rPr>
        <w:t>À partir</w:t>
      </w:r>
      <w:r w:rsidR="0076405D" w:rsidRPr="00953692">
        <w:rPr>
          <w:rFonts w:cs="Times New Roman"/>
          <w:sz w:val="24"/>
          <w:szCs w:val="24"/>
          <w:lang w:val="fr-FR"/>
        </w:rPr>
        <w:t xml:space="preserve"> de cette date jusqu’au jour du transfert le Tribunal</w:t>
      </w:r>
      <w:r w:rsidR="00AD0957" w:rsidRPr="00953692">
        <w:rPr>
          <w:rFonts w:cs="Times New Roman"/>
          <w:sz w:val="24"/>
          <w:szCs w:val="24"/>
          <w:lang w:val="fr-FR"/>
        </w:rPr>
        <w:t xml:space="preserve"> international</w:t>
      </w:r>
      <w:r w:rsidR="0076405D" w:rsidRPr="00953692">
        <w:rPr>
          <w:rFonts w:cs="Times New Roman"/>
          <w:sz w:val="24"/>
          <w:szCs w:val="24"/>
          <w:lang w:val="fr-FR"/>
        </w:rPr>
        <w:t xml:space="preserve"> partag</w:t>
      </w:r>
      <w:r w:rsidRPr="00953692">
        <w:rPr>
          <w:rFonts w:cs="Times New Roman"/>
          <w:sz w:val="24"/>
          <w:szCs w:val="24"/>
          <w:lang w:val="fr-FR"/>
        </w:rPr>
        <w:t>eait</w:t>
      </w:r>
      <w:r w:rsidR="0076405D" w:rsidRPr="00953692">
        <w:rPr>
          <w:rFonts w:cs="Times New Roman"/>
          <w:sz w:val="24"/>
          <w:szCs w:val="24"/>
          <w:lang w:val="fr-FR"/>
        </w:rPr>
        <w:t xml:space="preserve"> avec l</w:t>
      </w:r>
      <w:r w:rsidR="00AD0957" w:rsidRPr="00953692">
        <w:rPr>
          <w:rFonts w:cs="Times New Roman"/>
          <w:sz w:val="24"/>
          <w:szCs w:val="24"/>
          <w:lang w:val="fr-FR"/>
        </w:rPr>
        <w:t>a juridiction du</w:t>
      </w:r>
      <w:r w:rsidR="0076405D" w:rsidRPr="00953692">
        <w:rPr>
          <w:rFonts w:cs="Times New Roman"/>
          <w:sz w:val="24"/>
          <w:szCs w:val="24"/>
          <w:lang w:val="fr-FR"/>
        </w:rPr>
        <w:t xml:space="preserve"> Cameroun une compétence personnelle à l’égard de Barayagwiza. </w:t>
      </w:r>
      <w:r w:rsidR="00AD0957" w:rsidRPr="00953692">
        <w:rPr>
          <w:rFonts w:cs="Times New Roman"/>
          <w:sz w:val="24"/>
          <w:szCs w:val="24"/>
          <w:lang w:val="fr-FR"/>
        </w:rPr>
        <w:t>En clair, l</w:t>
      </w:r>
      <w:r w:rsidR="0076405D" w:rsidRPr="00953692">
        <w:rPr>
          <w:rFonts w:cs="Times New Roman"/>
          <w:sz w:val="24"/>
          <w:szCs w:val="24"/>
          <w:lang w:val="fr-FR"/>
        </w:rPr>
        <w:t>e Tribunal a agi valablement en application des articles 40 et 40bis, et ses demandes ont toutes été honorées sans conteste par le Cameroun.</w:t>
      </w:r>
    </w:p>
    <w:p w14:paraId="4EC80441" w14:textId="6CA3AB9E" w:rsidR="00BD3134" w:rsidRPr="00953692" w:rsidRDefault="00BD3134"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w:t>
      </w:r>
      <w:r w:rsidR="00F1003E" w:rsidRPr="00953692">
        <w:rPr>
          <w:rFonts w:cs="Times New Roman"/>
          <w:b/>
          <w:bCs/>
          <w:sz w:val="24"/>
          <w:szCs w:val="24"/>
          <w:lang w:val="fr-FR"/>
        </w:rPr>
        <w:t>7</w:t>
      </w:r>
      <w:r w:rsidRPr="00953692">
        <w:rPr>
          <w:rFonts w:cs="Times New Roman"/>
          <w:b/>
          <w:bCs/>
          <w:sz w:val="24"/>
          <w:szCs w:val="24"/>
          <w:lang w:val="fr-FR"/>
        </w:rPr>
        <w:t>2.</w:t>
      </w:r>
      <w:r w:rsidRPr="00953692">
        <w:rPr>
          <w:rFonts w:cs="Times New Roman"/>
          <w:sz w:val="24"/>
          <w:szCs w:val="24"/>
          <w:lang w:val="fr-FR"/>
        </w:rPr>
        <w:t xml:space="preserve"> </w:t>
      </w:r>
      <w:r w:rsidR="0076405D" w:rsidRPr="00953692">
        <w:rPr>
          <w:rFonts w:cs="Times New Roman"/>
          <w:sz w:val="24"/>
          <w:szCs w:val="24"/>
          <w:lang w:val="fr-FR"/>
        </w:rPr>
        <w:t>Dans cette décision, la Chambre, ayant évoqué la conformité au droit international des droits de l’homme de ces articles, a donc remonté à l’origine de ce droit</w:t>
      </w:r>
      <w:r w:rsidR="0012501D" w:rsidRPr="00953692">
        <w:rPr>
          <w:rFonts w:cs="Times New Roman"/>
          <w:sz w:val="24"/>
          <w:szCs w:val="24"/>
          <w:lang w:val="fr-FR"/>
        </w:rPr>
        <w:t>,</w:t>
      </w:r>
      <w:r w:rsidR="0076405D" w:rsidRPr="00953692">
        <w:rPr>
          <w:rFonts w:cs="Times New Roman"/>
          <w:sz w:val="24"/>
          <w:szCs w:val="24"/>
          <w:lang w:val="fr-FR"/>
        </w:rPr>
        <w:t xml:space="preserve"> retrouvée dans le PIDCP de 1966</w:t>
      </w:r>
      <w:r w:rsidR="009D7767" w:rsidRPr="00953692">
        <w:rPr>
          <w:rStyle w:val="Appelnotedebasdep"/>
          <w:rFonts w:cs="Times New Roman"/>
          <w:sz w:val="24"/>
          <w:szCs w:val="24"/>
          <w:lang w:val="fr-FR"/>
        </w:rPr>
        <w:footnoteReference w:customMarkFollows="1" w:id="138"/>
        <w:t>116</w:t>
      </w:r>
      <w:r w:rsidR="0076405D" w:rsidRPr="00953692">
        <w:rPr>
          <w:rFonts w:cs="Times New Roman"/>
          <w:sz w:val="24"/>
          <w:szCs w:val="24"/>
          <w:lang w:val="fr-FR"/>
        </w:rPr>
        <w:t xml:space="preserve">. </w:t>
      </w:r>
      <w:r w:rsidR="0012501D" w:rsidRPr="00953692">
        <w:rPr>
          <w:rStyle w:val="grammar"/>
          <w:rFonts w:cs="Times New Roman"/>
          <w:sz w:val="24"/>
          <w:szCs w:val="24"/>
          <w:lang w:val="fr-FR"/>
        </w:rPr>
        <w:t>À</w:t>
      </w:r>
      <w:r w:rsidR="0076405D" w:rsidRPr="00953692">
        <w:rPr>
          <w:rFonts w:cs="Times New Roman"/>
          <w:sz w:val="24"/>
          <w:szCs w:val="24"/>
          <w:lang w:val="fr-FR"/>
        </w:rPr>
        <w:t xml:space="preserve"> plusieurs reprises</w:t>
      </w:r>
      <w:r w:rsidR="0012501D" w:rsidRPr="00953692">
        <w:rPr>
          <w:rFonts w:cs="Times New Roman"/>
          <w:sz w:val="24"/>
          <w:szCs w:val="24"/>
          <w:lang w:val="fr-FR"/>
        </w:rPr>
        <w:t>,</w:t>
      </w:r>
      <w:r w:rsidR="0076405D" w:rsidRPr="00953692">
        <w:rPr>
          <w:rFonts w:cs="Times New Roman"/>
          <w:sz w:val="24"/>
          <w:szCs w:val="24"/>
          <w:lang w:val="fr-FR"/>
        </w:rPr>
        <w:t xml:space="preserve"> la Chambre d’appel a évoqué </w:t>
      </w:r>
      <w:r w:rsidR="0076405D" w:rsidRPr="00953692">
        <w:rPr>
          <w:rFonts w:cs="Times New Roman"/>
          <w:sz w:val="24"/>
          <w:szCs w:val="24"/>
          <w:lang w:val="fr-FR"/>
        </w:rPr>
        <w:lastRenderedPageBreak/>
        <w:t>l’article 9-2 de ce texte international, qui garantit à tout individu arrêté le droit de recevoir notification, dans le plus court délai, de toute accusation portée contre lui. Outre le droit à l’information dont il a été question dans les lignes précédentes, il ressort de la lecture minutieuse de cet article et de l’interprétation qui en a été faite dans la décision sous examen, que la notification de l’accusation dans le plus court délai équivaut à l’inculpation rapide. En employant le terme ‘’accusation’’, il va de soi qu’il ne s’agisse plus des simples soupçons pouvant nécessiter une</w:t>
      </w:r>
      <w:r w:rsidRPr="00953692">
        <w:rPr>
          <w:rFonts w:cs="Times New Roman"/>
          <w:sz w:val="24"/>
          <w:szCs w:val="24"/>
          <w:lang w:val="fr-FR"/>
        </w:rPr>
        <w:t xml:space="preserve"> arrestation dans le cadre des mesures provisoires</w:t>
      </w:r>
      <w:r w:rsidR="0076405D" w:rsidRPr="00953692">
        <w:rPr>
          <w:rFonts w:cs="Times New Roman"/>
          <w:sz w:val="24"/>
          <w:szCs w:val="24"/>
          <w:lang w:val="fr-FR"/>
        </w:rPr>
        <w:t xml:space="preserve">, mais plutôt d’une conviction </w:t>
      </w:r>
      <w:r w:rsidR="0012501D" w:rsidRPr="00953692">
        <w:rPr>
          <w:rFonts w:cs="Times New Roman"/>
          <w:sz w:val="24"/>
          <w:szCs w:val="24"/>
          <w:lang w:val="fr-FR"/>
        </w:rPr>
        <w:t>qu’a</w:t>
      </w:r>
      <w:r w:rsidR="0076405D" w:rsidRPr="00953692">
        <w:rPr>
          <w:rFonts w:cs="Times New Roman"/>
          <w:sz w:val="24"/>
          <w:szCs w:val="24"/>
          <w:lang w:val="fr-FR"/>
        </w:rPr>
        <w:t xml:space="preserve"> l</w:t>
      </w:r>
      <w:r w:rsidRPr="00953692">
        <w:rPr>
          <w:rFonts w:cs="Times New Roman"/>
          <w:sz w:val="24"/>
          <w:szCs w:val="24"/>
          <w:lang w:val="fr-FR"/>
        </w:rPr>
        <w:t>’organe</w:t>
      </w:r>
      <w:r w:rsidR="0076405D" w:rsidRPr="00953692">
        <w:rPr>
          <w:rFonts w:cs="Times New Roman"/>
          <w:sz w:val="24"/>
          <w:szCs w:val="24"/>
          <w:lang w:val="fr-FR"/>
        </w:rPr>
        <w:t xml:space="preserve"> des poursuites sur l’implication de la personne arrêtée dont la détention est maintenue.</w:t>
      </w:r>
    </w:p>
    <w:p w14:paraId="4F5C1B9F" w14:textId="77777777" w:rsidR="00F1003E" w:rsidRPr="00953692" w:rsidRDefault="00BD3134"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w:t>
      </w:r>
      <w:r w:rsidR="00F1003E" w:rsidRPr="00953692">
        <w:rPr>
          <w:rFonts w:cs="Times New Roman"/>
          <w:b/>
          <w:bCs/>
          <w:sz w:val="24"/>
          <w:szCs w:val="24"/>
          <w:lang w:val="fr-FR"/>
        </w:rPr>
        <w:t>7</w:t>
      </w:r>
      <w:r w:rsidRPr="00953692">
        <w:rPr>
          <w:rFonts w:cs="Times New Roman"/>
          <w:b/>
          <w:bCs/>
          <w:sz w:val="24"/>
          <w:szCs w:val="24"/>
          <w:lang w:val="fr-FR"/>
        </w:rPr>
        <w:t>3.</w:t>
      </w:r>
      <w:r w:rsidRPr="00953692">
        <w:rPr>
          <w:rFonts w:cs="Times New Roman"/>
          <w:sz w:val="24"/>
          <w:szCs w:val="24"/>
          <w:lang w:val="fr-FR"/>
        </w:rPr>
        <w:t xml:space="preserve"> </w:t>
      </w:r>
      <w:r w:rsidR="0076405D" w:rsidRPr="00953692">
        <w:rPr>
          <w:rFonts w:cs="Times New Roman"/>
          <w:sz w:val="24"/>
          <w:szCs w:val="24"/>
          <w:lang w:val="fr-FR"/>
        </w:rPr>
        <w:t xml:space="preserve">En réalité, le droit d’être inculpé dans le délai trouve son fondement épistémologique en droit international des droits de l’homme, qui interdit la détention des personnes sans qu’elles soient, au préalable ou rapidement après l’arrestation, mises en accusation. On est presque dans la même logique lorsque l’on aborde les dispositions de l’article 60 du statut de Rome, qui interdit </w:t>
      </w:r>
      <w:r w:rsidR="0076405D" w:rsidRPr="00953692">
        <w:rPr>
          <w:rFonts w:cs="Times New Roman"/>
          <w:i/>
          <w:iCs/>
          <w:sz w:val="24"/>
          <w:szCs w:val="24"/>
          <w:lang w:val="fr-FR"/>
        </w:rPr>
        <w:t>à ce que la détention avant le jugement ne se prolonge à cause d’un retard injustifiable imputable au procureur</w:t>
      </w:r>
      <w:r w:rsidR="0076405D" w:rsidRPr="00953692">
        <w:rPr>
          <w:rFonts w:cs="Times New Roman"/>
          <w:sz w:val="24"/>
          <w:szCs w:val="24"/>
          <w:lang w:val="fr-FR"/>
        </w:rPr>
        <w:t>. Il s’agit en réalité de la période avant la confirmation des charges, étant entendu que celle-ci implique une accusation officielle du procureur</w:t>
      </w:r>
      <w:r w:rsidR="0056202B" w:rsidRPr="00953692">
        <w:rPr>
          <w:rFonts w:cs="Times New Roman"/>
          <w:sz w:val="24"/>
          <w:szCs w:val="24"/>
          <w:lang w:val="fr-FR"/>
        </w:rPr>
        <w:t>, pour laquelle</w:t>
      </w:r>
      <w:r w:rsidR="0076405D" w:rsidRPr="00953692">
        <w:rPr>
          <w:rFonts w:cs="Times New Roman"/>
          <w:sz w:val="24"/>
          <w:szCs w:val="24"/>
          <w:lang w:val="fr-FR"/>
        </w:rPr>
        <w:t xml:space="preserve"> il demande à l’organe juridictionnel </w:t>
      </w:r>
      <w:r w:rsidR="0056202B" w:rsidRPr="00953692">
        <w:rPr>
          <w:rFonts w:cs="Times New Roman"/>
          <w:sz w:val="24"/>
          <w:szCs w:val="24"/>
          <w:lang w:val="fr-FR"/>
        </w:rPr>
        <w:t>d’en</w:t>
      </w:r>
      <w:r w:rsidR="0076405D" w:rsidRPr="00953692">
        <w:rPr>
          <w:rFonts w:cs="Times New Roman"/>
          <w:sz w:val="24"/>
          <w:szCs w:val="24"/>
          <w:lang w:val="fr-FR"/>
        </w:rPr>
        <w:t xml:space="preserve"> valid</w:t>
      </w:r>
      <w:r w:rsidR="0056202B" w:rsidRPr="00953692">
        <w:rPr>
          <w:rFonts w:cs="Times New Roman"/>
          <w:sz w:val="24"/>
          <w:szCs w:val="24"/>
          <w:lang w:val="fr-FR"/>
        </w:rPr>
        <w:t>er</w:t>
      </w:r>
      <w:r w:rsidR="0076405D" w:rsidRPr="00953692">
        <w:rPr>
          <w:rFonts w:cs="Times New Roman"/>
          <w:sz w:val="24"/>
          <w:szCs w:val="24"/>
          <w:lang w:val="fr-FR"/>
        </w:rPr>
        <w:t xml:space="preserve"> et d’avaliser les poursuites. </w:t>
      </w:r>
    </w:p>
    <w:p w14:paraId="664E1E84" w14:textId="3F62DE44" w:rsidR="0076405D" w:rsidRPr="00953692" w:rsidRDefault="00F1003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174.</w:t>
      </w:r>
      <w:r w:rsidRPr="00953692">
        <w:rPr>
          <w:rFonts w:cs="Times New Roman"/>
          <w:sz w:val="24"/>
          <w:szCs w:val="24"/>
          <w:lang w:val="fr-FR"/>
        </w:rPr>
        <w:t xml:space="preserve"> </w:t>
      </w:r>
      <w:r w:rsidR="0076405D" w:rsidRPr="00953692">
        <w:rPr>
          <w:rFonts w:cs="Times New Roman"/>
          <w:sz w:val="24"/>
          <w:szCs w:val="24"/>
          <w:lang w:val="fr-FR"/>
        </w:rPr>
        <w:t>Contrairement à la procédure devant les TPI qui prévoit de mettre en accusation le suspect dès sa comparution initiale, devant la CPI, la Chambre préliminaire est plutôt dans l’obligation de projeter une audience de confirmation des charges, donc de fixer une date précise à cet effet.</w:t>
      </w:r>
      <w:r w:rsidR="00F637E1" w:rsidRPr="00953692">
        <w:rPr>
          <w:rFonts w:cs="Times New Roman"/>
          <w:sz w:val="24"/>
          <w:szCs w:val="24"/>
          <w:lang w:val="fr-FR"/>
        </w:rPr>
        <w:t xml:space="preserve"> </w:t>
      </w:r>
      <w:r w:rsidR="008A4B5B" w:rsidRPr="00953692">
        <w:rPr>
          <w:rFonts w:cs="Times New Roman"/>
          <w:sz w:val="24"/>
          <w:szCs w:val="24"/>
          <w:lang w:val="fr-FR"/>
        </w:rPr>
        <w:t>Contrairement aux actes constitutifs des TPI et du TSL, le statut de Rome a donné un coup de massue à la lutte contre les longues durées de détention provisoire, notamment avant l’inculpation du suspect en droit international pénal.</w:t>
      </w:r>
    </w:p>
    <w:p w14:paraId="5192E6CF" w14:textId="446CF548" w:rsidR="00FB4334" w:rsidRPr="00953692" w:rsidRDefault="00F637E1" w:rsidP="00864BBF">
      <w:pPr>
        <w:spacing w:after="0" w:line="276" w:lineRule="auto"/>
        <w:ind w:firstLine="1134"/>
        <w:jc w:val="both"/>
        <w:rPr>
          <w:sz w:val="24"/>
          <w:szCs w:val="24"/>
          <w:lang w:val="fr-FR"/>
        </w:rPr>
      </w:pPr>
      <w:r w:rsidRPr="00953692">
        <w:rPr>
          <w:rFonts w:cs="Times New Roman"/>
          <w:b/>
          <w:bCs/>
          <w:sz w:val="24"/>
          <w:szCs w:val="24"/>
          <w:lang w:val="fr-FR"/>
        </w:rPr>
        <w:t>1</w:t>
      </w:r>
      <w:r w:rsidR="00F1003E" w:rsidRPr="00953692">
        <w:rPr>
          <w:rFonts w:cs="Times New Roman"/>
          <w:b/>
          <w:bCs/>
          <w:sz w:val="24"/>
          <w:szCs w:val="24"/>
          <w:lang w:val="fr-FR"/>
        </w:rPr>
        <w:t>75</w:t>
      </w:r>
      <w:r w:rsidRPr="00953692">
        <w:rPr>
          <w:rFonts w:cs="Times New Roman"/>
          <w:b/>
          <w:bCs/>
          <w:sz w:val="24"/>
          <w:szCs w:val="24"/>
          <w:lang w:val="fr-FR"/>
        </w:rPr>
        <w:t>.</w:t>
      </w:r>
      <w:r w:rsidRPr="00953692">
        <w:rPr>
          <w:rFonts w:cs="Times New Roman"/>
          <w:sz w:val="24"/>
          <w:szCs w:val="24"/>
          <w:lang w:val="fr-FR"/>
        </w:rPr>
        <w:t xml:space="preserve"> </w:t>
      </w:r>
      <w:r w:rsidR="009E4D86" w:rsidRPr="00953692">
        <w:rPr>
          <w:rFonts w:cs="Times New Roman"/>
          <w:sz w:val="24"/>
          <w:szCs w:val="24"/>
          <w:lang w:val="fr-FR"/>
        </w:rPr>
        <w:t xml:space="preserve">Il </w:t>
      </w:r>
      <w:r w:rsidR="0056202B" w:rsidRPr="00953692">
        <w:rPr>
          <w:rFonts w:cs="Times New Roman"/>
          <w:sz w:val="24"/>
          <w:szCs w:val="24"/>
          <w:lang w:val="fr-FR"/>
        </w:rPr>
        <w:t xml:space="preserve">est important de </w:t>
      </w:r>
      <w:r w:rsidR="009E4D86" w:rsidRPr="00953692">
        <w:rPr>
          <w:rFonts w:cs="Times New Roman"/>
          <w:sz w:val="24"/>
          <w:szCs w:val="24"/>
          <w:lang w:val="fr-FR"/>
        </w:rPr>
        <w:t>rappel</w:t>
      </w:r>
      <w:r w:rsidR="0056202B" w:rsidRPr="00953692">
        <w:rPr>
          <w:rFonts w:cs="Times New Roman"/>
          <w:sz w:val="24"/>
          <w:szCs w:val="24"/>
          <w:lang w:val="fr-FR"/>
        </w:rPr>
        <w:t>er</w:t>
      </w:r>
      <w:r w:rsidR="009E4D86" w:rsidRPr="00953692">
        <w:rPr>
          <w:rFonts w:cs="Times New Roman"/>
          <w:sz w:val="24"/>
          <w:szCs w:val="24"/>
          <w:lang w:val="fr-FR"/>
        </w:rPr>
        <w:t xml:space="preserve"> que</w:t>
      </w:r>
      <w:r w:rsidR="00194BD7" w:rsidRPr="00953692">
        <w:rPr>
          <w:rFonts w:cs="Times New Roman"/>
          <w:sz w:val="24"/>
          <w:szCs w:val="24"/>
          <w:lang w:val="fr-FR"/>
        </w:rPr>
        <w:t>,</w:t>
      </w:r>
      <w:r w:rsidR="009E4D86" w:rsidRPr="00953692">
        <w:rPr>
          <w:rFonts w:cs="Times New Roman"/>
          <w:sz w:val="24"/>
          <w:szCs w:val="24"/>
          <w:lang w:val="fr-FR"/>
        </w:rPr>
        <w:t xml:space="preserve"> l’idée au départ fut celle de transposer à la CPI la règle applicable devant les TPI en ce qui concerne le droit d’</w:t>
      </w:r>
      <w:r w:rsidR="00566665" w:rsidRPr="00953692">
        <w:rPr>
          <w:rFonts w:cs="Times New Roman"/>
          <w:sz w:val="24"/>
          <w:szCs w:val="24"/>
          <w:lang w:val="fr-FR"/>
        </w:rPr>
        <w:t>être</w:t>
      </w:r>
      <w:r w:rsidR="009E4D86" w:rsidRPr="00953692">
        <w:rPr>
          <w:rFonts w:cs="Times New Roman"/>
          <w:sz w:val="24"/>
          <w:szCs w:val="24"/>
          <w:lang w:val="fr-FR"/>
        </w:rPr>
        <w:t xml:space="preserve"> inculpé dans le délai</w:t>
      </w:r>
      <w:r w:rsidR="00566665" w:rsidRPr="00953692">
        <w:rPr>
          <w:rFonts w:cs="Times New Roman"/>
          <w:sz w:val="24"/>
          <w:szCs w:val="24"/>
          <w:lang w:val="fr-FR"/>
        </w:rPr>
        <w:t xml:space="preserve">. </w:t>
      </w:r>
      <w:r w:rsidR="00624767" w:rsidRPr="00953692">
        <w:rPr>
          <w:rFonts w:cs="Times New Roman"/>
          <w:sz w:val="24"/>
          <w:szCs w:val="24"/>
          <w:lang w:val="fr-FR"/>
        </w:rPr>
        <w:t xml:space="preserve">En effet, l’article 28 du Projet de statut d’une Cour criminelle internationale </w:t>
      </w:r>
      <w:r w:rsidR="00092D75" w:rsidRPr="00953692">
        <w:rPr>
          <w:rFonts w:cs="Times New Roman"/>
          <w:sz w:val="24"/>
          <w:szCs w:val="24"/>
          <w:lang w:val="fr-FR"/>
        </w:rPr>
        <w:t xml:space="preserve">de 1994 avait prévu </w:t>
      </w:r>
      <w:r w:rsidR="00002B7A" w:rsidRPr="00953692">
        <w:rPr>
          <w:rFonts w:cs="Times New Roman"/>
          <w:sz w:val="24"/>
          <w:szCs w:val="24"/>
          <w:lang w:val="fr-FR"/>
        </w:rPr>
        <w:t>une possibilité de procéder à une arrestation</w:t>
      </w:r>
      <w:r w:rsidR="003E6764" w:rsidRPr="00953692">
        <w:rPr>
          <w:rFonts w:cs="Times New Roman"/>
          <w:sz w:val="24"/>
          <w:szCs w:val="24"/>
          <w:lang w:val="fr-FR"/>
        </w:rPr>
        <w:t xml:space="preserve"> provisoire dans des conditions similaires à celle de l’article 40 du RPP des TPI. </w:t>
      </w:r>
      <w:r w:rsidR="009E4D86" w:rsidRPr="00953692">
        <w:rPr>
          <w:i/>
          <w:iCs/>
          <w:sz w:val="24"/>
          <w:szCs w:val="24"/>
          <w:lang w:val="fr-FR"/>
        </w:rPr>
        <w:t>Tout suspect placé en état d’arrestation provisoire doit être remis en liberté</w:t>
      </w:r>
      <w:r w:rsidR="00A51C45" w:rsidRPr="00953692">
        <w:rPr>
          <w:i/>
          <w:iCs/>
          <w:sz w:val="24"/>
          <w:szCs w:val="24"/>
          <w:lang w:val="fr-FR"/>
        </w:rPr>
        <w:t>,</w:t>
      </w:r>
      <w:r w:rsidR="009E4D86" w:rsidRPr="00953692">
        <w:rPr>
          <w:i/>
          <w:iCs/>
          <w:sz w:val="24"/>
          <w:szCs w:val="24"/>
          <w:lang w:val="fr-FR"/>
        </w:rPr>
        <w:t xml:space="preserve"> si l’acte d’accusation n’est pas confirmé dans les </w:t>
      </w:r>
      <w:r w:rsidR="009F0BA5" w:rsidRPr="00953692">
        <w:rPr>
          <w:i/>
          <w:iCs/>
          <w:sz w:val="24"/>
          <w:szCs w:val="24"/>
          <w:lang w:val="fr-FR"/>
        </w:rPr>
        <w:t>quatre-vingt-dix</w:t>
      </w:r>
      <w:r w:rsidR="009E4D86" w:rsidRPr="00953692">
        <w:rPr>
          <w:i/>
          <w:iCs/>
          <w:sz w:val="24"/>
          <w:szCs w:val="24"/>
          <w:lang w:val="fr-FR"/>
        </w:rPr>
        <w:t xml:space="preserve"> jours suivant la date de son arrestation ou dans le délai plus long qui peut être autorisé par la présidence</w:t>
      </w:r>
      <w:r w:rsidR="009E4D86" w:rsidRPr="00953692">
        <w:rPr>
          <w:sz w:val="24"/>
          <w:szCs w:val="24"/>
          <w:lang w:val="fr-FR"/>
        </w:rPr>
        <w:t>.</w:t>
      </w:r>
      <w:r w:rsidR="00781ED1" w:rsidRPr="00953692">
        <w:rPr>
          <w:sz w:val="24"/>
          <w:szCs w:val="24"/>
          <w:lang w:val="fr-FR"/>
        </w:rPr>
        <w:t xml:space="preserve"> En tout cas, </w:t>
      </w:r>
      <w:r w:rsidR="00E54B94" w:rsidRPr="00953692">
        <w:rPr>
          <w:sz w:val="24"/>
          <w:szCs w:val="24"/>
          <w:lang w:val="fr-FR"/>
        </w:rPr>
        <w:t xml:space="preserve">la procédure aurait été la même, car le point 3 de cet article 28 prévoyait la délivrance d’un mandat après la confirmation de l’acte d’accusation. </w:t>
      </w:r>
      <w:r w:rsidR="00543E33" w:rsidRPr="00953692">
        <w:rPr>
          <w:sz w:val="24"/>
          <w:szCs w:val="24"/>
          <w:lang w:val="fr-FR"/>
        </w:rPr>
        <w:t xml:space="preserve">Il était donc prévu une procédure ex parte de </w:t>
      </w:r>
      <w:r w:rsidR="00543E33" w:rsidRPr="00953692">
        <w:rPr>
          <w:sz w:val="24"/>
          <w:szCs w:val="24"/>
          <w:lang w:val="fr-FR"/>
        </w:rPr>
        <w:lastRenderedPageBreak/>
        <w:t>confirmation de l’acte d’accusation qui, en raison de la rapidité qui en découle, semble être très compatible avec l’applicabilité du droit d’être inculpé dans le délai.</w:t>
      </w:r>
    </w:p>
    <w:p w14:paraId="55F9FF2F" w14:textId="0CEDD059" w:rsidR="00447565" w:rsidRPr="00953692" w:rsidRDefault="00F637E1" w:rsidP="00864BBF">
      <w:pPr>
        <w:spacing w:after="0" w:line="276" w:lineRule="auto"/>
        <w:ind w:firstLine="1134"/>
        <w:jc w:val="both"/>
        <w:rPr>
          <w:sz w:val="24"/>
          <w:szCs w:val="24"/>
          <w:lang w:val="fr-FR"/>
        </w:rPr>
      </w:pPr>
      <w:r w:rsidRPr="00953692">
        <w:rPr>
          <w:b/>
          <w:bCs/>
          <w:sz w:val="24"/>
          <w:szCs w:val="24"/>
          <w:lang w:val="fr-FR"/>
        </w:rPr>
        <w:t>1</w:t>
      </w:r>
      <w:r w:rsidR="00F1003E" w:rsidRPr="00953692">
        <w:rPr>
          <w:b/>
          <w:bCs/>
          <w:sz w:val="24"/>
          <w:szCs w:val="24"/>
          <w:lang w:val="fr-FR"/>
        </w:rPr>
        <w:t>76</w:t>
      </w:r>
      <w:r w:rsidRPr="00953692">
        <w:rPr>
          <w:b/>
          <w:bCs/>
          <w:sz w:val="24"/>
          <w:szCs w:val="24"/>
          <w:lang w:val="fr-FR"/>
        </w:rPr>
        <w:t>.</w:t>
      </w:r>
      <w:r w:rsidRPr="00953692">
        <w:rPr>
          <w:sz w:val="24"/>
          <w:szCs w:val="24"/>
          <w:lang w:val="fr-FR"/>
        </w:rPr>
        <w:t xml:space="preserve"> </w:t>
      </w:r>
      <w:r w:rsidR="00FB4334" w:rsidRPr="00953692">
        <w:rPr>
          <w:sz w:val="24"/>
          <w:szCs w:val="24"/>
          <w:lang w:val="fr-FR"/>
        </w:rPr>
        <w:t xml:space="preserve">Par </w:t>
      </w:r>
      <w:r w:rsidR="006630A4" w:rsidRPr="00953692">
        <w:rPr>
          <w:sz w:val="24"/>
          <w:szCs w:val="24"/>
          <w:lang w:val="fr-FR"/>
        </w:rPr>
        <w:t>ailleurs, comme on le sait, ce projet d’article a partiellement été abandonné en ce qui concerne</w:t>
      </w:r>
      <w:r w:rsidR="00F1400E" w:rsidRPr="00953692">
        <w:rPr>
          <w:sz w:val="24"/>
          <w:szCs w:val="24"/>
          <w:lang w:val="fr-FR"/>
        </w:rPr>
        <w:t>,</w:t>
      </w:r>
      <w:r w:rsidR="006630A4" w:rsidRPr="00953692">
        <w:rPr>
          <w:sz w:val="24"/>
          <w:szCs w:val="24"/>
          <w:lang w:val="fr-FR"/>
        </w:rPr>
        <w:t xml:space="preserve"> notamment, </w:t>
      </w:r>
      <w:r w:rsidR="00667269" w:rsidRPr="00953692">
        <w:rPr>
          <w:sz w:val="24"/>
          <w:szCs w:val="24"/>
          <w:lang w:val="fr-FR"/>
        </w:rPr>
        <w:t>le délai de 90 jours d’arrestation provisoire et</w:t>
      </w:r>
      <w:r w:rsidR="00F1400E" w:rsidRPr="00953692">
        <w:rPr>
          <w:sz w:val="24"/>
          <w:szCs w:val="24"/>
          <w:lang w:val="fr-FR"/>
        </w:rPr>
        <w:t>,</w:t>
      </w:r>
      <w:r w:rsidR="00667269" w:rsidRPr="00953692">
        <w:rPr>
          <w:sz w:val="24"/>
          <w:szCs w:val="24"/>
          <w:lang w:val="fr-FR"/>
        </w:rPr>
        <w:t xml:space="preserve"> conséquemment la procédure ex parte de confirmation de l’acte d’accusation. </w:t>
      </w:r>
      <w:r w:rsidR="0076405D" w:rsidRPr="00953692">
        <w:rPr>
          <w:rFonts w:eastAsia="Times New Roman" w:cs="Times New Roman"/>
          <w:sz w:val="24"/>
          <w:szCs w:val="24"/>
          <w:shd w:val="clear" w:color="auto" w:fill="FFFFFF"/>
          <w:lang w:val="fr-FR"/>
        </w:rPr>
        <w:t xml:space="preserve">En fait, </w:t>
      </w:r>
      <w:r w:rsidR="00447565" w:rsidRPr="00953692">
        <w:rPr>
          <w:rFonts w:eastAsia="Times New Roman" w:cs="Times New Roman"/>
          <w:sz w:val="24"/>
          <w:szCs w:val="24"/>
          <w:shd w:val="clear" w:color="auto" w:fill="FFFFFF"/>
          <w:lang w:val="fr-FR"/>
        </w:rPr>
        <w:t xml:space="preserve">s’il est bien prévu une arrestation avant la confirmation de l’acte d’accusation, </w:t>
      </w:r>
      <w:r w:rsidR="0076405D" w:rsidRPr="00953692">
        <w:rPr>
          <w:rFonts w:eastAsia="Times New Roman" w:cs="Times New Roman"/>
          <w:sz w:val="24"/>
          <w:szCs w:val="24"/>
          <w:shd w:val="clear" w:color="auto" w:fill="FFFFFF"/>
          <w:lang w:val="fr-FR"/>
        </w:rPr>
        <w:t>les actes constitutifs de la CPI ne prévoient pas</w:t>
      </w:r>
      <w:r w:rsidR="00F1400E" w:rsidRPr="00953692">
        <w:rPr>
          <w:rFonts w:eastAsia="Times New Roman" w:cs="Times New Roman"/>
          <w:sz w:val="24"/>
          <w:szCs w:val="24"/>
          <w:shd w:val="clear" w:color="auto" w:fill="FFFFFF"/>
          <w:lang w:val="fr-FR"/>
        </w:rPr>
        <w:t>,</w:t>
      </w:r>
      <w:r w:rsidR="0076405D" w:rsidRPr="00953692">
        <w:rPr>
          <w:rFonts w:eastAsia="Times New Roman" w:cs="Times New Roman"/>
          <w:sz w:val="24"/>
          <w:szCs w:val="24"/>
          <w:shd w:val="clear" w:color="auto" w:fill="FFFFFF"/>
          <w:lang w:val="fr-FR"/>
        </w:rPr>
        <w:t xml:space="preserve"> de manière spécifique</w:t>
      </w:r>
      <w:r w:rsidR="00F1400E" w:rsidRPr="00953692">
        <w:rPr>
          <w:rFonts w:eastAsia="Times New Roman" w:cs="Times New Roman"/>
          <w:sz w:val="24"/>
          <w:szCs w:val="24"/>
          <w:shd w:val="clear" w:color="auto" w:fill="FFFFFF"/>
          <w:lang w:val="fr-FR"/>
        </w:rPr>
        <w:t xml:space="preserve">, </w:t>
      </w:r>
      <w:r w:rsidR="0076405D" w:rsidRPr="00953692">
        <w:rPr>
          <w:rFonts w:eastAsia="Times New Roman" w:cs="Times New Roman"/>
          <w:sz w:val="24"/>
          <w:szCs w:val="24"/>
          <w:shd w:val="clear" w:color="auto" w:fill="FFFFFF"/>
          <w:lang w:val="fr-FR"/>
        </w:rPr>
        <w:t xml:space="preserve">un délai durant lequel le </w:t>
      </w:r>
      <w:r w:rsidR="00447565" w:rsidRPr="00953692">
        <w:rPr>
          <w:rFonts w:eastAsia="Times New Roman" w:cs="Times New Roman"/>
          <w:sz w:val="24"/>
          <w:szCs w:val="24"/>
          <w:shd w:val="clear" w:color="auto" w:fill="FFFFFF"/>
          <w:lang w:val="fr-FR"/>
        </w:rPr>
        <w:t>P</w:t>
      </w:r>
      <w:r w:rsidR="0076405D" w:rsidRPr="00953692">
        <w:rPr>
          <w:rFonts w:eastAsia="Times New Roman" w:cs="Times New Roman"/>
          <w:sz w:val="24"/>
          <w:szCs w:val="24"/>
          <w:shd w:val="clear" w:color="auto" w:fill="FFFFFF"/>
          <w:lang w:val="fr-FR"/>
        </w:rPr>
        <w:t xml:space="preserve">rocureur devra présenter à la </w:t>
      </w:r>
      <w:r w:rsidR="008A4B5B" w:rsidRPr="00953692">
        <w:rPr>
          <w:rFonts w:eastAsia="Times New Roman" w:cs="Times New Roman"/>
          <w:sz w:val="24"/>
          <w:szCs w:val="24"/>
          <w:shd w:val="clear" w:color="auto" w:fill="FFFFFF"/>
          <w:lang w:val="fr-FR"/>
        </w:rPr>
        <w:t>C</w:t>
      </w:r>
      <w:r w:rsidR="0076405D" w:rsidRPr="00953692">
        <w:rPr>
          <w:rFonts w:eastAsia="Times New Roman" w:cs="Times New Roman"/>
          <w:sz w:val="24"/>
          <w:szCs w:val="24"/>
          <w:shd w:val="clear" w:color="auto" w:fill="FFFFFF"/>
          <w:lang w:val="fr-FR"/>
        </w:rPr>
        <w:t xml:space="preserve">hambre préliminaire une requête en confirmation des charges. </w:t>
      </w:r>
      <w:r w:rsidR="00383A97" w:rsidRPr="00953692">
        <w:rPr>
          <w:rFonts w:eastAsia="Times New Roman" w:cs="Times New Roman"/>
          <w:sz w:val="24"/>
          <w:szCs w:val="24"/>
          <w:shd w:val="clear" w:color="auto" w:fill="FFFFFF"/>
          <w:lang w:val="fr-FR"/>
        </w:rPr>
        <w:t>L’article 60 du statut de Rome se limite à une interdiction plutôt vague d’une prolongation excessive</w:t>
      </w:r>
      <w:r w:rsidR="008A4B5B" w:rsidRPr="00953692">
        <w:rPr>
          <w:rFonts w:eastAsia="Times New Roman" w:cs="Times New Roman"/>
          <w:sz w:val="24"/>
          <w:szCs w:val="24"/>
          <w:shd w:val="clear" w:color="auto" w:fill="FFFFFF"/>
          <w:lang w:val="fr-FR"/>
        </w:rPr>
        <w:t xml:space="preserve"> et injustifiée</w:t>
      </w:r>
      <w:r w:rsidR="00383A97" w:rsidRPr="00953692">
        <w:rPr>
          <w:rFonts w:eastAsia="Times New Roman" w:cs="Times New Roman"/>
          <w:sz w:val="24"/>
          <w:szCs w:val="24"/>
          <w:shd w:val="clear" w:color="auto" w:fill="FFFFFF"/>
          <w:lang w:val="fr-FR"/>
        </w:rPr>
        <w:t xml:space="preserve"> de détention provisoire du suspect avant la confirmation des charges. </w:t>
      </w:r>
      <w:r w:rsidR="00592488" w:rsidRPr="00953692">
        <w:rPr>
          <w:rFonts w:eastAsia="Times New Roman" w:cs="Times New Roman"/>
          <w:sz w:val="24"/>
          <w:szCs w:val="24"/>
          <w:shd w:val="clear" w:color="auto" w:fill="FFFFFF"/>
          <w:lang w:val="fr-FR"/>
        </w:rPr>
        <w:t>Comme l’a parfaitement jugé la Chambre d’appel de la CPI dans l’affaire Thomas Lubanga</w:t>
      </w:r>
      <w:r w:rsidR="0056202B" w:rsidRPr="00953692">
        <w:rPr>
          <w:rStyle w:val="Appelnotedebasdep"/>
          <w:rFonts w:eastAsia="Times New Roman" w:cs="Times New Roman"/>
          <w:sz w:val="24"/>
          <w:szCs w:val="24"/>
          <w:shd w:val="clear" w:color="auto" w:fill="FFFFFF"/>
          <w:lang w:val="fr-FR"/>
        </w:rPr>
        <w:footnoteReference w:customMarkFollows="1" w:id="139"/>
        <w:t>117</w:t>
      </w:r>
      <w:r w:rsidR="00592488" w:rsidRPr="00953692">
        <w:rPr>
          <w:rFonts w:eastAsia="Times New Roman" w:cs="Times New Roman"/>
          <w:sz w:val="24"/>
          <w:szCs w:val="24"/>
          <w:shd w:val="clear" w:color="auto" w:fill="FFFFFF"/>
          <w:lang w:val="fr-FR"/>
        </w:rPr>
        <w:t xml:space="preserve">, on est pratiquement dans un domaine d’appréciation in concreto dont seul le juge </w:t>
      </w:r>
      <w:r w:rsidR="008A4B5B" w:rsidRPr="00953692">
        <w:rPr>
          <w:rFonts w:eastAsia="Times New Roman" w:cs="Times New Roman"/>
          <w:sz w:val="24"/>
          <w:szCs w:val="24"/>
          <w:shd w:val="clear" w:color="auto" w:fill="FFFFFF"/>
          <w:lang w:val="fr-FR"/>
        </w:rPr>
        <w:t>possède</w:t>
      </w:r>
      <w:r w:rsidR="00592488" w:rsidRPr="00953692">
        <w:rPr>
          <w:rFonts w:eastAsia="Times New Roman" w:cs="Times New Roman"/>
          <w:sz w:val="24"/>
          <w:szCs w:val="24"/>
          <w:shd w:val="clear" w:color="auto" w:fill="FFFFFF"/>
          <w:lang w:val="fr-FR"/>
        </w:rPr>
        <w:t xml:space="preserve"> le pouvoir d’en déterminer. </w:t>
      </w:r>
    </w:p>
    <w:p w14:paraId="5DF59B6C" w14:textId="7AA22128" w:rsidR="0076405D" w:rsidRPr="00953692" w:rsidRDefault="00F637E1" w:rsidP="00864BBF">
      <w:pPr>
        <w:spacing w:after="0" w:line="276" w:lineRule="auto"/>
        <w:ind w:firstLine="1134"/>
        <w:jc w:val="both"/>
        <w:rPr>
          <w:sz w:val="24"/>
          <w:szCs w:val="24"/>
          <w:lang w:val="fr-FR"/>
        </w:rPr>
      </w:pPr>
      <w:r w:rsidRPr="00953692">
        <w:rPr>
          <w:rFonts w:eastAsia="Times New Roman" w:cs="Times New Roman"/>
          <w:b/>
          <w:bCs/>
          <w:sz w:val="24"/>
          <w:szCs w:val="24"/>
          <w:shd w:val="clear" w:color="auto" w:fill="FFFFFF"/>
          <w:lang w:val="fr-FR"/>
        </w:rPr>
        <w:t>1</w:t>
      </w:r>
      <w:r w:rsidR="00F1003E" w:rsidRPr="00953692">
        <w:rPr>
          <w:rFonts w:eastAsia="Times New Roman" w:cs="Times New Roman"/>
          <w:b/>
          <w:bCs/>
          <w:sz w:val="24"/>
          <w:szCs w:val="24"/>
          <w:shd w:val="clear" w:color="auto" w:fill="FFFFFF"/>
          <w:lang w:val="fr-FR"/>
        </w:rPr>
        <w:t>77</w:t>
      </w:r>
      <w:r w:rsidRPr="00953692">
        <w:rPr>
          <w:rFonts w:eastAsia="Times New Roman" w:cs="Times New Roman"/>
          <w:b/>
          <w:bCs/>
          <w:sz w:val="24"/>
          <w:szCs w:val="24"/>
          <w:shd w:val="clear" w:color="auto" w:fill="FFFFFF"/>
          <w:lang w:val="fr-FR"/>
        </w:rPr>
        <w:t>.</w:t>
      </w:r>
      <w:r w:rsidRPr="00953692">
        <w:rPr>
          <w:rFonts w:eastAsia="Times New Roman" w:cs="Times New Roman"/>
          <w:sz w:val="24"/>
          <w:szCs w:val="24"/>
          <w:shd w:val="clear" w:color="auto" w:fill="FFFFFF"/>
          <w:lang w:val="fr-FR"/>
        </w:rPr>
        <w:t xml:space="preserve"> </w:t>
      </w:r>
      <w:r w:rsidR="0076405D" w:rsidRPr="00953692">
        <w:rPr>
          <w:rFonts w:eastAsia="Times New Roman" w:cs="Times New Roman"/>
          <w:sz w:val="24"/>
          <w:szCs w:val="24"/>
          <w:shd w:val="clear" w:color="auto" w:fill="FFFFFF"/>
          <w:lang w:val="fr-FR"/>
        </w:rPr>
        <w:t>On retrouve</w:t>
      </w:r>
      <w:r w:rsidR="001B7BB2" w:rsidRPr="00953692">
        <w:rPr>
          <w:rFonts w:eastAsia="Times New Roman" w:cs="Times New Roman"/>
          <w:sz w:val="24"/>
          <w:szCs w:val="24"/>
          <w:shd w:val="clear" w:color="auto" w:fill="FFFFFF"/>
          <w:lang w:val="fr-FR"/>
        </w:rPr>
        <w:t>rait</w:t>
      </w:r>
      <w:r w:rsidR="0076405D" w:rsidRPr="00953692">
        <w:rPr>
          <w:rFonts w:eastAsia="Times New Roman" w:cs="Times New Roman"/>
          <w:sz w:val="24"/>
          <w:szCs w:val="24"/>
          <w:shd w:val="clear" w:color="auto" w:fill="FFFFFF"/>
          <w:lang w:val="fr-FR"/>
        </w:rPr>
        <w:t xml:space="preserve"> plutôt dans l’article 61 une formule qui en ouvre une brèche dans laquelle on peut bien </w:t>
      </w:r>
      <w:r w:rsidR="001B7BB2" w:rsidRPr="00953692">
        <w:rPr>
          <w:rFonts w:eastAsia="Times New Roman" w:cs="Times New Roman"/>
          <w:sz w:val="24"/>
          <w:szCs w:val="24"/>
          <w:shd w:val="clear" w:color="auto" w:fill="FFFFFF"/>
          <w:lang w:val="fr-FR"/>
        </w:rPr>
        <w:t>(</w:t>
      </w:r>
      <w:r w:rsidR="00592488" w:rsidRPr="00953692">
        <w:rPr>
          <w:rFonts w:eastAsia="Times New Roman" w:cs="Times New Roman"/>
          <w:sz w:val="24"/>
          <w:szCs w:val="24"/>
          <w:shd w:val="clear" w:color="auto" w:fill="FFFFFF"/>
          <w:lang w:val="fr-FR"/>
        </w:rPr>
        <w:t>désespérément</w:t>
      </w:r>
      <w:r w:rsidR="001B7BB2" w:rsidRPr="00953692">
        <w:rPr>
          <w:rFonts w:eastAsia="Times New Roman" w:cs="Times New Roman"/>
          <w:sz w:val="24"/>
          <w:szCs w:val="24"/>
          <w:shd w:val="clear" w:color="auto" w:fill="FFFFFF"/>
          <w:lang w:val="fr-FR"/>
        </w:rPr>
        <w:t>)</w:t>
      </w:r>
      <w:r w:rsidR="00592488" w:rsidRPr="00953692">
        <w:rPr>
          <w:rFonts w:eastAsia="Times New Roman" w:cs="Times New Roman"/>
          <w:sz w:val="24"/>
          <w:szCs w:val="24"/>
          <w:shd w:val="clear" w:color="auto" w:fill="FFFFFF"/>
          <w:lang w:val="fr-FR"/>
        </w:rPr>
        <w:t xml:space="preserve"> </w:t>
      </w:r>
      <w:r w:rsidR="0076405D" w:rsidRPr="00953692">
        <w:rPr>
          <w:rFonts w:eastAsia="Times New Roman" w:cs="Times New Roman"/>
          <w:sz w:val="24"/>
          <w:szCs w:val="24"/>
          <w:shd w:val="clear" w:color="auto" w:fill="FFFFFF"/>
          <w:lang w:val="fr-FR"/>
        </w:rPr>
        <w:t>s’engouffrer pour déterminer les traces</w:t>
      </w:r>
      <w:r w:rsidR="0056202B" w:rsidRPr="00953692">
        <w:rPr>
          <w:rFonts w:eastAsia="Times New Roman" w:cs="Times New Roman"/>
          <w:sz w:val="24"/>
          <w:szCs w:val="24"/>
          <w:shd w:val="clear" w:color="auto" w:fill="FFFFFF"/>
          <w:lang w:val="fr-FR"/>
        </w:rPr>
        <w:t xml:space="preserve"> concrètes</w:t>
      </w:r>
      <w:r w:rsidR="0076405D" w:rsidRPr="00953692">
        <w:rPr>
          <w:rFonts w:eastAsia="Times New Roman" w:cs="Times New Roman"/>
          <w:sz w:val="24"/>
          <w:szCs w:val="24"/>
          <w:shd w:val="clear" w:color="auto" w:fill="FFFFFF"/>
          <w:lang w:val="fr-FR"/>
        </w:rPr>
        <w:t xml:space="preserve"> de ce droit. En effet, cet article dispose que : </w:t>
      </w:r>
      <w:r w:rsidR="0076405D" w:rsidRPr="00953692">
        <w:rPr>
          <w:i/>
          <w:iCs/>
          <w:sz w:val="24"/>
          <w:szCs w:val="24"/>
          <w:lang w:val="fr-FR"/>
        </w:rPr>
        <w:t>dans un délai raisonnable après la remise de la personne à la Cour ou sa comparution volontaire devant celle-ci, la Chambre préliminaire tient une audience pour confirmer les charges sur lesquelles le Procureur entend se fonder pour requérir le renvoi en jugement</w:t>
      </w:r>
      <w:r w:rsidR="0076405D" w:rsidRPr="00953692">
        <w:rPr>
          <w:sz w:val="24"/>
          <w:szCs w:val="24"/>
          <w:lang w:val="fr-FR"/>
        </w:rPr>
        <w:t>. Cette disposition devra être associ</w:t>
      </w:r>
      <w:r w:rsidR="00570360" w:rsidRPr="00953692">
        <w:rPr>
          <w:sz w:val="24"/>
          <w:szCs w:val="24"/>
          <w:lang w:val="fr-FR"/>
        </w:rPr>
        <w:t>ée</w:t>
      </w:r>
      <w:r w:rsidR="0076405D" w:rsidRPr="00953692">
        <w:rPr>
          <w:sz w:val="24"/>
          <w:szCs w:val="24"/>
          <w:lang w:val="fr-FR"/>
        </w:rPr>
        <w:t xml:space="preserve"> à la règle 121 du RPP dont le paragraphe 3 prévoit que </w:t>
      </w:r>
      <w:r w:rsidR="0076405D" w:rsidRPr="00953692">
        <w:rPr>
          <w:rFonts w:eastAsia="Times New Roman" w:cs="Times New Roman"/>
          <w:i/>
          <w:iCs/>
          <w:sz w:val="24"/>
          <w:szCs w:val="24"/>
          <w:shd w:val="clear" w:color="auto" w:fill="FFFFFF"/>
          <w:lang w:val="fr-FR"/>
        </w:rPr>
        <w:t>le procureur doit remettre à la Chambre préliminaire et à la personne concernée au plus tard 30 jours avant la date du jugement</w:t>
      </w:r>
      <w:r w:rsidR="00C853A3" w:rsidRPr="00953692">
        <w:rPr>
          <w:rFonts w:eastAsia="Times New Roman" w:cs="Times New Roman"/>
          <w:i/>
          <w:iCs/>
          <w:sz w:val="24"/>
          <w:szCs w:val="24"/>
          <w:shd w:val="clear" w:color="auto" w:fill="FFFFFF"/>
          <w:lang w:val="fr-FR"/>
        </w:rPr>
        <w:t>,</w:t>
      </w:r>
      <w:r w:rsidR="0076405D" w:rsidRPr="00953692">
        <w:rPr>
          <w:rFonts w:eastAsia="Times New Roman" w:cs="Times New Roman"/>
          <w:i/>
          <w:iCs/>
          <w:sz w:val="24"/>
          <w:szCs w:val="24"/>
          <w:shd w:val="clear" w:color="auto" w:fill="FFFFFF"/>
          <w:lang w:val="fr-FR"/>
        </w:rPr>
        <w:t xml:space="preserve"> un exposé détaillé des charges et une liste des éléments de preuve qu'il entend présenter à l'audience. </w:t>
      </w:r>
      <w:r w:rsidR="0076405D" w:rsidRPr="00953692">
        <w:rPr>
          <w:rFonts w:eastAsia="Times New Roman" w:cs="Times New Roman"/>
          <w:sz w:val="24"/>
          <w:szCs w:val="24"/>
          <w:shd w:val="clear" w:color="auto" w:fill="FFFFFF"/>
          <w:lang w:val="fr-FR"/>
        </w:rPr>
        <w:t>Et le paragraphe suivant lui offre la possibilité de</w:t>
      </w:r>
      <w:r w:rsidR="0076405D" w:rsidRPr="00953692">
        <w:rPr>
          <w:rFonts w:eastAsia="Times New Roman" w:cs="Times New Roman"/>
          <w:i/>
          <w:iCs/>
          <w:sz w:val="24"/>
          <w:szCs w:val="24"/>
          <w:shd w:val="clear" w:color="auto" w:fill="FFFFFF"/>
          <w:lang w:val="fr-FR"/>
        </w:rPr>
        <w:t xml:space="preserve"> présenter de nouveaux éléments de preuve au plus tard 15 jours avant la date de </w:t>
      </w:r>
      <w:r w:rsidR="007F4894" w:rsidRPr="00953692">
        <w:rPr>
          <w:rFonts w:eastAsia="Times New Roman" w:cs="Times New Roman"/>
          <w:i/>
          <w:iCs/>
          <w:sz w:val="24"/>
          <w:szCs w:val="24"/>
          <w:shd w:val="clear" w:color="auto" w:fill="FFFFFF"/>
          <w:lang w:val="fr-FR"/>
        </w:rPr>
        <w:t xml:space="preserve">cette </w:t>
      </w:r>
      <w:r w:rsidR="0076405D" w:rsidRPr="00953692">
        <w:rPr>
          <w:rFonts w:eastAsia="Times New Roman" w:cs="Times New Roman"/>
          <w:i/>
          <w:iCs/>
          <w:sz w:val="24"/>
          <w:szCs w:val="24"/>
          <w:shd w:val="clear" w:color="auto" w:fill="FFFFFF"/>
          <w:lang w:val="fr-FR"/>
        </w:rPr>
        <w:t>audience</w:t>
      </w:r>
      <w:r w:rsidR="007F4894" w:rsidRPr="00953692">
        <w:rPr>
          <w:rFonts w:eastAsia="Times New Roman" w:cs="Times New Roman"/>
          <w:i/>
          <w:iCs/>
          <w:sz w:val="24"/>
          <w:szCs w:val="24"/>
          <w:shd w:val="clear" w:color="auto" w:fill="FFFFFF"/>
          <w:lang w:val="fr-FR"/>
        </w:rPr>
        <w:t xml:space="preserve"> de confirmation des charges</w:t>
      </w:r>
      <w:r w:rsidR="0076405D" w:rsidRPr="00953692">
        <w:rPr>
          <w:rFonts w:eastAsia="Times New Roman" w:cs="Times New Roman"/>
          <w:sz w:val="24"/>
          <w:szCs w:val="24"/>
          <w:shd w:val="clear" w:color="auto" w:fill="FFFFFF"/>
          <w:lang w:val="fr-FR"/>
        </w:rPr>
        <w:t>.</w:t>
      </w:r>
    </w:p>
    <w:p w14:paraId="44868F8E" w14:textId="77777777" w:rsidR="00F1003E" w:rsidRPr="00953692" w:rsidRDefault="001567F6" w:rsidP="00F1003E">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1</w:t>
      </w:r>
      <w:r w:rsidR="00F1003E" w:rsidRPr="00953692">
        <w:rPr>
          <w:rFonts w:eastAsia="Times New Roman" w:cs="Times New Roman"/>
          <w:b/>
          <w:bCs/>
          <w:sz w:val="24"/>
          <w:szCs w:val="24"/>
          <w:shd w:val="clear" w:color="auto" w:fill="FFFFFF"/>
          <w:lang w:val="fr-FR"/>
        </w:rPr>
        <w:t>78</w:t>
      </w:r>
      <w:r w:rsidRPr="00953692">
        <w:rPr>
          <w:rFonts w:eastAsia="Times New Roman" w:cs="Times New Roman"/>
          <w:b/>
          <w:bCs/>
          <w:sz w:val="24"/>
          <w:szCs w:val="24"/>
          <w:shd w:val="clear" w:color="auto" w:fill="FFFFFF"/>
          <w:lang w:val="fr-FR"/>
        </w:rPr>
        <w:t>.</w:t>
      </w:r>
      <w:r w:rsidRPr="00953692">
        <w:rPr>
          <w:rFonts w:eastAsia="Times New Roman" w:cs="Times New Roman"/>
          <w:sz w:val="24"/>
          <w:szCs w:val="24"/>
          <w:shd w:val="clear" w:color="auto" w:fill="FFFFFF"/>
          <w:lang w:val="fr-FR"/>
        </w:rPr>
        <w:t xml:space="preserve"> </w:t>
      </w:r>
      <w:r w:rsidR="0076405D" w:rsidRPr="00953692">
        <w:rPr>
          <w:rFonts w:eastAsia="Times New Roman" w:cs="Times New Roman"/>
          <w:sz w:val="24"/>
          <w:szCs w:val="24"/>
          <w:shd w:val="clear" w:color="auto" w:fill="FFFFFF"/>
          <w:lang w:val="fr-FR"/>
        </w:rPr>
        <w:t>Il convient de remarquer avant tout que ces dispositions sont de portée générale, car elles impliquent à la fois les cas d’un suspect visé par un mandat d’arrêt ou une citation à comparaitre. Alors que le droit d’être inculpé dans le délai a une portée restrictive, ne concernant que le suspect privé de liberté. Qu’à cela ne tienne, il ressort de la lecture combinée de ces deux dispositions, que le délai envisageable pour la confirmation des charges ne saurait</w:t>
      </w:r>
      <w:r w:rsidR="00592488" w:rsidRPr="00953692">
        <w:rPr>
          <w:rFonts w:eastAsia="Times New Roman" w:cs="Times New Roman"/>
          <w:sz w:val="24"/>
          <w:szCs w:val="24"/>
          <w:shd w:val="clear" w:color="auto" w:fill="FFFFFF"/>
          <w:lang w:val="fr-FR"/>
        </w:rPr>
        <w:t>,</w:t>
      </w:r>
      <w:r w:rsidR="0076405D" w:rsidRPr="00953692">
        <w:rPr>
          <w:rFonts w:eastAsia="Times New Roman" w:cs="Times New Roman"/>
          <w:sz w:val="24"/>
          <w:szCs w:val="24"/>
          <w:shd w:val="clear" w:color="auto" w:fill="FFFFFF"/>
          <w:lang w:val="fr-FR"/>
        </w:rPr>
        <w:t xml:space="preserve"> dans tous les cas</w:t>
      </w:r>
      <w:r w:rsidR="00592488" w:rsidRPr="00953692">
        <w:rPr>
          <w:rFonts w:eastAsia="Times New Roman" w:cs="Times New Roman"/>
          <w:sz w:val="24"/>
          <w:szCs w:val="24"/>
          <w:shd w:val="clear" w:color="auto" w:fill="FFFFFF"/>
          <w:lang w:val="fr-FR"/>
        </w:rPr>
        <w:t>,</w:t>
      </w:r>
      <w:r w:rsidR="0076405D" w:rsidRPr="00953692">
        <w:rPr>
          <w:rFonts w:eastAsia="Times New Roman" w:cs="Times New Roman"/>
          <w:sz w:val="24"/>
          <w:szCs w:val="24"/>
          <w:shd w:val="clear" w:color="auto" w:fill="FFFFFF"/>
          <w:lang w:val="fr-FR"/>
        </w:rPr>
        <w:t xml:space="preserve"> être inférieur à 30 jours. C’est-à-dire que la Chambre préliminaire, en fixant la date d’audience de confirmation des charges, devra accorder au Procureur au moins un délai de 30 jours. </w:t>
      </w:r>
    </w:p>
    <w:p w14:paraId="31CF21AE" w14:textId="11EB638F" w:rsidR="003E5B3A" w:rsidRPr="00953692" w:rsidRDefault="00F1003E" w:rsidP="00F1003E">
      <w:pPr>
        <w:spacing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179.</w:t>
      </w:r>
      <w:r w:rsidRPr="00953692">
        <w:rPr>
          <w:rFonts w:eastAsia="Times New Roman" w:cs="Times New Roman"/>
          <w:sz w:val="24"/>
          <w:szCs w:val="24"/>
          <w:shd w:val="clear" w:color="auto" w:fill="FFFFFF"/>
          <w:lang w:val="fr-FR"/>
        </w:rPr>
        <w:t xml:space="preserve"> </w:t>
      </w:r>
      <w:r w:rsidR="0076405D" w:rsidRPr="00953692">
        <w:rPr>
          <w:rFonts w:eastAsia="Times New Roman" w:cs="Times New Roman"/>
          <w:sz w:val="24"/>
          <w:szCs w:val="24"/>
          <w:shd w:val="clear" w:color="auto" w:fill="FFFFFF"/>
          <w:lang w:val="fr-FR"/>
        </w:rPr>
        <w:t>Dans la pratique, les Chambres</w:t>
      </w:r>
      <w:r w:rsidR="00393F51" w:rsidRPr="00953692">
        <w:rPr>
          <w:rFonts w:eastAsia="Times New Roman" w:cs="Times New Roman"/>
          <w:sz w:val="24"/>
          <w:szCs w:val="24"/>
          <w:shd w:val="clear" w:color="auto" w:fill="FFFFFF"/>
          <w:lang w:val="fr-FR"/>
        </w:rPr>
        <w:t xml:space="preserve"> de la Cour pénale internationale</w:t>
      </w:r>
      <w:r w:rsidR="0076405D" w:rsidRPr="00953692">
        <w:rPr>
          <w:rFonts w:eastAsia="Times New Roman" w:cs="Times New Roman"/>
          <w:sz w:val="24"/>
          <w:szCs w:val="24"/>
          <w:shd w:val="clear" w:color="auto" w:fill="FFFFFF"/>
          <w:lang w:val="fr-FR"/>
        </w:rPr>
        <w:t xml:space="preserve"> estiment dans leur </w:t>
      </w:r>
      <w:r w:rsidR="00592488" w:rsidRPr="00953692">
        <w:rPr>
          <w:rFonts w:eastAsia="Times New Roman" w:cs="Times New Roman"/>
          <w:sz w:val="24"/>
          <w:szCs w:val="24"/>
          <w:shd w:val="clear" w:color="auto" w:fill="FFFFFF"/>
          <w:lang w:val="fr-FR"/>
        </w:rPr>
        <w:t>M</w:t>
      </w:r>
      <w:r w:rsidR="0076405D" w:rsidRPr="00953692">
        <w:rPr>
          <w:rFonts w:eastAsia="Times New Roman" w:cs="Times New Roman"/>
          <w:sz w:val="24"/>
          <w:szCs w:val="24"/>
          <w:shd w:val="clear" w:color="auto" w:fill="FFFFFF"/>
          <w:lang w:val="fr-FR"/>
        </w:rPr>
        <w:t>anuel de procédure que cette audience de confirmation des charges devra se tenir dans les 4 à 6 mois suivant la première comparution du suspect</w:t>
      </w:r>
      <w:r w:rsidR="001567F6" w:rsidRPr="00953692">
        <w:rPr>
          <w:rStyle w:val="Appelnotedebasdep"/>
          <w:rFonts w:eastAsia="Times New Roman" w:cs="Times New Roman"/>
          <w:sz w:val="24"/>
          <w:szCs w:val="24"/>
          <w:shd w:val="clear" w:color="auto" w:fill="FFFFFF"/>
          <w:lang w:val="fr-FR"/>
        </w:rPr>
        <w:footnoteReference w:customMarkFollows="1" w:id="140"/>
        <w:t>118</w:t>
      </w:r>
      <w:r w:rsidR="0076405D" w:rsidRPr="00953692">
        <w:rPr>
          <w:rFonts w:eastAsia="Times New Roman" w:cs="Times New Roman"/>
          <w:sz w:val="24"/>
          <w:szCs w:val="24"/>
          <w:shd w:val="clear" w:color="auto" w:fill="FFFFFF"/>
          <w:lang w:val="fr-FR"/>
        </w:rPr>
        <w:t xml:space="preserve">. Dans ce cas de figure, on est bien loin de la règle de </w:t>
      </w:r>
      <w:r w:rsidR="009E6C56" w:rsidRPr="00953692">
        <w:rPr>
          <w:rFonts w:eastAsia="Times New Roman" w:cs="Times New Roman"/>
          <w:sz w:val="24"/>
          <w:szCs w:val="24"/>
          <w:shd w:val="clear" w:color="auto" w:fill="FFFFFF"/>
          <w:lang w:val="fr-FR"/>
        </w:rPr>
        <w:t>trente</w:t>
      </w:r>
      <w:r w:rsidR="0076405D" w:rsidRPr="00953692">
        <w:rPr>
          <w:rFonts w:eastAsia="Times New Roman" w:cs="Times New Roman"/>
          <w:sz w:val="24"/>
          <w:szCs w:val="24"/>
          <w:shd w:val="clear" w:color="auto" w:fill="FFFFFF"/>
          <w:lang w:val="fr-FR"/>
        </w:rPr>
        <w:t xml:space="preserve"> jour</w:t>
      </w:r>
      <w:r w:rsidR="00AE317F" w:rsidRPr="00953692">
        <w:rPr>
          <w:rFonts w:eastAsia="Times New Roman" w:cs="Times New Roman"/>
          <w:sz w:val="24"/>
          <w:szCs w:val="24"/>
          <w:shd w:val="clear" w:color="auto" w:fill="FFFFFF"/>
          <w:lang w:val="fr-FR"/>
        </w:rPr>
        <w:t>s</w:t>
      </w:r>
      <w:r w:rsidR="0076405D" w:rsidRPr="00953692">
        <w:rPr>
          <w:rFonts w:eastAsia="Times New Roman" w:cs="Times New Roman"/>
          <w:sz w:val="24"/>
          <w:szCs w:val="24"/>
          <w:shd w:val="clear" w:color="auto" w:fill="FFFFFF"/>
          <w:lang w:val="fr-FR"/>
        </w:rPr>
        <w:t xml:space="preserve"> renouvelable</w:t>
      </w:r>
      <w:r w:rsidR="00AE317F" w:rsidRPr="00953692">
        <w:rPr>
          <w:rFonts w:eastAsia="Times New Roman" w:cs="Times New Roman"/>
          <w:sz w:val="24"/>
          <w:szCs w:val="24"/>
          <w:shd w:val="clear" w:color="auto" w:fill="FFFFFF"/>
          <w:lang w:val="fr-FR"/>
        </w:rPr>
        <w:t>s</w:t>
      </w:r>
      <w:r w:rsidR="0076405D" w:rsidRPr="00953692">
        <w:rPr>
          <w:rFonts w:eastAsia="Times New Roman" w:cs="Times New Roman"/>
          <w:sz w:val="24"/>
          <w:szCs w:val="24"/>
          <w:shd w:val="clear" w:color="auto" w:fill="FFFFFF"/>
          <w:lang w:val="fr-FR"/>
        </w:rPr>
        <w:t xml:space="preserve"> strictement deux fois dans </w:t>
      </w:r>
      <w:r w:rsidR="0076405D" w:rsidRPr="00953692">
        <w:rPr>
          <w:rFonts w:eastAsia="Times New Roman" w:cs="Times New Roman"/>
          <w:sz w:val="24"/>
          <w:szCs w:val="24"/>
          <w:shd w:val="clear" w:color="auto" w:fill="FFFFFF"/>
          <w:lang w:val="fr-FR"/>
        </w:rPr>
        <w:lastRenderedPageBreak/>
        <w:t>des conditions bien précises, notamment la nécessité de l’enquête. Devant la CPI</w:t>
      </w:r>
      <w:r w:rsidR="00AE317F" w:rsidRPr="00953692">
        <w:rPr>
          <w:rFonts w:eastAsia="Times New Roman" w:cs="Times New Roman"/>
          <w:sz w:val="24"/>
          <w:szCs w:val="24"/>
          <w:shd w:val="clear" w:color="auto" w:fill="FFFFFF"/>
          <w:lang w:val="fr-FR"/>
        </w:rPr>
        <w:t>,</w:t>
      </w:r>
      <w:r w:rsidR="0076405D" w:rsidRPr="00953692">
        <w:rPr>
          <w:rFonts w:eastAsia="Times New Roman" w:cs="Times New Roman"/>
          <w:sz w:val="24"/>
          <w:szCs w:val="24"/>
          <w:shd w:val="clear" w:color="auto" w:fill="FFFFFF"/>
          <w:lang w:val="fr-FR"/>
        </w:rPr>
        <w:t xml:space="preserve"> en réalité</w:t>
      </w:r>
      <w:r w:rsidR="00AE317F" w:rsidRPr="00953692">
        <w:rPr>
          <w:rFonts w:eastAsia="Times New Roman" w:cs="Times New Roman"/>
          <w:sz w:val="24"/>
          <w:szCs w:val="24"/>
          <w:shd w:val="clear" w:color="auto" w:fill="FFFFFF"/>
          <w:lang w:val="fr-FR"/>
        </w:rPr>
        <w:t>,</w:t>
      </w:r>
      <w:r w:rsidR="0076405D" w:rsidRPr="00953692">
        <w:rPr>
          <w:rFonts w:eastAsia="Times New Roman" w:cs="Times New Roman"/>
          <w:sz w:val="24"/>
          <w:szCs w:val="24"/>
          <w:shd w:val="clear" w:color="auto" w:fill="FFFFFF"/>
          <w:lang w:val="fr-FR"/>
        </w:rPr>
        <w:t xml:space="preserve"> le délai n’est pas déterminé et devra s’apprécier au cas par cas</w:t>
      </w:r>
      <w:r w:rsidR="00393F51" w:rsidRPr="00953692">
        <w:rPr>
          <w:rFonts w:eastAsia="Times New Roman" w:cs="Times New Roman"/>
          <w:sz w:val="24"/>
          <w:szCs w:val="24"/>
          <w:shd w:val="clear" w:color="auto" w:fill="FFFFFF"/>
          <w:lang w:val="fr-FR"/>
        </w:rPr>
        <w:t>, tel que l’atteste parfaitement la pratique de cette Cour</w:t>
      </w:r>
      <w:r w:rsidR="0076405D" w:rsidRPr="00953692">
        <w:rPr>
          <w:rFonts w:eastAsia="Times New Roman" w:cs="Times New Roman"/>
          <w:sz w:val="24"/>
          <w:szCs w:val="24"/>
          <w:shd w:val="clear" w:color="auto" w:fill="FFFFFF"/>
          <w:lang w:val="fr-FR"/>
        </w:rPr>
        <w:t xml:space="preserve">. </w:t>
      </w:r>
    </w:p>
    <w:p w14:paraId="0462699E" w14:textId="737432F3" w:rsidR="0076405D" w:rsidRPr="00953692" w:rsidRDefault="003E5B3A" w:rsidP="00F1003E">
      <w:pPr>
        <w:spacing w:line="276" w:lineRule="auto"/>
        <w:ind w:left="1134" w:firstLine="1134"/>
        <w:jc w:val="both"/>
        <w:rPr>
          <w:rFonts w:eastAsia="Times New Roman" w:cs="Times New Roman"/>
          <w:sz w:val="22"/>
          <w:shd w:val="clear" w:color="auto" w:fill="FFFFFF"/>
          <w:lang w:val="fr-FR"/>
        </w:rPr>
      </w:pPr>
      <w:r w:rsidRPr="00953692">
        <w:rPr>
          <w:rFonts w:eastAsia="Times New Roman" w:cs="Times New Roman"/>
          <w:i/>
          <w:iCs/>
          <w:sz w:val="22"/>
          <w:shd w:val="clear" w:color="auto" w:fill="FFFFFF"/>
          <w:lang w:val="fr-FR"/>
        </w:rPr>
        <w:t>L’affaire</w:t>
      </w:r>
      <w:r w:rsidR="0076405D" w:rsidRPr="00953692">
        <w:rPr>
          <w:rFonts w:eastAsia="Times New Roman" w:cs="Times New Roman"/>
          <w:i/>
          <w:iCs/>
          <w:sz w:val="22"/>
          <w:shd w:val="clear" w:color="auto" w:fill="FFFFFF"/>
          <w:lang w:val="fr-FR"/>
        </w:rPr>
        <w:t xml:space="preserve"> le Procureur c. Thomas Lubanga, ce dernier ayant comparu pour la première fois devant le tribunal le 20 mars 2006. L'audience de confirmation des charges a eu lieu au siège de la Cour à La Haye du 9 au 28 novembre 2006, soit </w:t>
      </w:r>
      <w:r w:rsidR="00AE317F" w:rsidRPr="00953692">
        <w:rPr>
          <w:rFonts w:eastAsia="Times New Roman" w:cs="Times New Roman"/>
          <w:i/>
          <w:iCs/>
          <w:sz w:val="22"/>
          <w:shd w:val="clear" w:color="auto" w:fill="FFFFFF"/>
          <w:lang w:val="fr-FR"/>
        </w:rPr>
        <w:t>neuf</w:t>
      </w:r>
      <w:r w:rsidR="0076405D" w:rsidRPr="00953692">
        <w:rPr>
          <w:rFonts w:eastAsia="Times New Roman" w:cs="Times New Roman"/>
          <w:i/>
          <w:iCs/>
          <w:sz w:val="22"/>
          <w:shd w:val="clear" w:color="auto" w:fill="FFFFFF"/>
          <w:lang w:val="fr-FR"/>
        </w:rPr>
        <w:t xml:space="preserve"> mois plus tard</w:t>
      </w:r>
      <w:r w:rsidR="001567F6" w:rsidRPr="00953692">
        <w:rPr>
          <w:rStyle w:val="Appelnotedebasdep"/>
          <w:rFonts w:eastAsia="Times New Roman" w:cs="Times New Roman"/>
          <w:i/>
          <w:iCs/>
          <w:sz w:val="22"/>
          <w:shd w:val="clear" w:color="auto" w:fill="FFFFFF"/>
          <w:lang w:val="fr-FR"/>
        </w:rPr>
        <w:footnoteReference w:customMarkFollows="1" w:id="141"/>
        <w:t>119</w:t>
      </w:r>
      <w:r w:rsidR="0076405D" w:rsidRPr="00953692">
        <w:rPr>
          <w:rFonts w:eastAsia="Times New Roman" w:cs="Times New Roman"/>
          <w:i/>
          <w:iCs/>
          <w:sz w:val="22"/>
          <w:shd w:val="clear" w:color="auto" w:fill="FFFFFF"/>
          <w:lang w:val="fr-FR"/>
        </w:rPr>
        <w:t>. Dans l'affaire Le Procureur c. Jean</w:t>
      </w:r>
      <w:r w:rsidR="00AE317F" w:rsidRPr="00953692">
        <w:rPr>
          <w:rFonts w:eastAsia="Times New Roman" w:cs="Times New Roman"/>
          <w:i/>
          <w:iCs/>
          <w:sz w:val="22"/>
          <w:shd w:val="clear" w:color="auto" w:fill="FFFFFF"/>
          <w:lang w:val="fr-FR"/>
        </w:rPr>
        <w:t>-</w:t>
      </w:r>
      <w:r w:rsidR="0076405D" w:rsidRPr="00953692">
        <w:rPr>
          <w:rFonts w:eastAsia="Times New Roman" w:cs="Times New Roman"/>
          <w:i/>
          <w:iCs/>
          <w:sz w:val="22"/>
          <w:shd w:val="clear" w:color="auto" w:fill="FFFFFF"/>
          <w:lang w:val="fr-FR"/>
        </w:rPr>
        <w:t>Pierre Bemba, ce dernier a été déféré à la CPI le 3 juillet 2008, a comparu pour la première fois le 4 juillet 2008. Il lui a fallu plus de six mois, soit du 12 au 15 janvier 2009, avant l’audience de la confirmation des charges retenues contre lui. Près de trois mois plus tard, le 3 mars 2009, elle sera ajournée au motif que la qualification juridique des faits en l'espèce peut correspondre à une forme de responsabilité autre que la responsabilité individuelle invoquée par le Procureur</w:t>
      </w:r>
      <w:r w:rsidR="001567F6" w:rsidRPr="00953692">
        <w:rPr>
          <w:rStyle w:val="Appelnotedebasdep"/>
          <w:rFonts w:eastAsia="Times New Roman" w:cs="Times New Roman"/>
          <w:i/>
          <w:iCs/>
          <w:sz w:val="22"/>
          <w:shd w:val="clear" w:color="auto" w:fill="FFFFFF"/>
          <w:lang w:val="fr-FR"/>
        </w:rPr>
        <w:footnoteReference w:customMarkFollows="1" w:id="142"/>
        <w:t>120</w:t>
      </w:r>
      <w:r w:rsidR="0076405D" w:rsidRPr="00953692">
        <w:rPr>
          <w:rFonts w:eastAsia="Times New Roman" w:cs="Times New Roman"/>
          <w:i/>
          <w:iCs/>
          <w:sz w:val="22"/>
          <w:shd w:val="clear" w:color="auto" w:fill="FFFFFF"/>
          <w:lang w:val="fr-FR"/>
        </w:rPr>
        <w:t>. Dans l'affaire Le Procureur c. L</w:t>
      </w:r>
      <w:r w:rsidR="008B191B" w:rsidRPr="00953692">
        <w:rPr>
          <w:rFonts w:eastAsia="Times New Roman" w:cs="Times New Roman"/>
          <w:i/>
          <w:iCs/>
          <w:sz w:val="22"/>
          <w:shd w:val="clear" w:color="auto" w:fill="FFFFFF"/>
          <w:lang w:val="fr-FR"/>
        </w:rPr>
        <w:t>.</w:t>
      </w:r>
      <w:r w:rsidR="0076405D" w:rsidRPr="00953692">
        <w:rPr>
          <w:rFonts w:eastAsia="Times New Roman" w:cs="Times New Roman"/>
          <w:i/>
          <w:iCs/>
          <w:sz w:val="22"/>
          <w:shd w:val="clear" w:color="auto" w:fill="FFFFFF"/>
          <w:lang w:val="fr-FR"/>
        </w:rPr>
        <w:t xml:space="preserve"> Gbagbo, le 5 décembre 2011, le suspect a comparu pour la première fois devant la Chambre préliminaire</w:t>
      </w:r>
      <w:r w:rsidR="008B191B" w:rsidRPr="00953692">
        <w:rPr>
          <w:rFonts w:eastAsia="Times New Roman" w:cs="Times New Roman"/>
          <w:i/>
          <w:iCs/>
          <w:sz w:val="22"/>
          <w:shd w:val="clear" w:color="auto" w:fill="FFFFFF"/>
          <w:lang w:val="fr-FR"/>
        </w:rPr>
        <w:t xml:space="preserve"> I</w:t>
      </w:r>
      <w:r w:rsidR="0076405D" w:rsidRPr="00953692">
        <w:rPr>
          <w:rFonts w:eastAsia="Times New Roman" w:cs="Times New Roman"/>
          <w:i/>
          <w:iCs/>
          <w:sz w:val="22"/>
          <w:shd w:val="clear" w:color="auto" w:fill="FFFFFF"/>
          <w:lang w:val="fr-FR"/>
        </w:rPr>
        <w:t>. Plus d'un an plus tard, du 19 au 28 février 2013, une audience de confirmation a eu lieu. La Chambre a ajourné l'audience et a demandé au Procureur d'envisager de fournir des éléments de preuve supplémentaires ou de mener une nouvelle enquête</w:t>
      </w:r>
      <w:r w:rsidR="001567F6" w:rsidRPr="00953692">
        <w:rPr>
          <w:rStyle w:val="Appelnotedebasdep"/>
          <w:rFonts w:eastAsia="Times New Roman" w:cs="Times New Roman"/>
          <w:i/>
          <w:iCs/>
          <w:sz w:val="22"/>
          <w:shd w:val="clear" w:color="auto" w:fill="FFFFFF"/>
          <w:lang w:val="fr-FR"/>
        </w:rPr>
        <w:footnoteReference w:customMarkFollows="1" w:id="143"/>
        <w:t>121</w:t>
      </w:r>
      <w:r w:rsidR="0076405D" w:rsidRPr="00953692">
        <w:rPr>
          <w:rFonts w:eastAsia="Times New Roman" w:cs="Times New Roman"/>
          <w:sz w:val="22"/>
          <w:shd w:val="clear" w:color="auto" w:fill="FFFFFF"/>
          <w:lang w:val="fr-FR"/>
        </w:rPr>
        <w:t>.</w:t>
      </w:r>
    </w:p>
    <w:p w14:paraId="3E8763E1" w14:textId="5CC3B1F0" w:rsidR="003E5B3A" w:rsidRPr="00953692" w:rsidRDefault="001567F6" w:rsidP="00864BBF">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1</w:t>
      </w:r>
      <w:r w:rsidR="00F1003E" w:rsidRPr="00953692">
        <w:rPr>
          <w:rFonts w:eastAsia="Times New Roman" w:cs="Times New Roman"/>
          <w:b/>
          <w:bCs/>
          <w:sz w:val="24"/>
          <w:szCs w:val="24"/>
          <w:shd w:val="clear" w:color="auto" w:fill="FFFFFF"/>
          <w:lang w:val="fr-FR"/>
        </w:rPr>
        <w:t>80</w:t>
      </w:r>
      <w:r w:rsidRPr="00953692">
        <w:rPr>
          <w:rFonts w:eastAsia="Times New Roman" w:cs="Times New Roman"/>
          <w:b/>
          <w:bCs/>
          <w:sz w:val="24"/>
          <w:szCs w:val="24"/>
          <w:shd w:val="clear" w:color="auto" w:fill="FFFFFF"/>
          <w:lang w:val="fr-FR"/>
        </w:rPr>
        <w:t>.</w:t>
      </w:r>
      <w:r w:rsidRPr="00953692">
        <w:rPr>
          <w:rFonts w:eastAsia="Times New Roman" w:cs="Times New Roman"/>
          <w:sz w:val="24"/>
          <w:szCs w:val="24"/>
          <w:shd w:val="clear" w:color="auto" w:fill="FFFFFF"/>
          <w:lang w:val="fr-FR"/>
        </w:rPr>
        <w:t xml:space="preserve"> </w:t>
      </w:r>
      <w:r w:rsidR="0076405D" w:rsidRPr="00953692">
        <w:rPr>
          <w:rFonts w:eastAsia="Times New Roman" w:cs="Times New Roman"/>
          <w:sz w:val="24"/>
          <w:szCs w:val="24"/>
          <w:shd w:val="clear" w:color="auto" w:fill="FFFFFF"/>
          <w:lang w:val="fr-FR"/>
        </w:rPr>
        <w:t>On peut bien voir au travers ces illustrations que</w:t>
      </w:r>
      <w:r w:rsidR="00AE0328" w:rsidRPr="00953692">
        <w:rPr>
          <w:rFonts w:eastAsia="Times New Roman" w:cs="Times New Roman"/>
          <w:sz w:val="24"/>
          <w:szCs w:val="24"/>
          <w:shd w:val="clear" w:color="auto" w:fill="FFFFFF"/>
          <w:lang w:val="fr-FR"/>
        </w:rPr>
        <w:t>,</w:t>
      </w:r>
      <w:r w:rsidR="0076405D" w:rsidRPr="00953692">
        <w:rPr>
          <w:rFonts w:eastAsia="Times New Roman" w:cs="Times New Roman"/>
          <w:sz w:val="24"/>
          <w:szCs w:val="24"/>
          <w:shd w:val="clear" w:color="auto" w:fill="FFFFFF"/>
          <w:lang w:val="fr-FR"/>
        </w:rPr>
        <w:t xml:space="preserve"> le droit d’être inculpé dans le délai rencontre une difficulté majeure</w:t>
      </w:r>
      <w:r w:rsidR="00AE317F" w:rsidRPr="00953692">
        <w:rPr>
          <w:rFonts w:eastAsia="Times New Roman" w:cs="Times New Roman"/>
          <w:sz w:val="24"/>
          <w:szCs w:val="24"/>
          <w:shd w:val="clear" w:color="auto" w:fill="FFFFFF"/>
          <w:lang w:val="fr-FR"/>
        </w:rPr>
        <w:t>,</w:t>
      </w:r>
      <w:r w:rsidR="0076405D" w:rsidRPr="00953692">
        <w:rPr>
          <w:rFonts w:eastAsia="Times New Roman" w:cs="Times New Roman"/>
          <w:sz w:val="24"/>
          <w:szCs w:val="24"/>
          <w:shd w:val="clear" w:color="auto" w:fill="FFFFFF"/>
          <w:lang w:val="fr-FR"/>
        </w:rPr>
        <w:t xml:space="preserve"> celle de l</w:t>
      </w:r>
      <w:r w:rsidR="00B95F5F" w:rsidRPr="00953692">
        <w:rPr>
          <w:rFonts w:eastAsia="Times New Roman" w:cs="Times New Roman"/>
          <w:sz w:val="24"/>
          <w:szCs w:val="24"/>
          <w:shd w:val="clear" w:color="auto" w:fill="FFFFFF"/>
          <w:lang w:val="fr-FR"/>
        </w:rPr>
        <w:t>’in</w:t>
      </w:r>
      <w:r w:rsidR="0076405D" w:rsidRPr="00953692">
        <w:rPr>
          <w:rFonts w:eastAsia="Times New Roman" w:cs="Times New Roman"/>
          <w:sz w:val="24"/>
          <w:szCs w:val="24"/>
          <w:shd w:val="clear" w:color="auto" w:fill="FFFFFF"/>
          <w:lang w:val="fr-FR"/>
        </w:rPr>
        <w:t>détermination de l’intervalle du temps entre la détention du suspect sous l’autorité de la Cour et la confirmation des charges. Devant la CPI, le procureur semble jouir d’une grande liberté, découlant de celle de la Chambre préliminaire dans la fixation de la date d’audience de confirmation des charges. Cette difficulté s’agrandit</w:t>
      </w:r>
      <w:r w:rsidR="00AE0328" w:rsidRPr="00953692">
        <w:rPr>
          <w:rFonts w:eastAsia="Times New Roman" w:cs="Times New Roman"/>
          <w:sz w:val="24"/>
          <w:szCs w:val="24"/>
          <w:shd w:val="clear" w:color="auto" w:fill="FFFFFF"/>
          <w:lang w:val="fr-FR"/>
        </w:rPr>
        <w:t>,</w:t>
      </w:r>
      <w:r w:rsidR="0076405D" w:rsidRPr="00953692">
        <w:rPr>
          <w:rFonts w:eastAsia="Times New Roman" w:cs="Times New Roman"/>
          <w:sz w:val="24"/>
          <w:szCs w:val="24"/>
          <w:shd w:val="clear" w:color="auto" w:fill="FFFFFF"/>
          <w:lang w:val="fr-FR"/>
        </w:rPr>
        <w:t xml:space="preserve"> en plus</w:t>
      </w:r>
      <w:r w:rsidR="00AE0328" w:rsidRPr="00953692">
        <w:rPr>
          <w:rFonts w:eastAsia="Times New Roman" w:cs="Times New Roman"/>
          <w:sz w:val="24"/>
          <w:szCs w:val="24"/>
          <w:shd w:val="clear" w:color="auto" w:fill="FFFFFF"/>
          <w:lang w:val="fr-FR"/>
        </w:rPr>
        <w:t>,</w:t>
      </w:r>
      <w:r w:rsidR="0076405D" w:rsidRPr="00953692">
        <w:rPr>
          <w:rFonts w:eastAsia="Times New Roman" w:cs="Times New Roman"/>
          <w:sz w:val="24"/>
          <w:szCs w:val="24"/>
          <w:shd w:val="clear" w:color="auto" w:fill="FFFFFF"/>
          <w:lang w:val="fr-FR"/>
        </w:rPr>
        <w:t xml:space="preserve"> lorsqu’il faut ajourner l’audience pour une durée encore indéterminée</w:t>
      </w:r>
      <w:r w:rsidR="00AE317F" w:rsidRPr="00953692">
        <w:rPr>
          <w:rFonts w:eastAsia="Times New Roman" w:cs="Times New Roman"/>
          <w:sz w:val="24"/>
          <w:szCs w:val="24"/>
          <w:shd w:val="clear" w:color="auto" w:fill="FFFFFF"/>
          <w:lang w:val="fr-FR"/>
        </w:rPr>
        <w:t>,</w:t>
      </w:r>
      <w:r w:rsidR="0076405D" w:rsidRPr="00953692">
        <w:rPr>
          <w:rFonts w:eastAsia="Times New Roman" w:cs="Times New Roman"/>
          <w:sz w:val="24"/>
          <w:szCs w:val="24"/>
          <w:shd w:val="clear" w:color="auto" w:fill="FFFFFF"/>
          <w:lang w:val="fr-FR"/>
        </w:rPr>
        <w:t xml:space="preserve"> afin que le Procureur apporte quelque</w:t>
      </w:r>
      <w:r w:rsidR="00B95F5F" w:rsidRPr="00953692">
        <w:rPr>
          <w:rFonts w:eastAsia="Times New Roman" w:cs="Times New Roman"/>
          <w:sz w:val="24"/>
          <w:szCs w:val="24"/>
          <w:shd w:val="clear" w:color="auto" w:fill="FFFFFF"/>
          <w:lang w:val="fr-FR"/>
        </w:rPr>
        <w:t>s</w:t>
      </w:r>
      <w:r w:rsidR="0076405D" w:rsidRPr="00953692">
        <w:rPr>
          <w:rFonts w:eastAsia="Times New Roman" w:cs="Times New Roman"/>
          <w:sz w:val="24"/>
          <w:szCs w:val="24"/>
          <w:shd w:val="clear" w:color="auto" w:fill="FFFFFF"/>
          <w:lang w:val="fr-FR"/>
        </w:rPr>
        <w:t xml:space="preserve"> modification</w:t>
      </w:r>
      <w:r w:rsidR="00B95F5F" w:rsidRPr="00953692">
        <w:rPr>
          <w:rFonts w:eastAsia="Times New Roman" w:cs="Times New Roman"/>
          <w:sz w:val="24"/>
          <w:szCs w:val="24"/>
          <w:shd w:val="clear" w:color="auto" w:fill="FFFFFF"/>
          <w:lang w:val="fr-FR"/>
        </w:rPr>
        <w:t>s</w:t>
      </w:r>
      <w:r w:rsidR="0076405D" w:rsidRPr="00953692">
        <w:rPr>
          <w:rFonts w:eastAsia="Times New Roman" w:cs="Times New Roman"/>
          <w:sz w:val="24"/>
          <w:szCs w:val="24"/>
          <w:shd w:val="clear" w:color="auto" w:fill="FFFFFF"/>
          <w:lang w:val="fr-FR"/>
        </w:rPr>
        <w:t xml:space="preserve"> que ce soi</w:t>
      </w:r>
      <w:r w:rsidR="00B95F5F" w:rsidRPr="00953692">
        <w:rPr>
          <w:rFonts w:eastAsia="Times New Roman" w:cs="Times New Roman"/>
          <w:sz w:val="24"/>
          <w:szCs w:val="24"/>
          <w:shd w:val="clear" w:color="auto" w:fill="FFFFFF"/>
          <w:lang w:val="fr-FR"/>
        </w:rPr>
        <w:t>en</w:t>
      </w:r>
      <w:r w:rsidR="0076405D" w:rsidRPr="00953692">
        <w:rPr>
          <w:rFonts w:eastAsia="Times New Roman" w:cs="Times New Roman"/>
          <w:sz w:val="24"/>
          <w:szCs w:val="24"/>
          <w:shd w:val="clear" w:color="auto" w:fill="FFFFFF"/>
          <w:lang w:val="fr-FR"/>
        </w:rPr>
        <w:t xml:space="preserve">t, comme </w:t>
      </w:r>
      <w:r w:rsidR="00CD5BD4" w:rsidRPr="00953692">
        <w:rPr>
          <w:rFonts w:eastAsia="Times New Roman" w:cs="Times New Roman"/>
          <w:sz w:val="24"/>
          <w:szCs w:val="24"/>
          <w:shd w:val="clear" w:color="auto" w:fill="FFFFFF"/>
          <w:lang w:val="fr-FR"/>
        </w:rPr>
        <w:t>il en a été le cas</w:t>
      </w:r>
      <w:r w:rsidR="0076405D" w:rsidRPr="00953692">
        <w:rPr>
          <w:rFonts w:eastAsia="Times New Roman" w:cs="Times New Roman"/>
          <w:sz w:val="24"/>
          <w:szCs w:val="24"/>
          <w:shd w:val="clear" w:color="auto" w:fill="FFFFFF"/>
          <w:lang w:val="fr-FR"/>
        </w:rPr>
        <w:t xml:space="preserve"> dans l’affaire Jean-Pierre Bemba ; ou qu’il fournisse des nouveaux éléments de preuve, comme il en a été le cas dans l’affaire Laurent Gbagbo. Cependant, ceci n’empêche de constater une volonté</w:t>
      </w:r>
      <w:r w:rsidR="00B530E4" w:rsidRPr="00953692">
        <w:rPr>
          <w:rFonts w:eastAsia="Times New Roman" w:cs="Times New Roman"/>
          <w:sz w:val="24"/>
          <w:szCs w:val="24"/>
          <w:shd w:val="clear" w:color="auto" w:fill="FFFFFF"/>
          <w:lang w:val="fr-FR"/>
        </w:rPr>
        <w:t>,</w:t>
      </w:r>
      <w:r w:rsidR="0076405D" w:rsidRPr="00953692">
        <w:rPr>
          <w:rFonts w:eastAsia="Times New Roman" w:cs="Times New Roman"/>
          <w:sz w:val="24"/>
          <w:szCs w:val="24"/>
          <w:shd w:val="clear" w:color="auto" w:fill="FFFFFF"/>
          <w:lang w:val="fr-FR"/>
        </w:rPr>
        <w:t xml:space="preserve"> bien qu’imprécise</w:t>
      </w:r>
      <w:r w:rsidR="00CD5BD4" w:rsidRPr="00953692">
        <w:rPr>
          <w:rFonts w:eastAsia="Times New Roman" w:cs="Times New Roman"/>
          <w:sz w:val="24"/>
          <w:szCs w:val="24"/>
          <w:shd w:val="clear" w:color="auto" w:fill="FFFFFF"/>
          <w:lang w:val="fr-FR"/>
        </w:rPr>
        <w:t xml:space="preserve"> des rédacteurs du statut de Rome</w:t>
      </w:r>
      <w:r w:rsidR="0076405D" w:rsidRPr="00953692">
        <w:rPr>
          <w:rFonts w:eastAsia="Times New Roman" w:cs="Times New Roman"/>
          <w:sz w:val="24"/>
          <w:szCs w:val="24"/>
          <w:shd w:val="clear" w:color="auto" w:fill="FFFFFF"/>
          <w:lang w:val="fr-FR"/>
        </w:rPr>
        <w:t xml:space="preserve"> de procéder à l’inculpation du suspect dès qu’il est mis à la disposition de la Cour.</w:t>
      </w:r>
      <w:r w:rsidR="00F1121E" w:rsidRPr="00953692">
        <w:rPr>
          <w:rFonts w:eastAsia="Times New Roman" w:cs="Times New Roman"/>
          <w:sz w:val="24"/>
          <w:szCs w:val="24"/>
          <w:shd w:val="clear" w:color="auto" w:fill="FFFFFF"/>
          <w:lang w:val="fr-FR"/>
        </w:rPr>
        <w:t xml:space="preserve"> En d’autres termes, la confirmation ou non de l’acte d’accusation ne devrait pas (trop) tarder au motif que le procureur enquête encore. Dès le moment où le suspect se trouve sous la garde de la Cour, les organes de celle-ci (le BdP et la Chambre préliminaire) devront agir avec diligence à l’inculpation hypothétique du suspect.</w:t>
      </w:r>
    </w:p>
    <w:p w14:paraId="4EE7431B" w14:textId="51A60283" w:rsidR="0076405D" w:rsidRPr="00953692" w:rsidRDefault="00B530E4" w:rsidP="00864BBF">
      <w:pPr>
        <w:spacing w:after="0" w:line="276" w:lineRule="auto"/>
        <w:ind w:firstLine="1134"/>
        <w:jc w:val="both"/>
        <w:rPr>
          <w:sz w:val="24"/>
          <w:szCs w:val="24"/>
          <w:lang w:val="fr-FR"/>
        </w:rPr>
      </w:pPr>
      <w:r w:rsidRPr="00953692">
        <w:rPr>
          <w:rFonts w:eastAsia="Times New Roman" w:cs="Times New Roman"/>
          <w:b/>
          <w:bCs/>
          <w:sz w:val="24"/>
          <w:szCs w:val="24"/>
          <w:shd w:val="clear" w:color="auto" w:fill="FFFFFF"/>
          <w:lang w:val="fr-FR"/>
        </w:rPr>
        <w:lastRenderedPageBreak/>
        <w:t>1</w:t>
      </w:r>
      <w:r w:rsidR="00F1003E" w:rsidRPr="00953692">
        <w:rPr>
          <w:rFonts w:eastAsia="Times New Roman" w:cs="Times New Roman"/>
          <w:b/>
          <w:bCs/>
          <w:sz w:val="24"/>
          <w:szCs w:val="24"/>
          <w:shd w:val="clear" w:color="auto" w:fill="FFFFFF"/>
          <w:lang w:val="fr-FR"/>
        </w:rPr>
        <w:t>81</w:t>
      </w:r>
      <w:r w:rsidRPr="00953692">
        <w:rPr>
          <w:rFonts w:eastAsia="Times New Roman" w:cs="Times New Roman"/>
          <w:b/>
          <w:bCs/>
          <w:sz w:val="24"/>
          <w:szCs w:val="24"/>
          <w:shd w:val="clear" w:color="auto" w:fill="FFFFFF"/>
          <w:lang w:val="fr-FR"/>
        </w:rPr>
        <w:t>.</w:t>
      </w:r>
      <w:r w:rsidRPr="00953692">
        <w:rPr>
          <w:rFonts w:eastAsia="Times New Roman" w:cs="Times New Roman"/>
          <w:sz w:val="24"/>
          <w:szCs w:val="24"/>
          <w:shd w:val="clear" w:color="auto" w:fill="FFFFFF"/>
          <w:lang w:val="fr-FR"/>
        </w:rPr>
        <w:t xml:space="preserve"> </w:t>
      </w:r>
      <w:r w:rsidR="0076405D" w:rsidRPr="00953692">
        <w:rPr>
          <w:rFonts w:eastAsia="Times New Roman" w:cs="Times New Roman"/>
          <w:sz w:val="24"/>
          <w:szCs w:val="24"/>
          <w:shd w:val="clear" w:color="auto" w:fill="FFFFFF"/>
          <w:lang w:val="fr-FR"/>
        </w:rPr>
        <w:t>Devant la CPS Centrafricaine, on peut voir également les marques du droit d’être inculpé dans le délai. En fait</w:t>
      </w:r>
      <w:r w:rsidR="001405AD" w:rsidRPr="00953692">
        <w:rPr>
          <w:rFonts w:eastAsia="Times New Roman" w:cs="Times New Roman"/>
          <w:sz w:val="24"/>
          <w:szCs w:val="24"/>
          <w:shd w:val="clear" w:color="auto" w:fill="FFFFFF"/>
          <w:lang w:val="fr-FR"/>
        </w:rPr>
        <w:t>,</w:t>
      </w:r>
      <w:r w:rsidR="0076405D" w:rsidRPr="00953692">
        <w:rPr>
          <w:rFonts w:eastAsia="Times New Roman" w:cs="Times New Roman"/>
          <w:sz w:val="24"/>
          <w:szCs w:val="24"/>
          <w:shd w:val="clear" w:color="auto" w:fill="FFFFFF"/>
          <w:lang w:val="fr-FR"/>
        </w:rPr>
        <w:t xml:space="preserve"> le RPP de cette juridiction prévoit en son article 67 que</w:t>
      </w:r>
      <w:r w:rsidRPr="00953692">
        <w:rPr>
          <w:rFonts w:eastAsia="Times New Roman" w:cs="Times New Roman"/>
          <w:sz w:val="24"/>
          <w:szCs w:val="24"/>
          <w:shd w:val="clear" w:color="auto" w:fill="FFFFFF"/>
          <w:lang w:val="fr-FR"/>
        </w:rPr>
        <w:t>,</w:t>
      </w:r>
      <w:r w:rsidR="0076405D" w:rsidRPr="00953692">
        <w:rPr>
          <w:rFonts w:eastAsia="Times New Roman" w:cs="Times New Roman"/>
          <w:sz w:val="24"/>
          <w:szCs w:val="24"/>
          <w:shd w:val="clear" w:color="auto" w:fill="FFFFFF"/>
          <w:lang w:val="fr-FR"/>
        </w:rPr>
        <w:t xml:space="preserve"> sur ordre du Procureur spécial, </w:t>
      </w:r>
      <w:r w:rsidR="0076405D" w:rsidRPr="00953692">
        <w:rPr>
          <w:sz w:val="24"/>
          <w:szCs w:val="24"/>
          <w:lang w:val="fr-FR"/>
        </w:rPr>
        <w:t xml:space="preserve">un officier de l’Unité spéciale de police judicaire peut procéder au placement en garde pour une durée de trois jours renouvelables exceptionnellement une seule fois. </w:t>
      </w:r>
      <w:r w:rsidR="001405AD" w:rsidRPr="00953692">
        <w:rPr>
          <w:rStyle w:val="grammar"/>
          <w:rFonts w:cs="Times New Roman"/>
          <w:sz w:val="24"/>
          <w:szCs w:val="24"/>
          <w:lang w:val="fr-FR"/>
        </w:rPr>
        <w:t>À</w:t>
      </w:r>
      <w:r w:rsidR="001405AD" w:rsidRPr="00953692">
        <w:rPr>
          <w:rFonts w:cs="Times New Roman"/>
          <w:sz w:val="24"/>
          <w:szCs w:val="24"/>
          <w:shd w:val="clear" w:color="auto" w:fill="FFFFFF"/>
          <w:lang w:val="fr-FR"/>
        </w:rPr>
        <w:t xml:space="preserve"> l’issue</w:t>
      </w:r>
      <w:r w:rsidR="001405AD" w:rsidRPr="00953692">
        <w:rPr>
          <w:rFonts w:ascii="Tahoma" w:hAnsi="Tahoma" w:cs="Tahoma"/>
          <w:sz w:val="24"/>
          <w:szCs w:val="24"/>
          <w:shd w:val="clear" w:color="auto" w:fill="FFFFFF"/>
          <w:lang w:val="fr-FR"/>
        </w:rPr>
        <w:t xml:space="preserve"> </w:t>
      </w:r>
      <w:r w:rsidR="0076405D" w:rsidRPr="00953692">
        <w:rPr>
          <w:sz w:val="24"/>
          <w:szCs w:val="24"/>
          <w:lang w:val="fr-FR"/>
        </w:rPr>
        <w:t>de cette période, la personne gardée à vue est, sur ordre du procureur, remise en liberté ou déférée au siège de la Cour pour être présentée à un Cabinet d’instruction. Sur base de la décision du procureur</w:t>
      </w:r>
      <w:r w:rsidR="000B23F5" w:rsidRPr="00953692">
        <w:rPr>
          <w:sz w:val="24"/>
          <w:szCs w:val="24"/>
          <w:lang w:val="fr-FR"/>
        </w:rPr>
        <w:t>,</w:t>
      </w:r>
      <w:r w:rsidR="0076405D" w:rsidRPr="00953692">
        <w:rPr>
          <w:sz w:val="24"/>
          <w:szCs w:val="24"/>
          <w:lang w:val="fr-FR"/>
        </w:rPr>
        <w:t xml:space="preserve"> qui sera consignée dans le rapport final de garde à vue conformément au point K de l’article sous </w:t>
      </w:r>
      <w:r w:rsidR="001405AD" w:rsidRPr="00953692">
        <w:rPr>
          <w:sz w:val="24"/>
          <w:szCs w:val="24"/>
          <w:lang w:val="fr-FR"/>
        </w:rPr>
        <w:t>examen</w:t>
      </w:r>
      <w:r w:rsidR="0076405D" w:rsidRPr="00953692">
        <w:rPr>
          <w:sz w:val="24"/>
          <w:szCs w:val="24"/>
          <w:lang w:val="fr-FR"/>
        </w:rPr>
        <w:t xml:space="preserve">, le Cabinet d’instruction peut envisager l’inculpation du suspect dès sa première comparution. Après avoir recueilli ses déclarations ou procédé à son interrogatoire et entendu les observations de son avocat, le suspect peut ou ne pas être inculpé. Au cas où il est inculpé, </w:t>
      </w:r>
      <w:r w:rsidR="0076405D" w:rsidRPr="00953692">
        <w:rPr>
          <w:i/>
          <w:iCs/>
          <w:sz w:val="24"/>
          <w:szCs w:val="24"/>
          <w:lang w:val="fr-FR"/>
        </w:rPr>
        <w:t>le Cabinet d’instruction porte alors à sa connaissance les faits ou les qualifications légales des faits qui lui sont reprochés, si celles-ci diffèrent de ceux qui lui ont déjà été notifiés</w:t>
      </w:r>
      <w:r w:rsidR="0076405D" w:rsidRPr="00953692">
        <w:rPr>
          <w:sz w:val="24"/>
          <w:szCs w:val="24"/>
          <w:lang w:val="fr-FR"/>
        </w:rPr>
        <w:t>.</w:t>
      </w:r>
    </w:p>
    <w:p w14:paraId="5038EAF3" w14:textId="1CF2EBE3" w:rsidR="00907632" w:rsidRPr="00953692" w:rsidRDefault="000B23F5" w:rsidP="00864BBF">
      <w:pPr>
        <w:spacing w:after="0" w:line="276" w:lineRule="auto"/>
        <w:ind w:firstLine="1134"/>
        <w:jc w:val="both"/>
        <w:rPr>
          <w:sz w:val="24"/>
          <w:szCs w:val="24"/>
          <w:lang w:val="fr-FR"/>
        </w:rPr>
      </w:pPr>
      <w:r w:rsidRPr="00953692">
        <w:rPr>
          <w:b/>
          <w:bCs/>
          <w:sz w:val="24"/>
          <w:szCs w:val="24"/>
          <w:lang w:val="fr-FR"/>
        </w:rPr>
        <w:t>1</w:t>
      </w:r>
      <w:r w:rsidR="00F1003E" w:rsidRPr="00953692">
        <w:rPr>
          <w:b/>
          <w:bCs/>
          <w:sz w:val="24"/>
          <w:szCs w:val="24"/>
          <w:lang w:val="fr-FR"/>
        </w:rPr>
        <w:t>82</w:t>
      </w:r>
      <w:r w:rsidRPr="00953692">
        <w:rPr>
          <w:b/>
          <w:bCs/>
          <w:sz w:val="24"/>
          <w:szCs w:val="24"/>
          <w:lang w:val="fr-FR"/>
        </w:rPr>
        <w:t>.</w:t>
      </w:r>
      <w:r w:rsidRPr="00953692">
        <w:rPr>
          <w:sz w:val="24"/>
          <w:szCs w:val="24"/>
          <w:lang w:val="fr-FR"/>
        </w:rPr>
        <w:t xml:space="preserve"> </w:t>
      </w:r>
      <w:r w:rsidR="00907632" w:rsidRPr="00953692">
        <w:rPr>
          <w:sz w:val="24"/>
          <w:szCs w:val="24"/>
          <w:lang w:val="fr-FR"/>
        </w:rPr>
        <w:t xml:space="preserve">Cette procédure est presque similaire à celle prévue dans le règlement du CETC, qui confère aux </w:t>
      </w:r>
      <w:r w:rsidR="007B0CD0" w:rsidRPr="00953692">
        <w:rPr>
          <w:sz w:val="24"/>
          <w:szCs w:val="24"/>
          <w:lang w:val="fr-FR"/>
        </w:rPr>
        <w:t>C</w:t>
      </w:r>
      <w:r w:rsidR="00907632" w:rsidRPr="00953692">
        <w:rPr>
          <w:sz w:val="24"/>
          <w:szCs w:val="24"/>
          <w:lang w:val="fr-FR"/>
        </w:rPr>
        <w:t>o-procureurs les pouvoirs d’ordonner à la police judiciaire de placer en garde à vue</w:t>
      </w:r>
      <w:r w:rsidRPr="00953692">
        <w:rPr>
          <w:sz w:val="24"/>
          <w:szCs w:val="24"/>
          <w:lang w:val="fr-FR"/>
        </w:rPr>
        <w:t>,</w:t>
      </w:r>
      <w:r w:rsidR="00907632" w:rsidRPr="00953692">
        <w:rPr>
          <w:sz w:val="24"/>
          <w:szCs w:val="24"/>
          <w:lang w:val="fr-FR"/>
        </w:rPr>
        <w:t xml:space="preserve"> une personne soupçonnée d’avoir participé</w:t>
      </w:r>
      <w:r w:rsidRPr="00953692">
        <w:rPr>
          <w:sz w:val="24"/>
          <w:szCs w:val="24"/>
          <w:lang w:val="fr-FR"/>
        </w:rPr>
        <w:t>,</w:t>
      </w:r>
      <w:r w:rsidR="00907632" w:rsidRPr="00953692">
        <w:rPr>
          <w:sz w:val="24"/>
          <w:szCs w:val="24"/>
          <w:lang w:val="fr-FR"/>
        </w:rPr>
        <w:t xml:space="preserve"> comme auteur ou complice</w:t>
      </w:r>
      <w:r w:rsidRPr="00953692">
        <w:rPr>
          <w:sz w:val="24"/>
          <w:szCs w:val="24"/>
          <w:lang w:val="fr-FR"/>
        </w:rPr>
        <w:t xml:space="preserve">, à la commission </w:t>
      </w:r>
      <w:r w:rsidR="00907632" w:rsidRPr="00953692">
        <w:rPr>
          <w:sz w:val="24"/>
          <w:szCs w:val="24"/>
          <w:lang w:val="fr-FR"/>
        </w:rPr>
        <w:t>d’un crime relevant de la compétence des CETC. Outre le délai supplémentaire de distance</w:t>
      </w:r>
      <w:r w:rsidRPr="00953692">
        <w:rPr>
          <w:sz w:val="24"/>
          <w:szCs w:val="24"/>
          <w:lang w:val="fr-FR"/>
        </w:rPr>
        <w:t xml:space="preserve"> (qui reste inconnu)</w:t>
      </w:r>
      <w:r w:rsidR="00907632" w:rsidRPr="00953692">
        <w:rPr>
          <w:sz w:val="24"/>
          <w:szCs w:val="24"/>
          <w:lang w:val="fr-FR"/>
        </w:rPr>
        <w:t xml:space="preserve">, la durée maximale de la garde </w:t>
      </w:r>
      <w:r w:rsidRPr="00953692">
        <w:rPr>
          <w:sz w:val="24"/>
          <w:szCs w:val="24"/>
          <w:lang w:val="fr-FR"/>
        </w:rPr>
        <w:t xml:space="preserve">vue </w:t>
      </w:r>
      <w:r w:rsidR="00907632" w:rsidRPr="00953692">
        <w:rPr>
          <w:sz w:val="24"/>
          <w:szCs w:val="24"/>
          <w:lang w:val="fr-FR"/>
        </w:rPr>
        <w:t>est de 72 heures</w:t>
      </w:r>
      <w:r w:rsidR="007B0CD0" w:rsidRPr="00953692">
        <w:rPr>
          <w:sz w:val="24"/>
          <w:szCs w:val="24"/>
          <w:lang w:val="fr-FR"/>
        </w:rPr>
        <w:t>,</w:t>
      </w:r>
      <w:r w:rsidR="00907632" w:rsidRPr="00953692">
        <w:rPr>
          <w:sz w:val="24"/>
          <w:szCs w:val="24"/>
          <w:lang w:val="fr-FR"/>
        </w:rPr>
        <w:t xml:space="preserve"> en ce compris une éventuelle prolongation de 24 heures. </w:t>
      </w:r>
      <w:r w:rsidR="00F603A7" w:rsidRPr="00953692">
        <w:rPr>
          <w:rStyle w:val="grammar"/>
          <w:rFonts w:cs="Times New Roman"/>
          <w:sz w:val="24"/>
          <w:szCs w:val="24"/>
          <w:lang w:val="fr-FR"/>
        </w:rPr>
        <w:t>À</w:t>
      </w:r>
      <w:r w:rsidR="00F603A7" w:rsidRPr="00953692">
        <w:rPr>
          <w:rFonts w:cs="Times New Roman"/>
          <w:sz w:val="24"/>
          <w:szCs w:val="24"/>
          <w:shd w:val="clear" w:color="auto" w:fill="FFFFFF"/>
          <w:lang w:val="fr-FR"/>
        </w:rPr>
        <w:t xml:space="preserve"> l’issue</w:t>
      </w:r>
      <w:r w:rsidR="00F603A7" w:rsidRPr="00953692">
        <w:rPr>
          <w:rFonts w:ascii="Tahoma" w:hAnsi="Tahoma" w:cs="Tahoma"/>
          <w:sz w:val="24"/>
          <w:szCs w:val="24"/>
          <w:shd w:val="clear" w:color="auto" w:fill="FFFFFF"/>
          <w:lang w:val="fr-FR"/>
        </w:rPr>
        <w:t xml:space="preserve"> </w:t>
      </w:r>
      <w:r w:rsidR="003104CF" w:rsidRPr="00953692">
        <w:rPr>
          <w:sz w:val="24"/>
          <w:szCs w:val="24"/>
          <w:lang w:val="fr-FR"/>
        </w:rPr>
        <w:t xml:space="preserve">de cette période, le suspect est remis en liberté ou conduit devant les </w:t>
      </w:r>
      <w:r w:rsidR="00F603A7" w:rsidRPr="00953692">
        <w:rPr>
          <w:sz w:val="24"/>
          <w:szCs w:val="24"/>
          <w:lang w:val="fr-FR"/>
        </w:rPr>
        <w:t>C</w:t>
      </w:r>
      <w:r w:rsidR="003104CF" w:rsidRPr="00953692">
        <w:rPr>
          <w:sz w:val="24"/>
          <w:szCs w:val="24"/>
          <w:lang w:val="fr-FR"/>
        </w:rPr>
        <w:t xml:space="preserve">o-juges d’instruction afin d’être éventuellement mis en examen dès sa première comparution. </w:t>
      </w:r>
      <w:r w:rsidR="00A713BE" w:rsidRPr="00953692">
        <w:rPr>
          <w:sz w:val="24"/>
          <w:szCs w:val="24"/>
          <w:lang w:val="fr-FR"/>
        </w:rPr>
        <w:t>Similairement à la procédure devant la CPS centrafricaine, lorsqu’il est inculpé, il peut ou ne pas être mis en détention provisoire</w:t>
      </w:r>
      <w:r w:rsidRPr="00953692">
        <w:rPr>
          <w:rStyle w:val="Appelnotedebasdep"/>
          <w:sz w:val="24"/>
          <w:szCs w:val="24"/>
          <w:lang w:val="fr-FR"/>
        </w:rPr>
        <w:footnoteReference w:customMarkFollows="1" w:id="144"/>
        <w:t>122</w:t>
      </w:r>
      <w:r w:rsidR="00A713BE" w:rsidRPr="00953692">
        <w:rPr>
          <w:sz w:val="24"/>
          <w:szCs w:val="24"/>
          <w:lang w:val="fr-FR"/>
        </w:rPr>
        <w:t>.</w:t>
      </w:r>
    </w:p>
    <w:p w14:paraId="1906396E" w14:textId="17769F9E" w:rsidR="0076405D" w:rsidRPr="00953692" w:rsidRDefault="000B23F5" w:rsidP="00864BBF">
      <w:pPr>
        <w:spacing w:after="0" w:line="276" w:lineRule="auto"/>
        <w:ind w:firstLine="1134"/>
        <w:jc w:val="both"/>
        <w:rPr>
          <w:sz w:val="24"/>
          <w:szCs w:val="24"/>
          <w:lang w:val="fr-FR"/>
        </w:rPr>
      </w:pPr>
      <w:r w:rsidRPr="00953692">
        <w:rPr>
          <w:b/>
          <w:bCs/>
          <w:sz w:val="24"/>
          <w:szCs w:val="24"/>
          <w:lang w:val="fr-FR"/>
        </w:rPr>
        <w:t>1</w:t>
      </w:r>
      <w:r w:rsidR="00F1003E" w:rsidRPr="00953692">
        <w:rPr>
          <w:b/>
          <w:bCs/>
          <w:sz w:val="24"/>
          <w:szCs w:val="24"/>
          <w:lang w:val="fr-FR"/>
        </w:rPr>
        <w:t>83</w:t>
      </w:r>
      <w:r w:rsidRPr="00953692">
        <w:rPr>
          <w:b/>
          <w:bCs/>
          <w:sz w:val="24"/>
          <w:szCs w:val="24"/>
          <w:lang w:val="fr-FR"/>
        </w:rPr>
        <w:t>.</w:t>
      </w:r>
      <w:r w:rsidRPr="00953692">
        <w:rPr>
          <w:sz w:val="24"/>
          <w:szCs w:val="24"/>
          <w:lang w:val="fr-FR"/>
        </w:rPr>
        <w:t xml:space="preserve"> </w:t>
      </w:r>
      <w:r w:rsidR="0076405D" w:rsidRPr="00953692">
        <w:rPr>
          <w:sz w:val="24"/>
          <w:szCs w:val="24"/>
          <w:lang w:val="fr-FR"/>
        </w:rPr>
        <w:t>La première remarque peut être banale</w:t>
      </w:r>
      <w:r w:rsidRPr="00953692">
        <w:rPr>
          <w:sz w:val="24"/>
          <w:szCs w:val="24"/>
          <w:lang w:val="fr-FR"/>
        </w:rPr>
        <w:t>.</w:t>
      </w:r>
      <w:r w:rsidR="0076405D" w:rsidRPr="00953692">
        <w:rPr>
          <w:sz w:val="24"/>
          <w:szCs w:val="24"/>
          <w:lang w:val="fr-FR"/>
        </w:rPr>
        <w:t xml:space="preserve"> </w:t>
      </w:r>
      <w:r w:rsidRPr="00953692">
        <w:rPr>
          <w:sz w:val="24"/>
          <w:szCs w:val="24"/>
          <w:lang w:val="fr-FR"/>
        </w:rPr>
        <w:t>C</w:t>
      </w:r>
      <w:r w:rsidR="0076405D" w:rsidRPr="00953692">
        <w:rPr>
          <w:sz w:val="24"/>
          <w:szCs w:val="24"/>
          <w:lang w:val="fr-FR"/>
        </w:rPr>
        <w:t>’est le fait</w:t>
      </w:r>
      <w:r w:rsidRPr="00953692">
        <w:rPr>
          <w:sz w:val="24"/>
          <w:szCs w:val="24"/>
          <w:lang w:val="fr-FR"/>
        </w:rPr>
        <w:t xml:space="preserve"> que,</w:t>
      </w:r>
      <w:r w:rsidR="0076405D" w:rsidRPr="00953692">
        <w:rPr>
          <w:sz w:val="24"/>
          <w:szCs w:val="24"/>
          <w:lang w:val="fr-FR"/>
        </w:rPr>
        <w:t xml:space="preserve"> ce texte censé réglementer la procédure au plus près, ne précise pas clairement le moment à partir duquel cette première comparution du suspect devant le Cabinet d’instruction n’est possible. La deuxième remarque</w:t>
      </w:r>
      <w:r w:rsidR="00F603A7" w:rsidRPr="00953692">
        <w:rPr>
          <w:sz w:val="24"/>
          <w:szCs w:val="24"/>
          <w:lang w:val="fr-FR"/>
        </w:rPr>
        <w:t>,</w:t>
      </w:r>
      <w:r w:rsidR="0076405D" w:rsidRPr="00953692">
        <w:rPr>
          <w:sz w:val="24"/>
          <w:szCs w:val="24"/>
          <w:lang w:val="fr-FR"/>
        </w:rPr>
        <w:t xml:space="preserve"> intéressante, est celle qui dissocie l’inculpation de la détention préventive. L’inculpé peut donc</w:t>
      </w:r>
      <w:r w:rsidR="00F603A7" w:rsidRPr="00953692">
        <w:rPr>
          <w:sz w:val="24"/>
          <w:szCs w:val="24"/>
          <w:lang w:val="fr-FR"/>
        </w:rPr>
        <w:t>,</w:t>
      </w:r>
      <w:r w:rsidR="0076405D" w:rsidRPr="00953692">
        <w:rPr>
          <w:sz w:val="24"/>
          <w:szCs w:val="24"/>
          <w:lang w:val="fr-FR"/>
        </w:rPr>
        <w:t xml:space="preserve"> après son inculpation</w:t>
      </w:r>
      <w:r w:rsidR="00F603A7" w:rsidRPr="00953692">
        <w:rPr>
          <w:sz w:val="24"/>
          <w:szCs w:val="24"/>
          <w:lang w:val="fr-FR"/>
        </w:rPr>
        <w:t>,</w:t>
      </w:r>
      <w:r w:rsidR="0076405D" w:rsidRPr="00953692">
        <w:rPr>
          <w:sz w:val="24"/>
          <w:szCs w:val="24"/>
          <w:lang w:val="fr-FR"/>
        </w:rPr>
        <w:t xml:space="preserve"> échapper à cette mesure restrictive de sa liberté. Ce qui rédui</w:t>
      </w:r>
      <w:r w:rsidRPr="00953692">
        <w:rPr>
          <w:sz w:val="24"/>
          <w:szCs w:val="24"/>
          <w:lang w:val="fr-FR"/>
        </w:rPr>
        <w:t>rait</w:t>
      </w:r>
      <w:r w:rsidR="0076405D" w:rsidRPr="00953692">
        <w:rPr>
          <w:sz w:val="24"/>
          <w:szCs w:val="24"/>
          <w:lang w:val="fr-FR"/>
        </w:rPr>
        <w:t xml:space="preserve"> la portée </w:t>
      </w:r>
      <w:r w:rsidR="00F8430B" w:rsidRPr="00953692">
        <w:rPr>
          <w:sz w:val="24"/>
          <w:szCs w:val="24"/>
          <w:lang w:val="fr-FR"/>
        </w:rPr>
        <w:t xml:space="preserve">du droit d’être inculpé dans le délai </w:t>
      </w:r>
      <w:r w:rsidR="0076405D" w:rsidRPr="00953692">
        <w:rPr>
          <w:sz w:val="24"/>
          <w:szCs w:val="24"/>
          <w:lang w:val="fr-FR"/>
        </w:rPr>
        <w:t xml:space="preserve">ou </w:t>
      </w:r>
      <w:r w:rsidR="00F8430B" w:rsidRPr="00953692">
        <w:rPr>
          <w:sz w:val="24"/>
          <w:szCs w:val="24"/>
          <w:lang w:val="fr-FR"/>
        </w:rPr>
        <w:t xml:space="preserve">en </w:t>
      </w:r>
      <w:r w:rsidR="0076405D" w:rsidRPr="00953692">
        <w:rPr>
          <w:sz w:val="24"/>
          <w:szCs w:val="24"/>
          <w:lang w:val="fr-FR"/>
        </w:rPr>
        <w:t>vide</w:t>
      </w:r>
      <w:r w:rsidRPr="00953692">
        <w:rPr>
          <w:sz w:val="24"/>
          <w:szCs w:val="24"/>
          <w:lang w:val="fr-FR"/>
        </w:rPr>
        <w:t>rait</w:t>
      </w:r>
      <w:r w:rsidR="0076405D" w:rsidRPr="00953692">
        <w:rPr>
          <w:sz w:val="24"/>
          <w:szCs w:val="24"/>
          <w:lang w:val="fr-FR"/>
        </w:rPr>
        <w:t xml:space="preserve"> finalement de tout son sens. Il faut rappeler que ce droit est indissociable avec la détention provisoire du suspect</w:t>
      </w:r>
      <w:r w:rsidRPr="00953692">
        <w:rPr>
          <w:sz w:val="24"/>
          <w:szCs w:val="24"/>
          <w:lang w:val="fr-FR"/>
        </w:rPr>
        <w:t xml:space="preserve"> avant l’inculpation</w:t>
      </w:r>
      <w:r w:rsidR="0076405D" w:rsidRPr="00953692">
        <w:rPr>
          <w:sz w:val="24"/>
          <w:szCs w:val="24"/>
          <w:lang w:val="fr-FR"/>
        </w:rPr>
        <w:t xml:space="preserve"> et en limite la durée. La troisième remarque est tranchante, puisqu’elle suggère théoriquement un délai maximal très limité, soit de six jours, endéans lequel le suspect devra être inculpé</w:t>
      </w:r>
      <w:r w:rsidRPr="00953692">
        <w:rPr>
          <w:sz w:val="24"/>
          <w:szCs w:val="24"/>
          <w:lang w:val="fr-FR"/>
        </w:rPr>
        <w:t xml:space="preserve">, s’il ne faut que s’en tenir </w:t>
      </w:r>
      <w:r w:rsidR="00323D93" w:rsidRPr="00953692">
        <w:rPr>
          <w:sz w:val="24"/>
          <w:szCs w:val="24"/>
          <w:lang w:val="fr-FR"/>
        </w:rPr>
        <w:t>à</w:t>
      </w:r>
      <w:r w:rsidRPr="00953692">
        <w:rPr>
          <w:sz w:val="24"/>
          <w:szCs w:val="24"/>
          <w:lang w:val="fr-FR"/>
        </w:rPr>
        <w:t xml:space="preserve"> la durée de la garde vue</w:t>
      </w:r>
      <w:r w:rsidR="0076405D" w:rsidRPr="00953692">
        <w:rPr>
          <w:sz w:val="24"/>
          <w:szCs w:val="24"/>
          <w:lang w:val="fr-FR"/>
        </w:rPr>
        <w:t>.</w:t>
      </w:r>
      <w:r w:rsidRPr="00953692">
        <w:rPr>
          <w:sz w:val="24"/>
          <w:szCs w:val="24"/>
          <w:lang w:val="fr-FR"/>
        </w:rPr>
        <w:t xml:space="preserve"> Dans ce cas, la première remarque qui a été faite dans les lignes précédentes ne serait plus valide. </w:t>
      </w:r>
    </w:p>
    <w:p w14:paraId="38AA21B0" w14:textId="455D73EB" w:rsidR="00F0759F" w:rsidRPr="00953692" w:rsidRDefault="000944E1" w:rsidP="00864BBF">
      <w:pPr>
        <w:spacing w:after="0" w:line="276" w:lineRule="auto"/>
        <w:ind w:firstLine="1134"/>
        <w:jc w:val="both"/>
        <w:rPr>
          <w:sz w:val="24"/>
          <w:szCs w:val="24"/>
          <w:lang w:val="fr-FR"/>
        </w:rPr>
      </w:pPr>
      <w:r w:rsidRPr="00953692">
        <w:rPr>
          <w:b/>
          <w:bCs/>
          <w:sz w:val="24"/>
          <w:szCs w:val="24"/>
          <w:lang w:val="fr-FR"/>
        </w:rPr>
        <w:t>1</w:t>
      </w:r>
      <w:r w:rsidR="00F1003E" w:rsidRPr="00953692">
        <w:rPr>
          <w:b/>
          <w:bCs/>
          <w:sz w:val="24"/>
          <w:szCs w:val="24"/>
          <w:lang w:val="fr-FR"/>
        </w:rPr>
        <w:t>84</w:t>
      </w:r>
      <w:r w:rsidRPr="00953692">
        <w:rPr>
          <w:b/>
          <w:bCs/>
          <w:sz w:val="24"/>
          <w:szCs w:val="24"/>
          <w:lang w:val="fr-FR"/>
        </w:rPr>
        <w:t>.</w:t>
      </w:r>
      <w:r w:rsidRPr="00953692">
        <w:rPr>
          <w:sz w:val="24"/>
          <w:szCs w:val="24"/>
          <w:lang w:val="fr-FR"/>
        </w:rPr>
        <w:t xml:space="preserve"> </w:t>
      </w:r>
      <w:r w:rsidR="00630581" w:rsidRPr="00953692">
        <w:rPr>
          <w:sz w:val="24"/>
          <w:szCs w:val="24"/>
          <w:lang w:val="fr-FR"/>
        </w:rPr>
        <w:t xml:space="preserve">En plus, on serait plus proche des </w:t>
      </w:r>
      <w:r w:rsidR="0076405D" w:rsidRPr="00953692">
        <w:rPr>
          <w:sz w:val="24"/>
          <w:szCs w:val="24"/>
          <w:lang w:val="fr-FR"/>
        </w:rPr>
        <w:t>articles 40 et 40bis de RPP des TPI</w:t>
      </w:r>
      <w:r w:rsidR="00630581" w:rsidRPr="00953692">
        <w:rPr>
          <w:sz w:val="24"/>
          <w:szCs w:val="24"/>
          <w:lang w:val="fr-FR"/>
        </w:rPr>
        <w:t>,</w:t>
      </w:r>
      <w:r w:rsidR="0076405D" w:rsidRPr="00953692">
        <w:rPr>
          <w:sz w:val="24"/>
          <w:szCs w:val="24"/>
          <w:lang w:val="fr-FR"/>
        </w:rPr>
        <w:t xml:space="preserve"> dans la mesure où </w:t>
      </w:r>
      <w:r w:rsidR="00630581" w:rsidRPr="00953692">
        <w:rPr>
          <w:sz w:val="24"/>
          <w:szCs w:val="24"/>
          <w:lang w:val="fr-FR"/>
        </w:rPr>
        <w:t>ces dispositions de RPP de la CPS Centrafricaine et des CETC auraient</w:t>
      </w:r>
      <w:r w:rsidR="00323D93" w:rsidRPr="00953692">
        <w:rPr>
          <w:sz w:val="24"/>
          <w:szCs w:val="24"/>
          <w:lang w:val="fr-FR"/>
        </w:rPr>
        <w:t xml:space="preserve"> évidemment</w:t>
      </w:r>
      <w:r w:rsidR="0076405D" w:rsidRPr="00953692">
        <w:rPr>
          <w:sz w:val="24"/>
          <w:szCs w:val="24"/>
          <w:lang w:val="fr-FR"/>
        </w:rPr>
        <w:t xml:space="preserve"> le mérite de préciser </w:t>
      </w:r>
      <w:r w:rsidR="00630581" w:rsidRPr="00953692">
        <w:rPr>
          <w:sz w:val="24"/>
          <w:szCs w:val="24"/>
          <w:lang w:val="fr-FR"/>
        </w:rPr>
        <w:t xml:space="preserve">un peu plus </w:t>
      </w:r>
      <w:r w:rsidR="0076405D" w:rsidRPr="00953692">
        <w:rPr>
          <w:sz w:val="24"/>
          <w:szCs w:val="24"/>
          <w:lang w:val="fr-FR"/>
        </w:rPr>
        <w:t xml:space="preserve">clairement le délai devant fonder le droit d’être inculpé dans le délai. Cette précision correspond mieux à la formulation </w:t>
      </w:r>
      <w:r w:rsidR="0076405D" w:rsidRPr="00953692">
        <w:rPr>
          <w:sz w:val="24"/>
          <w:szCs w:val="24"/>
          <w:lang w:val="fr-FR"/>
        </w:rPr>
        <w:lastRenderedPageBreak/>
        <w:t>(jurisprudentielle) de ce droit, qui ne laisse aucune place à une appréciation souveraine du juge</w:t>
      </w:r>
      <w:r w:rsidR="00630581" w:rsidRPr="00953692">
        <w:rPr>
          <w:sz w:val="24"/>
          <w:szCs w:val="24"/>
          <w:lang w:val="fr-FR"/>
        </w:rPr>
        <w:t>. Il n’en est pas le cas</w:t>
      </w:r>
      <w:r w:rsidR="0076405D" w:rsidRPr="00953692">
        <w:rPr>
          <w:sz w:val="24"/>
          <w:szCs w:val="24"/>
          <w:lang w:val="fr-FR"/>
        </w:rPr>
        <w:t xml:space="preserve"> en ce qui concerne l’article 9-2 du PIDCP</w:t>
      </w:r>
      <w:r w:rsidR="00630581" w:rsidRPr="00953692">
        <w:rPr>
          <w:sz w:val="24"/>
          <w:szCs w:val="24"/>
          <w:lang w:val="fr-FR"/>
        </w:rPr>
        <w:t xml:space="preserve">, </w:t>
      </w:r>
      <w:r w:rsidR="0076405D" w:rsidRPr="00953692">
        <w:rPr>
          <w:sz w:val="24"/>
          <w:szCs w:val="24"/>
          <w:lang w:val="fr-FR"/>
        </w:rPr>
        <w:t>qui utilise l’expression dans le plus court délai</w:t>
      </w:r>
      <w:r w:rsidR="006049F5" w:rsidRPr="00953692">
        <w:rPr>
          <w:sz w:val="24"/>
          <w:szCs w:val="24"/>
          <w:lang w:val="fr-FR"/>
        </w:rPr>
        <w:t>,</w:t>
      </w:r>
      <w:r w:rsidR="0076405D" w:rsidRPr="00953692">
        <w:rPr>
          <w:sz w:val="24"/>
          <w:szCs w:val="24"/>
          <w:lang w:val="fr-FR"/>
        </w:rPr>
        <w:t xml:space="preserve"> ou l’article 60 du statut de Rome qui renvoie à un délai raisonnable entre la comparution initiale et la date d’audience de la confirmation des charges. Dans ce cas, on parlerait plutôt du droit d’être inculpé dans le plus court délai ou dans un délai raisonnable, ce qui en changerait également le contenu</w:t>
      </w:r>
      <w:r w:rsidR="00630581" w:rsidRPr="00953692">
        <w:rPr>
          <w:sz w:val="24"/>
          <w:szCs w:val="24"/>
          <w:lang w:val="fr-FR"/>
        </w:rPr>
        <w:t xml:space="preserve"> par l’imprécision qui en </w:t>
      </w:r>
      <w:r w:rsidR="00323D93" w:rsidRPr="00953692">
        <w:rPr>
          <w:sz w:val="24"/>
          <w:szCs w:val="24"/>
          <w:lang w:val="fr-FR"/>
        </w:rPr>
        <w:t>résulte</w:t>
      </w:r>
      <w:r w:rsidR="0076405D" w:rsidRPr="00953692">
        <w:rPr>
          <w:sz w:val="24"/>
          <w:szCs w:val="24"/>
          <w:lang w:val="fr-FR"/>
        </w:rPr>
        <w:t>.</w:t>
      </w:r>
    </w:p>
    <w:p w14:paraId="5FCE82A3" w14:textId="61E916E2" w:rsidR="00677BB6" w:rsidRPr="00953692" w:rsidRDefault="000944E1" w:rsidP="00864BBF">
      <w:pPr>
        <w:spacing w:after="0" w:line="276" w:lineRule="auto"/>
        <w:ind w:firstLine="1134"/>
        <w:jc w:val="both"/>
        <w:rPr>
          <w:sz w:val="24"/>
          <w:szCs w:val="24"/>
          <w:lang w:val="fr-FR"/>
        </w:rPr>
      </w:pPr>
      <w:r w:rsidRPr="00953692">
        <w:rPr>
          <w:rFonts w:cs="Times New Roman"/>
          <w:b/>
          <w:bCs/>
          <w:sz w:val="24"/>
          <w:szCs w:val="24"/>
          <w:lang w:val="fr-FR"/>
        </w:rPr>
        <w:t>1</w:t>
      </w:r>
      <w:r w:rsidR="00F1003E" w:rsidRPr="00953692">
        <w:rPr>
          <w:rFonts w:cs="Times New Roman"/>
          <w:b/>
          <w:bCs/>
          <w:sz w:val="24"/>
          <w:szCs w:val="24"/>
          <w:lang w:val="fr-FR"/>
        </w:rPr>
        <w:t>85</w:t>
      </w:r>
      <w:r w:rsidRPr="00953692">
        <w:rPr>
          <w:rFonts w:cs="Times New Roman"/>
          <w:b/>
          <w:bCs/>
          <w:sz w:val="24"/>
          <w:szCs w:val="24"/>
          <w:lang w:val="fr-FR"/>
        </w:rPr>
        <w:t>.</w:t>
      </w:r>
      <w:r w:rsidRPr="00953692">
        <w:rPr>
          <w:rFonts w:cs="Times New Roman"/>
          <w:sz w:val="24"/>
          <w:szCs w:val="24"/>
          <w:lang w:val="fr-FR"/>
        </w:rPr>
        <w:t xml:space="preserve"> </w:t>
      </w:r>
      <w:r w:rsidR="0076405D" w:rsidRPr="00953692">
        <w:rPr>
          <w:rFonts w:cs="Times New Roman"/>
          <w:sz w:val="24"/>
          <w:szCs w:val="24"/>
          <w:lang w:val="fr-FR"/>
        </w:rPr>
        <w:t>Il résulte</w:t>
      </w:r>
      <w:r w:rsidR="004F5C63" w:rsidRPr="00953692">
        <w:rPr>
          <w:rFonts w:cs="Times New Roman"/>
          <w:sz w:val="24"/>
          <w:szCs w:val="24"/>
          <w:lang w:val="fr-FR"/>
        </w:rPr>
        <w:t xml:space="preserve">, </w:t>
      </w:r>
      <w:r w:rsidR="0076405D" w:rsidRPr="00953692">
        <w:rPr>
          <w:rFonts w:cs="Times New Roman"/>
          <w:sz w:val="24"/>
          <w:szCs w:val="24"/>
          <w:lang w:val="fr-FR"/>
        </w:rPr>
        <w:t>somme toute</w:t>
      </w:r>
      <w:r w:rsidR="004F5C63" w:rsidRPr="00953692">
        <w:rPr>
          <w:rFonts w:cs="Times New Roman"/>
          <w:sz w:val="24"/>
          <w:szCs w:val="24"/>
          <w:lang w:val="fr-FR"/>
        </w:rPr>
        <w:t>,</w:t>
      </w:r>
      <w:r w:rsidR="0076405D" w:rsidRPr="00953692">
        <w:rPr>
          <w:rFonts w:cs="Times New Roman"/>
          <w:sz w:val="24"/>
          <w:szCs w:val="24"/>
          <w:lang w:val="fr-FR"/>
        </w:rPr>
        <w:t xml:space="preserve"> de ce qui précède que</w:t>
      </w:r>
      <w:r w:rsidR="004F5C63" w:rsidRPr="00953692">
        <w:rPr>
          <w:rFonts w:cs="Times New Roman"/>
          <w:sz w:val="24"/>
          <w:szCs w:val="24"/>
          <w:lang w:val="fr-FR"/>
        </w:rPr>
        <w:t>,</w:t>
      </w:r>
      <w:r w:rsidR="0076405D" w:rsidRPr="00953692">
        <w:rPr>
          <w:rFonts w:cs="Times New Roman"/>
          <w:i/>
          <w:iCs/>
          <w:sz w:val="24"/>
          <w:szCs w:val="24"/>
          <w:lang w:val="fr-FR"/>
        </w:rPr>
        <w:t xml:space="preserve"> le droit d’être inculpé dans le délai peut être défini comme une prérogative du suspect privé de sa liberté</w:t>
      </w:r>
      <w:r w:rsidRPr="00953692">
        <w:rPr>
          <w:rFonts w:cs="Times New Roman"/>
          <w:i/>
          <w:iCs/>
          <w:sz w:val="24"/>
          <w:szCs w:val="24"/>
          <w:lang w:val="fr-FR"/>
        </w:rPr>
        <w:t>,</w:t>
      </w:r>
      <w:r w:rsidR="0076405D" w:rsidRPr="00953692">
        <w:rPr>
          <w:rFonts w:cs="Times New Roman"/>
          <w:i/>
          <w:iCs/>
          <w:sz w:val="24"/>
          <w:szCs w:val="24"/>
          <w:lang w:val="fr-FR"/>
        </w:rPr>
        <w:t xml:space="preserve"> d</w:t>
      </w:r>
      <w:r w:rsidRPr="00953692">
        <w:rPr>
          <w:rFonts w:cs="Times New Roman"/>
          <w:i/>
          <w:iCs/>
          <w:sz w:val="24"/>
          <w:szCs w:val="24"/>
          <w:lang w:val="fr-FR"/>
        </w:rPr>
        <w:t>’être</w:t>
      </w:r>
      <w:r w:rsidR="006A5089" w:rsidRPr="00953692">
        <w:rPr>
          <w:rFonts w:cs="Times New Roman"/>
          <w:i/>
          <w:iCs/>
          <w:sz w:val="24"/>
          <w:szCs w:val="24"/>
          <w:lang w:val="fr-FR"/>
        </w:rPr>
        <w:t xml:space="preserve"> libéré,</w:t>
      </w:r>
      <w:r w:rsidR="0076405D" w:rsidRPr="00953692">
        <w:rPr>
          <w:rFonts w:cs="Times New Roman"/>
          <w:i/>
          <w:iCs/>
          <w:sz w:val="24"/>
          <w:szCs w:val="24"/>
          <w:lang w:val="fr-FR"/>
        </w:rPr>
        <w:t xml:space="preserve"> après que l’autorité chargée des poursuites n’a pas obtenu une conf</w:t>
      </w:r>
      <w:r w:rsidR="00305044" w:rsidRPr="00953692">
        <w:rPr>
          <w:rFonts w:cs="Times New Roman"/>
          <w:i/>
          <w:iCs/>
          <w:sz w:val="24"/>
          <w:szCs w:val="24"/>
          <w:lang w:val="fr-FR"/>
        </w:rPr>
        <w:t>i</w:t>
      </w:r>
      <w:r w:rsidR="0076405D" w:rsidRPr="00953692">
        <w:rPr>
          <w:rFonts w:cs="Times New Roman"/>
          <w:i/>
          <w:iCs/>
          <w:sz w:val="24"/>
          <w:szCs w:val="24"/>
          <w:lang w:val="fr-FR"/>
        </w:rPr>
        <w:t>rmation de son acte d’accusation ou le cas échéant, ne l’a pas soumis à l’organe juridictionnel qui en est chargé</w:t>
      </w:r>
      <w:r w:rsidRPr="00953692">
        <w:rPr>
          <w:rFonts w:cs="Times New Roman"/>
          <w:i/>
          <w:iCs/>
          <w:sz w:val="24"/>
          <w:szCs w:val="24"/>
          <w:lang w:val="fr-FR"/>
        </w:rPr>
        <w:t>,</w:t>
      </w:r>
      <w:r w:rsidR="0076405D" w:rsidRPr="00953692">
        <w:rPr>
          <w:rFonts w:cs="Times New Roman"/>
          <w:i/>
          <w:iCs/>
          <w:sz w:val="24"/>
          <w:szCs w:val="24"/>
          <w:lang w:val="fr-FR"/>
        </w:rPr>
        <w:t xml:space="preserve"> dans un délai bien déterminé</w:t>
      </w:r>
      <w:r w:rsidR="00F1121E" w:rsidRPr="00953692">
        <w:rPr>
          <w:rFonts w:cs="Times New Roman"/>
          <w:i/>
          <w:iCs/>
          <w:sz w:val="24"/>
          <w:szCs w:val="24"/>
          <w:lang w:val="fr-FR"/>
        </w:rPr>
        <w:t xml:space="preserve"> endéans un délai plus long constaté par l’organe juridictionnel</w:t>
      </w:r>
      <w:r w:rsidR="0076405D" w:rsidRPr="00953692">
        <w:rPr>
          <w:rFonts w:cs="Times New Roman"/>
          <w:sz w:val="24"/>
          <w:szCs w:val="24"/>
          <w:lang w:val="fr-FR"/>
        </w:rPr>
        <w:t xml:space="preserve">. Il s’agit d’un droit misant sur l’enjeu </w:t>
      </w:r>
      <w:r w:rsidRPr="00953692">
        <w:rPr>
          <w:rFonts w:cs="Times New Roman"/>
          <w:sz w:val="24"/>
          <w:szCs w:val="24"/>
          <w:lang w:val="fr-FR"/>
        </w:rPr>
        <w:t>q</w:t>
      </w:r>
      <w:r w:rsidR="0076405D" w:rsidRPr="00953692">
        <w:rPr>
          <w:rFonts w:cs="Times New Roman"/>
          <w:sz w:val="24"/>
          <w:szCs w:val="24"/>
          <w:lang w:val="fr-FR"/>
        </w:rPr>
        <w:t>u’emporte la privation de la liberté individuelle, qui devra demeurer, dans tous les cas où un jugement définitif de condamnation n’est pas encore prononcé,</w:t>
      </w:r>
      <w:r w:rsidRPr="00953692">
        <w:rPr>
          <w:rFonts w:cs="Times New Roman"/>
          <w:sz w:val="24"/>
          <w:szCs w:val="24"/>
          <w:lang w:val="fr-FR"/>
        </w:rPr>
        <w:t xml:space="preserve"> plus encore avant l’inculpation,</w:t>
      </w:r>
      <w:r w:rsidR="0076405D" w:rsidRPr="00953692">
        <w:rPr>
          <w:rFonts w:cs="Times New Roman"/>
          <w:sz w:val="24"/>
          <w:szCs w:val="24"/>
          <w:lang w:val="fr-FR"/>
        </w:rPr>
        <w:t xml:space="preserve"> une mesure exceptionnelle conformément au droit international des droits de l’homme</w:t>
      </w:r>
      <w:r w:rsidR="00F1121E" w:rsidRPr="00953692">
        <w:rPr>
          <w:rFonts w:cs="Times New Roman"/>
          <w:sz w:val="24"/>
          <w:szCs w:val="24"/>
          <w:lang w:val="fr-FR"/>
        </w:rPr>
        <w:t xml:space="preserve"> et aux constitutions modernes</w:t>
      </w:r>
      <w:r w:rsidR="0076405D" w:rsidRPr="00953692">
        <w:rPr>
          <w:rFonts w:cs="Times New Roman"/>
          <w:sz w:val="24"/>
          <w:szCs w:val="24"/>
          <w:lang w:val="fr-FR"/>
        </w:rPr>
        <w:t xml:space="preserve">. </w:t>
      </w:r>
      <w:r w:rsidR="0076405D" w:rsidRPr="00953692">
        <w:rPr>
          <w:rFonts w:cs="Times New Roman"/>
          <w:i/>
          <w:iCs/>
          <w:sz w:val="24"/>
          <w:szCs w:val="24"/>
          <w:lang w:val="fr-FR"/>
        </w:rPr>
        <w:t>Son objet est donc celui de limiter la durée de l’enquête du procureur dès lorsqu’il y a un suspect en détention ou en état d’arrestation</w:t>
      </w:r>
      <w:r w:rsidRPr="00953692">
        <w:rPr>
          <w:rFonts w:cs="Times New Roman"/>
          <w:sz w:val="24"/>
          <w:szCs w:val="24"/>
          <w:lang w:val="fr-FR"/>
        </w:rPr>
        <w:t>. Une telle limitation est, sans</w:t>
      </w:r>
      <w:r w:rsidR="0076405D" w:rsidRPr="00953692">
        <w:rPr>
          <w:rFonts w:cs="Times New Roman"/>
          <w:sz w:val="24"/>
          <w:szCs w:val="24"/>
          <w:lang w:val="fr-FR"/>
        </w:rPr>
        <w:t xml:space="preserve"> </w:t>
      </w:r>
      <w:r w:rsidRPr="00953692">
        <w:rPr>
          <w:rFonts w:cs="Times New Roman"/>
          <w:sz w:val="24"/>
          <w:szCs w:val="24"/>
          <w:lang w:val="fr-FR"/>
        </w:rPr>
        <w:t xml:space="preserve">nul doute, propice à l’organisation du procès dans un délai raisonnable, </w:t>
      </w:r>
      <w:r w:rsidR="00323D93" w:rsidRPr="00953692">
        <w:rPr>
          <w:rFonts w:cs="Times New Roman"/>
          <w:sz w:val="24"/>
          <w:szCs w:val="24"/>
          <w:lang w:val="fr-FR"/>
        </w:rPr>
        <w:t>fondamentalement</w:t>
      </w:r>
      <w:r w:rsidRPr="00953692">
        <w:rPr>
          <w:rFonts w:cs="Times New Roman"/>
          <w:sz w:val="24"/>
          <w:szCs w:val="24"/>
          <w:lang w:val="fr-FR"/>
        </w:rPr>
        <w:t xml:space="preserve"> parce que le procureur devrait, dès le début, agir plus vite et</w:t>
      </w:r>
      <w:r w:rsidR="00305044" w:rsidRPr="00953692">
        <w:rPr>
          <w:rFonts w:cs="Times New Roman"/>
          <w:sz w:val="24"/>
          <w:szCs w:val="24"/>
          <w:lang w:val="fr-FR"/>
        </w:rPr>
        <w:t xml:space="preserve"> surtout</w:t>
      </w:r>
      <w:r w:rsidRPr="00953692">
        <w:rPr>
          <w:rFonts w:cs="Times New Roman"/>
          <w:sz w:val="24"/>
          <w:szCs w:val="24"/>
          <w:lang w:val="fr-FR"/>
        </w:rPr>
        <w:t xml:space="preserve"> dans un délai strictement déterminé.</w:t>
      </w:r>
    </w:p>
    <w:p w14:paraId="2FEB201D" w14:textId="2C77CDC8" w:rsidR="00677BB6" w:rsidRPr="00ED789C" w:rsidRDefault="00ED789C" w:rsidP="0051789F">
      <w:pPr>
        <w:pStyle w:val="Titre3"/>
        <w:ind w:left="1134"/>
        <w:rPr>
          <w:rFonts w:ascii="Times New Roman" w:hAnsi="Times New Roman"/>
          <w:b w:val="0"/>
          <w:bCs/>
          <w:i/>
          <w:iCs/>
          <w:color w:val="auto"/>
          <w:sz w:val="24"/>
          <w:szCs w:val="24"/>
          <w:lang w:val="fr-FR"/>
        </w:rPr>
      </w:pPr>
      <w:bookmarkStart w:id="35" w:name="_Toc195179420"/>
      <w:r w:rsidRPr="00ED789C">
        <w:rPr>
          <w:rFonts w:ascii="Times New Roman" w:hAnsi="Times New Roman"/>
          <w:b w:val="0"/>
          <w:bCs/>
          <w:i/>
          <w:iCs/>
          <w:color w:val="auto"/>
          <w:sz w:val="24"/>
          <w:szCs w:val="24"/>
          <w:lang w:val="fr-FR"/>
        </w:rPr>
        <w:t xml:space="preserve">Paragraphe </w:t>
      </w:r>
      <w:r w:rsidR="0076405D" w:rsidRPr="00ED789C">
        <w:rPr>
          <w:rFonts w:ascii="Times New Roman" w:hAnsi="Times New Roman"/>
          <w:b w:val="0"/>
          <w:bCs/>
          <w:i/>
          <w:iCs/>
          <w:color w:val="auto"/>
          <w:sz w:val="24"/>
          <w:szCs w:val="24"/>
          <w:lang w:val="fr-FR"/>
        </w:rPr>
        <w:t>2. Incidence</w:t>
      </w:r>
      <w:r w:rsidR="00E31F67" w:rsidRPr="00ED789C">
        <w:rPr>
          <w:rFonts w:ascii="Times New Roman" w:hAnsi="Times New Roman"/>
          <w:b w:val="0"/>
          <w:bCs/>
          <w:i/>
          <w:iCs/>
          <w:color w:val="auto"/>
          <w:sz w:val="24"/>
          <w:szCs w:val="24"/>
          <w:lang w:val="fr-FR"/>
        </w:rPr>
        <w:t xml:space="preserve"> du droit d’être inculpé dans le délai</w:t>
      </w:r>
      <w:r w:rsidR="0076405D" w:rsidRPr="00ED789C">
        <w:rPr>
          <w:rFonts w:ascii="Times New Roman" w:hAnsi="Times New Roman"/>
          <w:b w:val="0"/>
          <w:bCs/>
          <w:i/>
          <w:iCs/>
          <w:color w:val="auto"/>
          <w:sz w:val="24"/>
          <w:szCs w:val="24"/>
          <w:lang w:val="fr-FR"/>
        </w:rPr>
        <w:t xml:space="preserve"> sur le délai raisonnable du procès</w:t>
      </w:r>
      <w:bookmarkEnd w:id="35"/>
    </w:p>
    <w:p w14:paraId="6B8E6F5A" w14:textId="5BF75231" w:rsidR="0076405D" w:rsidRPr="00953692" w:rsidRDefault="007A3095"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w:t>
      </w:r>
      <w:r w:rsidR="00F1003E" w:rsidRPr="00953692">
        <w:rPr>
          <w:rFonts w:cs="Times New Roman"/>
          <w:b/>
          <w:bCs/>
          <w:sz w:val="24"/>
          <w:szCs w:val="24"/>
          <w:lang w:val="fr-FR"/>
        </w:rPr>
        <w:t>86</w:t>
      </w:r>
      <w:r w:rsidRPr="00953692">
        <w:rPr>
          <w:rFonts w:cs="Times New Roman"/>
          <w:b/>
          <w:bCs/>
          <w:sz w:val="24"/>
          <w:szCs w:val="24"/>
          <w:lang w:val="fr-FR"/>
        </w:rPr>
        <w:t>.</w:t>
      </w:r>
      <w:r w:rsidRPr="00953692">
        <w:rPr>
          <w:rFonts w:cs="Times New Roman"/>
          <w:sz w:val="24"/>
          <w:szCs w:val="24"/>
          <w:lang w:val="fr-FR"/>
        </w:rPr>
        <w:t xml:space="preserve"> </w:t>
      </w:r>
      <w:r w:rsidR="0076405D" w:rsidRPr="00953692">
        <w:rPr>
          <w:rFonts w:cs="Times New Roman"/>
          <w:sz w:val="24"/>
          <w:szCs w:val="24"/>
          <w:lang w:val="fr-FR"/>
        </w:rPr>
        <w:t>Le droit d’être inculpé dans le délai est, par son objet, d’essence lié à la durée d’une procédure, à laquelle le délai raisonnable tente d’apporter un argument d’équité</w:t>
      </w:r>
      <w:r w:rsidR="00E842AF" w:rsidRPr="00953692">
        <w:rPr>
          <w:rFonts w:cs="Times New Roman"/>
          <w:sz w:val="24"/>
          <w:szCs w:val="24"/>
          <w:lang w:val="fr-FR"/>
        </w:rPr>
        <w:t xml:space="preserve"> et de rapidité</w:t>
      </w:r>
      <w:r w:rsidR="0076405D" w:rsidRPr="00953692">
        <w:rPr>
          <w:rFonts w:cs="Times New Roman"/>
          <w:sz w:val="24"/>
          <w:szCs w:val="24"/>
          <w:lang w:val="fr-FR"/>
        </w:rPr>
        <w:t>. L’un des problèmes sérieux que pose la question de la durée des procédures pénales internationales est</w:t>
      </w:r>
      <w:r w:rsidR="00545927" w:rsidRPr="00953692">
        <w:rPr>
          <w:rFonts w:cs="Times New Roman"/>
          <w:sz w:val="24"/>
          <w:szCs w:val="24"/>
          <w:lang w:val="fr-FR"/>
        </w:rPr>
        <w:t>,</w:t>
      </w:r>
      <w:r w:rsidR="0076405D" w:rsidRPr="00953692">
        <w:rPr>
          <w:rFonts w:cs="Times New Roman"/>
          <w:sz w:val="24"/>
          <w:szCs w:val="24"/>
          <w:lang w:val="fr-FR"/>
        </w:rPr>
        <w:t xml:space="preserve"> en réalité</w:t>
      </w:r>
      <w:r w:rsidR="00545927" w:rsidRPr="00953692">
        <w:rPr>
          <w:rFonts w:cs="Times New Roman"/>
          <w:sz w:val="24"/>
          <w:szCs w:val="24"/>
          <w:lang w:val="fr-FR"/>
        </w:rPr>
        <w:t>,</w:t>
      </w:r>
      <w:r w:rsidR="0076405D" w:rsidRPr="00953692">
        <w:rPr>
          <w:rFonts w:cs="Times New Roman"/>
          <w:sz w:val="24"/>
          <w:szCs w:val="24"/>
          <w:lang w:val="fr-FR"/>
        </w:rPr>
        <w:t xml:space="preserve"> inhérent au commencement de celles-ci</w:t>
      </w:r>
      <w:r w:rsidR="005C5692" w:rsidRPr="00953692">
        <w:rPr>
          <w:rFonts w:cs="Times New Roman"/>
          <w:sz w:val="24"/>
          <w:szCs w:val="24"/>
          <w:lang w:val="fr-FR"/>
        </w:rPr>
        <w:t>,</w:t>
      </w:r>
      <w:r w:rsidR="0076405D" w:rsidRPr="00953692">
        <w:rPr>
          <w:rFonts w:cs="Times New Roman"/>
          <w:sz w:val="24"/>
          <w:szCs w:val="24"/>
          <w:lang w:val="fr-FR"/>
        </w:rPr>
        <w:t xml:space="preserve"> tant les crimes commis nécessitent plus de temps d’investigation que la procédure d’arrestation des suspects est beaucoup plus complexe</w:t>
      </w:r>
      <w:r w:rsidR="00E842AF" w:rsidRPr="00953692">
        <w:rPr>
          <w:rFonts w:cs="Times New Roman"/>
          <w:sz w:val="24"/>
          <w:szCs w:val="24"/>
          <w:lang w:val="fr-FR"/>
        </w:rPr>
        <w:t xml:space="preserve"> dans un contexte de coopération difficile</w:t>
      </w:r>
      <w:r w:rsidR="0076405D" w:rsidRPr="00953692">
        <w:rPr>
          <w:rFonts w:cs="Times New Roman"/>
          <w:sz w:val="24"/>
          <w:szCs w:val="24"/>
          <w:lang w:val="fr-FR"/>
        </w:rPr>
        <w:t>. Le procureur international devra donc s’assurer détenir les éléments de preuve solides avant de prendre l’ultime décision d’engager les poursuites</w:t>
      </w:r>
      <w:r w:rsidR="00E842AF" w:rsidRPr="00953692">
        <w:rPr>
          <w:rFonts w:cs="Times New Roman"/>
          <w:sz w:val="24"/>
          <w:szCs w:val="24"/>
          <w:lang w:val="fr-FR"/>
        </w:rPr>
        <w:t xml:space="preserve"> pénales à l’encontre d’une personne</w:t>
      </w:r>
      <w:r w:rsidR="0076405D" w:rsidRPr="00953692">
        <w:rPr>
          <w:rFonts w:cs="Times New Roman"/>
          <w:sz w:val="24"/>
          <w:szCs w:val="24"/>
          <w:lang w:val="fr-FR"/>
        </w:rPr>
        <w:t>. Mais</w:t>
      </w:r>
      <w:r w:rsidR="005C5692" w:rsidRPr="00953692">
        <w:rPr>
          <w:rFonts w:cs="Times New Roman"/>
          <w:sz w:val="24"/>
          <w:szCs w:val="24"/>
          <w:lang w:val="fr-FR"/>
        </w:rPr>
        <w:t xml:space="preserve">, </w:t>
      </w:r>
      <w:r w:rsidR="0076405D" w:rsidRPr="00953692">
        <w:rPr>
          <w:rFonts w:cs="Times New Roman"/>
          <w:sz w:val="24"/>
          <w:szCs w:val="24"/>
          <w:lang w:val="fr-FR"/>
        </w:rPr>
        <w:t>il fait également face à la complexité d</w:t>
      </w:r>
      <w:r w:rsidR="005C5692" w:rsidRPr="00953692">
        <w:rPr>
          <w:rFonts w:cs="Times New Roman"/>
          <w:sz w:val="24"/>
          <w:szCs w:val="24"/>
          <w:lang w:val="fr-FR"/>
        </w:rPr>
        <w:t>’une</w:t>
      </w:r>
      <w:r w:rsidR="0076405D" w:rsidRPr="00953692">
        <w:rPr>
          <w:rFonts w:cs="Times New Roman"/>
          <w:sz w:val="24"/>
          <w:szCs w:val="24"/>
          <w:lang w:val="fr-FR"/>
        </w:rPr>
        <w:t xml:space="preserve"> question fondamentale, celle de mettre le suspect à sa disposition afin d’obtenir sa version des faits dans le cadre de son enquête et, le cas échéant, de le déférer devant les juges. Dans beaucoup des cas d’ailleurs, les enquêtes n’</w:t>
      </w:r>
      <w:r w:rsidR="00E842AF" w:rsidRPr="00953692">
        <w:rPr>
          <w:rFonts w:cs="Times New Roman"/>
          <w:sz w:val="24"/>
          <w:szCs w:val="24"/>
          <w:lang w:val="fr-FR"/>
        </w:rPr>
        <w:t>on</w:t>
      </w:r>
      <w:r w:rsidR="0076405D" w:rsidRPr="00953692">
        <w:rPr>
          <w:rFonts w:cs="Times New Roman"/>
          <w:sz w:val="24"/>
          <w:szCs w:val="24"/>
          <w:lang w:val="fr-FR"/>
        </w:rPr>
        <w:t>t pu déboucher à des poursuites effectives soit, par les recherches infructueuses d</w:t>
      </w:r>
      <w:r w:rsidR="005C5692" w:rsidRPr="00953692">
        <w:rPr>
          <w:rFonts w:cs="Times New Roman"/>
          <w:sz w:val="24"/>
          <w:szCs w:val="24"/>
          <w:lang w:val="fr-FR"/>
        </w:rPr>
        <w:t>es</w:t>
      </w:r>
      <w:r w:rsidR="0076405D" w:rsidRPr="00953692">
        <w:rPr>
          <w:rFonts w:cs="Times New Roman"/>
          <w:sz w:val="24"/>
          <w:szCs w:val="24"/>
          <w:lang w:val="fr-FR"/>
        </w:rPr>
        <w:t xml:space="preserve"> suspect</w:t>
      </w:r>
      <w:r w:rsidR="005C5692" w:rsidRPr="00953692">
        <w:rPr>
          <w:rFonts w:cs="Times New Roman"/>
          <w:sz w:val="24"/>
          <w:szCs w:val="24"/>
          <w:lang w:val="fr-FR"/>
        </w:rPr>
        <w:t>s</w:t>
      </w:r>
      <w:r w:rsidR="00CC220B" w:rsidRPr="00953692">
        <w:rPr>
          <w:rFonts w:cs="Times New Roman"/>
          <w:sz w:val="24"/>
          <w:szCs w:val="24"/>
          <w:lang w:val="fr-FR"/>
        </w:rPr>
        <w:t>,</w:t>
      </w:r>
      <w:r w:rsidR="0076405D" w:rsidRPr="00953692">
        <w:rPr>
          <w:rFonts w:cs="Times New Roman"/>
          <w:sz w:val="24"/>
          <w:szCs w:val="24"/>
          <w:lang w:val="fr-FR"/>
        </w:rPr>
        <w:t xml:space="preserve"> soit par le refus implicite ou explicite</w:t>
      </w:r>
      <w:r w:rsidR="005C5692" w:rsidRPr="00953692">
        <w:rPr>
          <w:rFonts w:cs="Times New Roman"/>
          <w:sz w:val="24"/>
          <w:szCs w:val="24"/>
          <w:lang w:val="fr-FR"/>
        </w:rPr>
        <w:t xml:space="preserve"> </w:t>
      </w:r>
      <w:r w:rsidR="0076405D" w:rsidRPr="00953692">
        <w:rPr>
          <w:rFonts w:cs="Times New Roman"/>
          <w:sz w:val="24"/>
          <w:szCs w:val="24"/>
          <w:lang w:val="fr-FR"/>
        </w:rPr>
        <w:t>d’un Etat requis</w:t>
      </w:r>
      <w:r w:rsidR="005C5692" w:rsidRPr="00953692">
        <w:rPr>
          <w:rFonts w:cs="Times New Roman"/>
          <w:sz w:val="24"/>
          <w:szCs w:val="24"/>
          <w:lang w:val="fr-FR"/>
        </w:rPr>
        <w:t>,</w:t>
      </w:r>
      <w:r w:rsidR="0076405D" w:rsidRPr="00953692">
        <w:rPr>
          <w:rFonts w:cs="Times New Roman"/>
          <w:sz w:val="24"/>
          <w:szCs w:val="24"/>
          <w:lang w:val="fr-FR"/>
        </w:rPr>
        <w:t xml:space="preserve"> de collaborer avec la justice pénale internationale.</w:t>
      </w:r>
    </w:p>
    <w:p w14:paraId="5252C5B5" w14:textId="48C7A0A5" w:rsidR="0076405D" w:rsidRPr="00953692" w:rsidRDefault="00D42AC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w:t>
      </w:r>
      <w:r w:rsidR="00F1003E" w:rsidRPr="00953692">
        <w:rPr>
          <w:rFonts w:cs="Times New Roman"/>
          <w:b/>
          <w:bCs/>
          <w:sz w:val="24"/>
          <w:szCs w:val="24"/>
          <w:lang w:val="fr-FR"/>
        </w:rPr>
        <w:t>87</w:t>
      </w:r>
      <w:r w:rsidRPr="00953692">
        <w:rPr>
          <w:rFonts w:cs="Times New Roman"/>
          <w:b/>
          <w:bCs/>
          <w:sz w:val="24"/>
          <w:szCs w:val="24"/>
          <w:lang w:val="fr-FR"/>
        </w:rPr>
        <w:t>.</w:t>
      </w:r>
      <w:r w:rsidRPr="00953692">
        <w:rPr>
          <w:rFonts w:cs="Times New Roman"/>
          <w:sz w:val="24"/>
          <w:szCs w:val="24"/>
          <w:lang w:val="fr-FR"/>
        </w:rPr>
        <w:t xml:space="preserve"> </w:t>
      </w:r>
      <w:r w:rsidR="0076405D" w:rsidRPr="00953692">
        <w:rPr>
          <w:rFonts w:cs="Times New Roman"/>
          <w:sz w:val="24"/>
          <w:szCs w:val="24"/>
          <w:lang w:val="fr-FR"/>
        </w:rPr>
        <w:t xml:space="preserve">Du coup, l’hypothèse d’une arrestation et </w:t>
      </w:r>
      <w:r w:rsidRPr="00953692">
        <w:rPr>
          <w:rFonts w:cs="Times New Roman"/>
          <w:sz w:val="24"/>
          <w:szCs w:val="24"/>
          <w:lang w:val="fr-FR"/>
        </w:rPr>
        <w:t xml:space="preserve">d’une </w:t>
      </w:r>
      <w:r w:rsidR="0076405D" w:rsidRPr="00953692">
        <w:rPr>
          <w:rFonts w:cs="Times New Roman"/>
          <w:sz w:val="24"/>
          <w:szCs w:val="24"/>
          <w:lang w:val="fr-FR"/>
        </w:rPr>
        <w:t>détention provisoire ou à titre des mesures provisoires se présente, dans sa plus grande plausibilité, comme un véritable atout d</w:t>
      </w:r>
      <w:r w:rsidRPr="00953692">
        <w:rPr>
          <w:rFonts w:cs="Times New Roman"/>
          <w:sz w:val="24"/>
          <w:szCs w:val="24"/>
          <w:lang w:val="fr-FR"/>
        </w:rPr>
        <w:t>e ce</w:t>
      </w:r>
      <w:r w:rsidR="0076405D" w:rsidRPr="00953692">
        <w:rPr>
          <w:rFonts w:cs="Times New Roman"/>
          <w:sz w:val="24"/>
          <w:szCs w:val="24"/>
          <w:lang w:val="fr-FR"/>
        </w:rPr>
        <w:t xml:space="preserve"> </w:t>
      </w:r>
      <w:r w:rsidR="007F2E81" w:rsidRPr="00953692">
        <w:rPr>
          <w:rFonts w:cs="Times New Roman"/>
          <w:sz w:val="24"/>
          <w:szCs w:val="24"/>
          <w:lang w:val="fr-FR"/>
        </w:rPr>
        <w:t>P</w:t>
      </w:r>
      <w:r w:rsidR="0076405D" w:rsidRPr="00953692">
        <w:rPr>
          <w:rFonts w:cs="Times New Roman"/>
          <w:sz w:val="24"/>
          <w:szCs w:val="24"/>
          <w:lang w:val="fr-FR"/>
        </w:rPr>
        <w:t xml:space="preserve">rocureur international. Le problème, c’est qu’il s’agit d’une hypothèse qui peut souvent se confirmer bien avant que le procureur ait les éléments </w:t>
      </w:r>
      <w:r w:rsidR="0076405D" w:rsidRPr="00953692">
        <w:rPr>
          <w:rFonts w:cs="Times New Roman"/>
          <w:sz w:val="24"/>
          <w:szCs w:val="24"/>
          <w:lang w:val="fr-FR"/>
        </w:rPr>
        <w:lastRenderedPageBreak/>
        <w:t>suffisants pouvant solliciter une inculpation. Nous avons vu dans l’affaire Barayagwiza comment le procureur a tergiversé entre poursuites et relâchement du suspect d’alors</w:t>
      </w:r>
      <w:r w:rsidR="007F2E81" w:rsidRPr="00953692">
        <w:rPr>
          <w:rFonts w:cs="Times New Roman"/>
          <w:sz w:val="24"/>
          <w:szCs w:val="24"/>
          <w:lang w:val="fr-FR"/>
        </w:rPr>
        <w:t xml:space="preserve"> avant de prendre une décision tardive de le poursuivre</w:t>
      </w:r>
      <w:r w:rsidR="0076405D" w:rsidRPr="00953692">
        <w:rPr>
          <w:rFonts w:cs="Times New Roman"/>
          <w:sz w:val="24"/>
          <w:szCs w:val="24"/>
          <w:lang w:val="fr-FR"/>
        </w:rPr>
        <w:t>. Devant la CPI, on peut mentionner le cas</w:t>
      </w:r>
      <w:r w:rsidR="007F2E81" w:rsidRPr="00953692">
        <w:rPr>
          <w:rFonts w:cs="Times New Roman"/>
          <w:sz w:val="24"/>
          <w:szCs w:val="24"/>
          <w:lang w:val="fr-FR"/>
        </w:rPr>
        <w:t xml:space="preserve"> de Laurent</w:t>
      </w:r>
      <w:r w:rsidR="0076405D" w:rsidRPr="00953692">
        <w:rPr>
          <w:rFonts w:cs="Times New Roman"/>
          <w:sz w:val="24"/>
          <w:szCs w:val="24"/>
          <w:lang w:val="fr-FR"/>
        </w:rPr>
        <w:t xml:space="preserve"> Gbagbo dans lequel</w:t>
      </w:r>
      <w:r w:rsidRPr="00953692">
        <w:rPr>
          <w:rFonts w:cs="Times New Roman"/>
          <w:sz w:val="24"/>
          <w:szCs w:val="24"/>
          <w:lang w:val="fr-FR"/>
        </w:rPr>
        <w:t>,</w:t>
      </w:r>
      <w:r w:rsidR="0076405D" w:rsidRPr="00953692">
        <w:rPr>
          <w:rFonts w:cs="Times New Roman"/>
          <w:sz w:val="24"/>
          <w:szCs w:val="24"/>
          <w:lang w:val="fr-FR"/>
        </w:rPr>
        <w:t xml:space="preserve"> il a été demandé au </w:t>
      </w:r>
      <w:r w:rsidRPr="00953692">
        <w:rPr>
          <w:rFonts w:cs="Times New Roman"/>
          <w:sz w:val="24"/>
          <w:szCs w:val="24"/>
          <w:lang w:val="fr-FR"/>
        </w:rPr>
        <w:t>P</w:t>
      </w:r>
      <w:r w:rsidR="0076405D" w:rsidRPr="00953692">
        <w:rPr>
          <w:rFonts w:cs="Times New Roman"/>
          <w:sz w:val="24"/>
          <w:szCs w:val="24"/>
          <w:lang w:val="fr-FR"/>
        </w:rPr>
        <w:t>rocureur de compléter son enquête avant de solliciter une confirmation des charges</w:t>
      </w:r>
      <w:r w:rsidRPr="00953692">
        <w:rPr>
          <w:rFonts w:cs="Times New Roman"/>
          <w:sz w:val="24"/>
          <w:szCs w:val="24"/>
          <w:lang w:val="fr-FR"/>
        </w:rPr>
        <w:t>,</w:t>
      </w:r>
      <w:r w:rsidR="0076405D" w:rsidRPr="00953692">
        <w:rPr>
          <w:rFonts w:cs="Times New Roman"/>
          <w:sz w:val="24"/>
          <w:szCs w:val="24"/>
          <w:lang w:val="fr-FR"/>
        </w:rPr>
        <w:t xml:space="preserve"> </w:t>
      </w:r>
      <w:r w:rsidR="00F60DF3" w:rsidRPr="00953692">
        <w:rPr>
          <w:rFonts w:cs="Times New Roman"/>
          <w:sz w:val="24"/>
          <w:szCs w:val="24"/>
          <w:lang w:val="fr-FR"/>
        </w:rPr>
        <w:t>même si</w:t>
      </w:r>
      <w:r w:rsidR="0076405D" w:rsidRPr="00953692">
        <w:rPr>
          <w:rFonts w:cs="Times New Roman"/>
          <w:sz w:val="24"/>
          <w:szCs w:val="24"/>
          <w:lang w:val="fr-FR"/>
        </w:rPr>
        <w:t xml:space="preserve"> le suspect était déjà détenu plus d’un an durant.</w:t>
      </w:r>
      <w:r w:rsidRPr="00953692">
        <w:rPr>
          <w:rFonts w:cs="Times New Roman"/>
          <w:sz w:val="24"/>
          <w:szCs w:val="24"/>
          <w:lang w:val="fr-FR"/>
        </w:rPr>
        <w:t xml:space="preserve"> En conséquence</w:t>
      </w:r>
      <w:r w:rsidR="0076405D" w:rsidRPr="00953692">
        <w:rPr>
          <w:rFonts w:cs="Times New Roman"/>
          <w:sz w:val="24"/>
          <w:szCs w:val="24"/>
          <w:lang w:val="fr-FR"/>
        </w:rPr>
        <w:t>, le droit d’être inculpé dans le délai vien</w:t>
      </w:r>
      <w:r w:rsidRPr="00953692">
        <w:rPr>
          <w:rFonts w:cs="Times New Roman"/>
          <w:sz w:val="24"/>
          <w:szCs w:val="24"/>
          <w:lang w:val="fr-FR"/>
        </w:rPr>
        <w:t>drait</w:t>
      </w:r>
      <w:r w:rsidR="0076405D" w:rsidRPr="00953692">
        <w:rPr>
          <w:rFonts w:cs="Times New Roman"/>
          <w:sz w:val="24"/>
          <w:szCs w:val="24"/>
          <w:lang w:val="fr-FR"/>
        </w:rPr>
        <w:t xml:space="preserve"> contrebalancer ces pouvoirs exorbitants de la justice</w:t>
      </w:r>
      <w:r w:rsidR="00F60DF3" w:rsidRPr="00953692">
        <w:rPr>
          <w:rFonts w:cs="Times New Roman"/>
          <w:sz w:val="24"/>
          <w:szCs w:val="24"/>
          <w:lang w:val="fr-FR"/>
        </w:rPr>
        <w:t>,</w:t>
      </w:r>
      <w:r w:rsidR="0076405D" w:rsidRPr="00953692">
        <w:rPr>
          <w:rFonts w:cs="Times New Roman"/>
          <w:sz w:val="24"/>
          <w:szCs w:val="24"/>
          <w:lang w:val="fr-FR"/>
        </w:rPr>
        <w:t xml:space="preserve"> de pouvoir ou vouloir enquêter davantage sans limitation aucune dans le temps.</w:t>
      </w:r>
    </w:p>
    <w:p w14:paraId="26033CB0" w14:textId="245A6F3B" w:rsidR="00C9772E" w:rsidRPr="00953692" w:rsidRDefault="003102C8" w:rsidP="00864BBF">
      <w:pPr>
        <w:spacing w:after="0" w:line="276" w:lineRule="auto"/>
        <w:ind w:firstLine="1134"/>
        <w:jc w:val="both"/>
        <w:rPr>
          <w:sz w:val="24"/>
          <w:szCs w:val="24"/>
          <w:lang w:val="fr-FR"/>
        </w:rPr>
      </w:pPr>
      <w:r w:rsidRPr="00953692">
        <w:rPr>
          <w:rFonts w:cs="Times New Roman"/>
          <w:b/>
          <w:bCs/>
          <w:sz w:val="24"/>
          <w:szCs w:val="24"/>
          <w:lang w:val="fr-FR"/>
        </w:rPr>
        <w:t>1</w:t>
      </w:r>
      <w:r w:rsidR="00F1003E" w:rsidRPr="00953692">
        <w:rPr>
          <w:rFonts w:cs="Times New Roman"/>
          <w:b/>
          <w:bCs/>
          <w:sz w:val="24"/>
          <w:szCs w:val="24"/>
          <w:lang w:val="fr-FR"/>
        </w:rPr>
        <w:t>88</w:t>
      </w:r>
      <w:r w:rsidRPr="00953692">
        <w:rPr>
          <w:rFonts w:cs="Times New Roman"/>
          <w:b/>
          <w:bCs/>
          <w:sz w:val="24"/>
          <w:szCs w:val="24"/>
          <w:lang w:val="fr-FR"/>
        </w:rPr>
        <w:t>.</w:t>
      </w:r>
      <w:r w:rsidRPr="00953692">
        <w:rPr>
          <w:rFonts w:cs="Times New Roman"/>
          <w:sz w:val="24"/>
          <w:szCs w:val="24"/>
          <w:lang w:val="fr-FR"/>
        </w:rPr>
        <w:t xml:space="preserve"> </w:t>
      </w:r>
      <w:r w:rsidR="00331293" w:rsidRPr="00953692">
        <w:rPr>
          <w:rFonts w:cs="Times New Roman"/>
          <w:sz w:val="24"/>
          <w:szCs w:val="24"/>
          <w:lang w:val="fr-FR"/>
        </w:rPr>
        <w:t>S</w:t>
      </w:r>
      <w:r w:rsidR="00953380" w:rsidRPr="00953692">
        <w:rPr>
          <w:rFonts w:cs="Times New Roman"/>
          <w:sz w:val="24"/>
          <w:szCs w:val="24"/>
          <w:lang w:val="fr-FR"/>
        </w:rPr>
        <w:t xml:space="preserve">i devant les </w:t>
      </w:r>
      <w:r w:rsidR="00331293" w:rsidRPr="00953692">
        <w:rPr>
          <w:rFonts w:cs="Times New Roman"/>
          <w:sz w:val="24"/>
          <w:szCs w:val="24"/>
          <w:lang w:val="fr-FR"/>
        </w:rPr>
        <w:t xml:space="preserve">TPI </w:t>
      </w:r>
      <w:r w:rsidR="00953380" w:rsidRPr="00953692">
        <w:rPr>
          <w:rFonts w:cs="Times New Roman"/>
          <w:sz w:val="24"/>
          <w:szCs w:val="24"/>
          <w:lang w:val="fr-FR"/>
        </w:rPr>
        <w:t>ce contrebalance</w:t>
      </w:r>
      <w:r w:rsidR="00F60DF3" w:rsidRPr="00953692">
        <w:rPr>
          <w:rFonts w:cs="Times New Roman"/>
          <w:sz w:val="24"/>
          <w:szCs w:val="24"/>
          <w:lang w:val="fr-FR"/>
        </w:rPr>
        <w:t>ment</w:t>
      </w:r>
      <w:r w:rsidR="00953380" w:rsidRPr="00953692">
        <w:rPr>
          <w:rFonts w:cs="Times New Roman"/>
          <w:sz w:val="24"/>
          <w:szCs w:val="24"/>
          <w:lang w:val="fr-FR"/>
        </w:rPr>
        <w:t xml:space="preserve"> est sans équivoque, devant la </w:t>
      </w:r>
      <w:r w:rsidR="00331293" w:rsidRPr="00953692">
        <w:rPr>
          <w:rFonts w:cs="Times New Roman"/>
          <w:sz w:val="24"/>
          <w:szCs w:val="24"/>
          <w:lang w:val="fr-FR"/>
        </w:rPr>
        <w:t>CPI</w:t>
      </w:r>
      <w:r w:rsidRPr="00953692">
        <w:rPr>
          <w:rFonts w:cs="Times New Roman"/>
          <w:sz w:val="24"/>
          <w:szCs w:val="24"/>
          <w:lang w:val="fr-FR"/>
        </w:rPr>
        <w:t>,</w:t>
      </w:r>
      <w:r w:rsidR="00331293" w:rsidRPr="00953692">
        <w:rPr>
          <w:rFonts w:cs="Times New Roman"/>
          <w:sz w:val="24"/>
          <w:szCs w:val="24"/>
          <w:lang w:val="fr-FR"/>
        </w:rPr>
        <w:t xml:space="preserve"> </w:t>
      </w:r>
      <w:r w:rsidR="00953380" w:rsidRPr="00953692">
        <w:rPr>
          <w:sz w:val="24"/>
          <w:szCs w:val="24"/>
          <w:lang w:val="fr-FR"/>
        </w:rPr>
        <w:t>l’article 61-7</w:t>
      </w:r>
      <w:r w:rsidR="00331293" w:rsidRPr="00953692">
        <w:rPr>
          <w:sz w:val="24"/>
          <w:szCs w:val="24"/>
          <w:lang w:val="fr-FR"/>
        </w:rPr>
        <w:t xml:space="preserve">-c-i du statut de Rome, laissant la possibilité à la Chambre de demander des éléments supplémentaires, ouvre une brèche dans laquelle le suspect peut s’engouffrer pour soutenir la violation de son droit d’être jugé dans un délai raisonnable. </w:t>
      </w:r>
      <w:r w:rsidR="00C9772E" w:rsidRPr="00953692">
        <w:rPr>
          <w:sz w:val="24"/>
          <w:szCs w:val="24"/>
          <w:lang w:val="fr-FR"/>
        </w:rPr>
        <w:t>Tel avait été le cas</w:t>
      </w:r>
      <w:r w:rsidR="00FB2182" w:rsidRPr="00953692">
        <w:rPr>
          <w:sz w:val="24"/>
          <w:szCs w:val="24"/>
          <w:lang w:val="fr-FR"/>
        </w:rPr>
        <w:t xml:space="preserve"> de</w:t>
      </w:r>
      <w:r w:rsidR="00C9772E" w:rsidRPr="00953692">
        <w:rPr>
          <w:sz w:val="24"/>
          <w:szCs w:val="24"/>
          <w:lang w:val="fr-FR"/>
        </w:rPr>
        <w:t xml:space="preserve"> l’affaire Laurent Gbagbo </w:t>
      </w:r>
      <w:r w:rsidR="00FB2182" w:rsidRPr="00953692">
        <w:rPr>
          <w:sz w:val="24"/>
          <w:szCs w:val="24"/>
          <w:lang w:val="fr-FR"/>
        </w:rPr>
        <w:t>dans laquelle,</w:t>
      </w:r>
      <w:r w:rsidR="00C9772E" w:rsidRPr="00953692">
        <w:rPr>
          <w:sz w:val="24"/>
          <w:szCs w:val="24"/>
          <w:lang w:val="fr-FR"/>
        </w:rPr>
        <w:t xml:space="preserve"> la Chambre préliminaire I a</w:t>
      </w:r>
      <w:r w:rsidR="00F00F91" w:rsidRPr="00953692">
        <w:rPr>
          <w:sz w:val="24"/>
          <w:szCs w:val="24"/>
          <w:lang w:val="fr-FR"/>
        </w:rPr>
        <w:t>vait</w:t>
      </w:r>
      <w:r w:rsidR="00C9772E" w:rsidRPr="00953692">
        <w:rPr>
          <w:sz w:val="24"/>
          <w:szCs w:val="24"/>
          <w:lang w:val="fr-FR"/>
        </w:rPr>
        <w:t xml:space="preserve"> d</w:t>
      </w:r>
      <w:r w:rsidR="00F00F91" w:rsidRPr="00953692">
        <w:rPr>
          <w:sz w:val="24"/>
          <w:szCs w:val="24"/>
          <w:lang w:val="fr-FR"/>
        </w:rPr>
        <w:t>emandé</w:t>
      </w:r>
      <w:r w:rsidR="00C9772E" w:rsidRPr="00953692">
        <w:rPr>
          <w:sz w:val="24"/>
          <w:szCs w:val="24"/>
          <w:lang w:val="fr-FR"/>
        </w:rPr>
        <w:t xml:space="preserve"> au Procureur d’envisager d’apporter, dans la mesure du possible, des éléments de preuve supplémentaires ou de procéder à de nouvelles enquêtes relativement aux points</w:t>
      </w:r>
      <w:r w:rsidR="00F00F91" w:rsidRPr="00953692">
        <w:rPr>
          <w:sz w:val="24"/>
          <w:szCs w:val="24"/>
          <w:lang w:val="fr-FR"/>
        </w:rPr>
        <w:t xml:space="preserve"> qu’elle avait spécialement</w:t>
      </w:r>
      <w:r w:rsidR="00FB2182" w:rsidRPr="00953692">
        <w:rPr>
          <w:rStyle w:val="Appelnotedebasdep"/>
          <w:sz w:val="24"/>
          <w:szCs w:val="24"/>
          <w:lang w:val="fr-FR"/>
        </w:rPr>
        <w:footnoteReference w:customMarkFollows="1" w:id="145"/>
        <w:t>123</w:t>
      </w:r>
      <w:r w:rsidR="00F00F91" w:rsidRPr="00953692">
        <w:rPr>
          <w:sz w:val="24"/>
          <w:szCs w:val="24"/>
          <w:lang w:val="fr-FR"/>
        </w:rPr>
        <w:t xml:space="preserve">. </w:t>
      </w:r>
      <w:r w:rsidR="00566A4C" w:rsidRPr="00953692">
        <w:rPr>
          <w:sz w:val="24"/>
          <w:szCs w:val="24"/>
          <w:lang w:val="fr-FR"/>
        </w:rPr>
        <w:t>La Chambre a</w:t>
      </w:r>
      <w:r w:rsidR="00FB2182" w:rsidRPr="00953692">
        <w:rPr>
          <w:sz w:val="24"/>
          <w:szCs w:val="24"/>
          <w:lang w:val="fr-FR"/>
        </w:rPr>
        <w:t xml:space="preserve">, </w:t>
      </w:r>
      <w:r w:rsidR="00566A4C" w:rsidRPr="00953692">
        <w:rPr>
          <w:sz w:val="24"/>
          <w:szCs w:val="24"/>
          <w:lang w:val="fr-FR"/>
        </w:rPr>
        <w:t>à cette occasion</w:t>
      </w:r>
      <w:r w:rsidR="00FB2182" w:rsidRPr="00953692">
        <w:rPr>
          <w:sz w:val="24"/>
          <w:szCs w:val="24"/>
          <w:lang w:val="fr-FR"/>
        </w:rPr>
        <w:t xml:space="preserve">, </w:t>
      </w:r>
      <w:r w:rsidR="00566A4C" w:rsidRPr="00953692">
        <w:rPr>
          <w:sz w:val="24"/>
          <w:szCs w:val="24"/>
          <w:lang w:val="fr-FR"/>
        </w:rPr>
        <w:t>considéré l’effet d’une telle décision sur le droit de Laurent Gbagbo d’être jugé sans retard excessif, consacré à l’article 67-l-c du Statut</w:t>
      </w:r>
      <w:r w:rsidR="00FB2182" w:rsidRPr="00953692">
        <w:rPr>
          <w:rStyle w:val="Appelnotedebasdep"/>
          <w:sz w:val="24"/>
          <w:szCs w:val="24"/>
          <w:lang w:val="fr-FR"/>
        </w:rPr>
        <w:footnoteReference w:customMarkFollows="1" w:id="146"/>
        <w:t>124</w:t>
      </w:r>
      <w:r w:rsidR="00566A4C" w:rsidRPr="00953692">
        <w:rPr>
          <w:sz w:val="24"/>
          <w:szCs w:val="24"/>
          <w:lang w:val="fr-FR"/>
        </w:rPr>
        <w:t>.</w:t>
      </w:r>
    </w:p>
    <w:p w14:paraId="3ECF2B15" w14:textId="07EFA079" w:rsidR="00E67A45" w:rsidRPr="00953692" w:rsidRDefault="00D36B5A" w:rsidP="00864BBF">
      <w:pPr>
        <w:spacing w:after="0" w:line="276" w:lineRule="auto"/>
        <w:ind w:firstLine="1134"/>
        <w:jc w:val="both"/>
        <w:rPr>
          <w:sz w:val="24"/>
          <w:szCs w:val="24"/>
          <w:lang w:val="fr-FR"/>
        </w:rPr>
      </w:pPr>
      <w:r w:rsidRPr="00953692">
        <w:rPr>
          <w:b/>
          <w:bCs/>
          <w:sz w:val="24"/>
          <w:szCs w:val="24"/>
          <w:lang w:val="fr-FR"/>
        </w:rPr>
        <w:t>1</w:t>
      </w:r>
      <w:r w:rsidR="00F1003E" w:rsidRPr="00953692">
        <w:rPr>
          <w:b/>
          <w:bCs/>
          <w:sz w:val="24"/>
          <w:szCs w:val="24"/>
          <w:lang w:val="fr-FR"/>
        </w:rPr>
        <w:t>89</w:t>
      </w:r>
      <w:r w:rsidRPr="00953692">
        <w:rPr>
          <w:b/>
          <w:bCs/>
          <w:sz w:val="24"/>
          <w:szCs w:val="24"/>
          <w:lang w:val="fr-FR"/>
        </w:rPr>
        <w:t>.</w:t>
      </w:r>
      <w:r w:rsidRPr="00953692">
        <w:rPr>
          <w:sz w:val="24"/>
          <w:szCs w:val="24"/>
          <w:lang w:val="fr-FR"/>
        </w:rPr>
        <w:t xml:space="preserve"> </w:t>
      </w:r>
      <w:r w:rsidR="00377932" w:rsidRPr="00953692">
        <w:rPr>
          <w:sz w:val="24"/>
          <w:szCs w:val="24"/>
          <w:lang w:val="fr-FR"/>
        </w:rPr>
        <w:t>En réalité, la Chambre a reconnu qu</w:t>
      </w:r>
      <w:r w:rsidR="00E43C6A" w:rsidRPr="00953692">
        <w:rPr>
          <w:sz w:val="24"/>
          <w:szCs w:val="24"/>
          <w:lang w:val="fr-FR"/>
        </w:rPr>
        <w:t>e le recours à une telle</w:t>
      </w:r>
      <w:r w:rsidR="00377932" w:rsidRPr="00953692">
        <w:rPr>
          <w:sz w:val="24"/>
          <w:szCs w:val="24"/>
          <w:lang w:val="fr-FR"/>
        </w:rPr>
        <w:t xml:space="preserve"> mesure portait atteinte </w:t>
      </w:r>
      <w:r w:rsidR="00E43C6A" w:rsidRPr="00953692">
        <w:rPr>
          <w:sz w:val="24"/>
          <w:szCs w:val="24"/>
          <w:lang w:val="fr-FR"/>
        </w:rPr>
        <w:t xml:space="preserve">à ce droit de la défense, mais il lui revenait plutôt de déterminer s’il s’agissait d’une atteinte indue. </w:t>
      </w:r>
      <w:r w:rsidR="007B7964" w:rsidRPr="00953692">
        <w:rPr>
          <w:rStyle w:val="grammar"/>
          <w:rFonts w:cs="Times New Roman"/>
          <w:sz w:val="24"/>
          <w:szCs w:val="24"/>
          <w:lang w:val="fr-FR"/>
        </w:rPr>
        <w:t>À</w:t>
      </w:r>
      <w:r w:rsidR="007B7964" w:rsidRPr="00953692">
        <w:rPr>
          <w:rFonts w:cs="Times New Roman"/>
          <w:sz w:val="24"/>
          <w:szCs w:val="24"/>
          <w:shd w:val="clear" w:color="auto" w:fill="FFFFFF"/>
          <w:lang w:val="fr-FR"/>
        </w:rPr>
        <w:t xml:space="preserve"> cet effet</w:t>
      </w:r>
      <w:r w:rsidR="00E43C6A" w:rsidRPr="00953692">
        <w:rPr>
          <w:rFonts w:cs="Times New Roman"/>
          <w:sz w:val="24"/>
          <w:szCs w:val="24"/>
          <w:lang w:val="fr-FR"/>
        </w:rPr>
        <w:t>, la Chambre a commencé par reconnaitre que « dans cette affaire, la phase préliminaire devant la présente</w:t>
      </w:r>
      <w:r w:rsidR="00E43C6A" w:rsidRPr="00953692">
        <w:rPr>
          <w:sz w:val="24"/>
          <w:szCs w:val="24"/>
          <w:lang w:val="fr-FR"/>
        </w:rPr>
        <w:t xml:space="preserve"> Cour a déjà duré à peu près </w:t>
      </w:r>
      <w:r w:rsidR="007F2E81" w:rsidRPr="00953692">
        <w:rPr>
          <w:sz w:val="24"/>
          <w:szCs w:val="24"/>
          <w:lang w:val="fr-FR"/>
        </w:rPr>
        <w:t>d’</w:t>
      </w:r>
      <w:r w:rsidR="00E43C6A" w:rsidRPr="00953692">
        <w:rPr>
          <w:sz w:val="24"/>
          <w:szCs w:val="24"/>
          <w:lang w:val="fr-FR"/>
        </w:rPr>
        <w:t>un an et demi »</w:t>
      </w:r>
      <w:r w:rsidR="004314DD" w:rsidRPr="00953692">
        <w:rPr>
          <w:rStyle w:val="Appelnotedebasdep"/>
          <w:sz w:val="24"/>
          <w:szCs w:val="24"/>
          <w:lang w:val="fr-FR"/>
        </w:rPr>
        <w:footnoteReference w:customMarkFollows="1" w:id="147"/>
        <w:t>125</w:t>
      </w:r>
      <w:r w:rsidR="00E43C6A" w:rsidRPr="00953692">
        <w:rPr>
          <w:sz w:val="24"/>
          <w:szCs w:val="24"/>
          <w:lang w:val="fr-FR"/>
        </w:rPr>
        <w:t>, avant de rappeler la demande de la Défense relative à la question de l’aptitude de Laurent Gbagbo à participer au procès, mais aussi de remarquer la gravité des faits et la complexité de l’affaire qui en découlait</w:t>
      </w:r>
      <w:r w:rsidR="004314DD" w:rsidRPr="00953692">
        <w:rPr>
          <w:rStyle w:val="Appelnotedebasdep"/>
          <w:sz w:val="24"/>
          <w:szCs w:val="24"/>
          <w:lang w:val="fr-FR"/>
        </w:rPr>
        <w:footnoteReference w:customMarkFollows="1" w:id="148"/>
        <w:t>126</w:t>
      </w:r>
      <w:r w:rsidR="00E43C6A" w:rsidRPr="00953692">
        <w:rPr>
          <w:sz w:val="24"/>
          <w:szCs w:val="24"/>
          <w:lang w:val="fr-FR"/>
        </w:rPr>
        <w:t xml:space="preserve">. </w:t>
      </w:r>
      <w:r w:rsidR="009057E2" w:rsidRPr="00953692">
        <w:rPr>
          <w:sz w:val="24"/>
          <w:szCs w:val="24"/>
          <w:lang w:val="fr-FR"/>
        </w:rPr>
        <w:t xml:space="preserve">Elle a </w:t>
      </w:r>
      <w:r w:rsidR="00FB2182" w:rsidRPr="00953692">
        <w:rPr>
          <w:sz w:val="24"/>
          <w:szCs w:val="24"/>
          <w:lang w:val="fr-FR"/>
        </w:rPr>
        <w:t>sorti</w:t>
      </w:r>
      <w:r w:rsidR="009057E2" w:rsidRPr="00953692">
        <w:rPr>
          <w:sz w:val="24"/>
          <w:szCs w:val="24"/>
          <w:lang w:val="fr-FR"/>
        </w:rPr>
        <w:t xml:space="preserve"> </w:t>
      </w:r>
      <w:r w:rsidR="00FB2182" w:rsidRPr="00953692">
        <w:rPr>
          <w:sz w:val="24"/>
          <w:szCs w:val="24"/>
          <w:lang w:val="fr-FR"/>
        </w:rPr>
        <w:t xml:space="preserve">cet </w:t>
      </w:r>
      <w:r w:rsidR="009057E2" w:rsidRPr="00953692">
        <w:rPr>
          <w:sz w:val="24"/>
          <w:szCs w:val="24"/>
          <w:lang w:val="fr-FR"/>
        </w:rPr>
        <w:t xml:space="preserve">argument-massue, </w:t>
      </w:r>
      <w:r w:rsidR="004F5552" w:rsidRPr="00953692">
        <w:rPr>
          <w:sz w:val="24"/>
          <w:szCs w:val="24"/>
          <w:lang w:val="fr-FR"/>
        </w:rPr>
        <w:t>selon lequel</w:t>
      </w:r>
      <w:r w:rsidR="009057E2" w:rsidRPr="00953692">
        <w:rPr>
          <w:sz w:val="24"/>
          <w:szCs w:val="24"/>
          <w:lang w:val="fr-FR"/>
        </w:rPr>
        <w:t xml:space="preserve"> </w:t>
      </w:r>
      <w:r w:rsidR="004F5552" w:rsidRPr="00953692">
        <w:rPr>
          <w:sz w:val="24"/>
          <w:szCs w:val="24"/>
          <w:lang w:val="fr-FR"/>
        </w:rPr>
        <w:t>« </w:t>
      </w:r>
      <w:r w:rsidR="009057E2" w:rsidRPr="00953692">
        <w:rPr>
          <w:sz w:val="24"/>
          <w:szCs w:val="24"/>
          <w:lang w:val="fr-FR"/>
        </w:rPr>
        <w:t>le fait que l’article 61-7-c-i prévoit explicitement la possibilité de demander des éléments de preuve supplémentaires et que la Chambre d’appel a rappelé que cette manière de procéder était appropriée</w:t>
      </w:r>
      <w:r w:rsidR="004F5552" w:rsidRPr="00953692">
        <w:rPr>
          <w:sz w:val="24"/>
          <w:szCs w:val="24"/>
          <w:lang w:val="fr-FR"/>
        </w:rPr>
        <w:t> »</w:t>
      </w:r>
      <w:r w:rsidR="004314DD" w:rsidRPr="00953692">
        <w:rPr>
          <w:rStyle w:val="Appelnotedebasdep"/>
          <w:sz w:val="24"/>
          <w:szCs w:val="24"/>
          <w:lang w:val="fr-FR"/>
        </w:rPr>
        <w:footnoteReference w:customMarkFollows="1" w:id="149"/>
        <w:t>127</w:t>
      </w:r>
      <w:r w:rsidR="007F2E81" w:rsidRPr="00953692">
        <w:rPr>
          <w:sz w:val="24"/>
          <w:szCs w:val="24"/>
          <w:lang w:val="fr-FR"/>
        </w:rPr>
        <w:t>, lui permet de</w:t>
      </w:r>
      <w:r w:rsidR="00E67A45" w:rsidRPr="00953692">
        <w:rPr>
          <w:sz w:val="24"/>
          <w:szCs w:val="24"/>
          <w:lang w:val="fr-FR"/>
        </w:rPr>
        <w:t xml:space="preserve"> conclu</w:t>
      </w:r>
      <w:r w:rsidR="007F2E81" w:rsidRPr="00953692">
        <w:rPr>
          <w:sz w:val="24"/>
          <w:szCs w:val="24"/>
          <w:lang w:val="fr-FR"/>
        </w:rPr>
        <w:t>re</w:t>
      </w:r>
      <w:r w:rsidR="00E67A45" w:rsidRPr="00953692">
        <w:rPr>
          <w:sz w:val="24"/>
          <w:szCs w:val="24"/>
          <w:lang w:val="fr-FR"/>
        </w:rPr>
        <w:t xml:space="preserve">, par voie de conséquence, que demander au </w:t>
      </w:r>
      <w:r w:rsidR="007F2E81" w:rsidRPr="00953692">
        <w:rPr>
          <w:sz w:val="24"/>
          <w:szCs w:val="24"/>
          <w:lang w:val="fr-FR"/>
        </w:rPr>
        <w:t>P</w:t>
      </w:r>
      <w:r w:rsidR="00E67A45" w:rsidRPr="00953692">
        <w:rPr>
          <w:sz w:val="24"/>
          <w:szCs w:val="24"/>
          <w:lang w:val="fr-FR"/>
        </w:rPr>
        <w:t xml:space="preserve">rocureur d’apporter des éléments de preuve supplémentaires ou d’enquêter davantage ne porte pas indument atteinte au droit </w:t>
      </w:r>
      <w:r w:rsidR="007F2E81" w:rsidRPr="00953692">
        <w:rPr>
          <w:sz w:val="24"/>
          <w:szCs w:val="24"/>
          <w:lang w:val="fr-FR"/>
        </w:rPr>
        <w:t xml:space="preserve">de l’accusé </w:t>
      </w:r>
      <w:r w:rsidR="00E67A45" w:rsidRPr="00953692">
        <w:rPr>
          <w:sz w:val="24"/>
          <w:szCs w:val="24"/>
          <w:lang w:val="fr-FR"/>
        </w:rPr>
        <w:t>d’être jugé sans retard excessif</w:t>
      </w:r>
      <w:r w:rsidRPr="00953692">
        <w:rPr>
          <w:rStyle w:val="Appelnotedebasdep"/>
          <w:sz w:val="24"/>
          <w:szCs w:val="24"/>
          <w:lang w:val="fr-FR"/>
        </w:rPr>
        <w:footnoteReference w:customMarkFollows="1" w:id="150"/>
        <w:t>128</w:t>
      </w:r>
      <w:r w:rsidR="00E67A45" w:rsidRPr="00953692">
        <w:rPr>
          <w:sz w:val="24"/>
          <w:szCs w:val="24"/>
          <w:lang w:val="fr-FR"/>
        </w:rPr>
        <w:t>.</w:t>
      </w:r>
    </w:p>
    <w:p w14:paraId="54704C47" w14:textId="430273D2" w:rsidR="00A627AF" w:rsidRPr="00953692" w:rsidRDefault="00D36B5A" w:rsidP="00864BBF">
      <w:pPr>
        <w:spacing w:after="0" w:line="276" w:lineRule="auto"/>
        <w:ind w:firstLine="1134"/>
        <w:jc w:val="both"/>
        <w:rPr>
          <w:sz w:val="24"/>
          <w:szCs w:val="24"/>
          <w:lang w:val="fr-FR"/>
        </w:rPr>
      </w:pPr>
      <w:r w:rsidRPr="00953692">
        <w:rPr>
          <w:b/>
          <w:bCs/>
          <w:sz w:val="24"/>
          <w:szCs w:val="24"/>
          <w:lang w:val="fr-FR"/>
        </w:rPr>
        <w:lastRenderedPageBreak/>
        <w:t>1</w:t>
      </w:r>
      <w:r w:rsidR="00F1003E" w:rsidRPr="00953692">
        <w:rPr>
          <w:b/>
          <w:bCs/>
          <w:sz w:val="24"/>
          <w:szCs w:val="24"/>
          <w:lang w:val="fr-FR"/>
        </w:rPr>
        <w:t>90</w:t>
      </w:r>
      <w:r w:rsidRPr="00953692">
        <w:rPr>
          <w:b/>
          <w:bCs/>
          <w:sz w:val="24"/>
          <w:szCs w:val="24"/>
          <w:lang w:val="fr-FR"/>
        </w:rPr>
        <w:t>.</w:t>
      </w:r>
      <w:r w:rsidRPr="00953692">
        <w:rPr>
          <w:sz w:val="24"/>
          <w:szCs w:val="24"/>
          <w:lang w:val="fr-FR"/>
        </w:rPr>
        <w:t xml:space="preserve"> </w:t>
      </w:r>
      <w:r w:rsidR="00B520E0" w:rsidRPr="00953692">
        <w:rPr>
          <w:sz w:val="24"/>
          <w:szCs w:val="24"/>
          <w:lang w:val="fr-FR"/>
        </w:rPr>
        <w:t xml:space="preserve">Il sied de remarquer que la Chambre </w:t>
      </w:r>
      <w:r w:rsidR="00F1003E" w:rsidRPr="00953692">
        <w:rPr>
          <w:sz w:val="24"/>
          <w:szCs w:val="24"/>
          <w:lang w:val="fr-FR"/>
        </w:rPr>
        <w:t xml:space="preserve">préliminaire de la CPI </w:t>
      </w:r>
      <w:r w:rsidR="00B520E0" w:rsidRPr="00953692">
        <w:rPr>
          <w:sz w:val="24"/>
          <w:szCs w:val="24"/>
          <w:lang w:val="fr-FR"/>
        </w:rPr>
        <w:t xml:space="preserve">reconnait clairement l’incidence que pourrait avoir une enquête qu’elle demande avant l’inculpation </w:t>
      </w:r>
      <w:r w:rsidR="00FB6AA1" w:rsidRPr="00953692">
        <w:rPr>
          <w:sz w:val="24"/>
          <w:szCs w:val="24"/>
          <w:lang w:val="fr-FR"/>
        </w:rPr>
        <w:t xml:space="preserve">sur le droit d’être jugé dans sans retard excessif. </w:t>
      </w:r>
      <w:r w:rsidR="00CA4FBD" w:rsidRPr="00953692">
        <w:rPr>
          <w:sz w:val="24"/>
          <w:szCs w:val="24"/>
          <w:lang w:val="fr-FR"/>
        </w:rPr>
        <w:t xml:space="preserve">Le petit problème insoupçonnable, c’est que lorsque la Chambre part du postulat basé sur le caractère indu de l’atteinte alors que la demande des preuves ou d’enquête supplémentaire est prévue par les actes constitutifs de la CPI, </w:t>
      </w:r>
      <w:r w:rsidR="008331C9" w:rsidRPr="00953692">
        <w:rPr>
          <w:sz w:val="24"/>
          <w:szCs w:val="24"/>
          <w:lang w:val="fr-FR"/>
        </w:rPr>
        <w:t>on n’est pas</w:t>
      </w:r>
      <w:r w:rsidR="003A727B" w:rsidRPr="00953692">
        <w:rPr>
          <w:sz w:val="24"/>
          <w:szCs w:val="24"/>
          <w:lang w:val="fr-FR"/>
        </w:rPr>
        <w:t xml:space="preserve"> à l’abri d’un raisonnement circulaire qui vise à occulter </w:t>
      </w:r>
      <w:r w:rsidR="00A627AF" w:rsidRPr="00953692">
        <w:rPr>
          <w:sz w:val="24"/>
          <w:szCs w:val="24"/>
          <w:lang w:val="fr-FR"/>
        </w:rPr>
        <w:t xml:space="preserve">complètement </w:t>
      </w:r>
      <w:r w:rsidR="003A727B" w:rsidRPr="00953692">
        <w:rPr>
          <w:sz w:val="24"/>
          <w:szCs w:val="24"/>
          <w:lang w:val="fr-FR"/>
        </w:rPr>
        <w:t>cette incidence, et par-là, le droit d’être inculpé dans le délai</w:t>
      </w:r>
      <w:r w:rsidR="009F51AD" w:rsidRPr="00953692">
        <w:rPr>
          <w:sz w:val="24"/>
          <w:szCs w:val="24"/>
          <w:lang w:val="fr-FR"/>
        </w:rPr>
        <w:t xml:space="preserve"> et le droit d’être jugé sans retard excessif</w:t>
      </w:r>
      <w:r w:rsidR="003A727B" w:rsidRPr="00953692">
        <w:rPr>
          <w:sz w:val="24"/>
          <w:szCs w:val="24"/>
          <w:lang w:val="fr-FR"/>
        </w:rPr>
        <w:t xml:space="preserve">. </w:t>
      </w:r>
    </w:p>
    <w:p w14:paraId="258F9188" w14:textId="366C2829" w:rsidR="00E67A45" w:rsidRPr="00953692" w:rsidRDefault="00A627AF" w:rsidP="00864BBF">
      <w:pPr>
        <w:spacing w:after="0" w:line="276" w:lineRule="auto"/>
        <w:ind w:firstLine="1134"/>
        <w:jc w:val="both"/>
        <w:rPr>
          <w:sz w:val="24"/>
          <w:szCs w:val="24"/>
          <w:lang w:val="fr-FR"/>
        </w:rPr>
      </w:pPr>
      <w:r w:rsidRPr="00953692">
        <w:rPr>
          <w:b/>
          <w:bCs/>
          <w:sz w:val="24"/>
          <w:szCs w:val="24"/>
          <w:lang w:val="fr-FR"/>
        </w:rPr>
        <w:t>1</w:t>
      </w:r>
      <w:r w:rsidR="00F1003E" w:rsidRPr="00953692">
        <w:rPr>
          <w:b/>
          <w:bCs/>
          <w:sz w:val="24"/>
          <w:szCs w:val="24"/>
          <w:lang w:val="fr-FR"/>
        </w:rPr>
        <w:t>91</w:t>
      </w:r>
      <w:r w:rsidRPr="00953692">
        <w:rPr>
          <w:b/>
          <w:bCs/>
          <w:sz w:val="24"/>
          <w:szCs w:val="24"/>
          <w:lang w:val="fr-FR"/>
        </w:rPr>
        <w:t>.</w:t>
      </w:r>
      <w:r w:rsidRPr="00953692">
        <w:rPr>
          <w:sz w:val="24"/>
          <w:szCs w:val="24"/>
          <w:lang w:val="fr-FR"/>
        </w:rPr>
        <w:t xml:space="preserve"> </w:t>
      </w:r>
      <w:r w:rsidR="000F332D" w:rsidRPr="00953692">
        <w:rPr>
          <w:sz w:val="24"/>
          <w:szCs w:val="24"/>
          <w:lang w:val="fr-FR"/>
        </w:rPr>
        <w:t>Par contre, il est en réalité impossible de contredire la Cour sur un tel raisonnement étant donné que, non seulement son action est formellement prévue, le droit d’être inculpé dans le délai est imprécis dans le contexte de la CPI. On revoit les marques de la liberté des acteurs judiciaires, notamment les juges de la Chambre préliminaire dans la détermination de la durée de temps qui devra séparer</w:t>
      </w:r>
      <w:r w:rsidR="00AA01E6" w:rsidRPr="00953692">
        <w:rPr>
          <w:sz w:val="24"/>
          <w:szCs w:val="24"/>
          <w:lang w:val="fr-FR"/>
        </w:rPr>
        <w:t xml:space="preserve"> l’arrestation ou la détention de l’inculpation</w:t>
      </w:r>
      <w:r w:rsidR="009B314C" w:rsidRPr="00953692">
        <w:rPr>
          <w:sz w:val="24"/>
          <w:szCs w:val="24"/>
          <w:lang w:val="fr-FR"/>
        </w:rPr>
        <w:t xml:space="preserve"> du suspect</w:t>
      </w:r>
      <w:r w:rsidR="00AA01E6" w:rsidRPr="00953692">
        <w:rPr>
          <w:sz w:val="24"/>
          <w:szCs w:val="24"/>
          <w:lang w:val="fr-FR"/>
        </w:rPr>
        <w:t xml:space="preserve">. </w:t>
      </w:r>
      <w:r w:rsidR="009B314C" w:rsidRPr="00953692">
        <w:rPr>
          <w:sz w:val="24"/>
          <w:szCs w:val="24"/>
          <w:lang w:val="fr-FR"/>
        </w:rPr>
        <w:t>Devant d’autres juridictions pénales internationales,</w:t>
      </w:r>
      <w:r w:rsidRPr="00953692">
        <w:rPr>
          <w:sz w:val="24"/>
          <w:szCs w:val="24"/>
          <w:lang w:val="fr-FR"/>
        </w:rPr>
        <w:t xml:space="preserve"> notamment les TPI,</w:t>
      </w:r>
      <w:r w:rsidR="009B314C" w:rsidRPr="00953692">
        <w:rPr>
          <w:sz w:val="24"/>
          <w:szCs w:val="24"/>
          <w:lang w:val="fr-FR"/>
        </w:rPr>
        <w:t xml:space="preserve"> une durée d’un an et demi, comme l’a si bien noté la Chambre elle-même, aurait constitué sans nul doute une violation du droit d’être inculpé dans le délai. </w:t>
      </w:r>
    </w:p>
    <w:p w14:paraId="4C778DE4" w14:textId="6AA74D74" w:rsidR="0076405D" w:rsidRPr="00953692" w:rsidRDefault="00D36B5A"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w:t>
      </w:r>
      <w:r w:rsidR="00F1003E" w:rsidRPr="00953692">
        <w:rPr>
          <w:rFonts w:cs="Times New Roman"/>
          <w:b/>
          <w:bCs/>
          <w:sz w:val="24"/>
          <w:szCs w:val="24"/>
          <w:lang w:val="fr-FR"/>
        </w:rPr>
        <w:t>92</w:t>
      </w:r>
      <w:r w:rsidRPr="00953692">
        <w:rPr>
          <w:rFonts w:cs="Times New Roman"/>
          <w:b/>
          <w:bCs/>
          <w:sz w:val="24"/>
          <w:szCs w:val="24"/>
          <w:lang w:val="fr-FR"/>
        </w:rPr>
        <w:t>.</w:t>
      </w:r>
      <w:r w:rsidRPr="00953692">
        <w:rPr>
          <w:rFonts w:cs="Times New Roman"/>
          <w:sz w:val="24"/>
          <w:szCs w:val="24"/>
          <w:lang w:val="fr-FR"/>
        </w:rPr>
        <w:t xml:space="preserve"> </w:t>
      </w:r>
      <w:r w:rsidR="005534B0" w:rsidRPr="00953692">
        <w:rPr>
          <w:rFonts w:cs="Times New Roman"/>
          <w:sz w:val="24"/>
          <w:szCs w:val="24"/>
          <w:lang w:val="fr-FR"/>
        </w:rPr>
        <w:t xml:space="preserve">Ainsi, dans une logique de détermination du délai, caractéristique de ce droit, l’on est dans une complémentarité claire qui laisse transparaitre le coup de pouce donné au droit d’être jugé dans un délai raisonnable. </w:t>
      </w:r>
      <w:r w:rsidR="0076405D" w:rsidRPr="00953692">
        <w:rPr>
          <w:rFonts w:cs="Times New Roman"/>
          <w:sz w:val="24"/>
          <w:szCs w:val="24"/>
          <w:lang w:val="fr-FR"/>
        </w:rPr>
        <w:t>Dans la structure</w:t>
      </w:r>
      <w:r w:rsidR="005534B0" w:rsidRPr="00953692">
        <w:rPr>
          <w:rFonts w:cs="Times New Roman"/>
          <w:sz w:val="24"/>
          <w:szCs w:val="24"/>
          <w:lang w:val="fr-FR"/>
        </w:rPr>
        <w:t xml:space="preserve"> même </w:t>
      </w:r>
      <w:r w:rsidR="0076405D" w:rsidRPr="00953692">
        <w:rPr>
          <w:rFonts w:cs="Times New Roman"/>
          <w:sz w:val="24"/>
          <w:szCs w:val="24"/>
          <w:lang w:val="fr-FR"/>
        </w:rPr>
        <w:t>de l’article 9 du PIDCP</w:t>
      </w:r>
      <w:r w:rsidR="00834691" w:rsidRPr="00953692">
        <w:rPr>
          <w:rFonts w:cs="Times New Roman"/>
          <w:sz w:val="24"/>
          <w:szCs w:val="24"/>
          <w:lang w:val="fr-FR"/>
        </w:rPr>
        <w:t>,</w:t>
      </w:r>
      <w:r w:rsidR="0076405D" w:rsidRPr="00953692">
        <w:rPr>
          <w:rFonts w:cs="Times New Roman"/>
          <w:sz w:val="24"/>
          <w:szCs w:val="24"/>
          <w:lang w:val="fr-FR"/>
        </w:rPr>
        <w:t xml:space="preserve"> on </w:t>
      </w:r>
      <w:r w:rsidR="003C5DA8" w:rsidRPr="00953692">
        <w:rPr>
          <w:rFonts w:cs="Times New Roman"/>
          <w:sz w:val="24"/>
          <w:szCs w:val="24"/>
          <w:lang w:val="fr-FR"/>
        </w:rPr>
        <w:t>observe</w:t>
      </w:r>
      <w:r w:rsidR="0076405D" w:rsidRPr="00953692">
        <w:rPr>
          <w:rFonts w:cs="Times New Roman"/>
          <w:sz w:val="24"/>
          <w:szCs w:val="24"/>
          <w:lang w:val="fr-FR"/>
        </w:rPr>
        <w:t xml:space="preserve"> une graduation qui peut expliquer </w:t>
      </w:r>
      <w:r w:rsidR="005534B0" w:rsidRPr="00953692">
        <w:rPr>
          <w:rFonts w:cs="Times New Roman"/>
          <w:sz w:val="24"/>
          <w:szCs w:val="24"/>
          <w:lang w:val="fr-FR"/>
        </w:rPr>
        <w:t>cette</w:t>
      </w:r>
      <w:r w:rsidR="0076405D" w:rsidRPr="00953692">
        <w:rPr>
          <w:rFonts w:cs="Times New Roman"/>
          <w:sz w:val="24"/>
          <w:szCs w:val="24"/>
          <w:lang w:val="fr-FR"/>
        </w:rPr>
        <w:t xml:space="preserve"> complémentarité entre le droit d’être inculpé dans le délai et le délai raisonnable. Si le point 2</w:t>
      </w:r>
      <w:r w:rsidR="005534B0" w:rsidRPr="00953692">
        <w:rPr>
          <w:rFonts w:cs="Times New Roman"/>
          <w:sz w:val="24"/>
          <w:szCs w:val="24"/>
          <w:lang w:val="fr-FR"/>
        </w:rPr>
        <w:t xml:space="preserve"> de cet article</w:t>
      </w:r>
      <w:r w:rsidR="0076405D" w:rsidRPr="00953692">
        <w:rPr>
          <w:rFonts w:cs="Times New Roman"/>
          <w:sz w:val="24"/>
          <w:szCs w:val="24"/>
          <w:lang w:val="fr-FR"/>
        </w:rPr>
        <w:t xml:space="preserve"> vise </w:t>
      </w:r>
      <w:r w:rsidR="0076405D" w:rsidRPr="00953692">
        <w:rPr>
          <w:rFonts w:cs="Times New Roman"/>
          <w:i/>
          <w:iCs/>
          <w:sz w:val="24"/>
          <w:szCs w:val="24"/>
          <w:lang w:val="fr-FR"/>
        </w:rPr>
        <w:t>in fine</w:t>
      </w:r>
      <w:r w:rsidR="0076405D" w:rsidRPr="00953692">
        <w:rPr>
          <w:rFonts w:cs="Times New Roman"/>
          <w:sz w:val="24"/>
          <w:szCs w:val="24"/>
          <w:lang w:val="fr-FR"/>
        </w:rPr>
        <w:t xml:space="preserve"> une inculpation dans le plus court délai, le point 3 suivant exige à ce que </w:t>
      </w:r>
      <w:r w:rsidR="0076405D" w:rsidRPr="00953692">
        <w:rPr>
          <w:rFonts w:cs="Times New Roman"/>
          <w:i/>
          <w:iCs/>
          <w:sz w:val="24"/>
          <w:szCs w:val="24"/>
          <w:lang w:val="fr-FR"/>
        </w:rPr>
        <w:t>l’individu arrêté ou détenu du chef d’une infraction pénale soit traduit dans le plus court délai devant un juge</w:t>
      </w:r>
      <w:r w:rsidR="0076405D" w:rsidRPr="00953692">
        <w:rPr>
          <w:rFonts w:cs="Times New Roman"/>
          <w:sz w:val="24"/>
          <w:szCs w:val="24"/>
          <w:lang w:val="fr-FR"/>
        </w:rPr>
        <w:t xml:space="preserve">. Il s’agit bien du droit à la comparution immédiate que nous </w:t>
      </w:r>
      <w:r w:rsidR="005534B0" w:rsidRPr="00953692">
        <w:rPr>
          <w:rFonts w:cs="Times New Roman"/>
          <w:sz w:val="24"/>
          <w:szCs w:val="24"/>
          <w:lang w:val="fr-FR"/>
        </w:rPr>
        <w:t xml:space="preserve">avons </w:t>
      </w:r>
      <w:r w:rsidR="009F51AD" w:rsidRPr="00953692">
        <w:rPr>
          <w:rFonts w:cs="Times New Roman"/>
          <w:sz w:val="24"/>
          <w:szCs w:val="24"/>
          <w:lang w:val="fr-FR"/>
        </w:rPr>
        <w:t>pu analyser dans la section précédente ;</w:t>
      </w:r>
      <w:r w:rsidR="005534B0" w:rsidRPr="00953692">
        <w:rPr>
          <w:rFonts w:cs="Times New Roman"/>
          <w:sz w:val="24"/>
          <w:szCs w:val="24"/>
          <w:lang w:val="fr-FR"/>
        </w:rPr>
        <w:t xml:space="preserve"> mais</w:t>
      </w:r>
      <w:r w:rsidR="0076405D" w:rsidRPr="00953692">
        <w:rPr>
          <w:rFonts w:cs="Times New Roman"/>
          <w:sz w:val="24"/>
          <w:szCs w:val="24"/>
          <w:lang w:val="fr-FR"/>
        </w:rPr>
        <w:t xml:space="preserve"> poursuivant la lecture de ce point 3 il s’avère que l’objectif d’une telle exigence est finalement de juger l’accusé dans un délai raisonnable. </w:t>
      </w:r>
      <w:r w:rsidR="005534B0" w:rsidRPr="00953692">
        <w:rPr>
          <w:rFonts w:cs="Times New Roman"/>
          <w:sz w:val="24"/>
          <w:szCs w:val="24"/>
          <w:lang w:val="fr-FR"/>
        </w:rPr>
        <w:t>En d’autres termes, après arrestation ou détention</w:t>
      </w:r>
      <w:r w:rsidR="004314DD" w:rsidRPr="00953692">
        <w:rPr>
          <w:rFonts w:cs="Times New Roman"/>
          <w:sz w:val="24"/>
          <w:szCs w:val="24"/>
          <w:lang w:val="fr-FR"/>
        </w:rPr>
        <w:t>,</w:t>
      </w:r>
      <w:r w:rsidR="005534B0" w:rsidRPr="00953692">
        <w:rPr>
          <w:rFonts w:cs="Times New Roman"/>
          <w:sz w:val="24"/>
          <w:szCs w:val="24"/>
          <w:lang w:val="fr-FR"/>
        </w:rPr>
        <w:t xml:space="preserve"> le suspect doit </w:t>
      </w:r>
      <w:r w:rsidR="00F87BF0" w:rsidRPr="00953692">
        <w:rPr>
          <w:rFonts w:cs="Times New Roman"/>
          <w:sz w:val="24"/>
          <w:szCs w:val="24"/>
          <w:lang w:val="fr-FR"/>
        </w:rPr>
        <w:t>être</w:t>
      </w:r>
      <w:r w:rsidR="005534B0" w:rsidRPr="00953692">
        <w:rPr>
          <w:rFonts w:cs="Times New Roman"/>
          <w:sz w:val="24"/>
          <w:szCs w:val="24"/>
          <w:lang w:val="fr-FR"/>
        </w:rPr>
        <w:t xml:space="preserve"> inculpé dans le plus court délai, traduit devant un juge dans le plus court délai et</w:t>
      </w:r>
      <w:r w:rsidR="00C07C87" w:rsidRPr="00953692">
        <w:rPr>
          <w:rFonts w:cs="Times New Roman"/>
          <w:sz w:val="24"/>
          <w:szCs w:val="24"/>
          <w:lang w:val="fr-FR"/>
        </w:rPr>
        <w:t>,</w:t>
      </w:r>
      <w:r w:rsidR="005534B0" w:rsidRPr="00953692">
        <w:rPr>
          <w:rFonts w:cs="Times New Roman"/>
          <w:sz w:val="24"/>
          <w:szCs w:val="24"/>
          <w:lang w:val="fr-FR"/>
        </w:rPr>
        <w:t xml:space="preserve"> enfin</w:t>
      </w:r>
      <w:r w:rsidR="004314DD" w:rsidRPr="00953692">
        <w:rPr>
          <w:rFonts w:cs="Times New Roman"/>
          <w:sz w:val="24"/>
          <w:szCs w:val="24"/>
          <w:lang w:val="fr-FR"/>
        </w:rPr>
        <w:t>,</w:t>
      </w:r>
      <w:r w:rsidR="005534B0" w:rsidRPr="00953692">
        <w:rPr>
          <w:rFonts w:cs="Times New Roman"/>
          <w:sz w:val="24"/>
          <w:szCs w:val="24"/>
          <w:lang w:val="fr-FR"/>
        </w:rPr>
        <w:t xml:space="preserve"> jugé dans un délai raisonnable.</w:t>
      </w:r>
    </w:p>
    <w:p w14:paraId="12107E54" w14:textId="6E198ED3" w:rsidR="00BB4712" w:rsidRPr="00953692" w:rsidRDefault="00EE07BC" w:rsidP="00864BBF">
      <w:pPr>
        <w:spacing w:after="0" w:line="276" w:lineRule="auto"/>
        <w:ind w:firstLine="1134"/>
        <w:jc w:val="both"/>
        <w:rPr>
          <w:sz w:val="24"/>
          <w:szCs w:val="24"/>
          <w:lang w:val="fr-FR"/>
        </w:rPr>
      </w:pPr>
      <w:r w:rsidRPr="00953692">
        <w:rPr>
          <w:b/>
          <w:bCs/>
          <w:sz w:val="24"/>
          <w:szCs w:val="24"/>
          <w:lang w:val="fr-FR"/>
        </w:rPr>
        <w:t>1</w:t>
      </w:r>
      <w:r w:rsidR="00F1003E" w:rsidRPr="00953692">
        <w:rPr>
          <w:b/>
          <w:bCs/>
          <w:sz w:val="24"/>
          <w:szCs w:val="24"/>
          <w:lang w:val="fr-FR"/>
        </w:rPr>
        <w:t>93</w:t>
      </w:r>
      <w:r w:rsidRPr="00953692">
        <w:rPr>
          <w:b/>
          <w:bCs/>
          <w:sz w:val="24"/>
          <w:szCs w:val="24"/>
          <w:lang w:val="fr-FR"/>
        </w:rPr>
        <w:t>.</w:t>
      </w:r>
      <w:r w:rsidRPr="00953692">
        <w:rPr>
          <w:sz w:val="24"/>
          <w:szCs w:val="24"/>
          <w:lang w:val="fr-FR"/>
        </w:rPr>
        <w:t xml:space="preserve"> </w:t>
      </w:r>
      <w:r w:rsidR="009F51AD" w:rsidRPr="00953692">
        <w:rPr>
          <w:sz w:val="24"/>
          <w:szCs w:val="24"/>
          <w:lang w:val="fr-FR"/>
        </w:rPr>
        <w:t>En outre, i</w:t>
      </w:r>
      <w:r w:rsidR="0084485C" w:rsidRPr="00953692">
        <w:rPr>
          <w:sz w:val="24"/>
          <w:szCs w:val="24"/>
          <w:lang w:val="fr-FR"/>
        </w:rPr>
        <w:t>l y a en fait, une</w:t>
      </w:r>
      <w:r w:rsidR="00CA41A6" w:rsidRPr="00953692">
        <w:rPr>
          <w:sz w:val="24"/>
          <w:szCs w:val="24"/>
          <w:lang w:val="fr-FR"/>
        </w:rPr>
        <w:t xml:space="preserve"> complémentarité fondamentale</w:t>
      </w:r>
      <w:r w:rsidR="0084485C" w:rsidRPr="00953692">
        <w:rPr>
          <w:sz w:val="24"/>
          <w:szCs w:val="24"/>
          <w:lang w:val="fr-FR"/>
        </w:rPr>
        <w:t xml:space="preserve"> entre ces deux droits de la personne mise en cause</w:t>
      </w:r>
      <w:r w:rsidR="00CA41A6" w:rsidRPr="00953692">
        <w:rPr>
          <w:sz w:val="24"/>
          <w:szCs w:val="24"/>
          <w:lang w:val="fr-FR"/>
        </w:rPr>
        <w:t xml:space="preserve">. </w:t>
      </w:r>
      <w:r w:rsidR="0084485C" w:rsidRPr="00953692">
        <w:rPr>
          <w:sz w:val="24"/>
          <w:szCs w:val="24"/>
          <w:lang w:val="fr-FR"/>
        </w:rPr>
        <w:t>Ils</w:t>
      </w:r>
      <w:r w:rsidR="00CA41A6" w:rsidRPr="00953692">
        <w:rPr>
          <w:sz w:val="24"/>
          <w:szCs w:val="24"/>
          <w:lang w:val="fr-FR"/>
        </w:rPr>
        <w:t xml:space="preserve"> sont tous fondés sur la perspective d’établir la responsabilité du suspect, mais à des étapes et formes différentes. La confirmation de l’acte d’accusation ou l’inculpation </w:t>
      </w:r>
      <w:r w:rsidR="003B5F01" w:rsidRPr="00953692">
        <w:rPr>
          <w:sz w:val="24"/>
          <w:szCs w:val="24"/>
          <w:lang w:val="fr-FR"/>
        </w:rPr>
        <w:t>consiste, à l’issue d’une brève période d’examen des éléments de preuve, à formuler les conclusions formelles indiquant</w:t>
      </w:r>
      <w:r w:rsidRPr="00953692">
        <w:rPr>
          <w:sz w:val="24"/>
          <w:szCs w:val="24"/>
          <w:lang w:val="fr-FR"/>
        </w:rPr>
        <w:t xml:space="preserve"> la possibilité d’une</w:t>
      </w:r>
      <w:r w:rsidR="003B5F01" w:rsidRPr="00953692">
        <w:rPr>
          <w:sz w:val="24"/>
          <w:szCs w:val="24"/>
          <w:lang w:val="fr-FR"/>
        </w:rPr>
        <w:t xml:space="preserve"> responsabilité ou </w:t>
      </w:r>
      <w:r w:rsidRPr="00953692">
        <w:rPr>
          <w:sz w:val="24"/>
          <w:szCs w:val="24"/>
          <w:lang w:val="fr-FR"/>
        </w:rPr>
        <w:t xml:space="preserve">d’une </w:t>
      </w:r>
      <w:r w:rsidR="003B5F01" w:rsidRPr="00953692">
        <w:rPr>
          <w:sz w:val="24"/>
          <w:szCs w:val="24"/>
          <w:lang w:val="fr-FR"/>
        </w:rPr>
        <w:t xml:space="preserve">implication </w:t>
      </w:r>
      <w:r w:rsidRPr="00953692">
        <w:rPr>
          <w:sz w:val="24"/>
          <w:szCs w:val="24"/>
          <w:lang w:val="fr-FR"/>
        </w:rPr>
        <w:t>(</w:t>
      </w:r>
      <w:r w:rsidR="003B5F01" w:rsidRPr="00953692">
        <w:rPr>
          <w:sz w:val="24"/>
          <w:szCs w:val="24"/>
          <w:lang w:val="fr-FR"/>
        </w:rPr>
        <w:t>pénale</w:t>
      </w:r>
      <w:r w:rsidRPr="00953692">
        <w:rPr>
          <w:sz w:val="24"/>
          <w:szCs w:val="24"/>
          <w:lang w:val="fr-FR"/>
        </w:rPr>
        <w:t>)</w:t>
      </w:r>
      <w:r w:rsidR="003B5F01" w:rsidRPr="00953692">
        <w:rPr>
          <w:sz w:val="24"/>
          <w:szCs w:val="24"/>
          <w:lang w:val="fr-FR"/>
        </w:rPr>
        <w:t xml:space="preserve"> d’une personne déterminée dans les faits constitutifs d’un crime. Tandis que le jugement, vise simplement à confirmer ou </w:t>
      </w:r>
      <w:r w:rsidR="00207AF8" w:rsidRPr="00953692">
        <w:rPr>
          <w:sz w:val="24"/>
          <w:szCs w:val="24"/>
          <w:lang w:val="fr-FR"/>
        </w:rPr>
        <w:t xml:space="preserve">à </w:t>
      </w:r>
      <w:r w:rsidR="003B5F01" w:rsidRPr="00953692">
        <w:rPr>
          <w:sz w:val="24"/>
          <w:szCs w:val="24"/>
          <w:lang w:val="fr-FR"/>
        </w:rPr>
        <w:t>infirmer ces conclusions à l’issue d’une longue période des débats entre l’</w:t>
      </w:r>
      <w:r w:rsidRPr="00953692">
        <w:rPr>
          <w:sz w:val="24"/>
          <w:szCs w:val="24"/>
          <w:lang w:val="fr-FR"/>
        </w:rPr>
        <w:t>A</w:t>
      </w:r>
      <w:r w:rsidR="003B5F01" w:rsidRPr="00953692">
        <w:rPr>
          <w:sz w:val="24"/>
          <w:szCs w:val="24"/>
          <w:lang w:val="fr-FR"/>
        </w:rPr>
        <w:t>ccusat</w:t>
      </w:r>
      <w:r w:rsidRPr="00953692">
        <w:rPr>
          <w:sz w:val="24"/>
          <w:szCs w:val="24"/>
          <w:lang w:val="fr-FR"/>
        </w:rPr>
        <w:t>ion</w:t>
      </w:r>
      <w:r w:rsidR="003B5F01" w:rsidRPr="00953692">
        <w:rPr>
          <w:sz w:val="24"/>
          <w:szCs w:val="24"/>
          <w:lang w:val="fr-FR"/>
        </w:rPr>
        <w:t xml:space="preserve"> et l’accusé</w:t>
      </w:r>
      <w:r w:rsidR="008717BE" w:rsidRPr="00953692">
        <w:rPr>
          <w:sz w:val="24"/>
          <w:szCs w:val="24"/>
          <w:lang w:val="fr-FR"/>
        </w:rPr>
        <w:t xml:space="preserve">. On peut bien se rendre compte que ces deux droits ne se distinguent que par la forme. Mais </w:t>
      </w:r>
      <w:r w:rsidR="002B7E13" w:rsidRPr="00953692">
        <w:rPr>
          <w:sz w:val="24"/>
          <w:szCs w:val="24"/>
          <w:lang w:val="fr-FR"/>
        </w:rPr>
        <w:t>s</w:t>
      </w:r>
      <w:r w:rsidR="008717BE" w:rsidRPr="00953692">
        <w:rPr>
          <w:sz w:val="24"/>
          <w:szCs w:val="24"/>
          <w:lang w:val="fr-FR"/>
        </w:rPr>
        <w:t>i juger n’est donc qu’une suite logique d’</w:t>
      </w:r>
      <w:r w:rsidR="0084485C" w:rsidRPr="00953692">
        <w:rPr>
          <w:sz w:val="24"/>
          <w:szCs w:val="24"/>
          <w:lang w:val="fr-FR"/>
        </w:rPr>
        <w:t>inculper (étant donné que l’on ne peut juger sans inculper),</w:t>
      </w:r>
      <w:r w:rsidR="008717BE" w:rsidRPr="00953692">
        <w:rPr>
          <w:sz w:val="24"/>
          <w:szCs w:val="24"/>
          <w:lang w:val="fr-FR"/>
        </w:rPr>
        <w:t xml:space="preserve"> </w:t>
      </w:r>
      <w:r w:rsidR="00510EF3" w:rsidRPr="00953692">
        <w:rPr>
          <w:sz w:val="24"/>
          <w:szCs w:val="24"/>
          <w:lang w:val="fr-FR"/>
        </w:rPr>
        <w:t>il est évident de trouver l’explication de leur complémentarité dans ce qui les</w:t>
      </w:r>
      <w:r w:rsidR="0084485C" w:rsidRPr="00953692">
        <w:rPr>
          <w:sz w:val="24"/>
          <w:szCs w:val="24"/>
          <w:lang w:val="fr-FR"/>
        </w:rPr>
        <w:t xml:space="preserve"> unit et les</w:t>
      </w:r>
      <w:r w:rsidR="00510EF3" w:rsidRPr="00953692">
        <w:rPr>
          <w:sz w:val="24"/>
          <w:szCs w:val="24"/>
          <w:lang w:val="fr-FR"/>
        </w:rPr>
        <w:t xml:space="preserve"> distingue</w:t>
      </w:r>
      <w:r w:rsidR="009F51AD" w:rsidRPr="00953692">
        <w:rPr>
          <w:sz w:val="24"/>
          <w:szCs w:val="24"/>
          <w:lang w:val="fr-FR"/>
        </w:rPr>
        <w:t xml:space="preserve"> à la fois</w:t>
      </w:r>
      <w:r w:rsidR="00510EF3" w:rsidRPr="00953692">
        <w:rPr>
          <w:sz w:val="24"/>
          <w:szCs w:val="24"/>
          <w:lang w:val="fr-FR"/>
        </w:rPr>
        <w:t>, à savoir</w:t>
      </w:r>
      <w:r w:rsidR="0084485C" w:rsidRPr="00953692">
        <w:rPr>
          <w:sz w:val="24"/>
          <w:szCs w:val="24"/>
          <w:lang w:val="fr-FR"/>
        </w:rPr>
        <w:t>,</w:t>
      </w:r>
      <w:r w:rsidR="00510EF3" w:rsidRPr="00953692">
        <w:rPr>
          <w:sz w:val="24"/>
          <w:szCs w:val="24"/>
          <w:lang w:val="fr-FR"/>
        </w:rPr>
        <w:t xml:space="preserve"> </w:t>
      </w:r>
      <w:r w:rsidRPr="00953692">
        <w:rPr>
          <w:sz w:val="24"/>
          <w:szCs w:val="24"/>
          <w:lang w:val="fr-FR"/>
        </w:rPr>
        <w:t>le temps</w:t>
      </w:r>
      <w:r w:rsidR="00510EF3" w:rsidRPr="00953692">
        <w:rPr>
          <w:sz w:val="24"/>
          <w:szCs w:val="24"/>
          <w:lang w:val="fr-FR"/>
        </w:rPr>
        <w:t xml:space="preserve">. Le droit d’être inculpé </w:t>
      </w:r>
      <w:r w:rsidR="00510EF3" w:rsidRPr="00953692">
        <w:rPr>
          <w:sz w:val="24"/>
          <w:szCs w:val="24"/>
          <w:lang w:val="fr-FR"/>
        </w:rPr>
        <w:lastRenderedPageBreak/>
        <w:t>dans le délai précède</w:t>
      </w:r>
      <w:r w:rsidR="0084485C" w:rsidRPr="00953692">
        <w:rPr>
          <w:sz w:val="24"/>
          <w:szCs w:val="24"/>
          <w:lang w:val="fr-FR"/>
        </w:rPr>
        <w:t xml:space="preserve"> impérieusement</w:t>
      </w:r>
      <w:r w:rsidR="00510EF3" w:rsidRPr="00953692">
        <w:rPr>
          <w:sz w:val="24"/>
          <w:szCs w:val="24"/>
          <w:lang w:val="fr-FR"/>
        </w:rPr>
        <w:t xml:space="preserve"> le droit d’être jugé sans retard excessif et en </w:t>
      </w:r>
      <w:r w:rsidR="00BB4712" w:rsidRPr="00953692">
        <w:rPr>
          <w:sz w:val="24"/>
          <w:szCs w:val="24"/>
          <w:lang w:val="fr-FR"/>
        </w:rPr>
        <w:t>jalonne</w:t>
      </w:r>
      <w:r w:rsidR="00510EF3" w:rsidRPr="00953692">
        <w:rPr>
          <w:sz w:val="24"/>
          <w:szCs w:val="24"/>
          <w:lang w:val="fr-FR"/>
        </w:rPr>
        <w:t xml:space="preserve"> </w:t>
      </w:r>
      <w:r w:rsidR="00C07C87" w:rsidRPr="00953692">
        <w:rPr>
          <w:sz w:val="24"/>
          <w:szCs w:val="24"/>
          <w:lang w:val="fr-FR"/>
        </w:rPr>
        <w:t>de ce fait</w:t>
      </w:r>
      <w:r w:rsidR="0084485C" w:rsidRPr="00953692">
        <w:rPr>
          <w:sz w:val="24"/>
          <w:szCs w:val="24"/>
          <w:lang w:val="fr-FR"/>
        </w:rPr>
        <w:t xml:space="preserve"> l’application</w:t>
      </w:r>
      <w:r w:rsidR="00BB4712" w:rsidRPr="00953692">
        <w:rPr>
          <w:sz w:val="24"/>
          <w:szCs w:val="24"/>
          <w:lang w:val="fr-FR"/>
        </w:rPr>
        <w:t xml:space="preserve">. </w:t>
      </w:r>
    </w:p>
    <w:p w14:paraId="2A7BD18C" w14:textId="12BFA3AB" w:rsidR="00B214D8" w:rsidRPr="00953692" w:rsidRDefault="00EE07BC"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w:t>
      </w:r>
      <w:r w:rsidR="00F1003E" w:rsidRPr="00953692">
        <w:rPr>
          <w:rFonts w:cs="Times New Roman"/>
          <w:b/>
          <w:bCs/>
          <w:sz w:val="24"/>
          <w:szCs w:val="24"/>
          <w:lang w:val="fr-FR"/>
        </w:rPr>
        <w:t>94</w:t>
      </w:r>
      <w:r w:rsidRPr="00953692">
        <w:rPr>
          <w:rFonts w:cs="Times New Roman"/>
          <w:b/>
          <w:bCs/>
          <w:sz w:val="24"/>
          <w:szCs w:val="24"/>
          <w:lang w:val="fr-FR"/>
        </w:rPr>
        <w:t>.</w:t>
      </w:r>
      <w:r w:rsidRPr="00953692">
        <w:rPr>
          <w:rFonts w:cs="Times New Roman"/>
          <w:sz w:val="24"/>
          <w:szCs w:val="24"/>
          <w:lang w:val="fr-FR"/>
        </w:rPr>
        <w:t xml:space="preserve"> </w:t>
      </w:r>
      <w:r w:rsidR="00EB7A2D" w:rsidRPr="00953692">
        <w:rPr>
          <w:rFonts w:cs="Times New Roman"/>
          <w:sz w:val="24"/>
          <w:szCs w:val="24"/>
          <w:lang w:val="fr-FR"/>
        </w:rPr>
        <w:t xml:space="preserve">Finalement, </w:t>
      </w:r>
      <w:r w:rsidR="00BB4712" w:rsidRPr="00953692">
        <w:rPr>
          <w:rFonts w:cs="Times New Roman"/>
          <w:sz w:val="24"/>
          <w:szCs w:val="24"/>
          <w:lang w:val="fr-FR"/>
        </w:rPr>
        <w:t xml:space="preserve">il est possible d’affirmer que, </w:t>
      </w:r>
      <w:r w:rsidR="00F87BF0" w:rsidRPr="00953692">
        <w:rPr>
          <w:rFonts w:cs="Times New Roman"/>
          <w:sz w:val="24"/>
          <w:szCs w:val="24"/>
          <w:lang w:val="fr-FR"/>
        </w:rPr>
        <w:t xml:space="preserve">lorsque l’inculpation intervient beaucoup plus rapidement ou dans le délai prévu, le procès </w:t>
      </w:r>
      <w:r w:rsidR="00207AF8" w:rsidRPr="00953692">
        <w:rPr>
          <w:rFonts w:cs="Times New Roman"/>
          <w:sz w:val="24"/>
          <w:szCs w:val="24"/>
          <w:lang w:val="fr-FR"/>
        </w:rPr>
        <w:t xml:space="preserve">(en première instance) </w:t>
      </w:r>
      <w:r w:rsidR="00F87BF0" w:rsidRPr="00953692">
        <w:rPr>
          <w:rFonts w:cs="Times New Roman"/>
          <w:sz w:val="24"/>
          <w:szCs w:val="24"/>
          <w:lang w:val="fr-FR"/>
        </w:rPr>
        <w:t>devra vite commencer et se tenir dans un délai raisonnable, et</w:t>
      </w:r>
      <w:r w:rsidR="00A53899" w:rsidRPr="00953692">
        <w:rPr>
          <w:rFonts w:cs="Times New Roman"/>
          <w:sz w:val="24"/>
          <w:szCs w:val="24"/>
          <w:lang w:val="fr-FR"/>
        </w:rPr>
        <w:t xml:space="preserve"> ce,</w:t>
      </w:r>
      <w:r w:rsidR="00F87BF0" w:rsidRPr="00953692">
        <w:rPr>
          <w:rFonts w:cs="Times New Roman"/>
          <w:sz w:val="24"/>
          <w:szCs w:val="24"/>
          <w:lang w:val="fr-FR"/>
        </w:rPr>
        <w:t xml:space="preserve"> </w:t>
      </w:r>
      <w:r w:rsidR="00F87BF0" w:rsidRPr="00953692">
        <w:rPr>
          <w:rFonts w:cs="Times New Roman"/>
          <w:i/>
          <w:iCs/>
          <w:sz w:val="24"/>
          <w:szCs w:val="24"/>
          <w:lang w:val="fr-FR"/>
        </w:rPr>
        <w:t>mutatis mutandis</w:t>
      </w:r>
      <w:r w:rsidR="00F87BF0" w:rsidRPr="00953692">
        <w:rPr>
          <w:rFonts w:cs="Times New Roman"/>
          <w:sz w:val="24"/>
          <w:szCs w:val="24"/>
          <w:lang w:val="fr-FR"/>
        </w:rPr>
        <w:t xml:space="preserve">. </w:t>
      </w:r>
      <w:r w:rsidR="00B70035" w:rsidRPr="00953692">
        <w:rPr>
          <w:rFonts w:cs="Times New Roman"/>
          <w:sz w:val="24"/>
          <w:szCs w:val="24"/>
          <w:lang w:val="fr-FR"/>
        </w:rPr>
        <w:t xml:space="preserve">Dans </w:t>
      </w:r>
      <w:r w:rsidR="002C7315" w:rsidRPr="00953692">
        <w:rPr>
          <w:rFonts w:cs="Times New Roman"/>
          <w:sz w:val="24"/>
          <w:szCs w:val="24"/>
          <w:lang w:val="fr-FR"/>
        </w:rPr>
        <w:t>les cas</w:t>
      </w:r>
      <w:r w:rsidR="006508BA" w:rsidRPr="00953692">
        <w:rPr>
          <w:rFonts w:cs="Times New Roman"/>
          <w:sz w:val="24"/>
          <w:szCs w:val="24"/>
          <w:lang w:val="fr-FR"/>
        </w:rPr>
        <w:t xml:space="preserve"> où</w:t>
      </w:r>
      <w:r w:rsidR="002C7315" w:rsidRPr="00953692">
        <w:rPr>
          <w:rFonts w:cs="Times New Roman"/>
          <w:sz w:val="24"/>
          <w:szCs w:val="24"/>
          <w:lang w:val="fr-FR"/>
        </w:rPr>
        <w:t xml:space="preserve"> le droit d’être inculpé dans le délai n’existe presque pas </w:t>
      </w:r>
      <w:r w:rsidR="00BB4712" w:rsidRPr="00953692">
        <w:rPr>
          <w:rFonts w:cs="Times New Roman"/>
          <w:sz w:val="24"/>
          <w:szCs w:val="24"/>
          <w:lang w:val="fr-FR"/>
        </w:rPr>
        <w:t xml:space="preserve">ou de manière vague </w:t>
      </w:r>
      <w:r w:rsidR="002C7315" w:rsidRPr="00953692">
        <w:rPr>
          <w:rFonts w:cs="Times New Roman"/>
          <w:sz w:val="24"/>
          <w:szCs w:val="24"/>
          <w:lang w:val="fr-FR"/>
        </w:rPr>
        <w:t>par l’</w:t>
      </w:r>
      <w:r w:rsidR="00A53899" w:rsidRPr="00953692">
        <w:rPr>
          <w:rFonts w:cs="Times New Roman"/>
          <w:sz w:val="24"/>
          <w:szCs w:val="24"/>
          <w:lang w:val="fr-FR"/>
        </w:rPr>
        <w:t xml:space="preserve">effet d’une </w:t>
      </w:r>
      <w:r w:rsidR="002C7315" w:rsidRPr="00953692">
        <w:rPr>
          <w:rFonts w:cs="Times New Roman"/>
          <w:sz w:val="24"/>
          <w:szCs w:val="24"/>
          <w:lang w:val="fr-FR"/>
        </w:rPr>
        <w:t xml:space="preserve">indétermination </w:t>
      </w:r>
      <w:r w:rsidR="002C7E97" w:rsidRPr="00953692">
        <w:rPr>
          <w:rFonts w:cs="Times New Roman"/>
          <w:sz w:val="24"/>
          <w:szCs w:val="24"/>
          <w:lang w:val="fr-FR"/>
        </w:rPr>
        <w:t>du délai,</w:t>
      </w:r>
      <w:r w:rsidR="006508BA" w:rsidRPr="00953692">
        <w:rPr>
          <w:rFonts w:cs="Times New Roman"/>
          <w:sz w:val="24"/>
          <w:szCs w:val="24"/>
          <w:lang w:val="fr-FR"/>
        </w:rPr>
        <w:t xml:space="preserve"> comme il en est le cas devant la CPI,</w:t>
      </w:r>
      <w:r w:rsidR="002C7E97" w:rsidRPr="00953692">
        <w:rPr>
          <w:rFonts w:cs="Times New Roman"/>
          <w:sz w:val="24"/>
          <w:szCs w:val="24"/>
          <w:lang w:val="fr-FR"/>
        </w:rPr>
        <w:t xml:space="preserve"> </w:t>
      </w:r>
      <w:r w:rsidR="00A53899" w:rsidRPr="00953692">
        <w:rPr>
          <w:rFonts w:cs="Times New Roman"/>
          <w:sz w:val="24"/>
          <w:szCs w:val="24"/>
          <w:lang w:val="fr-FR"/>
        </w:rPr>
        <w:t>il y a un</w:t>
      </w:r>
      <w:r w:rsidR="002C7E97" w:rsidRPr="00953692">
        <w:rPr>
          <w:rFonts w:cs="Times New Roman"/>
          <w:sz w:val="24"/>
          <w:szCs w:val="24"/>
          <w:lang w:val="fr-FR"/>
        </w:rPr>
        <w:t xml:space="preserve"> risque</w:t>
      </w:r>
      <w:r w:rsidR="00BB4712" w:rsidRPr="00953692">
        <w:rPr>
          <w:rFonts w:cs="Times New Roman"/>
          <w:sz w:val="24"/>
          <w:szCs w:val="24"/>
          <w:lang w:val="fr-FR"/>
        </w:rPr>
        <w:t xml:space="preserve"> sérieux</w:t>
      </w:r>
      <w:r w:rsidR="002C7E97" w:rsidRPr="00953692">
        <w:rPr>
          <w:rFonts w:cs="Times New Roman"/>
          <w:sz w:val="24"/>
          <w:szCs w:val="24"/>
          <w:lang w:val="fr-FR"/>
        </w:rPr>
        <w:t xml:space="preserve"> d’éterniser l</w:t>
      </w:r>
      <w:r w:rsidR="006508BA" w:rsidRPr="00953692">
        <w:rPr>
          <w:rFonts w:cs="Times New Roman"/>
          <w:sz w:val="24"/>
          <w:szCs w:val="24"/>
          <w:lang w:val="fr-FR"/>
        </w:rPr>
        <w:t>’intervalle de temps</w:t>
      </w:r>
      <w:r w:rsidR="002C7E97" w:rsidRPr="00953692">
        <w:rPr>
          <w:rFonts w:cs="Times New Roman"/>
          <w:sz w:val="24"/>
          <w:szCs w:val="24"/>
          <w:lang w:val="fr-FR"/>
        </w:rPr>
        <w:t xml:space="preserve"> entre l’arrestation-détention du suspect</w:t>
      </w:r>
      <w:r w:rsidR="0084485C" w:rsidRPr="00953692">
        <w:rPr>
          <w:rFonts w:cs="Times New Roman"/>
          <w:sz w:val="24"/>
          <w:szCs w:val="24"/>
          <w:lang w:val="fr-FR"/>
        </w:rPr>
        <w:t xml:space="preserve"> ou sa première comparution</w:t>
      </w:r>
      <w:r w:rsidR="002C7E97" w:rsidRPr="00953692">
        <w:rPr>
          <w:rFonts w:cs="Times New Roman"/>
          <w:sz w:val="24"/>
          <w:szCs w:val="24"/>
          <w:lang w:val="fr-FR"/>
        </w:rPr>
        <w:t xml:space="preserve"> et son inculpation</w:t>
      </w:r>
      <w:r w:rsidR="0084485C" w:rsidRPr="00953692">
        <w:rPr>
          <w:rFonts w:cs="Times New Roman"/>
          <w:sz w:val="24"/>
          <w:szCs w:val="24"/>
          <w:lang w:val="fr-FR"/>
        </w:rPr>
        <w:t>.</w:t>
      </w:r>
      <w:r w:rsidR="002C7E97" w:rsidRPr="00953692">
        <w:rPr>
          <w:rFonts w:cs="Times New Roman"/>
          <w:sz w:val="24"/>
          <w:szCs w:val="24"/>
          <w:lang w:val="fr-FR"/>
        </w:rPr>
        <w:t xml:space="preserve"> </w:t>
      </w:r>
      <w:r w:rsidR="0084485C" w:rsidRPr="00953692">
        <w:rPr>
          <w:rFonts w:cs="Times New Roman"/>
          <w:sz w:val="24"/>
          <w:szCs w:val="24"/>
          <w:lang w:val="fr-FR"/>
        </w:rPr>
        <w:t>C</w:t>
      </w:r>
      <w:r w:rsidR="002C7E97" w:rsidRPr="00953692">
        <w:rPr>
          <w:rFonts w:cs="Times New Roman"/>
          <w:sz w:val="24"/>
          <w:szCs w:val="24"/>
          <w:lang w:val="fr-FR"/>
        </w:rPr>
        <w:t>e qui fera bien évidemment retarder le début de son procès</w:t>
      </w:r>
      <w:r w:rsidR="009F51AD" w:rsidRPr="00953692">
        <w:rPr>
          <w:rFonts w:cs="Times New Roman"/>
          <w:sz w:val="24"/>
          <w:szCs w:val="24"/>
          <w:lang w:val="fr-FR"/>
        </w:rPr>
        <w:t xml:space="preserve"> pénal</w:t>
      </w:r>
      <w:r w:rsidR="002C7E97" w:rsidRPr="00953692">
        <w:rPr>
          <w:rFonts w:cs="Times New Roman"/>
          <w:sz w:val="24"/>
          <w:szCs w:val="24"/>
          <w:lang w:val="fr-FR"/>
        </w:rPr>
        <w:t xml:space="preserve">. </w:t>
      </w:r>
    </w:p>
    <w:p w14:paraId="37F9AB68" w14:textId="5688A499" w:rsidR="00F6593E" w:rsidRPr="00953692" w:rsidRDefault="00F1003E" w:rsidP="00D87AE8">
      <w:pPr>
        <w:spacing w:line="276" w:lineRule="auto"/>
        <w:ind w:firstLine="1134"/>
        <w:jc w:val="both"/>
        <w:rPr>
          <w:sz w:val="24"/>
          <w:szCs w:val="24"/>
          <w:lang w:val="fr-FR"/>
        </w:rPr>
      </w:pPr>
      <w:r w:rsidRPr="00953692">
        <w:rPr>
          <w:rFonts w:cs="Times New Roman"/>
          <w:b/>
          <w:bCs/>
          <w:sz w:val="24"/>
          <w:szCs w:val="24"/>
          <w:lang w:val="fr-FR"/>
        </w:rPr>
        <w:t>195.</w:t>
      </w:r>
      <w:r w:rsidRPr="00953692">
        <w:rPr>
          <w:rFonts w:cs="Times New Roman"/>
          <w:sz w:val="24"/>
          <w:szCs w:val="24"/>
          <w:lang w:val="fr-FR"/>
        </w:rPr>
        <w:t xml:space="preserve"> </w:t>
      </w:r>
      <w:r w:rsidR="00510EF3" w:rsidRPr="00953692">
        <w:rPr>
          <w:rFonts w:cs="Times New Roman"/>
          <w:sz w:val="24"/>
          <w:szCs w:val="24"/>
          <w:lang w:val="fr-FR"/>
        </w:rPr>
        <w:t>Dans l’affaire Thomas Lubanga, les juges de la CPI ont montré qu’en cette matière</w:t>
      </w:r>
      <w:r w:rsidR="00D40728" w:rsidRPr="00953692">
        <w:rPr>
          <w:rFonts w:cs="Times New Roman"/>
          <w:sz w:val="24"/>
          <w:szCs w:val="24"/>
          <w:lang w:val="fr-FR"/>
        </w:rPr>
        <w:t>,</w:t>
      </w:r>
      <w:r w:rsidR="00510EF3" w:rsidRPr="00953692">
        <w:rPr>
          <w:rFonts w:cs="Times New Roman"/>
          <w:sz w:val="24"/>
          <w:szCs w:val="24"/>
          <w:lang w:val="fr-FR"/>
        </w:rPr>
        <w:t xml:space="preserve"> ils ne sont liés à aucun délai</w:t>
      </w:r>
      <w:r w:rsidR="009F51AD" w:rsidRPr="00953692">
        <w:rPr>
          <w:rFonts w:cs="Times New Roman"/>
          <w:sz w:val="24"/>
          <w:szCs w:val="24"/>
          <w:lang w:val="fr-FR"/>
        </w:rPr>
        <w:t xml:space="preserve"> déterminé</w:t>
      </w:r>
      <w:r w:rsidR="00510EF3" w:rsidRPr="00953692">
        <w:rPr>
          <w:rFonts w:cs="Times New Roman"/>
          <w:sz w:val="24"/>
          <w:szCs w:val="24"/>
          <w:lang w:val="fr-FR"/>
        </w:rPr>
        <w:t xml:space="preserve">, et par voie de conséquence, cette phase dite préliminaire pourrait durer autant de temps qu’il </w:t>
      </w:r>
      <w:r w:rsidR="009F51AD" w:rsidRPr="00953692">
        <w:rPr>
          <w:rFonts w:cs="Times New Roman"/>
          <w:sz w:val="24"/>
          <w:szCs w:val="24"/>
          <w:lang w:val="fr-FR"/>
        </w:rPr>
        <w:t>en</w:t>
      </w:r>
      <w:r w:rsidR="00510EF3" w:rsidRPr="00953692">
        <w:rPr>
          <w:rFonts w:cs="Times New Roman"/>
          <w:sz w:val="24"/>
          <w:szCs w:val="24"/>
          <w:lang w:val="fr-FR"/>
        </w:rPr>
        <w:t xml:space="preserve"> </w:t>
      </w:r>
      <w:r w:rsidR="00267061" w:rsidRPr="00953692">
        <w:rPr>
          <w:rFonts w:cs="Times New Roman"/>
          <w:sz w:val="24"/>
          <w:szCs w:val="24"/>
          <w:lang w:val="fr-FR"/>
        </w:rPr>
        <w:t>faut</w:t>
      </w:r>
      <w:r w:rsidR="00D1018A" w:rsidRPr="00953692">
        <w:rPr>
          <w:rFonts w:cs="Times New Roman"/>
          <w:sz w:val="24"/>
          <w:szCs w:val="24"/>
          <w:lang w:val="fr-FR"/>
        </w:rPr>
        <w:t>,</w:t>
      </w:r>
      <w:r w:rsidR="00510EF3" w:rsidRPr="00953692">
        <w:rPr>
          <w:rFonts w:cs="Times New Roman"/>
          <w:sz w:val="24"/>
          <w:szCs w:val="24"/>
          <w:lang w:val="fr-FR"/>
        </w:rPr>
        <w:t xml:space="preserve"> dès lors que la complexité (particulière) de l’affaire</w:t>
      </w:r>
      <w:r w:rsidR="00D1018A" w:rsidRPr="00953692">
        <w:rPr>
          <w:rFonts w:cs="Times New Roman"/>
          <w:sz w:val="24"/>
          <w:szCs w:val="24"/>
          <w:lang w:val="fr-FR"/>
        </w:rPr>
        <w:t xml:space="preserve"> ou d’autres considérations l’exigent</w:t>
      </w:r>
      <w:r w:rsidR="00D1018A" w:rsidRPr="00953692">
        <w:rPr>
          <w:rStyle w:val="Appelnotedebasdep"/>
          <w:rFonts w:cs="Times New Roman"/>
          <w:sz w:val="24"/>
          <w:szCs w:val="24"/>
          <w:lang w:val="fr-FR"/>
        </w:rPr>
        <w:footnoteReference w:customMarkFollows="1" w:id="151"/>
        <w:t>129</w:t>
      </w:r>
      <w:r w:rsidR="00510EF3" w:rsidRPr="00953692">
        <w:rPr>
          <w:rFonts w:cs="Times New Roman"/>
          <w:sz w:val="24"/>
          <w:szCs w:val="24"/>
          <w:lang w:val="fr-FR"/>
        </w:rPr>
        <w:t xml:space="preserve">. </w:t>
      </w:r>
      <w:r w:rsidR="00B44D3A" w:rsidRPr="00953692">
        <w:rPr>
          <w:rFonts w:cs="Times New Roman"/>
          <w:sz w:val="24"/>
          <w:szCs w:val="24"/>
          <w:lang w:val="fr-FR"/>
        </w:rPr>
        <w:t xml:space="preserve">Mais la Chambre préliminaire dans cette affaire a bien reconnu, que </w:t>
      </w:r>
      <w:r w:rsidR="00EB7A2D" w:rsidRPr="00953692">
        <w:rPr>
          <w:rFonts w:cs="Times New Roman"/>
          <w:sz w:val="24"/>
          <w:szCs w:val="24"/>
          <w:lang w:val="fr-FR"/>
        </w:rPr>
        <w:t>‘’</w:t>
      </w:r>
      <w:r w:rsidR="00B44D3A" w:rsidRPr="00953692">
        <w:rPr>
          <w:rFonts w:cs="Times New Roman"/>
          <w:sz w:val="24"/>
          <w:szCs w:val="24"/>
          <w:lang w:val="fr-FR"/>
        </w:rPr>
        <w:t>la détention avant le procès</w:t>
      </w:r>
      <w:r w:rsidR="00EB7A2D" w:rsidRPr="00953692">
        <w:rPr>
          <w:rFonts w:cs="Times New Roman"/>
          <w:sz w:val="24"/>
          <w:szCs w:val="24"/>
          <w:lang w:val="fr-FR"/>
        </w:rPr>
        <w:t>’’</w:t>
      </w:r>
      <w:r w:rsidR="00B44D3A" w:rsidRPr="00953692">
        <w:rPr>
          <w:rFonts w:cs="Times New Roman"/>
          <w:sz w:val="24"/>
          <w:szCs w:val="24"/>
          <w:lang w:val="fr-FR"/>
        </w:rPr>
        <w:t xml:space="preserve"> (et non avant le jugement) </w:t>
      </w:r>
      <w:r w:rsidR="00B44D3A" w:rsidRPr="00953692">
        <w:rPr>
          <w:rFonts w:cs="Times New Roman"/>
          <w:i/>
          <w:iCs/>
          <w:sz w:val="24"/>
          <w:szCs w:val="24"/>
          <w:lang w:val="fr-FR"/>
        </w:rPr>
        <w:t>ne saurait se prolonger de manière non raisonnable</w:t>
      </w:r>
      <w:r w:rsidR="00B44D3A" w:rsidRPr="00953692">
        <w:rPr>
          <w:rFonts w:cs="Times New Roman"/>
          <w:sz w:val="24"/>
          <w:szCs w:val="24"/>
          <w:lang w:val="fr-FR"/>
        </w:rPr>
        <w:t xml:space="preserve">. </w:t>
      </w:r>
      <w:r w:rsidR="0062602A" w:rsidRPr="00953692">
        <w:rPr>
          <w:rFonts w:cs="Times New Roman"/>
          <w:sz w:val="24"/>
          <w:szCs w:val="24"/>
          <w:lang w:val="fr-FR"/>
        </w:rPr>
        <w:t>On en vient à l’importance du rôle que joue ce droit d’être inculpé dans le délai</w:t>
      </w:r>
      <w:r w:rsidR="00EB7A2D" w:rsidRPr="00953692">
        <w:rPr>
          <w:rFonts w:cs="Times New Roman"/>
          <w:sz w:val="24"/>
          <w:szCs w:val="24"/>
          <w:lang w:val="fr-FR"/>
        </w:rPr>
        <w:t xml:space="preserve"> ou dans le délai raisonnable</w:t>
      </w:r>
      <w:r w:rsidR="0062602A" w:rsidRPr="00953692">
        <w:rPr>
          <w:rFonts w:cs="Times New Roman"/>
          <w:sz w:val="24"/>
          <w:szCs w:val="24"/>
          <w:lang w:val="fr-FR"/>
        </w:rPr>
        <w:t>,</w:t>
      </w:r>
      <w:r w:rsidR="009A0463" w:rsidRPr="00953692">
        <w:rPr>
          <w:rFonts w:cs="Times New Roman"/>
          <w:sz w:val="24"/>
          <w:szCs w:val="24"/>
          <w:lang w:val="fr-FR"/>
        </w:rPr>
        <w:t xml:space="preserve"> non seulement </w:t>
      </w:r>
      <w:r w:rsidR="00EB7A2D" w:rsidRPr="00953692">
        <w:rPr>
          <w:rFonts w:cs="Times New Roman"/>
          <w:sz w:val="24"/>
          <w:szCs w:val="24"/>
          <w:lang w:val="fr-FR"/>
        </w:rPr>
        <w:t>sur</w:t>
      </w:r>
      <w:r w:rsidR="009A0463" w:rsidRPr="00953692">
        <w:rPr>
          <w:rFonts w:cs="Times New Roman"/>
          <w:sz w:val="24"/>
          <w:szCs w:val="24"/>
          <w:lang w:val="fr-FR"/>
        </w:rPr>
        <w:t xml:space="preserve"> la durée globale de la procédure</w:t>
      </w:r>
      <w:r w:rsidR="00EB7A2D" w:rsidRPr="00953692">
        <w:rPr>
          <w:rFonts w:cs="Times New Roman"/>
          <w:sz w:val="24"/>
          <w:szCs w:val="24"/>
          <w:lang w:val="fr-FR"/>
        </w:rPr>
        <w:t xml:space="preserve"> (</w:t>
      </w:r>
      <w:r w:rsidR="009A0463" w:rsidRPr="00953692">
        <w:rPr>
          <w:rFonts w:cs="Times New Roman"/>
          <w:sz w:val="24"/>
          <w:szCs w:val="24"/>
          <w:lang w:val="fr-FR"/>
        </w:rPr>
        <w:t>impliquant la notion du délai raisonnable</w:t>
      </w:r>
      <w:r w:rsidR="00EB7A2D" w:rsidRPr="00953692">
        <w:rPr>
          <w:rFonts w:cs="Times New Roman"/>
          <w:sz w:val="24"/>
          <w:szCs w:val="24"/>
          <w:lang w:val="fr-FR"/>
        </w:rPr>
        <w:t>)</w:t>
      </w:r>
      <w:r w:rsidR="009A0463" w:rsidRPr="00953692">
        <w:rPr>
          <w:rFonts w:cs="Times New Roman"/>
          <w:sz w:val="24"/>
          <w:szCs w:val="24"/>
          <w:lang w:val="fr-FR"/>
        </w:rPr>
        <w:t>, mais aussi dans la limitation des pouvoir</w:t>
      </w:r>
      <w:r w:rsidR="00EB7A2D" w:rsidRPr="00953692">
        <w:rPr>
          <w:rFonts w:cs="Times New Roman"/>
          <w:sz w:val="24"/>
          <w:szCs w:val="24"/>
          <w:lang w:val="fr-FR"/>
        </w:rPr>
        <w:t>s</w:t>
      </w:r>
      <w:r w:rsidR="009A0463" w:rsidRPr="00953692">
        <w:rPr>
          <w:rFonts w:cs="Times New Roman"/>
          <w:sz w:val="24"/>
          <w:szCs w:val="24"/>
          <w:lang w:val="fr-FR"/>
        </w:rPr>
        <w:t xml:space="preserve"> de la justice en matière de détention provisoire</w:t>
      </w:r>
      <w:r w:rsidR="00A4295C" w:rsidRPr="00953692">
        <w:rPr>
          <w:rFonts w:cs="Times New Roman"/>
          <w:sz w:val="24"/>
          <w:szCs w:val="24"/>
          <w:lang w:val="fr-FR"/>
        </w:rPr>
        <w:t>. Celle-ci étant</w:t>
      </w:r>
      <w:r w:rsidR="009A0463" w:rsidRPr="00953692">
        <w:rPr>
          <w:rFonts w:cs="Times New Roman"/>
          <w:sz w:val="24"/>
          <w:szCs w:val="24"/>
          <w:lang w:val="fr-FR"/>
        </w:rPr>
        <w:t xml:space="preserve"> considérée comme un motif ou un enjeu</w:t>
      </w:r>
      <w:r w:rsidR="00A4295C" w:rsidRPr="00953692">
        <w:rPr>
          <w:rFonts w:cs="Times New Roman"/>
          <w:sz w:val="24"/>
          <w:szCs w:val="24"/>
          <w:lang w:val="fr-FR"/>
        </w:rPr>
        <w:t>, qui</w:t>
      </w:r>
      <w:r w:rsidR="009A0463" w:rsidRPr="00953692">
        <w:rPr>
          <w:rFonts w:cs="Times New Roman"/>
          <w:sz w:val="24"/>
          <w:szCs w:val="24"/>
          <w:lang w:val="fr-FR"/>
        </w:rPr>
        <w:t xml:space="preserve"> justifi</w:t>
      </w:r>
      <w:r w:rsidR="00A4295C" w:rsidRPr="00953692">
        <w:rPr>
          <w:rFonts w:cs="Times New Roman"/>
          <w:sz w:val="24"/>
          <w:szCs w:val="24"/>
          <w:lang w:val="fr-FR"/>
        </w:rPr>
        <w:t>e</w:t>
      </w:r>
      <w:r w:rsidR="009A0463" w:rsidRPr="00953692">
        <w:rPr>
          <w:rFonts w:cs="Times New Roman"/>
          <w:sz w:val="24"/>
          <w:szCs w:val="24"/>
          <w:lang w:val="fr-FR"/>
        </w:rPr>
        <w:t xml:space="preserve"> </w:t>
      </w:r>
      <w:r w:rsidR="00A4295C" w:rsidRPr="00953692">
        <w:rPr>
          <w:rFonts w:cs="Times New Roman"/>
          <w:sz w:val="24"/>
          <w:szCs w:val="24"/>
          <w:lang w:val="fr-FR"/>
        </w:rPr>
        <w:t xml:space="preserve">davantage </w:t>
      </w:r>
      <w:r w:rsidR="009A0463" w:rsidRPr="00953692">
        <w:rPr>
          <w:rFonts w:cs="Times New Roman"/>
          <w:sz w:val="24"/>
          <w:szCs w:val="24"/>
          <w:lang w:val="fr-FR"/>
        </w:rPr>
        <w:t>l</w:t>
      </w:r>
      <w:r w:rsidR="00A4295C" w:rsidRPr="00953692">
        <w:rPr>
          <w:rFonts w:cs="Times New Roman"/>
          <w:sz w:val="24"/>
          <w:szCs w:val="24"/>
          <w:lang w:val="fr-FR"/>
        </w:rPr>
        <w:t>a</w:t>
      </w:r>
      <w:r w:rsidR="009A0463" w:rsidRPr="00953692">
        <w:rPr>
          <w:rFonts w:cs="Times New Roman"/>
          <w:sz w:val="24"/>
          <w:szCs w:val="24"/>
          <w:lang w:val="fr-FR"/>
        </w:rPr>
        <w:t xml:space="preserve"> tenu</w:t>
      </w:r>
      <w:r w:rsidR="00A4295C" w:rsidRPr="00953692">
        <w:rPr>
          <w:rFonts w:cs="Times New Roman"/>
          <w:sz w:val="24"/>
          <w:szCs w:val="24"/>
          <w:lang w:val="fr-FR"/>
        </w:rPr>
        <w:t>e</w:t>
      </w:r>
      <w:r w:rsidR="009A0463" w:rsidRPr="00953692">
        <w:rPr>
          <w:rFonts w:cs="Times New Roman"/>
          <w:sz w:val="24"/>
          <w:szCs w:val="24"/>
          <w:lang w:val="fr-FR"/>
        </w:rPr>
        <w:t xml:space="preserve"> d</w:t>
      </w:r>
      <w:r w:rsidR="00A4295C" w:rsidRPr="00953692">
        <w:rPr>
          <w:rFonts w:cs="Times New Roman"/>
          <w:sz w:val="24"/>
          <w:szCs w:val="24"/>
          <w:lang w:val="fr-FR"/>
        </w:rPr>
        <w:t>’un</w:t>
      </w:r>
      <w:r w:rsidR="009A0463" w:rsidRPr="00953692">
        <w:rPr>
          <w:rFonts w:cs="Times New Roman"/>
          <w:sz w:val="24"/>
          <w:szCs w:val="24"/>
          <w:lang w:val="fr-FR"/>
        </w:rPr>
        <w:t xml:space="preserve"> procès dans un délai raisonnable.</w:t>
      </w:r>
      <w:bookmarkStart w:id="36" w:name="_Hlk118297191"/>
      <w:bookmarkEnd w:id="31"/>
    </w:p>
    <w:p w14:paraId="126D63AC" w14:textId="77777777" w:rsidR="00D87AE8" w:rsidRPr="00953692" w:rsidRDefault="00D87AE8" w:rsidP="00D87AE8">
      <w:pPr>
        <w:pStyle w:val="Titre1"/>
        <w:spacing w:after="160"/>
        <w:ind w:left="1134"/>
        <w:rPr>
          <w:rFonts w:ascii="Times New Roman" w:hAnsi="Times New Roman"/>
          <w:b/>
          <w:bCs/>
          <w:color w:val="auto"/>
          <w:sz w:val="24"/>
          <w:szCs w:val="24"/>
          <w:lang w:val="fr-FR"/>
        </w:rPr>
      </w:pPr>
      <w:bookmarkStart w:id="37" w:name="_Toc195179421"/>
    </w:p>
    <w:p w14:paraId="47FE1DCD" w14:textId="77777777" w:rsidR="00D87AE8" w:rsidRPr="00953692" w:rsidRDefault="00D87AE8" w:rsidP="00D87AE8">
      <w:pPr>
        <w:pStyle w:val="Titre1"/>
        <w:spacing w:after="160"/>
        <w:ind w:left="1134"/>
        <w:rPr>
          <w:rFonts w:ascii="Times New Roman" w:hAnsi="Times New Roman"/>
          <w:b/>
          <w:bCs/>
          <w:color w:val="auto"/>
          <w:sz w:val="24"/>
          <w:szCs w:val="24"/>
          <w:lang w:val="fr-FR"/>
        </w:rPr>
      </w:pPr>
    </w:p>
    <w:p w14:paraId="38B72484" w14:textId="77777777" w:rsidR="00D87AE8" w:rsidRPr="00953692" w:rsidRDefault="00D87AE8" w:rsidP="00D87AE8">
      <w:pPr>
        <w:pStyle w:val="Titre1"/>
        <w:spacing w:after="160"/>
        <w:ind w:left="1134"/>
        <w:rPr>
          <w:rFonts w:ascii="Times New Roman" w:hAnsi="Times New Roman"/>
          <w:b/>
          <w:bCs/>
          <w:color w:val="auto"/>
          <w:sz w:val="24"/>
          <w:szCs w:val="24"/>
          <w:lang w:val="fr-FR"/>
        </w:rPr>
      </w:pPr>
    </w:p>
    <w:p w14:paraId="678A3B92" w14:textId="77777777" w:rsidR="00D87AE8" w:rsidRPr="00953692" w:rsidRDefault="00D87AE8" w:rsidP="00D87AE8">
      <w:pPr>
        <w:pStyle w:val="Titre1"/>
        <w:spacing w:after="160"/>
        <w:ind w:left="1134"/>
        <w:rPr>
          <w:rFonts w:ascii="Times New Roman" w:hAnsi="Times New Roman"/>
          <w:b/>
          <w:bCs/>
          <w:color w:val="auto"/>
          <w:sz w:val="24"/>
          <w:szCs w:val="24"/>
          <w:lang w:val="fr-FR"/>
        </w:rPr>
      </w:pPr>
    </w:p>
    <w:p w14:paraId="00174508" w14:textId="77777777" w:rsidR="00D87AE8" w:rsidRPr="00953692" w:rsidRDefault="00D87AE8" w:rsidP="00D87AE8">
      <w:pPr>
        <w:pStyle w:val="Titre1"/>
        <w:spacing w:after="160"/>
        <w:ind w:left="1134"/>
        <w:rPr>
          <w:rFonts w:ascii="Times New Roman" w:hAnsi="Times New Roman"/>
          <w:b/>
          <w:bCs/>
          <w:color w:val="auto"/>
          <w:sz w:val="24"/>
          <w:szCs w:val="24"/>
          <w:lang w:val="fr-FR"/>
        </w:rPr>
      </w:pPr>
    </w:p>
    <w:p w14:paraId="384915E2" w14:textId="77777777" w:rsidR="00D87AE8" w:rsidRPr="00953692" w:rsidRDefault="00D87AE8" w:rsidP="00D87AE8">
      <w:pPr>
        <w:pStyle w:val="Titre1"/>
        <w:spacing w:after="160"/>
        <w:ind w:left="1134"/>
        <w:rPr>
          <w:rFonts w:ascii="Times New Roman" w:hAnsi="Times New Roman"/>
          <w:b/>
          <w:bCs/>
          <w:color w:val="auto"/>
          <w:sz w:val="24"/>
          <w:szCs w:val="24"/>
          <w:lang w:val="fr-FR"/>
        </w:rPr>
      </w:pPr>
    </w:p>
    <w:p w14:paraId="38FD78C7" w14:textId="77777777" w:rsidR="00D87AE8" w:rsidRPr="00953692" w:rsidRDefault="00D87AE8" w:rsidP="00D87AE8">
      <w:pPr>
        <w:pStyle w:val="Titre1"/>
        <w:spacing w:after="160"/>
        <w:ind w:left="1134"/>
        <w:rPr>
          <w:rFonts w:ascii="Times New Roman" w:hAnsi="Times New Roman"/>
          <w:b/>
          <w:bCs/>
          <w:color w:val="auto"/>
          <w:sz w:val="24"/>
          <w:szCs w:val="24"/>
          <w:lang w:val="fr-FR"/>
        </w:rPr>
      </w:pPr>
    </w:p>
    <w:p w14:paraId="2B9D575E" w14:textId="77777777" w:rsidR="00D87AE8" w:rsidRPr="00953692" w:rsidRDefault="00D87AE8" w:rsidP="00D87AE8">
      <w:pPr>
        <w:pStyle w:val="Titre1"/>
        <w:spacing w:after="160"/>
        <w:rPr>
          <w:rFonts w:ascii="Times New Roman" w:hAnsi="Times New Roman"/>
          <w:b/>
          <w:bCs/>
          <w:color w:val="auto"/>
          <w:sz w:val="24"/>
          <w:szCs w:val="24"/>
          <w:lang w:val="fr-FR"/>
        </w:rPr>
      </w:pPr>
    </w:p>
    <w:p w14:paraId="403A8B9F" w14:textId="77777777" w:rsidR="00D87AE8" w:rsidRPr="00953692" w:rsidRDefault="00D87AE8" w:rsidP="00D87AE8">
      <w:pPr>
        <w:rPr>
          <w:lang w:val="fr-FR" w:eastAsia="ru-RU"/>
        </w:rPr>
      </w:pPr>
    </w:p>
    <w:p w14:paraId="460E125B" w14:textId="77777777" w:rsidR="00D87AE8" w:rsidRPr="00953692" w:rsidRDefault="00D87AE8" w:rsidP="00D87AE8">
      <w:pPr>
        <w:rPr>
          <w:lang w:val="fr-FR" w:eastAsia="ru-RU"/>
        </w:rPr>
      </w:pPr>
    </w:p>
    <w:p w14:paraId="36586289" w14:textId="77777777" w:rsidR="00D87AE8" w:rsidRPr="00953692" w:rsidRDefault="00D87AE8" w:rsidP="00D87AE8">
      <w:pPr>
        <w:rPr>
          <w:lang w:val="fr-FR" w:eastAsia="ru-RU"/>
        </w:rPr>
      </w:pPr>
    </w:p>
    <w:p w14:paraId="239C6AA5" w14:textId="7B8154C1" w:rsidR="007F2B16" w:rsidRPr="00953692" w:rsidRDefault="001E2F00" w:rsidP="00D87AE8">
      <w:pPr>
        <w:pStyle w:val="Titre1"/>
        <w:spacing w:after="160"/>
        <w:ind w:left="1134"/>
        <w:rPr>
          <w:rFonts w:ascii="Times New Roman" w:hAnsi="Times New Roman"/>
          <w:i/>
          <w:iCs/>
          <w:color w:val="auto"/>
          <w:sz w:val="24"/>
          <w:szCs w:val="24"/>
          <w:lang w:val="fr-FR"/>
        </w:rPr>
      </w:pPr>
      <w:r w:rsidRPr="00953692">
        <w:rPr>
          <w:rFonts w:ascii="Times New Roman" w:hAnsi="Times New Roman"/>
          <w:b/>
          <w:bCs/>
          <w:color w:val="auto"/>
          <w:sz w:val="24"/>
          <w:szCs w:val="24"/>
          <w:lang w:val="fr-FR"/>
        </w:rPr>
        <w:lastRenderedPageBreak/>
        <w:t>C</w:t>
      </w:r>
      <w:r w:rsidR="0076405D" w:rsidRPr="00953692">
        <w:rPr>
          <w:rFonts w:ascii="Times New Roman" w:hAnsi="Times New Roman"/>
          <w:b/>
          <w:bCs/>
          <w:color w:val="auto"/>
          <w:sz w:val="24"/>
          <w:szCs w:val="24"/>
          <w:lang w:val="fr-FR"/>
        </w:rPr>
        <w:t>hapitre</w:t>
      </w:r>
      <w:r w:rsidRPr="00953692">
        <w:rPr>
          <w:rFonts w:ascii="Times New Roman" w:hAnsi="Times New Roman"/>
          <w:b/>
          <w:bCs/>
          <w:color w:val="auto"/>
          <w:sz w:val="24"/>
          <w:szCs w:val="24"/>
          <w:lang w:val="fr-FR"/>
        </w:rPr>
        <w:t xml:space="preserve"> II</w:t>
      </w:r>
      <w:r w:rsidR="00FA7946" w:rsidRPr="00953692">
        <w:rPr>
          <w:rFonts w:ascii="Times New Roman" w:hAnsi="Times New Roman"/>
          <w:color w:val="auto"/>
          <w:sz w:val="24"/>
          <w:szCs w:val="24"/>
          <w:lang w:val="fr-FR"/>
        </w:rPr>
        <w:t xml:space="preserve">. </w:t>
      </w:r>
      <w:r w:rsidR="0076405D" w:rsidRPr="00953692">
        <w:rPr>
          <w:rFonts w:ascii="Times New Roman" w:hAnsi="Times New Roman"/>
          <w:b/>
          <w:bCs/>
          <w:color w:val="auto"/>
          <w:sz w:val="24"/>
          <w:szCs w:val="24"/>
          <w:lang w:val="fr-FR"/>
        </w:rPr>
        <w:t>Des droits dérogeables de l’accus</w:t>
      </w:r>
      <w:r w:rsidR="00CD62F4" w:rsidRPr="00953692">
        <w:rPr>
          <w:rFonts w:ascii="Times New Roman" w:hAnsi="Times New Roman"/>
          <w:b/>
          <w:bCs/>
          <w:color w:val="auto"/>
          <w:sz w:val="24"/>
          <w:szCs w:val="24"/>
          <w:lang w:val="fr-FR"/>
        </w:rPr>
        <w:t>é</w:t>
      </w:r>
      <w:r w:rsidR="00F3588E" w:rsidRPr="00953692">
        <w:rPr>
          <w:rFonts w:ascii="Times New Roman" w:hAnsi="Times New Roman"/>
          <w:b/>
          <w:bCs/>
          <w:color w:val="auto"/>
          <w:sz w:val="24"/>
          <w:szCs w:val="24"/>
          <w:lang w:val="fr-FR"/>
        </w:rPr>
        <w:t> :</w:t>
      </w:r>
      <w:r w:rsidR="0076405D" w:rsidRPr="00953692">
        <w:rPr>
          <w:rFonts w:ascii="Times New Roman" w:hAnsi="Times New Roman"/>
          <w:b/>
          <w:bCs/>
          <w:color w:val="auto"/>
          <w:sz w:val="24"/>
          <w:szCs w:val="24"/>
          <w:lang w:val="fr-FR"/>
        </w:rPr>
        <w:t xml:space="preserve"> </w:t>
      </w:r>
      <w:r w:rsidR="00725466" w:rsidRPr="00953692">
        <w:rPr>
          <w:rFonts w:ascii="Times New Roman" w:hAnsi="Times New Roman"/>
          <w:i/>
          <w:iCs/>
          <w:color w:val="auto"/>
          <w:sz w:val="24"/>
          <w:szCs w:val="24"/>
          <w:lang w:val="fr-FR"/>
        </w:rPr>
        <w:t>d</w:t>
      </w:r>
      <w:r w:rsidR="0076405D" w:rsidRPr="00953692">
        <w:rPr>
          <w:rFonts w:ascii="Times New Roman" w:hAnsi="Times New Roman"/>
          <w:i/>
          <w:iCs/>
          <w:color w:val="auto"/>
          <w:sz w:val="24"/>
          <w:szCs w:val="24"/>
          <w:lang w:val="fr-FR"/>
        </w:rPr>
        <w:t xml:space="preserve">es prérogatives </w:t>
      </w:r>
      <w:r w:rsidR="00F3588E" w:rsidRPr="00953692">
        <w:rPr>
          <w:rFonts w:ascii="Times New Roman" w:hAnsi="Times New Roman"/>
          <w:i/>
          <w:iCs/>
          <w:color w:val="auto"/>
          <w:sz w:val="24"/>
          <w:szCs w:val="24"/>
          <w:lang w:val="fr-FR"/>
        </w:rPr>
        <w:t xml:space="preserve">dont la mise œuvre est </w:t>
      </w:r>
      <w:r w:rsidR="00B84533" w:rsidRPr="00953692">
        <w:rPr>
          <w:rFonts w:ascii="Times New Roman" w:hAnsi="Times New Roman"/>
          <w:i/>
          <w:iCs/>
          <w:color w:val="auto"/>
          <w:sz w:val="24"/>
          <w:szCs w:val="24"/>
          <w:lang w:val="fr-FR"/>
        </w:rPr>
        <w:t xml:space="preserve">susceptible </w:t>
      </w:r>
      <w:r w:rsidR="0076405D" w:rsidRPr="00953692">
        <w:rPr>
          <w:rFonts w:ascii="Times New Roman" w:hAnsi="Times New Roman"/>
          <w:i/>
          <w:iCs/>
          <w:color w:val="auto"/>
          <w:sz w:val="24"/>
          <w:szCs w:val="24"/>
          <w:lang w:val="fr-FR"/>
        </w:rPr>
        <w:t>d’écourter ou d’accélérer le procès</w:t>
      </w:r>
      <w:r w:rsidR="00D40728" w:rsidRPr="00953692">
        <w:rPr>
          <w:rFonts w:ascii="Times New Roman" w:hAnsi="Times New Roman"/>
          <w:i/>
          <w:iCs/>
          <w:color w:val="auto"/>
          <w:sz w:val="24"/>
          <w:szCs w:val="24"/>
          <w:lang w:val="fr-FR"/>
        </w:rPr>
        <w:t xml:space="preserve"> ou d’en faciliter la tenue dans un délai raisonnable</w:t>
      </w:r>
      <w:bookmarkEnd w:id="37"/>
    </w:p>
    <w:bookmarkEnd w:id="36"/>
    <w:p w14:paraId="5D8C5339" w14:textId="6E1EFABD" w:rsidR="00AD557F" w:rsidRPr="00953692" w:rsidRDefault="008B600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w:t>
      </w:r>
      <w:r w:rsidR="00CA603C" w:rsidRPr="00953692">
        <w:rPr>
          <w:rFonts w:cs="Times New Roman"/>
          <w:b/>
          <w:bCs/>
          <w:sz w:val="24"/>
          <w:szCs w:val="24"/>
          <w:lang w:val="fr-FR"/>
        </w:rPr>
        <w:t>96</w:t>
      </w:r>
      <w:r w:rsidRPr="00953692">
        <w:rPr>
          <w:rFonts w:cs="Times New Roman"/>
          <w:b/>
          <w:bCs/>
          <w:sz w:val="24"/>
          <w:szCs w:val="24"/>
          <w:lang w:val="fr-FR"/>
        </w:rPr>
        <w:t>.</w:t>
      </w:r>
      <w:r w:rsidRPr="00953692">
        <w:rPr>
          <w:rFonts w:cs="Times New Roman"/>
          <w:sz w:val="24"/>
          <w:szCs w:val="24"/>
          <w:lang w:val="fr-FR"/>
        </w:rPr>
        <w:t xml:space="preserve"> </w:t>
      </w:r>
      <w:r w:rsidR="00B84533" w:rsidRPr="00953692">
        <w:rPr>
          <w:rFonts w:cs="Times New Roman"/>
          <w:sz w:val="24"/>
          <w:szCs w:val="24"/>
          <w:lang w:val="fr-FR"/>
        </w:rPr>
        <w:t xml:space="preserve">Après </w:t>
      </w:r>
      <w:r w:rsidR="009C311F" w:rsidRPr="00953692">
        <w:rPr>
          <w:rFonts w:cs="Times New Roman"/>
          <w:sz w:val="24"/>
          <w:szCs w:val="24"/>
          <w:lang w:val="fr-FR"/>
        </w:rPr>
        <w:t>l’</w:t>
      </w:r>
      <w:r w:rsidR="00B84533" w:rsidRPr="00953692">
        <w:rPr>
          <w:rFonts w:cs="Times New Roman"/>
          <w:sz w:val="24"/>
          <w:szCs w:val="24"/>
          <w:lang w:val="fr-FR"/>
        </w:rPr>
        <w:t xml:space="preserve">avoir informé des faits et </w:t>
      </w:r>
      <w:r w:rsidRPr="00953692">
        <w:rPr>
          <w:rFonts w:cs="Times New Roman"/>
          <w:sz w:val="24"/>
          <w:szCs w:val="24"/>
          <w:lang w:val="fr-FR"/>
        </w:rPr>
        <w:t xml:space="preserve">des </w:t>
      </w:r>
      <w:r w:rsidR="00B84533" w:rsidRPr="00953692">
        <w:rPr>
          <w:rFonts w:cs="Times New Roman"/>
          <w:sz w:val="24"/>
          <w:szCs w:val="24"/>
          <w:lang w:val="fr-FR"/>
        </w:rPr>
        <w:t>accusations portées contre lui</w:t>
      </w:r>
      <w:r w:rsidR="00E66C1D" w:rsidRPr="00953692">
        <w:rPr>
          <w:rFonts w:cs="Times New Roman"/>
          <w:sz w:val="24"/>
          <w:szCs w:val="24"/>
          <w:lang w:val="fr-FR"/>
        </w:rPr>
        <w:t xml:space="preserve">, </w:t>
      </w:r>
      <w:r w:rsidR="00320FB5" w:rsidRPr="00953692">
        <w:rPr>
          <w:rFonts w:cs="Times New Roman"/>
          <w:sz w:val="24"/>
          <w:szCs w:val="24"/>
          <w:lang w:val="fr-FR"/>
        </w:rPr>
        <w:t xml:space="preserve">après </w:t>
      </w:r>
      <w:r w:rsidR="009C311F" w:rsidRPr="00953692">
        <w:rPr>
          <w:rFonts w:cs="Times New Roman"/>
          <w:sz w:val="24"/>
          <w:szCs w:val="24"/>
          <w:lang w:val="fr-FR"/>
        </w:rPr>
        <w:t>l’</w:t>
      </w:r>
      <w:r w:rsidR="00320FB5" w:rsidRPr="00953692">
        <w:rPr>
          <w:rFonts w:cs="Times New Roman"/>
          <w:sz w:val="24"/>
          <w:szCs w:val="24"/>
          <w:lang w:val="fr-FR"/>
        </w:rPr>
        <w:t xml:space="preserve">avoir </w:t>
      </w:r>
      <w:r w:rsidR="009C311F" w:rsidRPr="00953692">
        <w:rPr>
          <w:rFonts w:cs="Times New Roman"/>
          <w:sz w:val="24"/>
          <w:szCs w:val="24"/>
          <w:lang w:val="fr-FR"/>
        </w:rPr>
        <w:t xml:space="preserve">fait </w:t>
      </w:r>
      <w:r w:rsidR="00320FB5" w:rsidRPr="00953692">
        <w:rPr>
          <w:rFonts w:cs="Times New Roman"/>
          <w:sz w:val="24"/>
          <w:szCs w:val="24"/>
          <w:lang w:val="fr-FR"/>
        </w:rPr>
        <w:t>compar</w:t>
      </w:r>
      <w:r w:rsidR="009C311F" w:rsidRPr="00953692">
        <w:rPr>
          <w:rFonts w:cs="Times New Roman"/>
          <w:sz w:val="24"/>
          <w:szCs w:val="24"/>
          <w:lang w:val="fr-FR"/>
        </w:rPr>
        <w:t>aitre</w:t>
      </w:r>
      <w:r w:rsidR="00320FB5" w:rsidRPr="00953692">
        <w:rPr>
          <w:rFonts w:cs="Times New Roman"/>
          <w:sz w:val="24"/>
          <w:szCs w:val="24"/>
          <w:lang w:val="fr-FR"/>
        </w:rPr>
        <w:t xml:space="preserve"> initialement devant un juge (sans délai)</w:t>
      </w:r>
      <w:r w:rsidR="00076F2B" w:rsidRPr="00953692">
        <w:rPr>
          <w:rFonts w:cs="Times New Roman"/>
          <w:sz w:val="24"/>
          <w:szCs w:val="24"/>
          <w:lang w:val="fr-FR"/>
        </w:rPr>
        <w:t>, et éventuellement</w:t>
      </w:r>
      <w:r w:rsidR="00320FB5" w:rsidRPr="00953692">
        <w:rPr>
          <w:rFonts w:cs="Times New Roman"/>
          <w:sz w:val="24"/>
          <w:szCs w:val="24"/>
          <w:lang w:val="fr-FR"/>
        </w:rPr>
        <w:t xml:space="preserve"> après </w:t>
      </w:r>
      <w:r w:rsidR="009C311F" w:rsidRPr="00953692">
        <w:rPr>
          <w:rFonts w:cs="Times New Roman"/>
          <w:sz w:val="24"/>
          <w:szCs w:val="24"/>
          <w:lang w:val="fr-FR"/>
        </w:rPr>
        <w:t>l’</w:t>
      </w:r>
      <w:r w:rsidR="00320FB5" w:rsidRPr="00953692">
        <w:rPr>
          <w:rFonts w:cs="Times New Roman"/>
          <w:sz w:val="24"/>
          <w:szCs w:val="24"/>
          <w:lang w:val="fr-FR"/>
        </w:rPr>
        <w:t>avoir inculpé</w:t>
      </w:r>
      <w:r w:rsidR="00BA6E19" w:rsidRPr="00953692">
        <w:rPr>
          <w:rFonts w:cs="Times New Roman"/>
          <w:sz w:val="24"/>
          <w:szCs w:val="24"/>
          <w:lang w:val="fr-FR"/>
        </w:rPr>
        <w:t xml:space="preserve"> dans le délai</w:t>
      </w:r>
      <w:r w:rsidR="009706DA" w:rsidRPr="00953692">
        <w:rPr>
          <w:rFonts w:cs="Times New Roman"/>
          <w:sz w:val="24"/>
          <w:szCs w:val="24"/>
          <w:lang w:val="fr-FR"/>
        </w:rPr>
        <w:t>,</w:t>
      </w:r>
      <w:r w:rsidR="00320FB5" w:rsidRPr="00953692">
        <w:rPr>
          <w:rFonts w:cs="Times New Roman"/>
          <w:sz w:val="24"/>
          <w:szCs w:val="24"/>
          <w:lang w:val="fr-FR"/>
        </w:rPr>
        <w:t xml:space="preserve"> il résulte des actes constitutifs des juridictions pénales internationales précités, </w:t>
      </w:r>
      <w:r w:rsidR="00E66C1D" w:rsidRPr="00953692">
        <w:rPr>
          <w:rFonts w:cs="Times New Roman"/>
          <w:sz w:val="24"/>
          <w:szCs w:val="24"/>
          <w:lang w:val="fr-FR"/>
        </w:rPr>
        <w:t>que l’étape cruciale suivant</w:t>
      </w:r>
      <w:r w:rsidR="004C1EDD" w:rsidRPr="00953692">
        <w:rPr>
          <w:rFonts w:cs="Times New Roman"/>
          <w:sz w:val="24"/>
          <w:szCs w:val="24"/>
          <w:lang w:val="fr-FR"/>
        </w:rPr>
        <w:t>e</w:t>
      </w:r>
      <w:r w:rsidR="00E66C1D" w:rsidRPr="00953692">
        <w:rPr>
          <w:rFonts w:cs="Times New Roman"/>
          <w:sz w:val="24"/>
          <w:szCs w:val="24"/>
          <w:lang w:val="fr-FR"/>
        </w:rPr>
        <w:t xml:space="preserve"> est celle de demander à l’accusé la thèse qu’il souhaite défendre. </w:t>
      </w:r>
      <w:r w:rsidR="004C1EDD" w:rsidRPr="00953692">
        <w:rPr>
          <w:rFonts w:cs="Times New Roman"/>
          <w:sz w:val="24"/>
          <w:szCs w:val="24"/>
          <w:lang w:val="fr-FR"/>
        </w:rPr>
        <w:t>Autrement-dit,</w:t>
      </w:r>
      <w:r w:rsidR="002E5B67" w:rsidRPr="00953692">
        <w:rPr>
          <w:rFonts w:cs="Times New Roman"/>
          <w:sz w:val="24"/>
          <w:szCs w:val="24"/>
          <w:lang w:val="fr-FR"/>
        </w:rPr>
        <w:t xml:space="preserve"> plaider coupable</w:t>
      </w:r>
      <w:r w:rsidR="00BA6E19" w:rsidRPr="00953692">
        <w:rPr>
          <w:rFonts w:cs="Times New Roman"/>
          <w:sz w:val="24"/>
          <w:szCs w:val="24"/>
          <w:lang w:val="fr-FR"/>
        </w:rPr>
        <w:t xml:space="preserve"> ou non</w:t>
      </w:r>
      <w:r w:rsidR="002E5B67" w:rsidRPr="00953692">
        <w:rPr>
          <w:rFonts w:cs="Times New Roman"/>
          <w:sz w:val="24"/>
          <w:szCs w:val="24"/>
          <w:lang w:val="fr-FR"/>
        </w:rPr>
        <w:t xml:space="preserve"> des accusations portées contre lui. </w:t>
      </w:r>
      <w:r w:rsidR="004540A8" w:rsidRPr="00953692">
        <w:rPr>
          <w:rFonts w:cs="Times New Roman"/>
          <w:sz w:val="24"/>
          <w:szCs w:val="24"/>
          <w:lang w:val="fr-FR"/>
        </w:rPr>
        <w:t>Ce choix qui est en réalité son</w:t>
      </w:r>
      <w:r w:rsidR="008A33D2" w:rsidRPr="00953692">
        <w:rPr>
          <w:rFonts w:cs="Times New Roman"/>
          <w:sz w:val="24"/>
          <w:szCs w:val="24"/>
          <w:lang w:val="fr-FR"/>
        </w:rPr>
        <w:t xml:space="preserve"> </w:t>
      </w:r>
      <w:r w:rsidR="004C1EDD" w:rsidRPr="00953692">
        <w:rPr>
          <w:rFonts w:cs="Times New Roman"/>
          <w:sz w:val="24"/>
          <w:szCs w:val="24"/>
          <w:lang w:val="fr-FR"/>
        </w:rPr>
        <w:t xml:space="preserve">droit </w:t>
      </w:r>
      <w:r w:rsidR="004540A8" w:rsidRPr="00953692">
        <w:rPr>
          <w:rFonts w:cs="Times New Roman"/>
          <w:sz w:val="24"/>
          <w:szCs w:val="24"/>
          <w:lang w:val="fr-FR"/>
        </w:rPr>
        <w:t xml:space="preserve">le plus légitime dans le cadre d’un procès équitable devient déterminant </w:t>
      </w:r>
      <w:r w:rsidR="00F94F47" w:rsidRPr="00953692">
        <w:rPr>
          <w:rFonts w:cs="Times New Roman"/>
          <w:sz w:val="24"/>
          <w:szCs w:val="24"/>
          <w:lang w:val="fr-FR"/>
        </w:rPr>
        <w:t>p</w:t>
      </w:r>
      <w:r w:rsidR="00076F2B" w:rsidRPr="00953692">
        <w:rPr>
          <w:rFonts w:cs="Times New Roman"/>
          <w:sz w:val="24"/>
          <w:szCs w:val="24"/>
          <w:lang w:val="fr-FR"/>
        </w:rPr>
        <w:t>our un procès pénal international rapide</w:t>
      </w:r>
      <w:r w:rsidR="00F94F47" w:rsidRPr="00953692">
        <w:rPr>
          <w:rFonts w:cs="Times New Roman"/>
          <w:sz w:val="24"/>
          <w:szCs w:val="24"/>
          <w:lang w:val="fr-FR"/>
        </w:rPr>
        <w:t xml:space="preserve"> qui </w:t>
      </w:r>
      <w:r w:rsidR="00076F2B" w:rsidRPr="00953692">
        <w:rPr>
          <w:rFonts w:cs="Times New Roman"/>
          <w:sz w:val="24"/>
          <w:szCs w:val="24"/>
          <w:lang w:val="fr-FR"/>
        </w:rPr>
        <w:t>pointe à l’horizon</w:t>
      </w:r>
      <w:r w:rsidR="00F94F47" w:rsidRPr="00953692">
        <w:rPr>
          <w:rFonts w:cs="Times New Roman"/>
          <w:sz w:val="24"/>
          <w:szCs w:val="24"/>
          <w:lang w:val="fr-FR"/>
        </w:rPr>
        <w:t>.</w:t>
      </w:r>
    </w:p>
    <w:p w14:paraId="1D83ADE1" w14:textId="46261D05" w:rsidR="006F6501" w:rsidRPr="00953692" w:rsidRDefault="00CA603C"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197.</w:t>
      </w:r>
      <w:r w:rsidRPr="00953692">
        <w:rPr>
          <w:rFonts w:cs="Times New Roman"/>
          <w:sz w:val="24"/>
          <w:szCs w:val="24"/>
          <w:lang w:val="fr-FR"/>
        </w:rPr>
        <w:t xml:space="preserve"> </w:t>
      </w:r>
      <w:r w:rsidR="00AD557F" w:rsidRPr="00953692">
        <w:rPr>
          <w:rFonts w:cs="Times New Roman"/>
          <w:sz w:val="24"/>
          <w:szCs w:val="24"/>
          <w:lang w:val="fr-FR"/>
        </w:rPr>
        <w:t>En effet, l</w:t>
      </w:r>
      <w:r w:rsidR="006B0AD3" w:rsidRPr="00953692">
        <w:rPr>
          <w:rFonts w:cs="Times New Roman"/>
          <w:sz w:val="24"/>
          <w:szCs w:val="24"/>
          <w:lang w:val="fr-FR"/>
        </w:rPr>
        <w:t xml:space="preserve">orsqu’il plaide </w:t>
      </w:r>
      <w:r w:rsidR="00DD793E" w:rsidRPr="00953692">
        <w:rPr>
          <w:rFonts w:cs="Times New Roman"/>
          <w:sz w:val="24"/>
          <w:szCs w:val="24"/>
          <w:lang w:val="fr-FR"/>
        </w:rPr>
        <w:t xml:space="preserve">non </w:t>
      </w:r>
      <w:r w:rsidR="006B0AD3" w:rsidRPr="00953692">
        <w:rPr>
          <w:rFonts w:cs="Times New Roman"/>
          <w:sz w:val="24"/>
          <w:szCs w:val="24"/>
          <w:lang w:val="fr-FR"/>
        </w:rPr>
        <w:t>coupable, l’accusé ou l’inculpé</w:t>
      </w:r>
      <w:r w:rsidR="009706DA" w:rsidRPr="00953692">
        <w:rPr>
          <w:rFonts w:cs="Times New Roman"/>
          <w:sz w:val="24"/>
          <w:szCs w:val="24"/>
          <w:lang w:val="fr-FR"/>
        </w:rPr>
        <w:t>,</w:t>
      </w:r>
      <w:r w:rsidR="006B0AD3" w:rsidRPr="00953692">
        <w:rPr>
          <w:rFonts w:cs="Times New Roman"/>
          <w:sz w:val="24"/>
          <w:szCs w:val="24"/>
          <w:lang w:val="fr-FR"/>
        </w:rPr>
        <w:t xml:space="preserve"> selon les cas, déclare la guerre judiciaire au </w:t>
      </w:r>
      <w:r w:rsidR="00076F2B" w:rsidRPr="00953692">
        <w:rPr>
          <w:rFonts w:cs="Times New Roman"/>
          <w:sz w:val="24"/>
          <w:szCs w:val="24"/>
          <w:lang w:val="fr-FR"/>
        </w:rPr>
        <w:t>P</w:t>
      </w:r>
      <w:r w:rsidR="006B0AD3" w:rsidRPr="00953692">
        <w:rPr>
          <w:rFonts w:cs="Times New Roman"/>
          <w:sz w:val="24"/>
          <w:szCs w:val="24"/>
          <w:lang w:val="fr-FR"/>
        </w:rPr>
        <w:t>rocureur</w:t>
      </w:r>
      <w:r w:rsidR="004C1EDD" w:rsidRPr="00953692">
        <w:rPr>
          <w:rFonts w:cs="Times New Roman"/>
          <w:sz w:val="24"/>
          <w:szCs w:val="24"/>
          <w:lang w:val="fr-FR"/>
        </w:rPr>
        <w:t xml:space="preserve">. Et, </w:t>
      </w:r>
      <w:r w:rsidR="00764B29" w:rsidRPr="00953692">
        <w:rPr>
          <w:rFonts w:cs="Times New Roman"/>
          <w:sz w:val="24"/>
          <w:szCs w:val="24"/>
          <w:lang w:val="fr-FR"/>
        </w:rPr>
        <w:t xml:space="preserve">comme toujours, </w:t>
      </w:r>
      <w:r w:rsidR="006B0AD3" w:rsidRPr="00953692">
        <w:rPr>
          <w:rFonts w:cs="Times New Roman"/>
          <w:sz w:val="24"/>
          <w:szCs w:val="24"/>
          <w:lang w:val="fr-FR"/>
        </w:rPr>
        <w:t>on sait bien quand</w:t>
      </w:r>
      <w:r w:rsidR="004C1EDD" w:rsidRPr="00953692">
        <w:rPr>
          <w:rFonts w:cs="Times New Roman"/>
          <w:sz w:val="24"/>
          <w:szCs w:val="24"/>
          <w:lang w:val="fr-FR"/>
        </w:rPr>
        <w:t xml:space="preserve"> celle-ci</w:t>
      </w:r>
      <w:r w:rsidR="006B0AD3" w:rsidRPr="00953692">
        <w:rPr>
          <w:rFonts w:cs="Times New Roman"/>
          <w:sz w:val="24"/>
          <w:szCs w:val="24"/>
          <w:lang w:val="fr-FR"/>
        </w:rPr>
        <w:t xml:space="preserve"> commence sans savoir exactement quand </w:t>
      </w:r>
      <w:r w:rsidR="004C1EDD" w:rsidRPr="00953692">
        <w:rPr>
          <w:rFonts w:cs="Times New Roman"/>
          <w:sz w:val="24"/>
          <w:szCs w:val="24"/>
          <w:lang w:val="fr-FR"/>
        </w:rPr>
        <w:t>cela prendr</w:t>
      </w:r>
      <w:r w:rsidR="00AD557F" w:rsidRPr="00953692">
        <w:rPr>
          <w:rFonts w:cs="Times New Roman"/>
          <w:sz w:val="24"/>
          <w:szCs w:val="24"/>
          <w:lang w:val="fr-FR"/>
        </w:rPr>
        <w:t>a</w:t>
      </w:r>
      <w:r w:rsidR="006B0AD3" w:rsidRPr="00953692">
        <w:rPr>
          <w:rFonts w:cs="Times New Roman"/>
          <w:sz w:val="24"/>
          <w:szCs w:val="24"/>
          <w:lang w:val="fr-FR"/>
        </w:rPr>
        <w:t xml:space="preserve"> fin. </w:t>
      </w:r>
      <w:r w:rsidR="009C311F" w:rsidRPr="00953692">
        <w:rPr>
          <w:rFonts w:cs="Times New Roman"/>
          <w:sz w:val="24"/>
          <w:szCs w:val="24"/>
          <w:lang w:val="fr-FR"/>
        </w:rPr>
        <w:t xml:space="preserve">C’est d’ailleurs dans ce cas que l’on comprend mieux l’aporie que pose la question de la raisonnabilité du délai. </w:t>
      </w:r>
      <w:r w:rsidR="006B0AD3" w:rsidRPr="00953692">
        <w:rPr>
          <w:rFonts w:cs="Times New Roman"/>
          <w:sz w:val="24"/>
          <w:szCs w:val="24"/>
          <w:lang w:val="fr-FR"/>
        </w:rPr>
        <w:t xml:space="preserve">Par contre, </w:t>
      </w:r>
      <w:r w:rsidR="00DD793E" w:rsidRPr="00953692">
        <w:rPr>
          <w:rFonts w:cs="Times New Roman"/>
          <w:sz w:val="24"/>
          <w:szCs w:val="24"/>
          <w:lang w:val="fr-FR"/>
        </w:rPr>
        <w:t xml:space="preserve">lorsqu’il décide de plaider coupable, </w:t>
      </w:r>
      <w:r w:rsidR="004C1EDD" w:rsidRPr="00953692">
        <w:rPr>
          <w:rFonts w:cs="Times New Roman"/>
          <w:sz w:val="24"/>
          <w:szCs w:val="24"/>
          <w:lang w:val="fr-FR"/>
        </w:rPr>
        <w:t>l’accusé</w:t>
      </w:r>
      <w:r w:rsidR="00DD793E" w:rsidRPr="00953692">
        <w:rPr>
          <w:rFonts w:cs="Times New Roman"/>
          <w:sz w:val="24"/>
          <w:szCs w:val="24"/>
          <w:lang w:val="fr-FR"/>
        </w:rPr>
        <w:t xml:space="preserve"> capitule</w:t>
      </w:r>
      <w:r w:rsidR="004C1EDD" w:rsidRPr="00953692">
        <w:rPr>
          <w:rFonts w:cs="Times New Roman"/>
          <w:sz w:val="24"/>
          <w:szCs w:val="24"/>
          <w:lang w:val="fr-FR"/>
        </w:rPr>
        <w:t>,</w:t>
      </w:r>
      <w:r w:rsidR="00DD793E" w:rsidRPr="00953692">
        <w:rPr>
          <w:rFonts w:cs="Times New Roman"/>
          <w:sz w:val="24"/>
          <w:szCs w:val="24"/>
          <w:lang w:val="fr-FR"/>
        </w:rPr>
        <w:t xml:space="preserve"> en permettant de mettre bas les armes</w:t>
      </w:r>
      <w:r w:rsidR="006367C7" w:rsidRPr="00953692">
        <w:rPr>
          <w:rFonts w:cs="Times New Roman"/>
          <w:sz w:val="24"/>
          <w:szCs w:val="24"/>
          <w:lang w:val="fr-FR"/>
        </w:rPr>
        <w:t xml:space="preserve"> du procès</w:t>
      </w:r>
      <w:r w:rsidR="00DD793E" w:rsidRPr="00953692">
        <w:rPr>
          <w:rFonts w:cs="Times New Roman"/>
          <w:sz w:val="24"/>
          <w:szCs w:val="24"/>
          <w:lang w:val="fr-FR"/>
        </w:rPr>
        <w:t xml:space="preserve"> et</w:t>
      </w:r>
      <w:r w:rsidR="004C1EDD" w:rsidRPr="00953692">
        <w:rPr>
          <w:rFonts w:cs="Times New Roman"/>
          <w:sz w:val="24"/>
          <w:szCs w:val="24"/>
          <w:lang w:val="fr-FR"/>
        </w:rPr>
        <w:t>,</w:t>
      </w:r>
      <w:r w:rsidR="00DD793E" w:rsidRPr="00953692">
        <w:rPr>
          <w:rFonts w:cs="Times New Roman"/>
          <w:sz w:val="24"/>
          <w:szCs w:val="24"/>
          <w:lang w:val="fr-FR"/>
        </w:rPr>
        <w:t xml:space="preserve"> conséquemment, </w:t>
      </w:r>
      <w:r w:rsidR="009C311F" w:rsidRPr="00953692">
        <w:rPr>
          <w:rFonts w:cs="Times New Roman"/>
          <w:sz w:val="24"/>
          <w:szCs w:val="24"/>
          <w:lang w:val="fr-FR"/>
        </w:rPr>
        <w:t>en</w:t>
      </w:r>
      <w:r w:rsidR="008A33D2" w:rsidRPr="00953692">
        <w:rPr>
          <w:rFonts w:cs="Times New Roman"/>
          <w:sz w:val="24"/>
          <w:szCs w:val="24"/>
          <w:lang w:val="fr-FR"/>
        </w:rPr>
        <w:t xml:space="preserve"> </w:t>
      </w:r>
      <w:r w:rsidR="00DD793E" w:rsidRPr="00953692">
        <w:rPr>
          <w:rFonts w:cs="Times New Roman"/>
          <w:sz w:val="24"/>
          <w:szCs w:val="24"/>
          <w:lang w:val="fr-FR"/>
        </w:rPr>
        <w:t>limit</w:t>
      </w:r>
      <w:r w:rsidR="009C311F" w:rsidRPr="00953692">
        <w:rPr>
          <w:rFonts w:cs="Times New Roman"/>
          <w:sz w:val="24"/>
          <w:szCs w:val="24"/>
          <w:lang w:val="fr-FR"/>
        </w:rPr>
        <w:t>ant</w:t>
      </w:r>
      <w:r w:rsidR="00DD793E" w:rsidRPr="00953692">
        <w:rPr>
          <w:rFonts w:cs="Times New Roman"/>
          <w:sz w:val="24"/>
          <w:szCs w:val="24"/>
          <w:lang w:val="fr-FR"/>
        </w:rPr>
        <w:t xml:space="preserve"> </w:t>
      </w:r>
      <w:r w:rsidR="00DD793E" w:rsidRPr="00953692">
        <w:rPr>
          <w:rFonts w:cs="Times New Roman"/>
          <w:i/>
          <w:iCs/>
          <w:sz w:val="24"/>
          <w:szCs w:val="24"/>
          <w:lang w:val="fr-FR"/>
        </w:rPr>
        <w:t>de facto</w:t>
      </w:r>
      <w:r w:rsidR="00DD793E" w:rsidRPr="00953692">
        <w:rPr>
          <w:rFonts w:cs="Times New Roman"/>
          <w:sz w:val="24"/>
          <w:szCs w:val="24"/>
          <w:lang w:val="fr-FR"/>
        </w:rPr>
        <w:t xml:space="preserve"> la durée de la procédure. Dans ce cas, </w:t>
      </w:r>
      <w:r w:rsidR="00B02E50" w:rsidRPr="00953692">
        <w:rPr>
          <w:rFonts w:cs="Times New Roman"/>
          <w:sz w:val="24"/>
          <w:szCs w:val="24"/>
          <w:lang w:val="fr-FR"/>
        </w:rPr>
        <w:t xml:space="preserve">le plaidoyer </w:t>
      </w:r>
      <w:r w:rsidR="004C1EDD" w:rsidRPr="00953692">
        <w:rPr>
          <w:rFonts w:cs="Times New Roman"/>
          <w:sz w:val="24"/>
          <w:szCs w:val="24"/>
          <w:lang w:val="fr-FR"/>
        </w:rPr>
        <w:t xml:space="preserve">ou l’aveu </w:t>
      </w:r>
      <w:r w:rsidR="00B02E50" w:rsidRPr="00953692">
        <w:rPr>
          <w:rFonts w:cs="Times New Roman"/>
          <w:sz w:val="24"/>
          <w:szCs w:val="24"/>
          <w:lang w:val="fr-FR"/>
        </w:rPr>
        <w:t>de culpabilité sera analysé dans</w:t>
      </w:r>
      <w:r w:rsidR="00CE733F" w:rsidRPr="00953692">
        <w:rPr>
          <w:rFonts w:cs="Times New Roman"/>
          <w:sz w:val="24"/>
          <w:szCs w:val="24"/>
          <w:lang w:val="fr-FR"/>
        </w:rPr>
        <w:t xml:space="preserve"> la première section</w:t>
      </w:r>
      <w:r w:rsidR="00B02E50" w:rsidRPr="00953692">
        <w:rPr>
          <w:rFonts w:cs="Times New Roman"/>
          <w:sz w:val="24"/>
          <w:szCs w:val="24"/>
          <w:lang w:val="fr-FR"/>
        </w:rPr>
        <w:t xml:space="preserve"> de ce </w:t>
      </w:r>
      <w:r w:rsidR="006367C7" w:rsidRPr="00953692">
        <w:rPr>
          <w:rFonts w:cs="Times New Roman"/>
          <w:sz w:val="24"/>
          <w:szCs w:val="24"/>
          <w:lang w:val="fr-FR"/>
        </w:rPr>
        <w:t xml:space="preserve">second </w:t>
      </w:r>
      <w:r w:rsidR="00B02E50" w:rsidRPr="00953692">
        <w:rPr>
          <w:rFonts w:cs="Times New Roman"/>
          <w:sz w:val="24"/>
          <w:szCs w:val="24"/>
          <w:lang w:val="fr-FR"/>
        </w:rPr>
        <w:t>chapitre comme le premier droit de l’accusé qui écou</w:t>
      </w:r>
      <w:r w:rsidR="006367C7" w:rsidRPr="00953692">
        <w:rPr>
          <w:rFonts w:cs="Times New Roman"/>
          <w:sz w:val="24"/>
          <w:szCs w:val="24"/>
          <w:lang w:val="fr-FR"/>
        </w:rPr>
        <w:t>r</w:t>
      </w:r>
      <w:r w:rsidR="00B02E50" w:rsidRPr="00953692">
        <w:rPr>
          <w:rFonts w:cs="Times New Roman"/>
          <w:sz w:val="24"/>
          <w:szCs w:val="24"/>
          <w:lang w:val="fr-FR"/>
        </w:rPr>
        <w:t xml:space="preserve">te de façon </w:t>
      </w:r>
      <w:r w:rsidR="004C1EDD" w:rsidRPr="00953692">
        <w:rPr>
          <w:rFonts w:cs="Times New Roman"/>
          <w:sz w:val="24"/>
          <w:szCs w:val="24"/>
          <w:lang w:val="fr-FR"/>
        </w:rPr>
        <w:t xml:space="preserve">inévitablement </w:t>
      </w:r>
      <w:r w:rsidR="00B02E50" w:rsidRPr="00953692">
        <w:rPr>
          <w:rFonts w:cs="Times New Roman"/>
          <w:sz w:val="24"/>
          <w:szCs w:val="24"/>
          <w:lang w:val="fr-FR"/>
        </w:rPr>
        <w:t xml:space="preserve">considérable la durée globale de </w:t>
      </w:r>
      <w:r w:rsidR="00787DC3" w:rsidRPr="00953692">
        <w:rPr>
          <w:rFonts w:cs="Times New Roman"/>
          <w:sz w:val="24"/>
          <w:szCs w:val="24"/>
          <w:lang w:val="fr-FR"/>
        </w:rPr>
        <w:t>cette</w:t>
      </w:r>
      <w:r w:rsidR="00B02E50" w:rsidRPr="00953692">
        <w:rPr>
          <w:rFonts w:cs="Times New Roman"/>
          <w:sz w:val="24"/>
          <w:szCs w:val="24"/>
          <w:lang w:val="fr-FR"/>
        </w:rPr>
        <w:t xml:space="preserve"> procédure</w:t>
      </w:r>
      <w:r w:rsidR="00787DC3" w:rsidRPr="00953692">
        <w:rPr>
          <w:rFonts w:cs="Times New Roman"/>
          <w:sz w:val="24"/>
          <w:szCs w:val="24"/>
          <w:lang w:val="fr-FR"/>
        </w:rPr>
        <w:t xml:space="preserve"> </w:t>
      </w:r>
      <w:r w:rsidR="009C311F" w:rsidRPr="00953692">
        <w:rPr>
          <w:rFonts w:cs="Times New Roman"/>
          <w:sz w:val="24"/>
          <w:szCs w:val="24"/>
          <w:lang w:val="fr-FR"/>
        </w:rPr>
        <w:t>annoncée longue par nature</w:t>
      </w:r>
      <w:r w:rsidR="00B02E50" w:rsidRPr="00953692">
        <w:rPr>
          <w:rFonts w:cs="Times New Roman"/>
          <w:sz w:val="24"/>
          <w:szCs w:val="24"/>
          <w:lang w:val="fr-FR"/>
        </w:rPr>
        <w:t>.</w:t>
      </w:r>
    </w:p>
    <w:p w14:paraId="52D701D7" w14:textId="2768C98B" w:rsidR="00654B26" w:rsidRPr="00953692" w:rsidRDefault="00CA603C" w:rsidP="00864BBF">
      <w:pPr>
        <w:spacing w:line="276" w:lineRule="auto"/>
        <w:ind w:firstLine="1134"/>
        <w:jc w:val="both"/>
        <w:rPr>
          <w:rFonts w:cs="Times New Roman"/>
          <w:sz w:val="24"/>
          <w:szCs w:val="24"/>
          <w:lang w:val="fr-FR"/>
        </w:rPr>
      </w:pPr>
      <w:r w:rsidRPr="00953692">
        <w:rPr>
          <w:rFonts w:cs="Times New Roman"/>
          <w:b/>
          <w:bCs/>
          <w:sz w:val="24"/>
          <w:szCs w:val="24"/>
          <w:lang w:val="fr-FR"/>
        </w:rPr>
        <w:t>198</w:t>
      </w:r>
      <w:r w:rsidR="008B600E" w:rsidRPr="00953692">
        <w:rPr>
          <w:rFonts w:cs="Times New Roman"/>
          <w:b/>
          <w:bCs/>
          <w:sz w:val="24"/>
          <w:szCs w:val="24"/>
          <w:lang w:val="fr-FR"/>
        </w:rPr>
        <w:t>.</w:t>
      </w:r>
      <w:r w:rsidR="008B600E" w:rsidRPr="00953692">
        <w:rPr>
          <w:rFonts w:cs="Times New Roman"/>
          <w:sz w:val="24"/>
          <w:szCs w:val="24"/>
          <w:lang w:val="fr-FR"/>
        </w:rPr>
        <w:t xml:space="preserve"> </w:t>
      </w:r>
      <w:r w:rsidR="00076F2B" w:rsidRPr="00953692">
        <w:rPr>
          <w:rFonts w:cs="Times New Roman"/>
          <w:sz w:val="24"/>
          <w:szCs w:val="24"/>
          <w:lang w:val="fr-FR"/>
        </w:rPr>
        <w:t xml:space="preserve">En outre, il convient de rappeler d’ores et déjà </w:t>
      </w:r>
      <w:r w:rsidR="00276527" w:rsidRPr="00953692">
        <w:rPr>
          <w:rFonts w:cs="Times New Roman"/>
          <w:sz w:val="24"/>
          <w:szCs w:val="24"/>
          <w:lang w:val="fr-FR"/>
        </w:rPr>
        <w:t>que l’aveu de culpabilité n’est valable qu’à certaines conditions</w:t>
      </w:r>
      <w:r w:rsidR="004C1EDD" w:rsidRPr="00953692">
        <w:rPr>
          <w:rFonts w:cs="Times New Roman"/>
          <w:sz w:val="24"/>
          <w:szCs w:val="24"/>
          <w:lang w:val="fr-FR"/>
        </w:rPr>
        <w:t>. Il</w:t>
      </w:r>
      <w:r w:rsidR="00276527" w:rsidRPr="00953692">
        <w:rPr>
          <w:rFonts w:cs="Times New Roman"/>
          <w:sz w:val="24"/>
          <w:szCs w:val="24"/>
          <w:lang w:val="fr-FR"/>
        </w:rPr>
        <w:t xml:space="preserve"> exige</w:t>
      </w:r>
      <w:r w:rsidR="009706DA" w:rsidRPr="00953692">
        <w:rPr>
          <w:rFonts w:cs="Times New Roman"/>
          <w:sz w:val="24"/>
          <w:szCs w:val="24"/>
          <w:lang w:val="fr-FR"/>
        </w:rPr>
        <w:t xml:space="preserve"> </w:t>
      </w:r>
      <w:r w:rsidR="00276527" w:rsidRPr="00953692">
        <w:rPr>
          <w:rFonts w:cs="Times New Roman"/>
          <w:sz w:val="24"/>
          <w:szCs w:val="24"/>
          <w:lang w:val="fr-FR"/>
        </w:rPr>
        <w:t>à l’accusé</w:t>
      </w:r>
      <w:r w:rsidR="009706DA" w:rsidRPr="00953692">
        <w:rPr>
          <w:rFonts w:cs="Times New Roman"/>
          <w:sz w:val="24"/>
          <w:szCs w:val="24"/>
          <w:lang w:val="fr-FR"/>
        </w:rPr>
        <w:t xml:space="preserve"> notamment, </w:t>
      </w:r>
      <w:r w:rsidR="00276527" w:rsidRPr="00953692">
        <w:rPr>
          <w:rFonts w:cs="Times New Roman"/>
          <w:sz w:val="24"/>
          <w:szCs w:val="24"/>
          <w:lang w:val="fr-FR"/>
        </w:rPr>
        <w:t>sa participation à la manifestation de la vérité ou à l’établissement de sa responsabilité pénale</w:t>
      </w:r>
      <w:r w:rsidR="00076F2B" w:rsidRPr="00953692">
        <w:rPr>
          <w:rFonts w:cs="Times New Roman"/>
          <w:sz w:val="24"/>
          <w:szCs w:val="24"/>
          <w:lang w:val="fr-FR"/>
        </w:rPr>
        <w:t xml:space="preserve"> relativement aux faits dont il </w:t>
      </w:r>
      <w:r w:rsidR="00540F31" w:rsidRPr="00953692">
        <w:rPr>
          <w:rFonts w:cs="Times New Roman"/>
          <w:sz w:val="24"/>
          <w:szCs w:val="24"/>
          <w:lang w:val="fr-FR"/>
        </w:rPr>
        <w:t>s’</w:t>
      </w:r>
      <w:r w:rsidR="00076F2B" w:rsidRPr="00953692">
        <w:rPr>
          <w:rFonts w:cs="Times New Roman"/>
          <w:sz w:val="24"/>
          <w:szCs w:val="24"/>
          <w:lang w:val="fr-FR"/>
        </w:rPr>
        <w:t>avoue coupable</w:t>
      </w:r>
      <w:r w:rsidR="00276527" w:rsidRPr="00953692">
        <w:rPr>
          <w:rFonts w:cs="Times New Roman"/>
          <w:sz w:val="24"/>
          <w:szCs w:val="24"/>
          <w:lang w:val="fr-FR"/>
        </w:rPr>
        <w:t xml:space="preserve">. A contrario, le processus risque d’être un peu plus long que ne le suggère ce renoncement à la procédure contradictoire. </w:t>
      </w:r>
      <w:r w:rsidR="00A233BA" w:rsidRPr="00953692">
        <w:rPr>
          <w:rFonts w:cs="Times New Roman"/>
          <w:sz w:val="24"/>
          <w:szCs w:val="24"/>
          <w:lang w:val="fr-FR"/>
        </w:rPr>
        <w:t xml:space="preserve">La participation de l’accusé s’y </w:t>
      </w:r>
      <w:r w:rsidR="004C1EDD" w:rsidRPr="00953692">
        <w:rPr>
          <w:rFonts w:cs="Times New Roman"/>
          <w:sz w:val="24"/>
          <w:szCs w:val="24"/>
          <w:lang w:val="fr-FR"/>
        </w:rPr>
        <w:t>observe</w:t>
      </w:r>
      <w:r w:rsidR="00A233BA" w:rsidRPr="00953692">
        <w:rPr>
          <w:rFonts w:cs="Times New Roman"/>
          <w:sz w:val="24"/>
          <w:szCs w:val="24"/>
          <w:lang w:val="fr-FR"/>
        </w:rPr>
        <w:t xml:space="preserve"> a</w:t>
      </w:r>
      <w:r w:rsidR="004C1EDD" w:rsidRPr="00953692">
        <w:rPr>
          <w:rFonts w:cs="Times New Roman"/>
          <w:sz w:val="24"/>
          <w:szCs w:val="24"/>
          <w:lang w:val="fr-FR"/>
        </w:rPr>
        <w:t>insi</w:t>
      </w:r>
      <w:r w:rsidR="00A233BA" w:rsidRPr="00953692">
        <w:rPr>
          <w:rFonts w:cs="Times New Roman"/>
          <w:sz w:val="24"/>
          <w:szCs w:val="24"/>
          <w:lang w:val="fr-FR"/>
        </w:rPr>
        <w:t xml:space="preserve"> comme un élément clé d’un aboutissement rapide </w:t>
      </w:r>
      <w:r w:rsidR="004C1EDD" w:rsidRPr="00953692">
        <w:rPr>
          <w:rFonts w:cs="Times New Roman"/>
          <w:sz w:val="24"/>
          <w:szCs w:val="24"/>
          <w:lang w:val="fr-FR"/>
        </w:rPr>
        <w:t>de cette</w:t>
      </w:r>
      <w:r w:rsidR="00A233BA" w:rsidRPr="00953692">
        <w:rPr>
          <w:rFonts w:cs="Times New Roman"/>
          <w:sz w:val="24"/>
          <w:szCs w:val="24"/>
          <w:lang w:val="fr-FR"/>
        </w:rPr>
        <w:t xml:space="preserve"> procédure</w:t>
      </w:r>
      <w:r w:rsidR="004C1EDD" w:rsidRPr="00953692">
        <w:rPr>
          <w:rFonts w:cs="Times New Roman"/>
          <w:sz w:val="24"/>
          <w:szCs w:val="24"/>
          <w:lang w:val="fr-FR"/>
        </w:rPr>
        <w:t>,</w:t>
      </w:r>
      <w:r w:rsidR="00A233BA" w:rsidRPr="00953692">
        <w:rPr>
          <w:rFonts w:cs="Times New Roman"/>
          <w:sz w:val="24"/>
          <w:szCs w:val="24"/>
          <w:lang w:val="fr-FR"/>
        </w:rPr>
        <w:t xml:space="preserve"> annoncée courte. Mais elle est aussi valable en cas d’une procédure contradictoire</w:t>
      </w:r>
      <w:r w:rsidR="004C1EDD" w:rsidRPr="00953692">
        <w:rPr>
          <w:rFonts w:cs="Times New Roman"/>
          <w:sz w:val="24"/>
          <w:szCs w:val="24"/>
          <w:lang w:val="fr-FR"/>
        </w:rPr>
        <w:t>,</w:t>
      </w:r>
      <w:r w:rsidR="00A233BA" w:rsidRPr="00953692">
        <w:rPr>
          <w:rFonts w:cs="Times New Roman"/>
          <w:sz w:val="24"/>
          <w:szCs w:val="24"/>
          <w:lang w:val="fr-FR"/>
        </w:rPr>
        <w:t xml:space="preserve"> dans laquelle</w:t>
      </w:r>
      <w:r w:rsidR="004C1EDD" w:rsidRPr="00953692">
        <w:rPr>
          <w:rFonts w:cs="Times New Roman"/>
          <w:sz w:val="24"/>
          <w:szCs w:val="24"/>
          <w:lang w:val="fr-FR"/>
        </w:rPr>
        <w:t>,</w:t>
      </w:r>
      <w:r w:rsidR="00A233BA" w:rsidRPr="00953692">
        <w:rPr>
          <w:rFonts w:cs="Times New Roman"/>
          <w:sz w:val="24"/>
          <w:szCs w:val="24"/>
          <w:lang w:val="fr-FR"/>
        </w:rPr>
        <w:t xml:space="preserve"> les parties au procès dont l’accusé sont tenues à l’obligation de célérité. Cependant, si cette obligation est sans risque majeur pour lui, son inobservation lui sera par contre désavantageuse</w:t>
      </w:r>
      <w:r w:rsidR="004C1EDD" w:rsidRPr="00953692">
        <w:rPr>
          <w:rFonts w:cs="Times New Roman"/>
          <w:sz w:val="24"/>
          <w:szCs w:val="24"/>
          <w:lang w:val="fr-FR"/>
        </w:rPr>
        <w:t xml:space="preserve"> précisément</w:t>
      </w:r>
      <w:r w:rsidR="00A233BA" w:rsidRPr="00953692">
        <w:rPr>
          <w:rFonts w:cs="Times New Roman"/>
          <w:sz w:val="24"/>
          <w:szCs w:val="24"/>
          <w:lang w:val="fr-FR"/>
        </w:rPr>
        <w:t xml:space="preserve"> lorsqu’il aura invoqué la violation de son droit d’être jugé sans retard excessif</w:t>
      </w:r>
      <w:r w:rsidR="008A33D2" w:rsidRPr="00953692">
        <w:rPr>
          <w:rFonts w:cs="Times New Roman"/>
          <w:sz w:val="24"/>
          <w:szCs w:val="24"/>
          <w:lang w:val="fr-FR"/>
        </w:rPr>
        <w:t xml:space="preserve"> </w:t>
      </w:r>
      <w:r w:rsidR="004C1EDD" w:rsidRPr="00953692">
        <w:rPr>
          <w:rFonts w:cs="Times New Roman"/>
          <w:sz w:val="24"/>
          <w:szCs w:val="24"/>
          <w:lang w:val="fr-FR"/>
        </w:rPr>
        <w:t>plus tard</w:t>
      </w:r>
      <w:r w:rsidR="00A233BA" w:rsidRPr="00953692">
        <w:rPr>
          <w:rFonts w:cs="Times New Roman"/>
          <w:sz w:val="24"/>
          <w:szCs w:val="24"/>
          <w:lang w:val="fr-FR"/>
        </w:rPr>
        <w:t xml:space="preserve">. </w:t>
      </w:r>
      <w:r w:rsidR="004C1EDD" w:rsidRPr="00953692">
        <w:rPr>
          <w:rFonts w:cs="Times New Roman"/>
          <w:sz w:val="24"/>
          <w:szCs w:val="24"/>
          <w:lang w:val="fr-FR"/>
        </w:rPr>
        <w:t>En conséquence,</w:t>
      </w:r>
      <w:r w:rsidR="00CE733F" w:rsidRPr="00953692">
        <w:rPr>
          <w:rFonts w:cs="Times New Roman"/>
          <w:sz w:val="24"/>
          <w:szCs w:val="24"/>
          <w:lang w:val="fr-FR"/>
        </w:rPr>
        <w:t xml:space="preserve"> l’accusé a donc intérêt de s’y mettre et </w:t>
      </w:r>
      <w:r w:rsidR="004C1EDD" w:rsidRPr="00953692">
        <w:rPr>
          <w:rFonts w:cs="Times New Roman"/>
          <w:sz w:val="24"/>
          <w:szCs w:val="24"/>
          <w:lang w:val="fr-FR"/>
        </w:rPr>
        <w:t>de</w:t>
      </w:r>
      <w:r w:rsidR="00CE733F" w:rsidRPr="00953692">
        <w:rPr>
          <w:rFonts w:cs="Times New Roman"/>
          <w:sz w:val="24"/>
          <w:szCs w:val="24"/>
          <w:lang w:val="fr-FR"/>
        </w:rPr>
        <w:t xml:space="preserve"> participer activement à l’aboutissement rapide de son procès, et </w:t>
      </w:r>
      <w:r w:rsidR="004C1EDD" w:rsidRPr="00953692">
        <w:rPr>
          <w:rFonts w:cs="Times New Roman"/>
          <w:sz w:val="24"/>
          <w:szCs w:val="24"/>
          <w:lang w:val="fr-FR"/>
        </w:rPr>
        <w:t>c</w:t>
      </w:r>
      <w:r w:rsidR="00CE733F" w:rsidRPr="00953692">
        <w:rPr>
          <w:rFonts w:cs="Times New Roman"/>
          <w:sz w:val="24"/>
          <w:szCs w:val="24"/>
          <w:lang w:val="fr-FR"/>
        </w:rPr>
        <w:t>e sera l</w:t>
      </w:r>
      <w:r w:rsidR="004C1EDD" w:rsidRPr="00953692">
        <w:rPr>
          <w:rFonts w:cs="Times New Roman"/>
          <w:sz w:val="24"/>
          <w:szCs w:val="24"/>
          <w:lang w:val="fr-FR"/>
        </w:rPr>
        <w:t xml:space="preserve">’objet de </w:t>
      </w:r>
      <w:r w:rsidR="007C25FD" w:rsidRPr="00953692">
        <w:rPr>
          <w:rFonts w:cs="Times New Roman"/>
          <w:sz w:val="24"/>
          <w:szCs w:val="24"/>
          <w:lang w:val="fr-FR"/>
        </w:rPr>
        <w:t xml:space="preserve">la </w:t>
      </w:r>
      <w:r w:rsidR="004C1EDD" w:rsidRPr="00953692">
        <w:rPr>
          <w:rFonts w:cs="Times New Roman"/>
          <w:sz w:val="24"/>
          <w:szCs w:val="24"/>
          <w:lang w:val="fr-FR"/>
        </w:rPr>
        <w:t>seconde</w:t>
      </w:r>
      <w:r w:rsidR="00CE733F" w:rsidRPr="00953692">
        <w:rPr>
          <w:rFonts w:cs="Times New Roman"/>
          <w:sz w:val="24"/>
          <w:szCs w:val="24"/>
          <w:lang w:val="fr-FR"/>
        </w:rPr>
        <w:t xml:space="preserve"> </w:t>
      </w:r>
      <w:r w:rsidR="004C1EDD" w:rsidRPr="00953692">
        <w:rPr>
          <w:rFonts w:cs="Times New Roman"/>
          <w:sz w:val="24"/>
          <w:szCs w:val="24"/>
          <w:lang w:val="fr-FR"/>
        </w:rPr>
        <w:t xml:space="preserve">section de ce </w:t>
      </w:r>
      <w:r w:rsidR="007C25FD" w:rsidRPr="00953692">
        <w:rPr>
          <w:rFonts w:cs="Times New Roman"/>
          <w:sz w:val="24"/>
          <w:szCs w:val="24"/>
          <w:lang w:val="fr-FR"/>
        </w:rPr>
        <w:t xml:space="preserve">second </w:t>
      </w:r>
      <w:r w:rsidR="004C1EDD" w:rsidRPr="00953692">
        <w:rPr>
          <w:rFonts w:cs="Times New Roman"/>
          <w:sz w:val="24"/>
          <w:szCs w:val="24"/>
          <w:lang w:val="fr-FR"/>
        </w:rPr>
        <w:t>chapitre</w:t>
      </w:r>
      <w:r w:rsidR="00CE733F" w:rsidRPr="00953692">
        <w:rPr>
          <w:rFonts w:cs="Times New Roman"/>
          <w:sz w:val="24"/>
          <w:szCs w:val="24"/>
          <w:lang w:val="fr-FR"/>
        </w:rPr>
        <w:t>.</w:t>
      </w:r>
      <w:bookmarkStart w:id="38" w:name="_Hlk118297216"/>
    </w:p>
    <w:p w14:paraId="5296BB79" w14:textId="7BA30505" w:rsidR="000B0381" w:rsidRPr="00953692" w:rsidRDefault="0008463B" w:rsidP="00340136">
      <w:pPr>
        <w:pStyle w:val="Titre2"/>
        <w:spacing w:after="240"/>
        <w:ind w:left="1134"/>
        <w:rPr>
          <w:rFonts w:ascii="Times New Roman" w:hAnsi="Times New Roman" w:cs="Times New Roman"/>
          <w:i/>
          <w:iCs/>
          <w:color w:val="auto"/>
          <w:sz w:val="24"/>
          <w:szCs w:val="24"/>
          <w:shd w:val="clear" w:color="auto" w:fill="FFFFFF"/>
          <w:lang w:val="fr-FR"/>
        </w:rPr>
      </w:pPr>
      <w:bookmarkStart w:id="39" w:name="_Toc195179422"/>
      <w:r w:rsidRPr="00953692">
        <w:rPr>
          <w:rFonts w:ascii="Times New Roman" w:hAnsi="Times New Roman" w:cs="Times New Roman"/>
          <w:b/>
          <w:bCs/>
          <w:color w:val="auto"/>
          <w:sz w:val="24"/>
          <w:szCs w:val="24"/>
          <w:lang w:val="fr-FR"/>
        </w:rPr>
        <w:t xml:space="preserve">Section 01. Le droit de plaider coupable : </w:t>
      </w:r>
      <w:r w:rsidR="00F54F49" w:rsidRPr="00953692">
        <w:rPr>
          <w:rStyle w:val="misspelling"/>
          <w:rFonts w:ascii="Times New Roman" w:hAnsi="Times New Roman" w:cs="Times New Roman"/>
          <w:i/>
          <w:iCs/>
          <w:color w:val="auto"/>
          <w:sz w:val="24"/>
          <w:szCs w:val="24"/>
          <w:lang w:val="fr-FR"/>
        </w:rPr>
        <w:t>é</w:t>
      </w:r>
      <w:r w:rsidR="006269D1" w:rsidRPr="00953692">
        <w:rPr>
          <w:rStyle w:val="misspelling"/>
          <w:rFonts w:ascii="Times New Roman" w:hAnsi="Times New Roman" w:cs="Times New Roman"/>
          <w:i/>
          <w:iCs/>
          <w:color w:val="auto"/>
          <w:sz w:val="24"/>
          <w:szCs w:val="24"/>
          <w:lang w:val="fr-FR"/>
        </w:rPr>
        <w:t>conomie</w:t>
      </w:r>
      <w:r w:rsidR="006269D1" w:rsidRPr="00953692">
        <w:rPr>
          <w:rFonts w:ascii="Times New Roman" w:hAnsi="Times New Roman" w:cs="Times New Roman"/>
          <w:i/>
          <w:iCs/>
          <w:color w:val="auto"/>
          <w:sz w:val="24"/>
          <w:szCs w:val="24"/>
          <w:shd w:val="clear" w:color="auto" w:fill="FFFFFF"/>
          <w:lang w:val="fr-FR"/>
        </w:rPr>
        <w:t xml:space="preserve"> d’un long procès</w:t>
      </w:r>
      <w:bookmarkEnd w:id="39"/>
    </w:p>
    <w:bookmarkEnd w:id="38"/>
    <w:p w14:paraId="2044D88E" w14:textId="428CB011" w:rsidR="000B0381" w:rsidRPr="00953692" w:rsidRDefault="0069006E" w:rsidP="00340136">
      <w:pPr>
        <w:spacing w:after="240" w:line="276" w:lineRule="auto"/>
        <w:ind w:firstLine="1134"/>
        <w:jc w:val="both"/>
        <w:rPr>
          <w:rFonts w:cs="Times New Roman"/>
          <w:sz w:val="24"/>
          <w:szCs w:val="24"/>
          <w:lang w:val="fr-FR"/>
        </w:rPr>
      </w:pPr>
      <w:r w:rsidRPr="00953692">
        <w:rPr>
          <w:rFonts w:cs="Times New Roman"/>
          <w:b/>
          <w:bCs/>
          <w:sz w:val="24"/>
          <w:szCs w:val="24"/>
          <w:lang w:val="fr-FR"/>
        </w:rPr>
        <w:t>1</w:t>
      </w:r>
      <w:r w:rsidR="00CA603C" w:rsidRPr="00953692">
        <w:rPr>
          <w:rFonts w:cs="Times New Roman"/>
          <w:b/>
          <w:bCs/>
          <w:sz w:val="24"/>
          <w:szCs w:val="24"/>
          <w:lang w:val="fr-FR"/>
        </w:rPr>
        <w:t>99</w:t>
      </w:r>
      <w:r w:rsidRPr="00953692">
        <w:rPr>
          <w:rFonts w:cs="Times New Roman"/>
          <w:b/>
          <w:bCs/>
          <w:sz w:val="24"/>
          <w:szCs w:val="24"/>
          <w:lang w:val="fr-FR"/>
        </w:rPr>
        <w:t>.</w:t>
      </w:r>
      <w:r w:rsidRPr="00953692">
        <w:rPr>
          <w:rFonts w:cs="Times New Roman"/>
          <w:sz w:val="24"/>
          <w:szCs w:val="24"/>
          <w:lang w:val="fr-FR"/>
        </w:rPr>
        <w:t xml:space="preserve"> </w:t>
      </w:r>
      <w:r w:rsidR="00076F2B" w:rsidRPr="00953692">
        <w:rPr>
          <w:rFonts w:cs="Times New Roman"/>
          <w:sz w:val="24"/>
          <w:szCs w:val="24"/>
          <w:lang w:val="fr-FR"/>
        </w:rPr>
        <w:t xml:space="preserve">De prime abord, il faut rappeler que </w:t>
      </w:r>
      <w:r w:rsidR="008955E2" w:rsidRPr="00953692">
        <w:rPr>
          <w:rFonts w:cs="Times New Roman"/>
          <w:sz w:val="24"/>
          <w:szCs w:val="24"/>
          <w:lang w:val="fr-FR"/>
        </w:rPr>
        <w:t xml:space="preserve">le droit de plaider coupable est une institution d’abord sociale avant d’être juridique qui a traversé sans nul doute l’histoire de l’humanité tout entière. </w:t>
      </w:r>
      <w:r w:rsidR="00902352" w:rsidRPr="00953692">
        <w:rPr>
          <w:rFonts w:cs="Times New Roman"/>
          <w:sz w:val="24"/>
          <w:szCs w:val="24"/>
          <w:lang w:val="fr-FR"/>
        </w:rPr>
        <w:t xml:space="preserve">Reconnaitre les faits criminels permet à la société de déployer moins d’efforts pour la recherche de la vérité, et il appert que le trouble social qui en résulte serait donc susceptible d’être résorbé beaucoup plus facilement. En outre, </w:t>
      </w:r>
      <w:r w:rsidR="00076F2B" w:rsidRPr="00953692">
        <w:rPr>
          <w:rFonts w:cs="Times New Roman"/>
          <w:sz w:val="24"/>
          <w:szCs w:val="24"/>
          <w:lang w:val="fr-FR"/>
        </w:rPr>
        <w:t>l</w:t>
      </w:r>
      <w:r w:rsidR="00D162ED" w:rsidRPr="00953692">
        <w:rPr>
          <w:rFonts w:cs="Times New Roman"/>
          <w:sz w:val="24"/>
          <w:szCs w:val="24"/>
          <w:lang w:val="fr-FR"/>
        </w:rPr>
        <w:t xml:space="preserve">e fait </w:t>
      </w:r>
      <w:r w:rsidR="00D162ED" w:rsidRPr="00953692">
        <w:rPr>
          <w:rFonts w:cs="Times New Roman"/>
          <w:sz w:val="24"/>
          <w:szCs w:val="24"/>
          <w:lang w:val="fr-FR"/>
        </w:rPr>
        <w:lastRenderedPageBreak/>
        <w:t xml:space="preserve">de plaider coupable implique donc un renoncement à la contradiction des arguments du procureur, et ceci </w:t>
      </w:r>
      <w:r w:rsidR="008C1B4E" w:rsidRPr="00953692">
        <w:rPr>
          <w:rFonts w:cs="Times New Roman"/>
          <w:sz w:val="24"/>
          <w:szCs w:val="24"/>
          <w:lang w:val="fr-FR"/>
        </w:rPr>
        <w:t>a pour conséquence principale</w:t>
      </w:r>
      <w:r w:rsidR="00076F2B" w:rsidRPr="00953692">
        <w:rPr>
          <w:rFonts w:cs="Times New Roman"/>
          <w:sz w:val="24"/>
          <w:szCs w:val="24"/>
          <w:lang w:val="fr-FR"/>
        </w:rPr>
        <w:t> :</w:t>
      </w:r>
      <w:r w:rsidR="008C1B4E" w:rsidRPr="00953692">
        <w:rPr>
          <w:rFonts w:cs="Times New Roman"/>
          <w:sz w:val="24"/>
          <w:szCs w:val="24"/>
          <w:lang w:val="fr-FR"/>
        </w:rPr>
        <w:t xml:space="preserve"> l’évitement des débats prolixes résultant d</w:t>
      </w:r>
      <w:r w:rsidRPr="00953692">
        <w:rPr>
          <w:rFonts w:cs="Times New Roman"/>
          <w:sz w:val="24"/>
          <w:szCs w:val="24"/>
          <w:lang w:val="fr-FR"/>
        </w:rPr>
        <w:t>e cette</w:t>
      </w:r>
      <w:r w:rsidR="008C1B4E" w:rsidRPr="00953692">
        <w:rPr>
          <w:rFonts w:cs="Times New Roman"/>
          <w:sz w:val="24"/>
          <w:szCs w:val="24"/>
          <w:lang w:val="fr-FR"/>
        </w:rPr>
        <w:t xml:space="preserve"> procédure ordinaire. Avant d’aborder </w:t>
      </w:r>
      <w:r w:rsidR="00076F2B" w:rsidRPr="00953692">
        <w:rPr>
          <w:rFonts w:cs="Times New Roman"/>
          <w:sz w:val="24"/>
          <w:szCs w:val="24"/>
          <w:lang w:val="fr-FR"/>
        </w:rPr>
        <w:t>cette</w:t>
      </w:r>
      <w:r w:rsidR="00EE26FB" w:rsidRPr="00953692">
        <w:rPr>
          <w:rFonts w:cs="Times New Roman"/>
          <w:sz w:val="24"/>
          <w:szCs w:val="24"/>
          <w:lang w:val="fr-FR"/>
        </w:rPr>
        <w:t xml:space="preserve"> implication sur le délai raisonnable du procès pénal international (§2.), il est impérieux d’en planter le décor à travers une </w:t>
      </w:r>
      <w:r w:rsidRPr="00953692">
        <w:rPr>
          <w:rFonts w:cs="Times New Roman"/>
          <w:sz w:val="24"/>
          <w:szCs w:val="24"/>
          <w:lang w:val="fr-FR"/>
        </w:rPr>
        <w:t xml:space="preserve">brève </w:t>
      </w:r>
      <w:r w:rsidR="00EE26FB" w:rsidRPr="00953692">
        <w:rPr>
          <w:rFonts w:cs="Times New Roman"/>
          <w:sz w:val="24"/>
          <w:szCs w:val="24"/>
          <w:lang w:val="fr-FR"/>
        </w:rPr>
        <w:t xml:space="preserve">analyse de la notion </w:t>
      </w:r>
      <w:r w:rsidR="00224CD9" w:rsidRPr="00953692">
        <w:rPr>
          <w:rFonts w:cs="Times New Roman"/>
          <w:sz w:val="24"/>
          <w:szCs w:val="24"/>
          <w:lang w:val="fr-FR"/>
        </w:rPr>
        <w:t xml:space="preserve">et </w:t>
      </w:r>
      <w:r w:rsidR="00076F2B" w:rsidRPr="00953692">
        <w:rPr>
          <w:rFonts w:cs="Times New Roman"/>
          <w:sz w:val="24"/>
          <w:szCs w:val="24"/>
          <w:lang w:val="fr-FR"/>
        </w:rPr>
        <w:t xml:space="preserve">des </w:t>
      </w:r>
      <w:r w:rsidR="00224CD9" w:rsidRPr="00953692">
        <w:rPr>
          <w:rFonts w:cs="Times New Roman"/>
          <w:sz w:val="24"/>
          <w:szCs w:val="24"/>
          <w:lang w:val="fr-FR"/>
        </w:rPr>
        <w:t>condition</w:t>
      </w:r>
      <w:r w:rsidR="00076F2B" w:rsidRPr="00953692">
        <w:rPr>
          <w:rFonts w:cs="Times New Roman"/>
          <w:sz w:val="24"/>
          <w:szCs w:val="24"/>
          <w:lang w:val="fr-FR"/>
        </w:rPr>
        <w:t>s</w:t>
      </w:r>
      <w:r w:rsidR="00224CD9" w:rsidRPr="00953692">
        <w:rPr>
          <w:rFonts w:cs="Times New Roman"/>
          <w:sz w:val="24"/>
          <w:szCs w:val="24"/>
          <w:lang w:val="fr-FR"/>
        </w:rPr>
        <w:t xml:space="preserve"> </w:t>
      </w:r>
      <w:r w:rsidR="00EE26FB" w:rsidRPr="00953692">
        <w:rPr>
          <w:rFonts w:cs="Times New Roman"/>
          <w:sz w:val="24"/>
          <w:szCs w:val="24"/>
          <w:lang w:val="fr-FR"/>
        </w:rPr>
        <w:t>de l’aveu de culpabilité</w:t>
      </w:r>
      <w:r w:rsidR="00076F2B" w:rsidRPr="00953692">
        <w:rPr>
          <w:rFonts w:cs="Times New Roman"/>
          <w:sz w:val="24"/>
          <w:szCs w:val="24"/>
          <w:lang w:val="fr-FR"/>
        </w:rPr>
        <w:t xml:space="preserve"> tel que conçu en droit international pénal</w:t>
      </w:r>
      <w:r w:rsidR="00EE26FB" w:rsidRPr="00953692">
        <w:rPr>
          <w:rFonts w:cs="Times New Roman"/>
          <w:sz w:val="24"/>
          <w:szCs w:val="24"/>
          <w:lang w:val="fr-FR"/>
        </w:rPr>
        <w:t xml:space="preserve"> (§1.). </w:t>
      </w:r>
    </w:p>
    <w:p w14:paraId="6E0622CB" w14:textId="4CB3F450" w:rsidR="008C5F52" w:rsidRPr="00953692" w:rsidRDefault="00ED789C" w:rsidP="000B0381">
      <w:pPr>
        <w:pStyle w:val="Titre3"/>
        <w:ind w:left="1134"/>
        <w:rPr>
          <w:rFonts w:ascii="Times New Roman" w:hAnsi="Times New Roman"/>
          <w:b w:val="0"/>
          <w:bCs/>
          <w:i/>
          <w:iCs/>
          <w:color w:val="auto"/>
          <w:sz w:val="24"/>
          <w:szCs w:val="24"/>
          <w:lang w:val="fr-FR"/>
        </w:rPr>
      </w:pPr>
      <w:bookmarkStart w:id="40" w:name="_Toc195179423"/>
      <w:bookmarkStart w:id="41" w:name="_Hlk148976111"/>
      <w:r>
        <w:rPr>
          <w:rFonts w:ascii="Times New Roman" w:hAnsi="Times New Roman"/>
          <w:b w:val="0"/>
          <w:bCs/>
          <w:i/>
          <w:iCs/>
          <w:color w:val="auto"/>
          <w:sz w:val="24"/>
          <w:szCs w:val="24"/>
          <w:lang w:val="fr-FR"/>
        </w:rPr>
        <w:t xml:space="preserve">Paragraphe </w:t>
      </w:r>
      <w:r w:rsidR="0008463B" w:rsidRPr="00953692">
        <w:rPr>
          <w:rFonts w:ascii="Times New Roman" w:hAnsi="Times New Roman"/>
          <w:b w:val="0"/>
          <w:bCs/>
          <w:i/>
          <w:iCs/>
          <w:color w:val="auto"/>
          <w:sz w:val="24"/>
          <w:szCs w:val="24"/>
          <w:lang w:val="fr-FR"/>
        </w:rPr>
        <w:t xml:space="preserve">1. Notion </w:t>
      </w:r>
      <w:r w:rsidR="00F4760B" w:rsidRPr="00953692">
        <w:rPr>
          <w:rFonts w:ascii="Times New Roman" w:hAnsi="Times New Roman"/>
          <w:b w:val="0"/>
          <w:bCs/>
          <w:i/>
          <w:iCs/>
          <w:color w:val="auto"/>
          <w:sz w:val="24"/>
          <w:szCs w:val="24"/>
          <w:lang w:val="fr-FR"/>
        </w:rPr>
        <w:t xml:space="preserve">et conditions </w:t>
      </w:r>
      <w:r w:rsidR="0069006E" w:rsidRPr="00953692">
        <w:rPr>
          <w:rFonts w:ascii="Times New Roman" w:hAnsi="Times New Roman"/>
          <w:b w:val="0"/>
          <w:bCs/>
          <w:i/>
          <w:iCs/>
          <w:color w:val="auto"/>
          <w:sz w:val="24"/>
          <w:szCs w:val="24"/>
          <w:lang w:val="fr-FR"/>
        </w:rPr>
        <w:t>de l’aveu de culpabilité</w:t>
      </w:r>
      <w:r w:rsidR="00902352" w:rsidRPr="00953692">
        <w:rPr>
          <w:rFonts w:ascii="Times New Roman" w:hAnsi="Times New Roman"/>
          <w:b w:val="0"/>
          <w:bCs/>
          <w:i/>
          <w:iCs/>
          <w:color w:val="auto"/>
          <w:sz w:val="24"/>
          <w:szCs w:val="24"/>
          <w:lang w:val="fr-FR"/>
        </w:rPr>
        <w:t xml:space="preserve"> en droit international pénal</w:t>
      </w:r>
      <w:bookmarkEnd w:id="40"/>
    </w:p>
    <w:bookmarkEnd w:id="41"/>
    <w:p w14:paraId="25727772" w14:textId="73CA294B" w:rsidR="00421F44" w:rsidRPr="00953692" w:rsidRDefault="00CA603C" w:rsidP="00864BBF">
      <w:pPr>
        <w:spacing w:before="240" w:line="276" w:lineRule="auto"/>
        <w:ind w:firstLine="1134"/>
        <w:jc w:val="both"/>
        <w:rPr>
          <w:rFonts w:cs="Times New Roman"/>
          <w:sz w:val="24"/>
          <w:szCs w:val="24"/>
          <w:lang w:val="fr-FR"/>
        </w:rPr>
      </w:pPr>
      <w:r w:rsidRPr="00953692">
        <w:rPr>
          <w:rFonts w:cs="Times New Roman"/>
          <w:b/>
          <w:bCs/>
          <w:sz w:val="24"/>
          <w:szCs w:val="24"/>
          <w:lang w:val="fr-FR"/>
        </w:rPr>
        <w:t>200</w:t>
      </w:r>
      <w:r w:rsidR="00421F44" w:rsidRPr="00953692">
        <w:rPr>
          <w:rFonts w:cs="Times New Roman"/>
          <w:b/>
          <w:bCs/>
          <w:sz w:val="24"/>
          <w:szCs w:val="24"/>
          <w:lang w:val="fr-FR"/>
        </w:rPr>
        <w:t>.</w:t>
      </w:r>
      <w:r w:rsidR="00421F44" w:rsidRPr="00953692">
        <w:rPr>
          <w:rFonts w:cs="Times New Roman"/>
          <w:sz w:val="24"/>
          <w:szCs w:val="24"/>
          <w:lang w:val="fr-FR"/>
        </w:rPr>
        <w:t xml:space="preserve"> </w:t>
      </w:r>
      <w:r w:rsidR="00902352" w:rsidRPr="00953692">
        <w:rPr>
          <w:rFonts w:cs="Times New Roman"/>
          <w:sz w:val="24"/>
          <w:szCs w:val="24"/>
          <w:lang w:val="fr-FR"/>
        </w:rPr>
        <w:t>L</w:t>
      </w:r>
      <w:r w:rsidR="00A93190" w:rsidRPr="00953692">
        <w:rPr>
          <w:rFonts w:cs="Times New Roman"/>
          <w:sz w:val="24"/>
          <w:szCs w:val="24"/>
          <w:lang w:val="fr-FR"/>
        </w:rPr>
        <w:t>e plaidoyer de culpabilité est l’une des notions que l’on retrouve</w:t>
      </w:r>
      <w:r w:rsidR="00902352" w:rsidRPr="00953692">
        <w:rPr>
          <w:rFonts w:cs="Times New Roman"/>
          <w:sz w:val="24"/>
          <w:szCs w:val="24"/>
          <w:lang w:val="fr-FR"/>
        </w:rPr>
        <w:t xml:space="preserve"> dans la quasi-totalité des actes constitutifs des juridictions pénales internationales. </w:t>
      </w:r>
      <w:r w:rsidR="006B6D6C" w:rsidRPr="00953692">
        <w:rPr>
          <w:rFonts w:cs="Times New Roman"/>
          <w:sz w:val="24"/>
          <w:szCs w:val="24"/>
          <w:lang w:val="fr-FR"/>
        </w:rPr>
        <w:t>Si les considérations générales semblent les mêmes dans la théorie générale du droit de la procédure pénale, n</w:t>
      </w:r>
      <w:r w:rsidR="00421F44" w:rsidRPr="00953692">
        <w:rPr>
          <w:rFonts w:cs="Times New Roman"/>
          <w:sz w:val="24"/>
          <w:szCs w:val="24"/>
          <w:lang w:val="fr-FR"/>
        </w:rPr>
        <w:t xml:space="preserve">ous </w:t>
      </w:r>
      <w:r w:rsidR="006B6D6C" w:rsidRPr="00953692">
        <w:rPr>
          <w:rFonts w:cs="Times New Roman"/>
          <w:sz w:val="24"/>
          <w:szCs w:val="24"/>
          <w:lang w:val="fr-FR"/>
        </w:rPr>
        <w:t>tenterons</w:t>
      </w:r>
      <w:r w:rsidR="00421F44" w:rsidRPr="00953692">
        <w:rPr>
          <w:rFonts w:cs="Times New Roman"/>
          <w:sz w:val="24"/>
          <w:szCs w:val="24"/>
          <w:lang w:val="fr-FR"/>
        </w:rPr>
        <w:t xml:space="preserve"> dans les lignes qui suivent</w:t>
      </w:r>
      <w:r w:rsidR="006B6D6C" w:rsidRPr="00953692">
        <w:rPr>
          <w:rFonts w:cs="Times New Roman"/>
          <w:sz w:val="24"/>
          <w:szCs w:val="24"/>
          <w:lang w:val="fr-FR"/>
        </w:rPr>
        <w:t xml:space="preserve"> d’en analyser</w:t>
      </w:r>
      <w:r w:rsidR="00421F44" w:rsidRPr="00953692">
        <w:rPr>
          <w:rFonts w:cs="Times New Roman"/>
          <w:sz w:val="24"/>
          <w:szCs w:val="24"/>
          <w:lang w:val="fr-FR"/>
        </w:rPr>
        <w:t xml:space="preserve"> d’une part, la notion (A) et, d’autre part, les conditions de validité de </w:t>
      </w:r>
      <w:r w:rsidR="006B6D6C" w:rsidRPr="00953692">
        <w:rPr>
          <w:rFonts w:cs="Times New Roman"/>
          <w:sz w:val="24"/>
          <w:szCs w:val="24"/>
          <w:lang w:val="fr-FR"/>
        </w:rPr>
        <w:t xml:space="preserve">cet </w:t>
      </w:r>
      <w:r w:rsidR="00421F44" w:rsidRPr="00953692">
        <w:rPr>
          <w:rFonts w:cs="Times New Roman"/>
          <w:sz w:val="24"/>
          <w:szCs w:val="24"/>
          <w:lang w:val="fr-FR"/>
        </w:rPr>
        <w:t xml:space="preserve">aveu ou </w:t>
      </w:r>
      <w:r w:rsidR="006B6D6C" w:rsidRPr="00953692">
        <w:rPr>
          <w:rFonts w:cs="Times New Roman"/>
          <w:sz w:val="24"/>
          <w:szCs w:val="24"/>
          <w:lang w:val="fr-FR"/>
        </w:rPr>
        <w:t>c</w:t>
      </w:r>
      <w:r w:rsidR="00421F44" w:rsidRPr="00953692">
        <w:rPr>
          <w:rFonts w:cs="Times New Roman"/>
          <w:sz w:val="24"/>
          <w:szCs w:val="24"/>
          <w:lang w:val="fr-FR"/>
        </w:rPr>
        <w:t>e plaidoyer de culpabilité (B)</w:t>
      </w:r>
      <w:r w:rsidR="00224CD9" w:rsidRPr="00953692">
        <w:rPr>
          <w:rFonts w:cs="Times New Roman"/>
          <w:sz w:val="24"/>
          <w:szCs w:val="24"/>
          <w:lang w:val="fr-FR"/>
        </w:rPr>
        <w:t xml:space="preserve"> en puisant évidemment dans la théorie générale de la procédure pénale avec un regard beaucoup plus particulier de sa réception ou conception en droit international pénal</w:t>
      </w:r>
      <w:r w:rsidR="006B6D6C" w:rsidRPr="00953692">
        <w:rPr>
          <w:rFonts w:cs="Times New Roman"/>
          <w:sz w:val="24"/>
          <w:szCs w:val="24"/>
          <w:lang w:val="fr-FR"/>
        </w:rPr>
        <w:t xml:space="preserve"> dans toute sa diversité</w:t>
      </w:r>
      <w:r w:rsidR="00224CD9" w:rsidRPr="00953692">
        <w:rPr>
          <w:rFonts w:cs="Times New Roman"/>
          <w:sz w:val="24"/>
          <w:szCs w:val="24"/>
          <w:lang w:val="fr-FR"/>
        </w:rPr>
        <w:t>.</w:t>
      </w:r>
    </w:p>
    <w:p w14:paraId="1FC374B4" w14:textId="625337B4" w:rsidR="00421F44" w:rsidRPr="00953692" w:rsidRDefault="00F4760B" w:rsidP="000B0381">
      <w:pPr>
        <w:pStyle w:val="Paragraphedeliste"/>
        <w:numPr>
          <w:ilvl w:val="0"/>
          <w:numId w:val="13"/>
        </w:numPr>
        <w:spacing w:line="276" w:lineRule="auto"/>
        <w:jc w:val="both"/>
        <w:outlineLvl w:val="2"/>
        <w:rPr>
          <w:rFonts w:cs="Times New Roman"/>
          <w:i/>
          <w:iCs/>
          <w:sz w:val="24"/>
          <w:szCs w:val="24"/>
          <w:lang w:val="fr-FR"/>
        </w:rPr>
      </w:pPr>
      <w:bookmarkStart w:id="42" w:name="_Toc195179424"/>
      <w:bookmarkStart w:id="43" w:name="_Hlk148976221"/>
      <w:r w:rsidRPr="00953692">
        <w:rPr>
          <w:rFonts w:cs="Times New Roman"/>
          <w:i/>
          <w:iCs/>
          <w:sz w:val="24"/>
          <w:szCs w:val="24"/>
          <w:lang w:val="fr-FR"/>
        </w:rPr>
        <w:t>Notion</w:t>
      </w:r>
      <w:r w:rsidR="000A16D5" w:rsidRPr="00953692">
        <w:rPr>
          <w:rFonts w:cs="Times New Roman"/>
          <w:i/>
          <w:iCs/>
          <w:sz w:val="24"/>
          <w:szCs w:val="24"/>
          <w:lang w:val="fr-FR"/>
        </w:rPr>
        <w:t>s d’aveu de culpabilité dans les actes constitutifs des juridictions pénales internationales</w:t>
      </w:r>
      <w:bookmarkEnd w:id="42"/>
    </w:p>
    <w:bookmarkEnd w:id="43"/>
    <w:p w14:paraId="458D75A3" w14:textId="56403326" w:rsidR="00C80F67" w:rsidRPr="00953692" w:rsidRDefault="00CA603C" w:rsidP="00864BBF">
      <w:pPr>
        <w:spacing w:after="0" w:line="276" w:lineRule="auto"/>
        <w:ind w:firstLine="1134"/>
        <w:jc w:val="both"/>
        <w:rPr>
          <w:sz w:val="24"/>
          <w:szCs w:val="24"/>
          <w:lang w:val="fr-FR"/>
        </w:rPr>
      </w:pPr>
      <w:r w:rsidRPr="00953692">
        <w:rPr>
          <w:rFonts w:cs="Times New Roman"/>
          <w:b/>
          <w:bCs/>
          <w:sz w:val="24"/>
          <w:szCs w:val="24"/>
          <w:lang w:val="fr-FR"/>
        </w:rPr>
        <w:t>201</w:t>
      </w:r>
      <w:r w:rsidR="007351BF" w:rsidRPr="00953692">
        <w:rPr>
          <w:rFonts w:cs="Times New Roman"/>
          <w:b/>
          <w:bCs/>
          <w:sz w:val="24"/>
          <w:szCs w:val="24"/>
          <w:lang w:val="fr-FR"/>
        </w:rPr>
        <w:t>.</w:t>
      </w:r>
      <w:r w:rsidR="007351BF" w:rsidRPr="00953692">
        <w:rPr>
          <w:rFonts w:cs="Times New Roman"/>
          <w:sz w:val="24"/>
          <w:szCs w:val="24"/>
          <w:lang w:val="fr-FR"/>
        </w:rPr>
        <w:t xml:space="preserve"> </w:t>
      </w:r>
      <w:r w:rsidR="00421F44" w:rsidRPr="00953692">
        <w:rPr>
          <w:rFonts w:cs="Times New Roman"/>
          <w:sz w:val="24"/>
          <w:szCs w:val="24"/>
          <w:lang w:val="fr-FR"/>
        </w:rPr>
        <w:t>Le droit de plaider coupable</w:t>
      </w:r>
      <w:r w:rsidR="006269D1" w:rsidRPr="00953692">
        <w:rPr>
          <w:rFonts w:cs="Times New Roman"/>
          <w:sz w:val="24"/>
          <w:szCs w:val="24"/>
          <w:lang w:val="fr-FR"/>
        </w:rPr>
        <w:t>,</w:t>
      </w:r>
      <w:r w:rsidR="00421F44" w:rsidRPr="00953692">
        <w:rPr>
          <w:rFonts w:cs="Times New Roman"/>
          <w:sz w:val="24"/>
          <w:szCs w:val="24"/>
          <w:lang w:val="fr-FR"/>
        </w:rPr>
        <w:t xml:space="preserve"> que l’on désigne sous le vocable de ‘’plaidoyer de culpabilité ou d’aveu de culpabilité’’</w:t>
      </w:r>
      <w:r w:rsidR="004D670C" w:rsidRPr="00953692">
        <w:rPr>
          <w:rFonts w:cs="Times New Roman"/>
          <w:sz w:val="24"/>
          <w:szCs w:val="24"/>
          <w:lang w:val="fr-FR"/>
        </w:rPr>
        <w:t xml:space="preserve">, </w:t>
      </w:r>
      <w:r w:rsidR="00421F44" w:rsidRPr="00953692">
        <w:rPr>
          <w:rFonts w:cs="Times New Roman"/>
          <w:sz w:val="24"/>
          <w:szCs w:val="24"/>
          <w:lang w:val="fr-FR"/>
        </w:rPr>
        <w:t>constitue</w:t>
      </w:r>
      <w:r w:rsidR="00956B8C" w:rsidRPr="00953692">
        <w:rPr>
          <w:rFonts w:cs="Times New Roman"/>
          <w:sz w:val="24"/>
          <w:szCs w:val="24"/>
          <w:lang w:val="fr-FR"/>
        </w:rPr>
        <w:t xml:space="preserve"> évidemment</w:t>
      </w:r>
      <w:r w:rsidR="00421F44" w:rsidRPr="00953692">
        <w:rPr>
          <w:rFonts w:cs="Times New Roman"/>
          <w:sz w:val="24"/>
          <w:szCs w:val="24"/>
          <w:lang w:val="fr-FR"/>
        </w:rPr>
        <w:t xml:space="preserve"> un droit de l’accusé </w:t>
      </w:r>
      <w:r w:rsidR="00956B8C" w:rsidRPr="00953692">
        <w:rPr>
          <w:rFonts w:cs="Times New Roman"/>
          <w:sz w:val="24"/>
          <w:szCs w:val="24"/>
          <w:lang w:val="fr-FR"/>
        </w:rPr>
        <w:t xml:space="preserve">ou du suspect </w:t>
      </w:r>
      <w:r w:rsidR="00421F44" w:rsidRPr="00953692">
        <w:rPr>
          <w:rFonts w:cs="Times New Roman"/>
          <w:sz w:val="24"/>
          <w:szCs w:val="24"/>
          <w:lang w:val="fr-FR"/>
        </w:rPr>
        <w:t>dans la mesure où, en procédure pénale</w:t>
      </w:r>
      <w:r w:rsidR="004D670C" w:rsidRPr="00953692">
        <w:rPr>
          <w:rFonts w:cs="Times New Roman"/>
          <w:sz w:val="24"/>
          <w:szCs w:val="24"/>
          <w:lang w:val="fr-FR"/>
        </w:rPr>
        <w:t xml:space="preserve">, </w:t>
      </w:r>
      <w:r w:rsidR="00421F44" w:rsidRPr="00953692">
        <w:rPr>
          <w:rFonts w:cs="Times New Roman"/>
          <w:sz w:val="24"/>
          <w:szCs w:val="24"/>
          <w:lang w:val="fr-FR"/>
        </w:rPr>
        <w:t xml:space="preserve">le but d’organiser un procès équitable est essentiellement de permettre à </w:t>
      </w:r>
      <w:r w:rsidR="00250668" w:rsidRPr="00953692">
        <w:rPr>
          <w:rFonts w:cs="Times New Roman"/>
          <w:sz w:val="24"/>
          <w:szCs w:val="24"/>
          <w:lang w:val="fr-FR"/>
        </w:rPr>
        <w:t>ce dernier</w:t>
      </w:r>
      <w:r w:rsidR="00421F44" w:rsidRPr="00953692">
        <w:rPr>
          <w:rFonts w:cs="Times New Roman"/>
          <w:sz w:val="24"/>
          <w:szCs w:val="24"/>
          <w:lang w:val="fr-FR"/>
        </w:rPr>
        <w:t xml:space="preserve"> de plaider la thèse qui lui convient le mieux. Sinon il suffirait d’ordonner l’emprisonnement définitif de toute personne accusée par le</w:t>
      </w:r>
      <w:r w:rsidR="00981575" w:rsidRPr="00953692">
        <w:rPr>
          <w:rFonts w:cs="Times New Roman"/>
          <w:sz w:val="24"/>
          <w:szCs w:val="24"/>
          <w:lang w:val="fr-FR"/>
        </w:rPr>
        <w:t xml:space="preserve"> P</w:t>
      </w:r>
      <w:r w:rsidR="00421F44" w:rsidRPr="00953692">
        <w:rPr>
          <w:rFonts w:cs="Times New Roman"/>
          <w:sz w:val="24"/>
          <w:szCs w:val="24"/>
          <w:lang w:val="fr-FR"/>
        </w:rPr>
        <w:t>rocureur</w:t>
      </w:r>
      <w:r w:rsidR="004D670C" w:rsidRPr="00953692">
        <w:rPr>
          <w:rFonts w:cs="Times New Roman"/>
          <w:sz w:val="24"/>
          <w:szCs w:val="24"/>
          <w:lang w:val="fr-FR"/>
        </w:rPr>
        <w:t>, et les jeux s</w:t>
      </w:r>
      <w:r w:rsidR="00981575" w:rsidRPr="00953692">
        <w:rPr>
          <w:rFonts w:cs="Times New Roman"/>
          <w:sz w:val="24"/>
          <w:szCs w:val="24"/>
          <w:lang w:val="fr-FR"/>
        </w:rPr>
        <w:t>eront</w:t>
      </w:r>
      <w:r w:rsidR="004D670C" w:rsidRPr="00953692">
        <w:rPr>
          <w:rFonts w:cs="Times New Roman"/>
          <w:sz w:val="24"/>
          <w:szCs w:val="24"/>
          <w:lang w:val="fr-FR"/>
        </w:rPr>
        <w:t xml:space="preserve"> fait</w:t>
      </w:r>
      <w:r w:rsidR="005267D5" w:rsidRPr="00953692">
        <w:rPr>
          <w:rFonts w:cs="Times New Roman"/>
          <w:sz w:val="24"/>
          <w:szCs w:val="24"/>
          <w:lang w:val="fr-FR"/>
        </w:rPr>
        <w:t>s</w:t>
      </w:r>
      <w:r w:rsidR="00421F44" w:rsidRPr="00953692">
        <w:rPr>
          <w:rFonts w:cs="Times New Roman"/>
          <w:sz w:val="24"/>
          <w:szCs w:val="24"/>
          <w:lang w:val="fr-FR"/>
        </w:rPr>
        <w:t>. En d’autres termes, l’organisation d’un procès signifie que la justice invite l’intéressé à reconnaitre ou à se justifier de faits qui lui sont reprochés</w:t>
      </w:r>
      <w:r w:rsidR="00E43444" w:rsidRPr="00953692">
        <w:rPr>
          <w:rStyle w:val="Appelnotedebasdep"/>
          <w:rFonts w:cs="Times New Roman"/>
          <w:sz w:val="24"/>
          <w:szCs w:val="24"/>
          <w:lang w:val="fr-FR"/>
        </w:rPr>
        <w:footnoteReference w:customMarkFollows="1" w:id="152"/>
        <w:t>130</w:t>
      </w:r>
      <w:r w:rsidR="00421F44" w:rsidRPr="00953692">
        <w:rPr>
          <w:rFonts w:cs="Times New Roman"/>
          <w:sz w:val="24"/>
          <w:szCs w:val="24"/>
          <w:lang w:val="fr-FR"/>
        </w:rPr>
        <w:t xml:space="preserve">. </w:t>
      </w:r>
      <w:r w:rsidR="000F1FFB" w:rsidRPr="00953692">
        <w:rPr>
          <w:rFonts w:cs="Times New Roman"/>
          <w:sz w:val="24"/>
          <w:szCs w:val="24"/>
          <w:lang w:val="fr-FR"/>
        </w:rPr>
        <w:t>Ceci n’est donc pas étranger à la procédure pénale</w:t>
      </w:r>
      <w:r w:rsidR="00981575" w:rsidRPr="00953692">
        <w:rPr>
          <w:rFonts w:cs="Times New Roman"/>
          <w:sz w:val="24"/>
          <w:szCs w:val="24"/>
          <w:lang w:val="fr-FR"/>
        </w:rPr>
        <w:t xml:space="preserve"> (internationale)</w:t>
      </w:r>
      <w:r w:rsidR="000F1FFB" w:rsidRPr="00953692">
        <w:rPr>
          <w:rFonts w:cs="Times New Roman"/>
          <w:sz w:val="24"/>
          <w:szCs w:val="24"/>
          <w:lang w:val="fr-FR"/>
        </w:rPr>
        <w:t xml:space="preserve">. </w:t>
      </w:r>
      <w:r w:rsidR="00956B8C" w:rsidRPr="00953692">
        <w:rPr>
          <w:rFonts w:cs="Times New Roman"/>
          <w:sz w:val="24"/>
          <w:szCs w:val="24"/>
          <w:lang w:val="fr-FR"/>
        </w:rPr>
        <w:t xml:space="preserve">Le professeur </w:t>
      </w:r>
      <w:r w:rsidR="008C5F52" w:rsidRPr="00953692">
        <w:rPr>
          <w:rFonts w:cs="Times New Roman"/>
          <w:sz w:val="24"/>
          <w:szCs w:val="24"/>
          <w:lang w:val="fr-FR"/>
        </w:rPr>
        <w:t>Jean Pradel</w:t>
      </w:r>
      <w:r w:rsidR="00C80F67" w:rsidRPr="00953692">
        <w:rPr>
          <w:rFonts w:cs="Times New Roman"/>
          <w:sz w:val="24"/>
          <w:szCs w:val="24"/>
          <w:lang w:val="fr-FR"/>
        </w:rPr>
        <w:t xml:space="preserve"> </w:t>
      </w:r>
      <w:r w:rsidR="00981575" w:rsidRPr="00953692">
        <w:rPr>
          <w:rFonts w:cs="Times New Roman"/>
          <w:sz w:val="24"/>
          <w:szCs w:val="24"/>
          <w:lang w:val="fr-FR"/>
        </w:rPr>
        <w:t>nous fait remarquer</w:t>
      </w:r>
      <w:r w:rsidR="008C5F52" w:rsidRPr="00953692">
        <w:rPr>
          <w:rFonts w:cs="Times New Roman"/>
          <w:sz w:val="24"/>
          <w:szCs w:val="24"/>
          <w:lang w:val="fr-FR"/>
        </w:rPr>
        <w:t xml:space="preserve"> « </w:t>
      </w:r>
      <w:r w:rsidR="000F1FFB" w:rsidRPr="00953692">
        <w:rPr>
          <w:rFonts w:cs="Times New Roman"/>
          <w:sz w:val="24"/>
          <w:szCs w:val="24"/>
          <w:lang w:val="fr-FR"/>
        </w:rPr>
        <w:t>qu’</w:t>
      </w:r>
      <w:r w:rsidR="008C5F52" w:rsidRPr="00953692">
        <w:rPr>
          <w:sz w:val="24"/>
          <w:szCs w:val="24"/>
          <w:lang w:val="fr-FR"/>
        </w:rPr>
        <w:t>à toutes époques, des accusés ont reconnu leur forfait » quelle qu’en fut la raison</w:t>
      </w:r>
      <w:r w:rsidR="00E274BD" w:rsidRPr="00953692">
        <w:rPr>
          <w:sz w:val="24"/>
          <w:szCs w:val="24"/>
          <w:lang w:val="fr-FR"/>
        </w:rPr>
        <w:t xml:space="preserve"> intrinsèque</w:t>
      </w:r>
      <w:r w:rsidR="008C5F52" w:rsidRPr="00953692">
        <w:rPr>
          <w:sz w:val="24"/>
          <w:szCs w:val="24"/>
          <w:lang w:val="fr-FR"/>
        </w:rPr>
        <w:t xml:space="preserve">. </w:t>
      </w:r>
      <w:r w:rsidR="00EB5B9B" w:rsidRPr="00953692">
        <w:rPr>
          <w:sz w:val="24"/>
          <w:szCs w:val="24"/>
          <w:lang w:val="fr-FR"/>
        </w:rPr>
        <w:t>Plaider coup</w:t>
      </w:r>
      <w:r w:rsidR="00C80F67" w:rsidRPr="00953692">
        <w:rPr>
          <w:sz w:val="24"/>
          <w:szCs w:val="24"/>
          <w:lang w:val="fr-FR"/>
        </w:rPr>
        <w:t>ab</w:t>
      </w:r>
      <w:r w:rsidR="00EB5B9B" w:rsidRPr="00953692">
        <w:rPr>
          <w:sz w:val="24"/>
          <w:szCs w:val="24"/>
          <w:lang w:val="fr-FR"/>
        </w:rPr>
        <w:t>le, c’est littéralement le fait pour l’accusé de reconnaitre sa faute</w:t>
      </w:r>
      <w:r w:rsidR="00340136" w:rsidRPr="00953692">
        <w:rPr>
          <w:rStyle w:val="Appelnotedebasdep"/>
          <w:sz w:val="24"/>
          <w:szCs w:val="24"/>
          <w:lang w:val="fr-FR"/>
        </w:rPr>
        <w:footnoteReference w:customMarkFollows="1" w:id="153"/>
        <w:t>131</w:t>
      </w:r>
      <w:r w:rsidR="00EB5B9B" w:rsidRPr="00953692">
        <w:rPr>
          <w:sz w:val="24"/>
          <w:szCs w:val="24"/>
          <w:lang w:val="fr-FR"/>
        </w:rPr>
        <w:t>, c’est-à-dire les faits</w:t>
      </w:r>
      <w:r w:rsidR="00E274BD" w:rsidRPr="00953692">
        <w:rPr>
          <w:sz w:val="24"/>
          <w:szCs w:val="24"/>
          <w:lang w:val="fr-FR"/>
        </w:rPr>
        <w:t xml:space="preserve"> formellement</w:t>
      </w:r>
      <w:r w:rsidR="00EB5B9B" w:rsidRPr="00953692">
        <w:rPr>
          <w:sz w:val="24"/>
          <w:szCs w:val="24"/>
          <w:lang w:val="fr-FR"/>
        </w:rPr>
        <w:t xml:space="preserve"> mis à sa charge par le </w:t>
      </w:r>
      <w:r w:rsidR="00E274BD" w:rsidRPr="00953692">
        <w:rPr>
          <w:sz w:val="24"/>
          <w:szCs w:val="24"/>
          <w:lang w:val="fr-FR"/>
        </w:rPr>
        <w:t>P</w:t>
      </w:r>
      <w:r w:rsidR="00EB5B9B" w:rsidRPr="00953692">
        <w:rPr>
          <w:sz w:val="24"/>
          <w:szCs w:val="24"/>
          <w:lang w:val="fr-FR"/>
        </w:rPr>
        <w:t>rocureur.</w:t>
      </w:r>
    </w:p>
    <w:p w14:paraId="5CFAF595" w14:textId="77777777" w:rsidR="00C333C4" w:rsidRPr="00953692" w:rsidRDefault="00E43444" w:rsidP="00864BBF">
      <w:pPr>
        <w:spacing w:after="0" w:line="276" w:lineRule="auto"/>
        <w:ind w:firstLine="1134"/>
        <w:jc w:val="both"/>
        <w:rPr>
          <w:sz w:val="24"/>
          <w:szCs w:val="24"/>
          <w:lang w:val="fr-FR"/>
        </w:rPr>
      </w:pPr>
      <w:r w:rsidRPr="00953692">
        <w:rPr>
          <w:b/>
          <w:bCs/>
          <w:sz w:val="24"/>
          <w:szCs w:val="24"/>
          <w:lang w:val="fr-FR"/>
        </w:rPr>
        <w:t>202</w:t>
      </w:r>
      <w:r w:rsidR="00797083" w:rsidRPr="00953692">
        <w:rPr>
          <w:b/>
          <w:bCs/>
          <w:sz w:val="24"/>
          <w:szCs w:val="24"/>
          <w:lang w:val="fr-FR"/>
        </w:rPr>
        <w:t>.</w:t>
      </w:r>
      <w:r w:rsidR="00797083" w:rsidRPr="00953692">
        <w:rPr>
          <w:sz w:val="24"/>
          <w:szCs w:val="24"/>
          <w:lang w:val="fr-FR"/>
        </w:rPr>
        <w:t xml:space="preserve"> </w:t>
      </w:r>
      <w:r w:rsidR="004065D4" w:rsidRPr="00953692">
        <w:rPr>
          <w:sz w:val="24"/>
          <w:szCs w:val="24"/>
          <w:lang w:val="fr-FR"/>
        </w:rPr>
        <w:t xml:space="preserve">Nous verrons un peu plus loin que cette reconnaissance est avant tout formalisée. L’accusé qui comparait devant les juges, après avoir su de quoi est-il accusé par le </w:t>
      </w:r>
      <w:r w:rsidR="00E274BD" w:rsidRPr="00953692">
        <w:rPr>
          <w:sz w:val="24"/>
          <w:szCs w:val="24"/>
          <w:lang w:val="fr-FR"/>
        </w:rPr>
        <w:t>P</w:t>
      </w:r>
      <w:r w:rsidR="004065D4" w:rsidRPr="00953692">
        <w:rPr>
          <w:sz w:val="24"/>
          <w:szCs w:val="24"/>
          <w:lang w:val="fr-FR"/>
        </w:rPr>
        <w:t>rocureur</w:t>
      </w:r>
      <w:r w:rsidR="00250668" w:rsidRPr="00953692">
        <w:rPr>
          <w:sz w:val="24"/>
          <w:szCs w:val="24"/>
          <w:lang w:val="fr-FR"/>
        </w:rPr>
        <w:t>,</w:t>
      </w:r>
      <w:r w:rsidR="004065D4" w:rsidRPr="00953692">
        <w:rPr>
          <w:sz w:val="24"/>
          <w:szCs w:val="24"/>
          <w:lang w:val="fr-FR"/>
        </w:rPr>
        <w:t xml:space="preserve"> a le libre choix de plaider ou non coupable de tous les chefs d’accusation </w:t>
      </w:r>
      <w:r w:rsidR="004065D4" w:rsidRPr="00953692">
        <w:rPr>
          <w:sz w:val="24"/>
          <w:szCs w:val="24"/>
          <w:lang w:val="fr-FR"/>
        </w:rPr>
        <w:lastRenderedPageBreak/>
        <w:t xml:space="preserve">ou de l’un d’entre eux. Mais il n’est pas exclu que cette reconnaissance soit constatée avant ou après cette </w:t>
      </w:r>
      <w:r w:rsidR="00416E39" w:rsidRPr="00953692">
        <w:rPr>
          <w:sz w:val="24"/>
          <w:szCs w:val="24"/>
          <w:lang w:val="fr-FR"/>
        </w:rPr>
        <w:t xml:space="preserve">première </w:t>
      </w:r>
      <w:r w:rsidR="004065D4" w:rsidRPr="00953692">
        <w:rPr>
          <w:sz w:val="24"/>
          <w:szCs w:val="24"/>
          <w:lang w:val="fr-FR"/>
        </w:rPr>
        <w:t xml:space="preserve">comparution. </w:t>
      </w:r>
      <w:r w:rsidR="00416E39" w:rsidRPr="00953692">
        <w:rPr>
          <w:sz w:val="24"/>
          <w:szCs w:val="24"/>
          <w:lang w:val="fr-FR"/>
        </w:rPr>
        <w:t xml:space="preserve">Dès l’interrogatoire du suspect, par exemple, il est possible de passer aux aveux. La personne suspectée peut éprouver ce sentiment de culpabilité aussitôt qu’il lui est possible. Mais il peut aussi se raviser à tout moment, sans qu’il soit tenu à cet aveu de culpabilité. </w:t>
      </w:r>
    </w:p>
    <w:p w14:paraId="441BA0B0" w14:textId="10940978" w:rsidR="00416E39" w:rsidRPr="00953692" w:rsidRDefault="00C333C4" w:rsidP="00864BBF">
      <w:pPr>
        <w:spacing w:after="0" w:line="276" w:lineRule="auto"/>
        <w:ind w:firstLine="1134"/>
        <w:jc w:val="both"/>
        <w:rPr>
          <w:sz w:val="24"/>
          <w:szCs w:val="24"/>
          <w:lang w:val="fr-FR"/>
        </w:rPr>
      </w:pPr>
      <w:r w:rsidRPr="00953692">
        <w:rPr>
          <w:b/>
          <w:bCs/>
          <w:sz w:val="24"/>
          <w:szCs w:val="24"/>
          <w:lang w:val="fr-FR"/>
        </w:rPr>
        <w:t>203.</w:t>
      </w:r>
      <w:r w:rsidRPr="00953692">
        <w:rPr>
          <w:sz w:val="24"/>
          <w:szCs w:val="24"/>
          <w:lang w:val="fr-FR"/>
        </w:rPr>
        <w:t xml:space="preserve"> </w:t>
      </w:r>
      <w:r w:rsidR="004065D4" w:rsidRPr="00953692">
        <w:rPr>
          <w:sz w:val="24"/>
          <w:szCs w:val="24"/>
          <w:lang w:val="fr-FR"/>
        </w:rPr>
        <w:t xml:space="preserve">En pratique, </w:t>
      </w:r>
      <w:r w:rsidR="00416E39" w:rsidRPr="00953692">
        <w:rPr>
          <w:sz w:val="24"/>
          <w:szCs w:val="24"/>
          <w:lang w:val="fr-FR"/>
        </w:rPr>
        <w:t>la reconnaissance des faits</w:t>
      </w:r>
      <w:r w:rsidR="004065D4" w:rsidRPr="00953692">
        <w:rPr>
          <w:sz w:val="24"/>
          <w:szCs w:val="24"/>
          <w:lang w:val="fr-FR"/>
        </w:rPr>
        <w:t xml:space="preserve"> est de plus en plus considérée comme une stratégie de la Défense, voire </w:t>
      </w:r>
      <w:r w:rsidR="00981575" w:rsidRPr="00953692">
        <w:rPr>
          <w:sz w:val="24"/>
          <w:szCs w:val="24"/>
          <w:lang w:val="fr-FR"/>
        </w:rPr>
        <w:t xml:space="preserve">de </w:t>
      </w:r>
      <w:r w:rsidR="004065D4" w:rsidRPr="00953692">
        <w:rPr>
          <w:sz w:val="24"/>
          <w:szCs w:val="24"/>
          <w:lang w:val="fr-FR"/>
        </w:rPr>
        <w:t>l’Accusation</w:t>
      </w:r>
      <w:r w:rsidR="00AF6EE0" w:rsidRPr="00953692">
        <w:rPr>
          <w:sz w:val="24"/>
          <w:szCs w:val="24"/>
          <w:lang w:val="fr-FR"/>
        </w:rPr>
        <w:t xml:space="preserve"> aussi</w:t>
      </w:r>
      <w:r w:rsidR="004065D4" w:rsidRPr="00953692">
        <w:rPr>
          <w:sz w:val="24"/>
          <w:szCs w:val="24"/>
          <w:lang w:val="fr-FR"/>
        </w:rPr>
        <w:t xml:space="preserve"> en vue d’éviter une confrontation, qui ferait </w:t>
      </w:r>
      <w:r w:rsidR="00981575" w:rsidRPr="00953692">
        <w:rPr>
          <w:sz w:val="24"/>
          <w:szCs w:val="24"/>
          <w:lang w:val="fr-FR"/>
        </w:rPr>
        <w:t>éventuellement</w:t>
      </w:r>
      <w:r w:rsidR="004065D4" w:rsidRPr="00953692">
        <w:rPr>
          <w:sz w:val="24"/>
          <w:szCs w:val="24"/>
          <w:lang w:val="fr-FR"/>
        </w:rPr>
        <w:t xml:space="preserve"> perdre du temps à l’un</w:t>
      </w:r>
      <w:r w:rsidR="00A93190" w:rsidRPr="00953692">
        <w:rPr>
          <w:sz w:val="24"/>
          <w:szCs w:val="24"/>
          <w:lang w:val="fr-FR"/>
        </w:rPr>
        <w:t>e</w:t>
      </w:r>
      <w:r w:rsidR="004065D4" w:rsidRPr="00953692">
        <w:rPr>
          <w:sz w:val="24"/>
          <w:szCs w:val="24"/>
          <w:lang w:val="fr-FR"/>
        </w:rPr>
        <w:t xml:space="preserve"> ou à l’autre. Dans ce sens, plus précisément, elle prend la forme ‘’d’un compris judiciaire’’, et est définie comme « une entente du ministère public et de l’auteur des faits sur une peine réduite, résultante de cette reconnaissance des faits »</w:t>
      </w:r>
      <w:r w:rsidR="00AB5356" w:rsidRPr="00953692">
        <w:rPr>
          <w:rStyle w:val="Appelnotedebasdep"/>
          <w:sz w:val="24"/>
          <w:szCs w:val="24"/>
          <w:lang w:val="fr-FR"/>
        </w:rPr>
        <w:footnoteReference w:customMarkFollows="1" w:id="154"/>
        <w:t>132</w:t>
      </w:r>
      <w:r w:rsidR="004065D4" w:rsidRPr="00953692">
        <w:rPr>
          <w:sz w:val="24"/>
          <w:szCs w:val="24"/>
          <w:lang w:val="fr-FR"/>
        </w:rPr>
        <w:t>.</w:t>
      </w:r>
      <w:r w:rsidR="000F3A02" w:rsidRPr="00953692">
        <w:rPr>
          <w:sz w:val="24"/>
          <w:szCs w:val="24"/>
          <w:lang w:val="fr-FR"/>
        </w:rPr>
        <w:t xml:space="preserve"> Il s’agit alors, comme le nomme cette même disposition, d’un accord sur le plaidoyer.</w:t>
      </w:r>
    </w:p>
    <w:p w14:paraId="06C0AC61" w14:textId="51136730" w:rsidR="00F6593E" w:rsidRPr="00953692" w:rsidRDefault="00C333C4" w:rsidP="00864BBF">
      <w:pPr>
        <w:spacing w:after="0" w:line="276" w:lineRule="auto"/>
        <w:ind w:firstLine="1134"/>
        <w:jc w:val="both"/>
        <w:rPr>
          <w:sz w:val="24"/>
          <w:szCs w:val="24"/>
          <w:lang w:val="fr-FR"/>
        </w:rPr>
      </w:pPr>
      <w:r w:rsidRPr="00953692">
        <w:rPr>
          <w:b/>
          <w:bCs/>
          <w:sz w:val="24"/>
          <w:szCs w:val="24"/>
          <w:lang w:val="fr-FR"/>
        </w:rPr>
        <w:t>204</w:t>
      </w:r>
      <w:r w:rsidR="00416E39" w:rsidRPr="00953692">
        <w:rPr>
          <w:b/>
          <w:bCs/>
          <w:sz w:val="24"/>
          <w:szCs w:val="24"/>
          <w:lang w:val="fr-FR"/>
        </w:rPr>
        <w:t>.</w:t>
      </w:r>
      <w:r w:rsidR="00416E39" w:rsidRPr="00953692">
        <w:rPr>
          <w:sz w:val="24"/>
          <w:szCs w:val="24"/>
          <w:lang w:val="fr-FR"/>
        </w:rPr>
        <w:t xml:space="preserve"> On voit, par exemple, l’article 62bis des RPP de TPI </w:t>
      </w:r>
      <w:r w:rsidR="00333814" w:rsidRPr="00953692">
        <w:rPr>
          <w:sz w:val="24"/>
          <w:szCs w:val="24"/>
          <w:lang w:val="fr-FR"/>
        </w:rPr>
        <w:t xml:space="preserve">poser les bases d’une telle entente, en disposant que </w:t>
      </w:r>
      <w:r w:rsidR="00333814" w:rsidRPr="00953692">
        <w:rPr>
          <w:i/>
          <w:iCs/>
          <w:sz w:val="24"/>
          <w:szCs w:val="24"/>
          <w:lang w:val="fr-FR"/>
        </w:rPr>
        <w:t xml:space="preserve">le </w:t>
      </w:r>
      <w:r w:rsidR="000A16D5" w:rsidRPr="00953692">
        <w:rPr>
          <w:i/>
          <w:iCs/>
          <w:sz w:val="24"/>
          <w:szCs w:val="24"/>
          <w:lang w:val="fr-FR"/>
        </w:rPr>
        <w:t>P</w:t>
      </w:r>
      <w:r w:rsidR="00333814" w:rsidRPr="00953692">
        <w:rPr>
          <w:i/>
          <w:iCs/>
          <w:sz w:val="24"/>
          <w:szCs w:val="24"/>
          <w:lang w:val="fr-FR"/>
        </w:rPr>
        <w:t>rocureur et la Défense peuvent convenir</w:t>
      </w:r>
      <w:r w:rsidR="0097253A" w:rsidRPr="00953692">
        <w:rPr>
          <w:i/>
          <w:iCs/>
          <w:sz w:val="24"/>
          <w:szCs w:val="24"/>
          <w:lang w:val="fr-FR"/>
        </w:rPr>
        <w:t>,</w:t>
      </w:r>
      <w:r w:rsidR="00333814" w:rsidRPr="00953692">
        <w:rPr>
          <w:i/>
          <w:iCs/>
          <w:sz w:val="24"/>
          <w:szCs w:val="24"/>
          <w:lang w:val="fr-FR"/>
        </w:rPr>
        <w:t xml:space="preserve"> </w:t>
      </w:r>
      <w:r w:rsidR="00333814" w:rsidRPr="00953692">
        <w:rPr>
          <w:rFonts w:cs="Times New Roman"/>
          <w:i/>
          <w:iCs/>
          <w:sz w:val="24"/>
          <w:szCs w:val="24"/>
          <w:lang w:val="fr-FR"/>
        </w:rPr>
        <w:t>a</w:t>
      </w:r>
      <w:r w:rsidR="00416E39" w:rsidRPr="00953692">
        <w:rPr>
          <w:i/>
          <w:iCs/>
          <w:sz w:val="24"/>
          <w:szCs w:val="24"/>
          <w:lang w:val="fr-FR"/>
        </w:rPr>
        <w:t>près que l’accusé aura plaidé coupable de l’ensemble des chefs d’accusation, de l’un ou de plusieurs de ces chefs, le Procureur demandera l’autorisation de modifier l’acte d’accusation en conséquence ; proposera une peine déterminée ou une fourchette de peines qu’il estime appropriées ; ne s’opposera pas à la demande par l’accusé d’une peine déterminée ou d’une fourchette de peines</w:t>
      </w:r>
      <w:r w:rsidR="00416E39" w:rsidRPr="00953692">
        <w:rPr>
          <w:sz w:val="24"/>
          <w:szCs w:val="24"/>
          <w:lang w:val="fr-FR"/>
        </w:rPr>
        <w:t xml:space="preserve">. </w:t>
      </w:r>
      <w:r w:rsidR="00B603AD" w:rsidRPr="00953692">
        <w:rPr>
          <w:sz w:val="24"/>
          <w:szCs w:val="24"/>
          <w:lang w:val="fr-FR"/>
        </w:rPr>
        <w:t xml:space="preserve">Cette disposition est reprise littéralement par l’article 99 du RPP du TSL. </w:t>
      </w:r>
    </w:p>
    <w:p w14:paraId="31A968FD" w14:textId="770E6CE7" w:rsidR="00CE192B" w:rsidRPr="00953692" w:rsidRDefault="00C333C4" w:rsidP="00864BBF">
      <w:pPr>
        <w:spacing w:after="0" w:line="276" w:lineRule="auto"/>
        <w:ind w:firstLine="1134"/>
        <w:jc w:val="both"/>
        <w:rPr>
          <w:sz w:val="24"/>
          <w:szCs w:val="24"/>
          <w:lang w:val="fr-FR"/>
        </w:rPr>
      </w:pPr>
      <w:r w:rsidRPr="00953692">
        <w:rPr>
          <w:b/>
          <w:bCs/>
          <w:sz w:val="24"/>
          <w:szCs w:val="24"/>
          <w:lang w:val="fr-FR"/>
        </w:rPr>
        <w:t>205.</w:t>
      </w:r>
      <w:r w:rsidRPr="00953692">
        <w:rPr>
          <w:sz w:val="24"/>
          <w:szCs w:val="24"/>
          <w:lang w:val="fr-FR"/>
        </w:rPr>
        <w:t xml:space="preserve"> </w:t>
      </w:r>
      <w:r w:rsidR="00B603AD" w:rsidRPr="00953692">
        <w:rPr>
          <w:sz w:val="24"/>
          <w:szCs w:val="24"/>
          <w:lang w:val="fr-FR"/>
        </w:rPr>
        <w:t xml:space="preserve">Les actes constitutifs de la CPS centrafricaine parle de la convention de collaboration. L’article 149 du RPP prévoit </w:t>
      </w:r>
      <w:r w:rsidR="00BD304F" w:rsidRPr="00953692">
        <w:rPr>
          <w:sz w:val="24"/>
          <w:szCs w:val="24"/>
          <w:lang w:val="fr-FR"/>
        </w:rPr>
        <w:t>substantiellement « </w:t>
      </w:r>
      <w:r w:rsidR="00B603AD" w:rsidRPr="00953692">
        <w:rPr>
          <w:i/>
          <w:iCs/>
          <w:sz w:val="24"/>
          <w:szCs w:val="24"/>
          <w:lang w:val="fr-FR"/>
        </w:rPr>
        <w:t xml:space="preserve">qu’un suspect ou un inculpé </w:t>
      </w:r>
      <w:r w:rsidR="00BD304F" w:rsidRPr="00953692">
        <w:rPr>
          <w:i/>
          <w:iCs/>
          <w:sz w:val="24"/>
          <w:szCs w:val="24"/>
          <w:lang w:val="fr-FR"/>
        </w:rPr>
        <w:t>qui reconnaît sa participation aux faits qui lui sont imputés et qui fournit à l’autorité judiciaire toute information utile à la manifestation de la vérité ou permettant d'identifier d’autres auteurs ou complices peut faire l’objet d’une convention d’une telle collaboration avec les organes de la Cour</w:t>
      </w:r>
      <w:r w:rsidR="00BD304F" w:rsidRPr="00953692">
        <w:rPr>
          <w:sz w:val="24"/>
          <w:szCs w:val="24"/>
          <w:lang w:val="fr-FR"/>
        </w:rPr>
        <w:t> ».</w:t>
      </w:r>
      <w:r w:rsidR="00CE192B" w:rsidRPr="00953692">
        <w:rPr>
          <w:sz w:val="24"/>
          <w:szCs w:val="24"/>
          <w:lang w:val="fr-FR"/>
        </w:rPr>
        <w:t xml:space="preserve"> Le procureur spécial propose d’office cette convention de collaboration ou à la demande de la personne mise en cause ou de son avocat. Dans tous les cas, le consentement de l’intéressé est requis.</w:t>
      </w:r>
    </w:p>
    <w:p w14:paraId="4273C172" w14:textId="568A49AA" w:rsidR="009733D3" w:rsidRPr="00953692" w:rsidRDefault="00C333C4" w:rsidP="00864BBF">
      <w:pPr>
        <w:spacing w:after="0" w:line="276" w:lineRule="auto"/>
        <w:ind w:firstLine="1134"/>
        <w:jc w:val="both"/>
        <w:rPr>
          <w:sz w:val="24"/>
          <w:szCs w:val="24"/>
          <w:lang w:val="fr-FR"/>
        </w:rPr>
      </w:pPr>
      <w:r w:rsidRPr="00953692">
        <w:rPr>
          <w:b/>
          <w:bCs/>
          <w:sz w:val="24"/>
          <w:szCs w:val="24"/>
          <w:lang w:val="fr-FR"/>
        </w:rPr>
        <w:t>206</w:t>
      </w:r>
      <w:r w:rsidR="000724D4" w:rsidRPr="00953692">
        <w:rPr>
          <w:b/>
          <w:bCs/>
          <w:sz w:val="24"/>
          <w:szCs w:val="24"/>
          <w:lang w:val="fr-FR"/>
        </w:rPr>
        <w:t xml:space="preserve">. </w:t>
      </w:r>
      <w:r w:rsidR="00CE192B" w:rsidRPr="00953692">
        <w:rPr>
          <w:sz w:val="24"/>
          <w:szCs w:val="24"/>
          <w:lang w:val="fr-FR"/>
        </w:rPr>
        <w:t>Par contre,</w:t>
      </w:r>
      <w:r w:rsidR="00CE192B" w:rsidRPr="00953692">
        <w:rPr>
          <w:b/>
          <w:bCs/>
          <w:sz w:val="24"/>
          <w:szCs w:val="24"/>
          <w:lang w:val="fr-FR"/>
        </w:rPr>
        <w:t xml:space="preserve"> </w:t>
      </w:r>
      <w:r w:rsidR="00CE192B" w:rsidRPr="00953692">
        <w:rPr>
          <w:sz w:val="24"/>
          <w:szCs w:val="24"/>
          <w:lang w:val="fr-FR"/>
        </w:rPr>
        <w:t xml:space="preserve">les actes constitutifs de la CPI ne </w:t>
      </w:r>
      <w:r w:rsidR="00BA03C1" w:rsidRPr="00953692">
        <w:rPr>
          <w:sz w:val="24"/>
          <w:szCs w:val="24"/>
          <w:lang w:val="fr-FR"/>
        </w:rPr>
        <w:t>prévoient</w:t>
      </w:r>
      <w:r w:rsidR="00CE192B" w:rsidRPr="00953692">
        <w:rPr>
          <w:sz w:val="24"/>
          <w:szCs w:val="24"/>
          <w:lang w:val="fr-FR"/>
        </w:rPr>
        <w:t xml:space="preserve"> pas </w:t>
      </w:r>
      <w:r w:rsidR="00CE192B" w:rsidRPr="00953692">
        <w:rPr>
          <w:i/>
          <w:iCs/>
          <w:sz w:val="24"/>
          <w:szCs w:val="24"/>
          <w:lang w:val="fr-FR"/>
        </w:rPr>
        <w:t>expressis verbis</w:t>
      </w:r>
      <w:r w:rsidR="00CE192B" w:rsidRPr="00953692">
        <w:rPr>
          <w:sz w:val="24"/>
          <w:szCs w:val="24"/>
          <w:lang w:val="fr-FR"/>
        </w:rPr>
        <w:t xml:space="preserve"> une telle collaboration entre </w:t>
      </w:r>
      <w:r w:rsidR="00C17085" w:rsidRPr="00953692">
        <w:rPr>
          <w:sz w:val="24"/>
          <w:szCs w:val="24"/>
          <w:lang w:val="fr-FR"/>
        </w:rPr>
        <w:t>le procureur et la personne mise en cause</w:t>
      </w:r>
      <w:r w:rsidR="00BA03C1" w:rsidRPr="00953692">
        <w:rPr>
          <w:sz w:val="24"/>
          <w:szCs w:val="24"/>
          <w:lang w:val="fr-FR"/>
        </w:rPr>
        <w:t xml:space="preserve">. L’article 65 du statut de Rome prévoit l’unique hypothèse où l’accusé (précisément) peut reconnaitre sa culpabilité devant la Chambre de première instance. Comparativement au RPP de la CPS, par exemple, le Procureur n’est pas habilité à proposer à l’accusé un accord sur le plaidoyer de culpabilité. Le choix est donc laissé à l’intéressé d’exprimer sa volonté de plaider ou non coupable. Cependant, les possibilités d’une discussion allant dans ce sens ne peuvent être logiquement exclues dans le cadre de toute procédure judiciaire, dont le but n’est pas de </w:t>
      </w:r>
      <w:r w:rsidR="003F3665" w:rsidRPr="00953692">
        <w:rPr>
          <w:sz w:val="24"/>
          <w:szCs w:val="24"/>
          <w:lang w:val="fr-FR"/>
        </w:rPr>
        <w:t>faire absolument mal au criminel</w:t>
      </w:r>
      <w:r w:rsidR="00BA03C1" w:rsidRPr="00953692">
        <w:rPr>
          <w:sz w:val="24"/>
          <w:szCs w:val="24"/>
          <w:lang w:val="fr-FR"/>
        </w:rPr>
        <w:t>. Un peu comme le disait Sénèque : « </w:t>
      </w:r>
      <w:r w:rsidR="00BA03C1" w:rsidRPr="00953692">
        <w:rPr>
          <w:i/>
          <w:iCs/>
          <w:sz w:val="24"/>
          <w:szCs w:val="24"/>
          <w:lang w:val="fr-FR"/>
        </w:rPr>
        <w:t xml:space="preserve">le </w:t>
      </w:r>
      <w:r w:rsidR="00BA03C1" w:rsidRPr="00953692">
        <w:rPr>
          <w:i/>
          <w:iCs/>
          <w:sz w:val="24"/>
          <w:szCs w:val="24"/>
          <w:lang w:val="fr-FR"/>
        </w:rPr>
        <w:lastRenderedPageBreak/>
        <w:t xml:space="preserve">bon juge condamne le crime sans </w:t>
      </w:r>
      <w:r w:rsidR="003F3665" w:rsidRPr="00953692">
        <w:rPr>
          <w:i/>
          <w:iCs/>
          <w:sz w:val="24"/>
          <w:szCs w:val="24"/>
          <w:lang w:val="fr-FR"/>
        </w:rPr>
        <w:t>haïr</w:t>
      </w:r>
      <w:r w:rsidR="00BA03C1" w:rsidRPr="00953692">
        <w:rPr>
          <w:i/>
          <w:iCs/>
          <w:sz w:val="24"/>
          <w:szCs w:val="24"/>
          <w:lang w:val="fr-FR"/>
        </w:rPr>
        <w:t xml:space="preserve"> le criminel</w:t>
      </w:r>
      <w:r w:rsidR="003F3665" w:rsidRPr="00953692">
        <w:rPr>
          <w:sz w:val="24"/>
          <w:szCs w:val="24"/>
          <w:lang w:val="fr-FR"/>
        </w:rPr>
        <w:t> ». Ainsi, le dernier paragraphe de l’article 65 du statut de Rome laisse entrevoir un tel accord de collaboration entre le procureur et l’accusé</w:t>
      </w:r>
      <w:r w:rsidR="00340136" w:rsidRPr="00953692">
        <w:rPr>
          <w:rStyle w:val="Appelnotedebasdep"/>
          <w:sz w:val="24"/>
          <w:szCs w:val="24"/>
          <w:lang w:val="fr-FR"/>
        </w:rPr>
        <w:footnoteReference w:customMarkFollows="1" w:id="155"/>
        <w:t>133</w:t>
      </w:r>
      <w:r w:rsidR="003F3665" w:rsidRPr="00953692">
        <w:rPr>
          <w:sz w:val="24"/>
          <w:szCs w:val="24"/>
          <w:lang w:val="fr-FR"/>
        </w:rPr>
        <w:t>.</w:t>
      </w:r>
    </w:p>
    <w:p w14:paraId="597E5E19" w14:textId="14996DE0" w:rsidR="003611CB" w:rsidRPr="00953692" w:rsidRDefault="00C333C4" w:rsidP="00864BBF">
      <w:pPr>
        <w:spacing w:after="0" w:line="276" w:lineRule="auto"/>
        <w:ind w:firstLine="1134"/>
        <w:jc w:val="both"/>
        <w:rPr>
          <w:rFonts w:cs="Times New Roman"/>
          <w:sz w:val="24"/>
          <w:szCs w:val="24"/>
          <w:shd w:val="clear" w:color="auto" w:fill="FFFFFF"/>
          <w:lang w:val="fr-FR"/>
        </w:rPr>
      </w:pPr>
      <w:r w:rsidRPr="00953692">
        <w:rPr>
          <w:b/>
          <w:bCs/>
          <w:sz w:val="24"/>
          <w:szCs w:val="24"/>
          <w:lang w:val="fr-FR"/>
        </w:rPr>
        <w:t>207</w:t>
      </w:r>
      <w:r w:rsidR="003A0A58" w:rsidRPr="00953692">
        <w:rPr>
          <w:b/>
          <w:bCs/>
          <w:sz w:val="24"/>
          <w:szCs w:val="24"/>
          <w:lang w:val="fr-FR"/>
        </w:rPr>
        <w:t>.</w:t>
      </w:r>
      <w:r w:rsidR="003A0A58" w:rsidRPr="00953692">
        <w:rPr>
          <w:sz w:val="24"/>
          <w:szCs w:val="24"/>
          <w:lang w:val="fr-FR"/>
        </w:rPr>
        <w:t xml:space="preserve"> </w:t>
      </w:r>
      <w:r w:rsidR="00181BCD" w:rsidRPr="00953692">
        <w:rPr>
          <w:sz w:val="24"/>
          <w:szCs w:val="24"/>
          <w:lang w:val="fr-FR"/>
        </w:rPr>
        <w:t xml:space="preserve">Dans son magnifique ouvrage consacré aux juridictions pénales internationales publié en 2003, </w:t>
      </w:r>
      <w:r w:rsidR="000B3AF2" w:rsidRPr="00953692">
        <w:rPr>
          <w:rFonts w:cs="Times New Roman"/>
          <w:sz w:val="24"/>
          <w:szCs w:val="24"/>
          <w:lang w:val="fr-FR"/>
        </w:rPr>
        <w:t>Anne-Marie La Rosa</w:t>
      </w:r>
      <w:r w:rsidR="00F54F49" w:rsidRPr="00953692">
        <w:rPr>
          <w:rFonts w:cs="Times New Roman"/>
          <w:sz w:val="24"/>
          <w:szCs w:val="24"/>
          <w:lang w:val="fr-FR"/>
        </w:rPr>
        <w:t>,</w:t>
      </w:r>
      <w:r w:rsidR="000B3AF2" w:rsidRPr="00953692">
        <w:rPr>
          <w:rFonts w:cs="Times New Roman"/>
          <w:sz w:val="24"/>
          <w:szCs w:val="24"/>
          <w:lang w:val="fr-FR"/>
        </w:rPr>
        <w:t xml:space="preserve"> s’appuyant sur l’article 62 bis du RPP du TPIY</w:t>
      </w:r>
      <w:r w:rsidR="00F54F49" w:rsidRPr="00953692">
        <w:rPr>
          <w:rFonts w:cs="Times New Roman"/>
          <w:sz w:val="24"/>
          <w:szCs w:val="24"/>
          <w:lang w:val="fr-FR"/>
        </w:rPr>
        <w:t>,</w:t>
      </w:r>
      <w:r w:rsidR="000B3AF2" w:rsidRPr="00953692">
        <w:rPr>
          <w:rFonts w:cs="Times New Roman"/>
          <w:sz w:val="24"/>
          <w:szCs w:val="24"/>
          <w:lang w:val="fr-FR"/>
        </w:rPr>
        <w:t xml:space="preserve"> soutient que cette négociation</w:t>
      </w:r>
      <w:r w:rsidR="003A0A58" w:rsidRPr="00953692">
        <w:rPr>
          <w:rFonts w:cs="Times New Roman"/>
          <w:sz w:val="24"/>
          <w:szCs w:val="24"/>
          <w:lang w:val="fr-FR"/>
        </w:rPr>
        <w:t xml:space="preserve"> ou cet accord</w:t>
      </w:r>
      <w:r w:rsidR="000B3AF2" w:rsidRPr="00953692">
        <w:rPr>
          <w:rFonts w:cs="Times New Roman"/>
          <w:sz w:val="24"/>
          <w:szCs w:val="24"/>
          <w:lang w:val="fr-FR"/>
        </w:rPr>
        <w:t xml:space="preserve"> </w:t>
      </w:r>
      <w:r w:rsidR="00806FB5" w:rsidRPr="00953692">
        <w:rPr>
          <w:rFonts w:cs="Times New Roman"/>
          <w:sz w:val="24"/>
          <w:szCs w:val="24"/>
          <w:lang w:val="fr-FR"/>
        </w:rPr>
        <w:t>« </w:t>
      </w:r>
      <w:r w:rsidR="002222CC" w:rsidRPr="00953692">
        <w:rPr>
          <w:rFonts w:cs="Times New Roman"/>
          <w:sz w:val="24"/>
          <w:szCs w:val="24"/>
          <w:shd w:val="clear" w:color="auto" w:fill="FFFFFF"/>
          <w:lang w:val="fr-FR"/>
        </w:rPr>
        <w:t>doit être absolument exclu dans le contexte d’instances pénales qui visent à prévenir et à faire cesser des violations graves du droit international humanitaire, en recherchant la vérité en vue de contribuer à la réconciliation sociale des groupes, populations ou États affectés en raison du fait que, par définition, une telle négociation signifie que l’on s’éloigne volontairement et consciemment de la vérité</w:t>
      </w:r>
      <w:r w:rsidR="00806FB5" w:rsidRPr="00953692">
        <w:rPr>
          <w:rFonts w:cs="Times New Roman"/>
          <w:sz w:val="24"/>
          <w:szCs w:val="24"/>
          <w:lang w:val="fr-FR"/>
        </w:rPr>
        <w:t> »</w:t>
      </w:r>
      <w:r w:rsidR="00340136" w:rsidRPr="00953692">
        <w:rPr>
          <w:rStyle w:val="Appelnotedebasdep"/>
          <w:rFonts w:cs="Times New Roman"/>
          <w:sz w:val="24"/>
          <w:szCs w:val="24"/>
          <w:shd w:val="clear" w:color="auto" w:fill="FFFFFF"/>
          <w:lang w:val="fr-FR"/>
        </w:rPr>
        <w:footnoteReference w:customMarkFollows="1" w:id="156"/>
        <w:t>134</w:t>
      </w:r>
      <w:r w:rsidR="002222CC" w:rsidRPr="00953692">
        <w:rPr>
          <w:rFonts w:cs="Times New Roman"/>
          <w:sz w:val="24"/>
          <w:szCs w:val="24"/>
          <w:shd w:val="clear" w:color="auto" w:fill="FFFFFF"/>
          <w:lang w:val="fr-FR"/>
        </w:rPr>
        <w:t>.</w:t>
      </w:r>
      <w:r w:rsidR="00AB3DCC" w:rsidRPr="00953692">
        <w:rPr>
          <w:rFonts w:cs="Times New Roman"/>
          <w:sz w:val="24"/>
          <w:szCs w:val="24"/>
          <w:shd w:val="clear" w:color="auto" w:fill="FFFFFF"/>
          <w:lang w:val="fr-FR"/>
        </w:rPr>
        <w:t xml:space="preserve"> </w:t>
      </w:r>
    </w:p>
    <w:p w14:paraId="2241A857" w14:textId="53EFA7E1" w:rsidR="008F0F6A" w:rsidRPr="00953692" w:rsidRDefault="00C333C4"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208</w:t>
      </w:r>
      <w:r w:rsidR="003611CB" w:rsidRPr="00953692">
        <w:rPr>
          <w:rFonts w:cs="Times New Roman"/>
          <w:b/>
          <w:bCs/>
          <w:sz w:val="24"/>
          <w:szCs w:val="24"/>
          <w:shd w:val="clear" w:color="auto" w:fill="FFFFFF"/>
          <w:lang w:val="fr-FR"/>
        </w:rPr>
        <w:t>.</w:t>
      </w:r>
      <w:r w:rsidR="003611CB" w:rsidRPr="00953692">
        <w:rPr>
          <w:rFonts w:cs="Times New Roman"/>
          <w:sz w:val="24"/>
          <w:szCs w:val="24"/>
          <w:shd w:val="clear" w:color="auto" w:fill="FFFFFF"/>
          <w:lang w:val="fr-FR"/>
        </w:rPr>
        <w:t xml:space="preserve"> </w:t>
      </w:r>
      <w:r w:rsidR="00AB3DCC" w:rsidRPr="00953692">
        <w:rPr>
          <w:rFonts w:cs="Times New Roman"/>
          <w:sz w:val="24"/>
          <w:szCs w:val="24"/>
          <w:shd w:val="clear" w:color="auto" w:fill="FFFFFF"/>
          <w:lang w:val="fr-FR"/>
        </w:rPr>
        <w:t xml:space="preserve">Cette </w:t>
      </w:r>
      <w:r w:rsidR="00B35D37" w:rsidRPr="00953692">
        <w:rPr>
          <w:rFonts w:cs="Times New Roman"/>
          <w:sz w:val="24"/>
          <w:szCs w:val="24"/>
          <w:shd w:val="clear" w:color="auto" w:fill="FFFFFF"/>
          <w:lang w:val="fr-FR"/>
        </w:rPr>
        <w:t>remarque</w:t>
      </w:r>
      <w:r w:rsidR="00AB3DCC" w:rsidRPr="00953692">
        <w:rPr>
          <w:rFonts w:cs="Times New Roman"/>
          <w:sz w:val="24"/>
          <w:szCs w:val="24"/>
          <w:shd w:val="clear" w:color="auto" w:fill="FFFFFF"/>
          <w:lang w:val="fr-FR"/>
        </w:rPr>
        <w:t xml:space="preserve"> est</w:t>
      </w:r>
      <w:r w:rsidR="00907135" w:rsidRPr="00953692">
        <w:rPr>
          <w:rFonts w:cs="Times New Roman"/>
          <w:sz w:val="24"/>
          <w:szCs w:val="24"/>
          <w:shd w:val="clear" w:color="auto" w:fill="FFFFFF"/>
          <w:lang w:val="fr-FR"/>
        </w:rPr>
        <w:t>,</w:t>
      </w:r>
      <w:r w:rsidR="00AB3DCC" w:rsidRPr="00953692">
        <w:rPr>
          <w:rFonts w:cs="Times New Roman"/>
          <w:sz w:val="24"/>
          <w:szCs w:val="24"/>
          <w:shd w:val="clear" w:color="auto" w:fill="FFFFFF"/>
          <w:lang w:val="fr-FR"/>
        </w:rPr>
        <w:t xml:space="preserve"> sans nul doute</w:t>
      </w:r>
      <w:r w:rsidR="00907135" w:rsidRPr="00953692">
        <w:rPr>
          <w:rFonts w:cs="Times New Roman"/>
          <w:sz w:val="24"/>
          <w:szCs w:val="24"/>
          <w:shd w:val="clear" w:color="auto" w:fill="FFFFFF"/>
          <w:lang w:val="fr-FR"/>
        </w:rPr>
        <w:t>,</w:t>
      </w:r>
      <w:r w:rsidR="00AB3DCC" w:rsidRPr="00953692">
        <w:rPr>
          <w:rFonts w:cs="Times New Roman"/>
          <w:sz w:val="24"/>
          <w:szCs w:val="24"/>
          <w:shd w:val="clear" w:color="auto" w:fill="FFFFFF"/>
          <w:lang w:val="fr-FR"/>
        </w:rPr>
        <w:t xml:space="preserve"> pertinente au regard de la gravité des faits</w:t>
      </w:r>
      <w:r w:rsidR="00B35D37" w:rsidRPr="00953692">
        <w:rPr>
          <w:rFonts w:cs="Times New Roman"/>
          <w:sz w:val="24"/>
          <w:szCs w:val="24"/>
          <w:shd w:val="clear" w:color="auto" w:fill="FFFFFF"/>
          <w:lang w:val="fr-FR"/>
        </w:rPr>
        <w:t xml:space="preserve"> que</w:t>
      </w:r>
      <w:r w:rsidR="00AB3DCC" w:rsidRPr="00953692">
        <w:rPr>
          <w:rFonts w:cs="Times New Roman"/>
          <w:sz w:val="24"/>
          <w:szCs w:val="24"/>
          <w:shd w:val="clear" w:color="auto" w:fill="FFFFFF"/>
          <w:lang w:val="fr-FR"/>
        </w:rPr>
        <w:t xml:space="preserve"> les juges pénaux internationaux</w:t>
      </w:r>
      <w:r w:rsidR="00B35D37" w:rsidRPr="00953692">
        <w:rPr>
          <w:rFonts w:cs="Times New Roman"/>
          <w:sz w:val="24"/>
          <w:szCs w:val="24"/>
          <w:shd w:val="clear" w:color="auto" w:fill="FFFFFF"/>
          <w:lang w:val="fr-FR"/>
        </w:rPr>
        <w:t xml:space="preserve"> sont appelés à connaitre</w:t>
      </w:r>
      <w:r w:rsidR="00181BCD" w:rsidRPr="00953692">
        <w:rPr>
          <w:rFonts w:cs="Times New Roman"/>
          <w:sz w:val="24"/>
          <w:szCs w:val="24"/>
          <w:shd w:val="clear" w:color="auto" w:fill="FFFFFF"/>
          <w:lang w:val="fr-FR"/>
        </w:rPr>
        <w:t xml:space="preserve"> et dans le cadre de la lutte contre l’impunité des crimes internationaux</w:t>
      </w:r>
      <w:r w:rsidR="00AB3DCC" w:rsidRPr="00953692">
        <w:rPr>
          <w:rFonts w:cs="Times New Roman"/>
          <w:sz w:val="24"/>
          <w:szCs w:val="24"/>
          <w:shd w:val="clear" w:color="auto" w:fill="FFFFFF"/>
          <w:lang w:val="fr-FR"/>
        </w:rPr>
        <w:t xml:space="preserve">. </w:t>
      </w:r>
      <w:r w:rsidR="00181BCD" w:rsidRPr="00953692">
        <w:rPr>
          <w:rFonts w:cs="Times New Roman"/>
          <w:sz w:val="24"/>
          <w:szCs w:val="24"/>
          <w:shd w:val="clear" w:color="auto" w:fill="FFFFFF"/>
          <w:lang w:val="fr-FR"/>
        </w:rPr>
        <w:t xml:space="preserve">Cependant, il conviendrait de rappeler que tout au long de sa démarche </w:t>
      </w:r>
      <w:r w:rsidR="003611CB" w:rsidRPr="00953692">
        <w:rPr>
          <w:rFonts w:cs="Times New Roman"/>
          <w:sz w:val="24"/>
          <w:szCs w:val="24"/>
          <w:shd w:val="clear" w:color="auto" w:fill="FFFFFF"/>
          <w:lang w:val="fr-FR"/>
        </w:rPr>
        <w:t xml:space="preserve">d’avant le procès, le </w:t>
      </w:r>
      <w:r w:rsidR="00B135FF" w:rsidRPr="00953692">
        <w:rPr>
          <w:rFonts w:cs="Times New Roman"/>
          <w:sz w:val="24"/>
          <w:szCs w:val="24"/>
          <w:shd w:val="clear" w:color="auto" w:fill="FFFFFF"/>
          <w:lang w:val="fr-FR"/>
        </w:rPr>
        <w:t>P</w:t>
      </w:r>
      <w:r w:rsidR="003611CB" w:rsidRPr="00953692">
        <w:rPr>
          <w:rFonts w:cs="Times New Roman"/>
          <w:sz w:val="24"/>
          <w:szCs w:val="24"/>
          <w:shd w:val="clear" w:color="auto" w:fill="FFFFFF"/>
          <w:lang w:val="fr-FR"/>
        </w:rPr>
        <w:t xml:space="preserve">rocureur cherche, d’une manière générale, à obtenir de l’accusé la reconnaissance des faits mis à sa charge. L’interrogatoire est articulé de façon à lui permettre de se remémorer </w:t>
      </w:r>
      <w:r w:rsidR="00B135FF" w:rsidRPr="00953692">
        <w:rPr>
          <w:rFonts w:cs="Times New Roman"/>
          <w:sz w:val="24"/>
          <w:szCs w:val="24"/>
          <w:shd w:val="clear" w:color="auto" w:fill="FFFFFF"/>
          <w:lang w:val="fr-FR"/>
        </w:rPr>
        <w:t>l</w:t>
      </w:r>
      <w:r w:rsidR="003611CB" w:rsidRPr="00953692">
        <w:rPr>
          <w:rFonts w:cs="Times New Roman"/>
          <w:sz w:val="24"/>
          <w:szCs w:val="24"/>
          <w:shd w:val="clear" w:color="auto" w:fill="FFFFFF"/>
          <w:lang w:val="fr-FR"/>
        </w:rPr>
        <w:t>esdits faits, d’en comprendre la gravité et les conséquences qui en ont résulté. Cette démarche est commune à toutes les procédures pénales quel qu’en soit le système qui en constitue le fondement. En outre, comme nous le verrons un peu plus loin,</w:t>
      </w:r>
      <w:r w:rsidR="004450A9" w:rsidRPr="00953692">
        <w:rPr>
          <w:rFonts w:cs="Times New Roman"/>
          <w:sz w:val="24"/>
          <w:szCs w:val="24"/>
          <w:shd w:val="clear" w:color="auto" w:fill="FFFFFF"/>
          <w:lang w:val="fr-FR"/>
        </w:rPr>
        <w:t xml:space="preserve"> le fait que le juge ne soit pas lié à la négociation</w:t>
      </w:r>
      <w:r w:rsidR="00AD15F7" w:rsidRPr="00953692">
        <w:rPr>
          <w:rFonts w:cs="Times New Roman"/>
          <w:sz w:val="24"/>
          <w:szCs w:val="24"/>
          <w:shd w:val="clear" w:color="auto" w:fill="FFFFFF"/>
          <w:lang w:val="fr-FR"/>
        </w:rPr>
        <w:t xml:space="preserve"> </w:t>
      </w:r>
      <w:r w:rsidR="00B35D37" w:rsidRPr="00953692">
        <w:rPr>
          <w:rFonts w:cs="Times New Roman"/>
          <w:sz w:val="24"/>
          <w:szCs w:val="24"/>
          <w:shd w:val="clear" w:color="auto" w:fill="FFFFFF"/>
          <w:lang w:val="fr-FR"/>
        </w:rPr>
        <w:t xml:space="preserve">ou à l’accord sur le plaidoyer </w:t>
      </w:r>
      <w:r w:rsidR="004450A9" w:rsidRPr="00953692">
        <w:rPr>
          <w:rFonts w:cs="Times New Roman"/>
          <w:sz w:val="24"/>
          <w:szCs w:val="24"/>
          <w:shd w:val="clear" w:color="auto" w:fill="FFFFFF"/>
          <w:lang w:val="fr-FR"/>
        </w:rPr>
        <w:t>constitue</w:t>
      </w:r>
      <w:r w:rsidR="00B35D37" w:rsidRPr="00953692">
        <w:rPr>
          <w:rFonts w:cs="Times New Roman"/>
          <w:sz w:val="24"/>
          <w:szCs w:val="24"/>
          <w:shd w:val="clear" w:color="auto" w:fill="FFFFFF"/>
          <w:lang w:val="fr-FR"/>
        </w:rPr>
        <w:t xml:space="preserve"> </w:t>
      </w:r>
      <w:r w:rsidR="008F0F6A" w:rsidRPr="00953692">
        <w:rPr>
          <w:rFonts w:cs="Times New Roman"/>
          <w:sz w:val="24"/>
          <w:szCs w:val="24"/>
          <w:shd w:val="clear" w:color="auto" w:fill="FFFFFF"/>
          <w:lang w:val="fr-FR"/>
        </w:rPr>
        <w:t>évidemment</w:t>
      </w:r>
      <w:r w:rsidR="004450A9" w:rsidRPr="00953692">
        <w:rPr>
          <w:rFonts w:cs="Times New Roman"/>
          <w:sz w:val="24"/>
          <w:szCs w:val="24"/>
          <w:shd w:val="clear" w:color="auto" w:fill="FFFFFF"/>
          <w:lang w:val="fr-FR"/>
        </w:rPr>
        <w:t xml:space="preserve"> une véritable cuirasse contre toute banalisation des faits.</w:t>
      </w:r>
      <w:r w:rsidR="00B35D37" w:rsidRPr="00953692">
        <w:rPr>
          <w:sz w:val="24"/>
          <w:szCs w:val="24"/>
          <w:lang w:val="fr-FR"/>
        </w:rPr>
        <w:t xml:space="preserve"> </w:t>
      </w:r>
    </w:p>
    <w:p w14:paraId="6EFD052A" w14:textId="5E1A157E" w:rsidR="0028306E" w:rsidRPr="00953692" w:rsidRDefault="00C333C4"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209</w:t>
      </w:r>
      <w:r w:rsidR="008F0F6A" w:rsidRPr="00953692">
        <w:rPr>
          <w:rFonts w:cs="Times New Roman"/>
          <w:b/>
          <w:bCs/>
          <w:sz w:val="24"/>
          <w:szCs w:val="24"/>
          <w:shd w:val="clear" w:color="auto" w:fill="FFFFFF"/>
          <w:lang w:val="fr-FR"/>
        </w:rPr>
        <w:t>.</w:t>
      </w:r>
      <w:r w:rsidR="008F0F6A" w:rsidRPr="00953692">
        <w:rPr>
          <w:rFonts w:cs="Times New Roman"/>
          <w:sz w:val="24"/>
          <w:szCs w:val="24"/>
          <w:shd w:val="clear" w:color="auto" w:fill="FFFFFF"/>
          <w:lang w:val="fr-FR"/>
        </w:rPr>
        <w:t xml:space="preserve"> Enfin, il convient de rappeler qu</w:t>
      </w:r>
      <w:r w:rsidR="00A97925" w:rsidRPr="00953692">
        <w:rPr>
          <w:rFonts w:cs="Times New Roman"/>
          <w:sz w:val="24"/>
          <w:szCs w:val="24"/>
          <w:shd w:val="clear" w:color="auto" w:fill="FFFFFF"/>
          <w:lang w:val="fr-FR"/>
        </w:rPr>
        <w:t>e cette procédure est</w:t>
      </w:r>
      <w:r w:rsidR="008F0F6A" w:rsidRPr="00953692">
        <w:rPr>
          <w:rFonts w:cs="Times New Roman"/>
          <w:sz w:val="24"/>
          <w:szCs w:val="24"/>
          <w:shd w:val="clear" w:color="auto" w:fill="FFFFFF"/>
          <w:lang w:val="fr-FR"/>
        </w:rPr>
        <w:t xml:space="preserve"> prévue</w:t>
      </w:r>
      <w:r w:rsidR="00A97925" w:rsidRPr="00953692">
        <w:rPr>
          <w:rFonts w:cs="Times New Roman"/>
          <w:sz w:val="24"/>
          <w:szCs w:val="24"/>
          <w:shd w:val="clear" w:color="auto" w:fill="FFFFFF"/>
          <w:lang w:val="fr-FR"/>
        </w:rPr>
        <w:t xml:space="preserve"> en droit international pénal</w:t>
      </w:r>
      <w:r w:rsidR="008F0F6A" w:rsidRPr="00953692">
        <w:rPr>
          <w:rFonts w:cs="Times New Roman"/>
          <w:sz w:val="24"/>
          <w:szCs w:val="24"/>
          <w:shd w:val="clear" w:color="auto" w:fill="FFFFFF"/>
          <w:lang w:val="fr-FR"/>
        </w:rPr>
        <w:t>,</w:t>
      </w:r>
      <w:r w:rsidR="00A97925" w:rsidRPr="00953692">
        <w:rPr>
          <w:rFonts w:cs="Times New Roman"/>
          <w:sz w:val="24"/>
          <w:szCs w:val="24"/>
          <w:shd w:val="clear" w:color="auto" w:fill="FFFFFF"/>
          <w:lang w:val="fr-FR"/>
        </w:rPr>
        <w:t xml:space="preserve"> mais encadrée de manière à dépouiller les parties</w:t>
      </w:r>
      <w:r w:rsidR="008F0F6A" w:rsidRPr="00953692">
        <w:rPr>
          <w:rFonts w:cs="Times New Roman"/>
          <w:sz w:val="24"/>
          <w:szCs w:val="24"/>
          <w:shd w:val="clear" w:color="auto" w:fill="FFFFFF"/>
          <w:lang w:val="fr-FR"/>
        </w:rPr>
        <w:t>, en l’occurrence le procureur et l’accusé,</w:t>
      </w:r>
      <w:r w:rsidR="00A97925" w:rsidRPr="00953692">
        <w:rPr>
          <w:rFonts w:cs="Times New Roman"/>
          <w:sz w:val="24"/>
          <w:szCs w:val="24"/>
          <w:shd w:val="clear" w:color="auto" w:fill="FFFFFF"/>
          <w:lang w:val="fr-FR"/>
        </w:rPr>
        <w:t xml:space="preserve"> de </w:t>
      </w:r>
      <w:r w:rsidR="00B35D37" w:rsidRPr="00953692">
        <w:rPr>
          <w:rFonts w:cs="Times New Roman"/>
          <w:sz w:val="24"/>
          <w:szCs w:val="24"/>
          <w:shd w:val="clear" w:color="auto" w:fill="FFFFFF"/>
          <w:lang w:val="fr-FR"/>
        </w:rPr>
        <w:t xml:space="preserve">toute </w:t>
      </w:r>
      <w:r w:rsidR="00A97925" w:rsidRPr="00953692">
        <w:rPr>
          <w:rFonts w:cs="Times New Roman"/>
          <w:sz w:val="24"/>
          <w:szCs w:val="24"/>
          <w:shd w:val="clear" w:color="auto" w:fill="FFFFFF"/>
          <w:lang w:val="fr-FR"/>
        </w:rPr>
        <w:t xml:space="preserve">leur liberté de déterminer ce qui devra </w:t>
      </w:r>
      <w:r w:rsidR="00A93190" w:rsidRPr="00953692">
        <w:rPr>
          <w:rFonts w:cs="Times New Roman"/>
          <w:sz w:val="24"/>
          <w:szCs w:val="24"/>
          <w:shd w:val="clear" w:color="auto" w:fill="FFFFFF"/>
          <w:lang w:val="fr-FR"/>
        </w:rPr>
        <w:t xml:space="preserve">en </w:t>
      </w:r>
      <w:r w:rsidR="00A97925" w:rsidRPr="00953692">
        <w:rPr>
          <w:rFonts w:cs="Times New Roman"/>
          <w:sz w:val="24"/>
          <w:szCs w:val="24"/>
          <w:shd w:val="clear" w:color="auto" w:fill="FFFFFF"/>
          <w:lang w:val="fr-FR"/>
        </w:rPr>
        <w:t xml:space="preserve">être </w:t>
      </w:r>
      <w:r w:rsidR="00A93190" w:rsidRPr="00953692">
        <w:rPr>
          <w:rFonts w:cs="Times New Roman"/>
          <w:sz w:val="24"/>
          <w:szCs w:val="24"/>
          <w:shd w:val="clear" w:color="auto" w:fill="FFFFFF"/>
          <w:lang w:val="fr-FR"/>
        </w:rPr>
        <w:t xml:space="preserve">finalement </w:t>
      </w:r>
      <w:r w:rsidR="00A97925" w:rsidRPr="00953692">
        <w:rPr>
          <w:rFonts w:cs="Times New Roman"/>
          <w:sz w:val="24"/>
          <w:szCs w:val="24"/>
          <w:shd w:val="clear" w:color="auto" w:fill="FFFFFF"/>
          <w:lang w:val="fr-FR"/>
        </w:rPr>
        <w:t xml:space="preserve">la conséquence. </w:t>
      </w:r>
      <w:r w:rsidR="00CD24AD" w:rsidRPr="00953692">
        <w:rPr>
          <w:rFonts w:cs="Times New Roman"/>
          <w:sz w:val="24"/>
          <w:szCs w:val="24"/>
          <w:shd w:val="clear" w:color="auto" w:fill="FFFFFF"/>
          <w:lang w:val="fr-FR"/>
        </w:rPr>
        <w:t>Avouer sa culpabilité n’est pas que le résultat d’un accord</w:t>
      </w:r>
      <w:r w:rsidR="008F0F6A" w:rsidRPr="00953692">
        <w:rPr>
          <w:rFonts w:cs="Times New Roman"/>
          <w:sz w:val="24"/>
          <w:szCs w:val="24"/>
          <w:shd w:val="clear" w:color="auto" w:fill="FFFFFF"/>
          <w:lang w:val="fr-FR"/>
        </w:rPr>
        <w:t xml:space="preserve"> ou d’une collaboration</w:t>
      </w:r>
      <w:r w:rsidR="00A93190" w:rsidRPr="00953692">
        <w:rPr>
          <w:rFonts w:cs="Times New Roman"/>
          <w:sz w:val="24"/>
          <w:szCs w:val="24"/>
          <w:shd w:val="clear" w:color="auto" w:fill="FFFFFF"/>
          <w:lang w:val="fr-FR"/>
        </w:rPr>
        <w:t>,</w:t>
      </w:r>
      <w:r w:rsidR="00CD24AD" w:rsidRPr="00953692">
        <w:rPr>
          <w:rFonts w:cs="Times New Roman"/>
          <w:sz w:val="24"/>
          <w:szCs w:val="24"/>
          <w:shd w:val="clear" w:color="auto" w:fill="FFFFFF"/>
          <w:lang w:val="fr-FR"/>
        </w:rPr>
        <w:t xml:space="preserve"> </w:t>
      </w:r>
      <w:r w:rsidR="00A93190" w:rsidRPr="00953692">
        <w:rPr>
          <w:rFonts w:cs="Times New Roman"/>
          <w:sz w:val="24"/>
          <w:szCs w:val="24"/>
          <w:shd w:val="clear" w:color="auto" w:fill="FFFFFF"/>
          <w:lang w:val="fr-FR"/>
        </w:rPr>
        <w:t>c</w:t>
      </w:r>
      <w:r w:rsidR="00CD24AD" w:rsidRPr="00953692">
        <w:rPr>
          <w:rFonts w:cs="Times New Roman"/>
          <w:sz w:val="24"/>
          <w:szCs w:val="24"/>
          <w:shd w:val="clear" w:color="auto" w:fill="FFFFFF"/>
          <w:lang w:val="fr-FR"/>
        </w:rPr>
        <w:t>’est avant tout un acte</w:t>
      </w:r>
      <w:r w:rsidR="008F0F6A" w:rsidRPr="00953692">
        <w:rPr>
          <w:rFonts w:cs="Times New Roman"/>
          <w:sz w:val="24"/>
          <w:szCs w:val="24"/>
          <w:shd w:val="clear" w:color="auto" w:fill="FFFFFF"/>
          <w:lang w:val="fr-FR"/>
        </w:rPr>
        <w:t xml:space="preserve"> de</w:t>
      </w:r>
      <w:r w:rsidR="00CD24AD" w:rsidRPr="00953692">
        <w:rPr>
          <w:rFonts w:cs="Times New Roman"/>
          <w:sz w:val="24"/>
          <w:szCs w:val="24"/>
          <w:shd w:val="clear" w:color="auto" w:fill="FFFFFF"/>
          <w:lang w:val="fr-FR"/>
        </w:rPr>
        <w:t xml:space="preserve"> volont</w:t>
      </w:r>
      <w:r w:rsidR="008F0F6A" w:rsidRPr="00953692">
        <w:rPr>
          <w:rFonts w:cs="Times New Roman"/>
          <w:sz w:val="24"/>
          <w:szCs w:val="24"/>
          <w:shd w:val="clear" w:color="auto" w:fill="FFFFFF"/>
          <w:lang w:val="fr-FR"/>
        </w:rPr>
        <w:t>é</w:t>
      </w:r>
      <w:r w:rsidR="00CD24AD" w:rsidRPr="00953692">
        <w:rPr>
          <w:rFonts w:cs="Times New Roman"/>
          <w:sz w:val="24"/>
          <w:szCs w:val="24"/>
          <w:shd w:val="clear" w:color="auto" w:fill="FFFFFF"/>
          <w:lang w:val="fr-FR"/>
        </w:rPr>
        <w:t>, de conviction,</w:t>
      </w:r>
      <w:r w:rsidR="00981575" w:rsidRPr="00953692">
        <w:rPr>
          <w:rFonts w:cs="Times New Roman"/>
          <w:sz w:val="24"/>
          <w:szCs w:val="24"/>
          <w:shd w:val="clear" w:color="auto" w:fill="FFFFFF"/>
          <w:lang w:val="fr-FR"/>
        </w:rPr>
        <w:t xml:space="preserve"> d’expression de remords et</w:t>
      </w:r>
      <w:r w:rsidR="00CD24AD" w:rsidRPr="00953692">
        <w:rPr>
          <w:rFonts w:cs="Times New Roman"/>
          <w:sz w:val="24"/>
          <w:szCs w:val="24"/>
          <w:shd w:val="clear" w:color="auto" w:fill="FFFFFF"/>
          <w:lang w:val="fr-FR"/>
        </w:rPr>
        <w:t xml:space="preserve"> de repentir </w:t>
      </w:r>
      <w:r w:rsidR="00AD15F7" w:rsidRPr="00953692">
        <w:rPr>
          <w:rFonts w:cs="Times New Roman"/>
          <w:sz w:val="24"/>
          <w:szCs w:val="24"/>
          <w:shd w:val="clear" w:color="auto" w:fill="FFFFFF"/>
          <w:lang w:val="fr-FR"/>
        </w:rPr>
        <w:t>que devra poser l’accusé</w:t>
      </w:r>
      <w:r w:rsidR="008F0F6A" w:rsidRPr="00953692">
        <w:rPr>
          <w:rFonts w:cs="Times New Roman"/>
          <w:sz w:val="24"/>
          <w:szCs w:val="24"/>
          <w:shd w:val="clear" w:color="auto" w:fill="FFFFFF"/>
          <w:lang w:val="fr-FR"/>
        </w:rPr>
        <w:t xml:space="preserve"> dans le cadre des poursuites pénales engagées à son encontre, et ce, dans l’intérêt de la justice et de la Communauté</w:t>
      </w:r>
      <w:r w:rsidR="00AD15F7" w:rsidRPr="00953692">
        <w:rPr>
          <w:rFonts w:cs="Times New Roman"/>
          <w:sz w:val="24"/>
          <w:szCs w:val="24"/>
          <w:shd w:val="clear" w:color="auto" w:fill="FFFFFF"/>
          <w:lang w:val="fr-FR"/>
        </w:rPr>
        <w:t>.</w:t>
      </w:r>
      <w:r w:rsidR="0000323E" w:rsidRPr="00953692">
        <w:rPr>
          <w:rFonts w:cs="Times New Roman"/>
          <w:sz w:val="24"/>
          <w:szCs w:val="24"/>
          <w:shd w:val="clear" w:color="auto" w:fill="FFFFFF"/>
          <w:lang w:val="fr-FR"/>
        </w:rPr>
        <w:t xml:space="preserve"> Dans ce sens, le rôle du juge est de s’en assurer</w:t>
      </w:r>
      <w:r w:rsidR="0034095C" w:rsidRPr="00953692">
        <w:rPr>
          <w:rFonts w:cs="Times New Roman"/>
          <w:sz w:val="24"/>
          <w:szCs w:val="24"/>
          <w:shd w:val="clear" w:color="auto" w:fill="FFFFFF"/>
          <w:lang w:val="fr-FR"/>
        </w:rPr>
        <w:t xml:space="preserve"> non seulement la fiabilité, mais aussi</w:t>
      </w:r>
      <w:r w:rsidR="00981575" w:rsidRPr="00953692">
        <w:rPr>
          <w:rFonts w:cs="Times New Roman"/>
          <w:sz w:val="24"/>
          <w:szCs w:val="24"/>
          <w:shd w:val="clear" w:color="auto" w:fill="FFFFFF"/>
          <w:lang w:val="fr-FR"/>
        </w:rPr>
        <w:t xml:space="preserve"> la validité</w:t>
      </w:r>
      <w:r w:rsidR="0034095C" w:rsidRPr="00953692">
        <w:rPr>
          <w:rFonts w:cs="Times New Roman"/>
          <w:sz w:val="24"/>
          <w:szCs w:val="24"/>
          <w:shd w:val="clear" w:color="auto" w:fill="FFFFFF"/>
          <w:lang w:val="fr-FR"/>
        </w:rPr>
        <w:t xml:space="preserve"> (juridicité)</w:t>
      </w:r>
      <w:r w:rsidR="0000323E" w:rsidRPr="00953692">
        <w:rPr>
          <w:rFonts w:cs="Times New Roman"/>
          <w:sz w:val="24"/>
          <w:szCs w:val="24"/>
          <w:shd w:val="clear" w:color="auto" w:fill="FFFFFF"/>
          <w:lang w:val="fr-FR"/>
        </w:rPr>
        <w:t>.</w:t>
      </w:r>
    </w:p>
    <w:p w14:paraId="4A063B83" w14:textId="2C7F6C54" w:rsidR="00351A8E" w:rsidRPr="00953692" w:rsidRDefault="0000323E" w:rsidP="000B0381">
      <w:pPr>
        <w:pStyle w:val="Paragraphedeliste"/>
        <w:numPr>
          <w:ilvl w:val="0"/>
          <w:numId w:val="13"/>
        </w:numPr>
        <w:spacing w:before="240" w:line="276" w:lineRule="auto"/>
        <w:jc w:val="both"/>
        <w:outlineLvl w:val="2"/>
        <w:rPr>
          <w:sz w:val="24"/>
          <w:szCs w:val="24"/>
          <w:lang w:val="fr-FR"/>
        </w:rPr>
      </w:pPr>
      <w:bookmarkStart w:id="44" w:name="_Toc195179425"/>
      <w:bookmarkStart w:id="45" w:name="_Hlk149046147"/>
      <w:r w:rsidRPr="00953692">
        <w:rPr>
          <w:rFonts w:eastAsia="Times New Roman" w:cs="Times New Roman"/>
          <w:i/>
          <w:iCs/>
          <w:sz w:val="24"/>
          <w:szCs w:val="24"/>
          <w:shd w:val="clear" w:color="auto" w:fill="FFFFFF"/>
          <w:lang w:val="fr-FR"/>
        </w:rPr>
        <w:t>Condition</w:t>
      </w:r>
      <w:r w:rsidR="00A44522" w:rsidRPr="00953692">
        <w:rPr>
          <w:rFonts w:eastAsia="Times New Roman" w:cs="Times New Roman"/>
          <w:i/>
          <w:iCs/>
          <w:sz w:val="24"/>
          <w:szCs w:val="24"/>
          <w:shd w:val="clear" w:color="auto" w:fill="FFFFFF"/>
          <w:lang w:val="fr-FR"/>
        </w:rPr>
        <w:t>s</w:t>
      </w:r>
      <w:r w:rsidR="0098422A" w:rsidRPr="00953692">
        <w:rPr>
          <w:rFonts w:eastAsia="Times New Roman" w:cs="Times New Roman"/>
          <w:i/>
          <w:iCs/>
          <w:sz w:val="24"/>
          <w:szCs w:val="24"/>
          <w:shd w:val="clear" w:color="auto" w:fill="FFFFFF"/>
          <w:lang w:val="fr-FR"/>
        </w:rPr>
        <w:t xml:space="preserve"> de validité de l’aveu de culpabilité</w:t>
      </w:r>
      <w:r w:rsidR="009D2631" w:rsidRPr="00953692">
        <w:rPr>
          <w:rFonts w:eastAsia="Times New Roman" w:cs="Times New Roman"/>
          <w:i/>
          <w:iCs/>
          <w:sz w:val="24"/>
          <w:szCs w:val="24"/>
          <w:shd w:val="clear" w:color="auto" w:fill="FFFFFF"/>
          <w:lang w:val="fr-FR"/>
        </w:rPr>
        <w:t>, préalables à la possibilité d’une procédure pénale accélérée</w:t>
      </w:r>
      <w:bookmarkEnd w:id="44"/>
    </w:p>
    <w:bookmarkEnd w:id="45"/>
    <w:p w14:paraId="33773BF1" w14:textId="30DEB528" w:rsidR="00EE1B80" w:rsidRPr="00953692" w:rsidRDefault="00C333C4" w:rsidP="008D4A58">
      <w:pPr>
        <w:spacing w:after="0" w:line="276" w:lineRule="auto"/>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lastRenderedPageBreak/>
        <w:t>21</w:t>
      </w:r>
      <w:r w:rsidR="00A1769D" w:rsidRPr="00953692">
        <w:rPr>
          <w:rFonts w:eastAsia="Times New Roman" w:cs="Times New Roman"/>
          <w:b/>
          <w:bCs/>
          <w:sz w:val="24"/>
          <w:szCs w:val="24"/>
          <w:shd w:val="clear" w:color="auto" w:fill="FFFFFF"/>
          <w:lang w:val="fr-FR"/>
        </w:rPr>
        <w:t>0.</w:t>
      </w:r>
      <w:r w:rsidR="00A1769D" w:rsidRPr="00953692">
        <w:rPr>
          <w:rFonts w:eastAsia="Times New Roman" w:cs="Times New Roman"/>
          <w:sz w:val="24"/>
          <w:szCs w:val="24"/>
          <w:shd w:val="clear" w:color="auto" w:fill="FFFFFF"/>
          <w:lang w:val="fr-FR"/>
        </w:rPr>
        <w:t xml:space="preserve"> </w:t>
      </w:r>
      <w:r w:rsidR="00A425B2" w:rsidRPr="00953692">
        <w:rPr>
          <w:rFonts w:eastAsia="Times New Roman" w:cs="Times New Roman"/>
          <w:sz w:val="24"/>
          <w:szCs w:val="24"/>
          <w:shd w:val="clear" w:color="auto" w:fill="FFFFFF"/>
          <w:lang w:val="fr-FR"/>
        </w:rPr>
        <w:t>Commençons par se rappeler l</w:t>
      </w:r>
      <w:r w:rsidR="00E7102E" w:rsidRPr="00953692">
        <w:rPr>
          <w:rFonts w:eastAsia="Times New Roman" w:cs="Times New Roman"/>
          <w:sz w:val="24"/>
          <w:szCs w:val="24"/>
          <w:shd w:val="clear" w:color="auto" w:fill="FFFFFF"/>
          <w:lang w:val="fr-FR"/>
        </w:rPr>
        <w:t>a nature juridique de l’</w:t>
      </w:r>
      <w:r w:rsidR="00145E15" w:rsidRPr="00953692">
        <w:rPr>
          <w:rFonts w:eastAsia="Times New Roman" w:cs="Times New Roman"/>
          <w:sz w:val="24"/>
          <w:szCs w:val="24"/>
          <w:shd w:val="clear" w:color="auto" w:fill="FFFFFF"/>
          <w:lang w:val="fr-FR"/>
        </w:rPr>
        <w:t>aveu de culpabilité</w:t>
      </w:r>
      <w:r w:rsidR="00A425B2" w:rsidRPr="00953692">
        <w:rPr>
          <w:rFonts w:eastAsia="Times New Roman" w:cs="Times New Roman"/>
          <w:sz w:val="24"/>
          <w:szCs w:val="24"/>
          <w:shd w:val="clear" w:color="auto" w:fill="FFFFFF"/>
          <w:lang w:val="fr-FR"/>
        </w:rPr>
        <w:t xml:space="preserve"> qui</w:t>
      </w:r>
      <w:r w:rsidR="00145E15" w:rsidRPr="00953692">
        <w:rPr>
          <w:rFonts w:eastAsia="Times New Roman" w:cs="Times New Roman"/>
          <w:sz w:val="24"/>
          <w:szCs w:val="24"/>
          <w:shd w:val="clear" w:color="auto" w:fill="FFFFFF"/>
          <w:lang w:val="fr-FR"/>
        </w:rPr>
        <w:t xml:space="preserve"> </w:t>
      </w:r>
      <w:r w:rsidR="00E7102E" w:rsidRPr="00953692">
        <w:rPr>
          <w:rFonts w:eastAsia="Times New Roman" w:cs="Times New Roman"/>
          <w:sz w:val="24"/>
          <w:szCs w:val="24"/>
          <w:shd w:val="clear" w:color="auto" w:fill="FFFFFF"/>
          <w:lang w:val="fr-FR"/>
        </w:rPr>
        <w:t xml:space="preserve">reste une preuve. Se rapportant à Jean Pradel que nous avons cité précédemment, l’aveu </w:t>
      </w:r>
      <w:r w:rsidR="000A49E9" w:rsidRPr="00953692">
        <w:rPr>
          <w:rFonts w:eastAsia="Times New Roman" w:cs="Times New Roman"/>
          <w:sz w:val="24"/>
          <w:szCs w:val="24"/>
          <w:shd w:val="clear" w:color="auto" w:fill="FFFFFF"/>
          <w:lang w:val="fr-FR"/>
        </w:rPr>
        <w:t>peut évidemment être considéré comme « la reine des preuves », tel que l’affirment certains auteurs</w:t>
      </w:r>
      <w:r w:rsidR="008D4A58" w:rsidRPr="00953692">
        <w:rPr>
          <w:rStyle w:val="Appelnotedebasdep"/>
          <w:rFonts w:eastAsia="Times New Roman" w:cs="Times New Roman"/>
          <w:sz w:val="24"/>
          <w:szCs w:val="24"/>
          <w:shd w:val="clear" w:color="auto" w:fill="FFFFFF"/>
          <w:lang w:val="fr-FR"/>
        </w:rPr>
        <w:footnoteReference w:customMarkFollows="1" w:id="157"/>
        <w:t>135</w:t>
      </w:r>
      <w:r w:rsidR="000A49E9" w:rsidRPr="00953692">
        <w:rPr>
          <w:rFonts w:eastAsia="Times New Roman" w:cs="Times New Roman"/>
          <w:sz w:val="24"/>
          <w:szCs w:val="24"/>
          <w:shd w:val="clear" w:color="auto" w:fill="FFFFFF"/>
          <w:lang w:val="fr-FR"/>
        </w:rPr>
        <w:t xml:space="preserve">. </w:t>
      </w:r>
      <w:r w:rsidR="00737B47" w:rsidRPr="00953692">
        <w:rPr>
          <w:rStyle w:val="grammar"/>
          <w:rFonts w:cs="Times New Roman"/>
          <w:sz w:val="24"/>
          <w:szCs w:val="24"/>
          <w:lang w:val="fr-FR"/>
        </w:rPr>
        <w:t>À</w:t>
      </w:r>
      <w:r w:rsidR="00737B47" w:rsidRPr="00953692">
        <w:rPr>
          <w:rFonts w:cs="Times New Roman"/>
          <w:sz w:val="24"/>
          <w:szCs w:val="24"/>
          <w:shd w:val="clear" w:color="auto" w:fill="FFFFFF"/>
          <w:lang w:val="fr-FR"/>
        </w:rPr>
        <w:t xml:space="preserve"> ce titre</w:t>
      </w:r>
      <w:r w:rsidR="00E05AD5" w:rsidRPr="00953692">
        <w:rPr>
          <w:rFonts w:eastAsia="Times New Roman" w:cs="Times New Roman"/>
          <w:sz w:val="24"/>
          <w:szCs w:val="24"/>
          <w:shd w:val="clear" w:color="auto" w:fill="FFFFFF"/>
          <w:lang w:val="fr-FR"/>
        </w:rPr>
        <w:t>, il devait être</w:t>
      </w:r>
      <w:r w:rsidR="00145E15" w:rsidRPr="00953692">
        <w:rPr>
          <w:rFonts w:eastAsia="Times New Roman" w:cs="Times New Roman"/>
          <w:sz w:val="24"/>
          <w:szCs w:val="24"/>
          <w:shd w:val="clear" w:color="auto" w:fill="FFFFFF"/>
          <w:lang w:val="fr-FR"/>
        </w:rPr>
        <w:t xml:space="preserve"> laissé à l’appréciation souveraine du juge de fond</w:t>
      </w:r>
      <w:r w:rsidR="008D4A58" w:rsidRPr="00953692">
        <w:rPr>
          <w:rFonts w:cs="Times New Roman"/>
          <w:sz w:val="20"/>
          <w:szCs w:val="20"/>
          <w:lang w:val="fr-FR"/>
        </w:rPr>
        <w:t xml:space="preserve"> Article </w:t>
      </w:r>
      <w:r w:rsidR="008D4A58" w:rsidRPr="00953692">
        <w:rPr>
          <w:rFonts w:cs="Times New Roman"/>
          <w:sz w:val="24"/>
          <w:szCs w:val="24"/>
          <w:lang w:val="fr-FR"/>
        </w:rPr>
        <w:t>(162 du RPP du CPS Centrafricaine)</w:t>
      </w:r>
      <w:r w:rsidR="00295A01" w:rsidRPr="00953692">
        <w:rPr>
          <w:rFonts w:eastAsia="Times New Roman" w:cs="Times New Roman"/>
          <w:sz w:val="24"/>
          <w:szCs w:val="24"/>
          <w:shd w:val="clear" w:color="auto" w:fill="FFFFFF"/>
          <w:lang w:val="fr-FR"/>
        </w:rPr>
        <w:t xml:space="preserve">, car cela permet de déclarer l’accusé coupable. </w:t>
      </w:r>
      <w:r w:rsidR="00A425B2" w:rsidRPr="00953692">
        <w:rPr>
          <w:rFonts w:eastAsia="Times New Roman" w:cs="Times New Roman"/>
          <w:sz w:val="24"/>
          <w:szCs w:val="24"/>
          <w:shd w:val="clear" w:color="auto" w:fill="FFFFFF"/>
          <w:lang w:val="fr-FR"/>
        </w:rPr>
        <w:t xml:space="preserve">C’est en effet la première des preuves à en croire notamment l’articulation </w:t>
      </w:r>
      <w:r w:rsidR="00EE1B80" w:rsidRPr="00953692">
        <w:rPr>
          <w:rFonts w:eastAsia="Times New Roman" w:cs="Times New Roman"/>
          <w:sz w:val="24"/>
          <w:szCs w:val="24"/>
          <w:shd w:val="clear" w:color="auto" w:fill="FFFFFF"/>
          <w:lang w:val="fr-FR"/>
        </w:rPr>
        <w:t xml:space="preserve">du premier chapitre </w:t>
      </w:r>
      <w:r w:rsidR="00A425B2" w:rsidRPr="00953692">
        <w:rPr>
          <w:rFonts w:eastAsia="Times New Roman" w:cs="Times New Roman"/>
          <w:sz w:val="24"/>
          <w:szCs w:val="24"/>
          <w:shd w:val="clear" w:color="auto" w:fill="FFFFFF"/>
          <w:lang w:val="fr-FR"/>
        </w:rPr>
        <w:t xml:space="preserve">du titre VIII du RPP de la CPS centrafricaine consacrée à </w:t>
      </w:r>
      <w:r w:rsidR="00EE1B80" w:rsidRPr="00953692">
        <w:rPr>
          <w:rFonts w:eastAsia="Times New Roman" w:cs="Times New Roman"/>
          <w:sz w:val="24"/>
          <w:szCs w:val="24"/>
          <w:shd w:val="clear" w:color="auto" w:fill="FFFFFF"/>
          <w:lang w:val="fr-FR"/>
        </w:rPr>
        <w:t xml:space="preserve">l’administration de la preuve. On peut ici voir la pertinence de ce qui a été dit précédemment sur </w:t>
      </w:r>
      <w:r w:rsidR="00ED6572" w:rsidRPr="00953692">
        <w:rPr>
          <w:rFonts w:eastAsia="Times New Roman" w:cs="Times New Roman"/>
          <w:sz w:val="24"/>
          <w:szCs w:val="24"/>
          <w:shd w:val="clear" w:color="auto" w:fill="FFFFFF"/>
          <w:lang w:val="fr-FR"/>
        </w:rPr>
        <w:t xml:space="preserve">l’objectif de l’enquête du procureur ou plus précisément des interrogatoires que ce dernier </w:t>
      </w:r>
      <w:r w:rsidR="00B135FF" w:rsidRPr="00953692">
        <w:rPr>
          <w:rFonts w:eastAsia="Times New Roman" w:cs="Times New Roman"/>
          <w:sz w:val="24"/>
          <w:szCs w:val="24"/>
          <w:shd w:val="clear" w:color="auto" w:fill="FFFFFF"/>
          <w:lang w:val="fr-FR"/>
        </w:rPr>
        <w:t>mène</w:t>
      </w:r>
      <w:r w:rsidR="00ED6572" w:rsidRPr="00953692">
        <w:rPr>
          <w:rFonts w:eastAsia="Times New Roman" w:cs="Times New Roman"/>
          <w:sz w:val="24"/>
          <w:szCs w:val="24"/>
          <w:shd w:val="clear" w:color="auto" w:fill="FFFFFF"/>
          <w:lang w:val="fr-FR"/>
        </w:rPr>
        <w:t xml:space="preserve"> à l’égard de la personne mise en cause. Il s’agit en plus de la </w:t>
      </w:r>
      <w:r w:rsidR="009368C8" w:rsidRPr="00953692">
        <w:rPr>
          <w:rFonts w:eastAsia="Times New Roman" w:cs="Times New Roman"/>
          <w:sz w:val="24"/>
          <w:szCs w:val="24"/>
          <w:shd w:val="clear" w:color="auto" w:fill="FFFFFF"/>
          <w:lang w:val="fr-FR"/>
        </w:rPr>
        <w:t>même</w:t>
      </w:r>
      <w:r w:rsidR="00ED6572" w:rsidRPr="00953692">
        <w:rPr>
          <w:rFonts w:eastAsia="Times New Roman" w:cs="Times New Roman"/>
          <w:sz w:val="24"/>
          <w:szCs w:val="24"/>
          <w:shd w:val="clear" w:color="auto" w:fill="FFFFFF"/>
          <w:lang w:val="fr-FR"/>
        </w:rPr>
        <w:t xml:space="preserve"> démarche que devra effectuer le juge, car l’accusé devant répondre aux accusations portées contre lui, aura donc le choix ou le droit de les avouer ou de les nier.</w:t>
      </w:r>
    </w:p>
    <w:p w14:paraId="252C5847" w14:textId="5999BC15" w:rsidR="00145E15" w:rsidRPr="00953692" w:rsidRDefault="00C333C4" w:rsidP="00864BBF">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211</w:t>
      </w:r>
      <w:r w:rsidR="00EE1B80" w:rsidRPr="00953692">
        <w:rPr>
          <w:rFonts w:eastAsia="Times New Roman" w:cs="Times New Roman"/>
          <w:b/>
          <w:bCs/>
          <w:sz w:val="24"/>
          <w:szCs w:val="24"/>
          <w:shd w:val="clear" w:color="auto" w:fill="FFFFFF"/>
          <w:lang w:val="fr-FR"/>
        </w:rPr>
        <w:t>.</w:t>
      </w:r>
      <w:r w:rsidR="00EE1B80" w:rsidRPr="00953692">
        <w:rPr>
          <w:rFonts w:eastAsia="Times New Roman" w:cs="Times New Roman"/>
          <w:sz w:val="24"/>
          <w:szCs w:val="24"/>
          <w:shd w:val="clear" w:color="auto" w:fill="FFFFFF"/>
          <w:lang w:val="fr-FR"/>
        </w:rPr>
        <w:t xml:space="preserve"> </w:t>
      </w:r>
      <w:r w:rsidR="00C00CE8" w:rsidRPr="00953692">
        <w:rPr>
          <w:rFonts w:eastAsia="Times New Roman" w:cs="Times New Roman"/>
          <w:sz w:val="24"/>
          <w:szCs w:val="24"/>
          <w:shd w:val="clear" w:color="auto" w:fill="FFFFFF"/>
          <w:lang w:val="fr-FR"/>
        </w:rPr>
        <w:t>A cet effet,</w:t>
      </w:r>
      <w:r w:rsidR="00295A01" w:rsidRPr="00953692">
        <w:rPr>
          <w:rFonts w:eastAsia="Times New Roman" w:cs="Times New Roman"/>
          <w:sz w:val="24"/>
          <w:szCs w:val="24"/>
          <w:shd w:val="clear" w:color="auto" w:fill="FFFFFF"/>
          <w:lang w:val="fr-FR"/>
        </w:rPr>
        <w:t xml:space="preserve"> lorsque ce dernier plaide sa culpabilité</w:t>
      </w:r>
      <w:r w:rsidR="00C00CE8" w:rsidRPr="00953692">
        <w:rPr>
          <w:rFonts w:eastAsia="Times New Roman" w:cs="Times New Roman"/>
          <w:sz w:val="24"/>
          <w:szCs w:val="24"/>
          <w:shd w:val="clear" w:color="auto" w:fill="FFFFFF"/>
          <w:lang w:val="fr-FR"/>
        </w:rPr>
        <w:t xml:space="preserve"> dans les faits qui lui sont reprochés</w:t>
      </w:r>
      <w:r w:rsidR="00295A01" w:rsidRPr="00953692">
        <w:rPr>
          <w:rFonts w:eastAsia="Times New Roman" w:cs="Times New Roman"/>
          <w:sz w:val="24"/>
          <w:szCs w:val="24"/>
          <w:shd w:val="clear" w:color="auto" w:fill="FFFFFF"/>
          <w:lang w:val="fr-FR"/>
        </w:rPr>
        <w:t>, le juge peut le déclarer coupable dès sa première comparution.</w:t>
      </w:r>
      <w:r w:rsidR="00C00CE8" w:rsidRPr="00953692">
        <w:rPr>
          <w:rFonts w:eastAsia="Times New Roman" w:cs="Times New Roman"/>
          <w:sz w:val="24"/>
          <w:szCs w:val="24"/>
          <w:shd w:val="clear" w:color="auto" w:fill="FFFFFF"/>
          <w:lang w:val="fr-FR"/>
        </w:rPr>
        <w:t xml:space="preserve"> Il y a, aux yeux de la justice voire de toute la communauté (particulièrement touchée par les faits criminels), une véritable preuve de la culpabilité d’une personne formellement accusée.</w:t>
      </w:r>
      <w:r w:rsidR="00295A01" w:rsidRPr="00953692">
        <w:rPr>
          <w:rFonts w:eastAsia="Times New Roman" w:cs="Times New Roman"/>
          <w:sz w:val="24"/>
          <w:szCs w:val="24"/>
          <w:shd w:val="clear" w:color="auto" w:fill="FFFFFF"/>
          <w:lang w:val="fr-FR"/>
        </w:rPr>
        <w:t xml:space="preserve"> </w:t>
      </w:r>
      <w:r w:rsidR="00C81471" w:rsidRPr="00953692">
        <w:rPr>
          <w:rFonts w:eastAsia="Times New Roman" w:cs="Times New Roman"/>
          <w:sz w:val="24"/>
          <w:szCs w:val="24"/>
          <w:shd w:val="clear" w:color="auto" w:fill="FFFFFF"/>
          <w:lang w:val="fr-FR"/>
        </w:rPr>
        <w:t xml:space="preserve">Mais d’en arriver </w:t>
      </w:r>
      <w:r w:rsidR="00C00CE8" w:rsidRPr="00953692">
        <w:rPr>
          <w:rFonts w:eastAsia="Times New Roman" w:cs="Times New Roman"/>
          <w:sz w:val="24"/>
          <w:szCs w:val="24"/>
          <w:shd w:val="clear" w:color="auto" w:fill="FFFFFF"/>
          <w:lang w:val="fr-FR"/>
        </w:rPr>
        <w:t>exactement à cette conclusion aux lourdes conséquences</w:t>
      </w:r>
      <w:r w:rsidR="00C81471" w:rsidRPr="00953692">
        <w:rPr>
          <w:rFonts w:eastAsia="Times New Roman" w:cs="Times New Roman"/>
          <w:sz w:val="24"/>
          <w:szCs w:val="24"/>
          <w:shd w:val="clear" w:color="auto" w:fill="FFFFFF"/>
          <w:lang w:val="fr-FR"/>
        </w:rPr>
        <w:t xml:space="preserve">, le juge devra vérifier si </w:t>
      </w:r>
      <w:r w:rsidR="00145E15" w:rsidRPr="00953692">
        <w:rPr>
          <w:rFonts w:eastAsia="Times New Roman" w:cs="Times New Roman"/>
          <w:sz w:val="24"/>
          <w:szCs w:val="24"/>
          <w:shd w:val="clear" w:color="auto" w:fill="FFFFFF"/>
          <w:lang w:val="fr-FR"/>
        </w:rPr>
        <w:t>« </w:t>
      </w:r>
      <w:r w:rsidR="00145E15" w:rsidRPr="00953692">
        <w:rPr>
          <w:rFonts w:eastAsia="Times New Roman" w:cs="Times New Roman"/>
          <w:i/>
          <w:iCs/>
          <w:sz w:val="24"/>
          <w:szCs w:val="24"/>
          <w:shd w:val="clear" w:color="auto" w:fill="FFFFFF"/>
          <w:lang w:val="fr-FR"/>
        </w:rPr>
        <w:t>cet aveu a été fait délibérément, en connaissance de cause, sans équivoque, et</w:t>
      </w:r>
      <w:r w:rsidR="00145E15" w:rsidRPr="00953692">
        <w:rPr>
          <w:rFonts w:cs="Times New Roman"/>
          <w:i/>
          <w:iCs/>
          <w:sz w:val="24"/>
          <w:szCs w:val="24"/>
          <w:lang w:val="fr-FR"/>
        </w:rPr>
        <w:t xml:space="preserve"> qu’il existe des faits suffisants pour établir le crime et la participation de l’accusé à ce crime, compte tenu soit, d’indices indépendants soit, de l’absence de tout désaccord déterminant entre les parties sur les faits de l’affaire</w:t>
      </w:r>
      <w:r w:rsidR="00145E15" w:rsidRPr="00953692">
        <w:rPr>
          <w:rFonts w:cs="Times New Roman"/>
          <w:sz w:val="24"/>
          <w:szCs w:val="24"/>
          <w:lang w:val="fr-FR"/>
        </w:rPr>
        <w:t> »</w:t>
      </w:r>
      <w:r w:rsidR="008D4A58" w:rsidRPr="00953692">
        <w:rPr>
          <w:rStyle w:val="Appelnotedebasdep"/>
          <w:rFonts w:cs="Times New Roman"/>
          <w:sz w:val="24"/>
          <w:szCs w:val="24"/>
          <w:lang w:val="fr-FR"/>
        </w:rPr>
        <w:footnoteReference w:customMarkFollows="1" w:id="158"/>
        <w:t>136</w:t>
      </w:r>
      <w:r w:rsidR="00145E15" w:rsidRPr="00953692">
        <w:rPr>
          <w:rFonts w:cs="Times New Roman"/>
          <w:sz w:val="24"/>
          <w:szCs w:val="24"/>
          <w:lang w:val="fr-FR"/>
        </w:rPr>
        <w:t>. L’article 65 du statut de Rome</w:t>
      </w:r>
      <w:r w:rsidR="00C00CE8" w:rsidRPr="00953692">
        <w:rPr>
          <w:rFonts w:cs="Times New Roman"/>
          <w:sz w:val="24"/>
          <w:szCs w:val="24"/>
          <w:lang w:val="fr-FR"/>
        </w:rPr>
        <w:t xml:space="preserve"> de la CPI</w:t>
      </w:r>
      <w:r w:rsidR="00145E15" w:rsidRPr="00953692">
        <w:rPr>
          <w:rFonts w:cs="Times New Roman"/>
          <w:sz w:val="24"/>
          <w:szCs w:val="24"/>
          <w:lang w:val="fr-FR"/>
        </w:rPr>
        <w:t xml:space="preserve"> prévoit substantiellement les mêmes conditions de validité en des termes beaucoup plus clairs, explicites et se rapportant à la fois </w:t>
      </w:r>
      <w:r w:rsidR="00C00CE8" w:rsidRPr="00953692">
        <w:rPr>
          <w:rFonts w:cs="Times New Roman"/>
          <w:sz w:val="24"/>
          <w:szCs w:val="24"/>
          <w:lang w:val="fr-FR"/>
        </w:rPr>
        <w:t>à</w:t>
      </w:r>
      <w:r w:rsidR="00145E15" w:rsidRPr="00953692">
        <w:rPr>
          <w:rFonts w:cs="Times New Roman"/>
          <w:sz w:val="24"/>
          <w:szCs w:val="24"/>
          <w:lang w:val="fr-FR"/>
        </w:rPr>
        <w:t xml:space="preserve"> l’intentionnalité et </w:t>
      </w:r>
      <w:r w:rsidR="00C00CE8" w:rsidRPr="00953692">
        <w:rPr>
          <w:rFonts w:cs="Times New Roman"/>
          <w:sz w:val="24"/>
          <w:szCs w:val="24"/>
          <w:lang w:val="fr-FR"/>
        </w:rPr>
        <w:t xml:space="preserve">à </w:t>
      </w:r>
      <w:r w:rsidR="00145E15" w:rsidRPr="00953692">
        <w:rPr>
          <w:rFonts w:cs="Times New Roman"/>
          <w:sz w:val="24"/>
          <w:szCs w:val="24"/>
          <w:lang w:val="fr-FR"/>
        </w:rPr>
        <w:t xml:space="preserve">la matérialité </w:t>
      </w:r>
      <w:r w:rsidR="00C00CE8" w:rsidRPr="00953692">
        <w:rPr>
          <w:rFonts w:cs="Times New Roman"/>
          <w:sz w:val="24"/>
          <w:szCs w:val="24"/>
          <w:lang w:val="fr-FR"/>
        </w:rPr>
        <w:t>que l’on est censé</w:t>
      </w:r>
      <w:r w:rsidR="00145E15" w:rsidRPr="00953692">
        <w:rPr>
          <w:rFonts w:cs="Times New Roman"/>
          <w:sz w:val="24"/>
          <w:szCs w:val="24"/>
          <w:lang w:val="fr-FR"/>
        </w:rPr>
        <w:t xml:space="preserve"> retrouver dans cet accord </w:t>
      </w:r>
      <w:r w:rsidR="00B0621C" w:rsidRPr="00953692">
        <w:rPr>
          <w:rFonts w:cs="Times New Roman"/>
          <w:sz w:val="24"/>
          <w:szCs w:val="24"/>
          <w:lang w:val="fr-FR"/>
        </w:rPr>
        <w:t xml:space="preserve">de plaidoyer de culpabilité </w:t>
      </w:r>
      <w:r w:rsidR="00145E15" w:rsidRPr="00953692">
        <w:rPr>
          <w:rFonts w:cs="Times New Roman"/>
          <w:sz w:val="24"/>
          <w:szCs w:val="24"/>
          <w:lang w:val="fr-FR"/>
        </w:rPr>
        <w:t>ou dans cette reconnaissance de la culpabilité.</w:t>
      </w:r>
    </w:p>
    <w:p w14:paraId="7815A38F" w14:textId="11CB4072" w:rsidR="00C00CE8" w:rsidRPr="00953692" w:rsidRDefault="00C333C4"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212</w:t>
      </w:r>
      <w:r w:rsidR="00035CD0" w:rsidRPr="00953692">
        <w:rPr>
          <w:rFonts w:cs="Times New Roman"/>
          <w:b/>
          <w:bCs/>
          <w:sz w:val="24"/>
          <w:szCs w:val="24"/>
          <w:lang w:val="fr-FR"/>
        </w:rPr>
        <w:t>.</w:t>
      </w:r>
      <w:r w:rsidR="00035CD0" w:rsidRPr="00953692">
        <w:rPr>
          <w:rFonts w:cs="Times New Roman"/>
          <w:sz w:val="24"/>
          <w:szCs w:val="24"/>
          <w:lang w:val="fr-FR"/>
        </w:rPr>
        <w:t xml:space="preserve"> </w:t>
      </w:r>
      <w:r w:rsidR="0098422A" w:rsidRPr="00953692">
        <w:rPr>
          <w:rFonts w:cs="Times New Roman"/>
          <w:sz w:val="24"/>
          <w:szCs w:val="24"/>
          <w:lang w:val="fr-FR"/>
        </w:rPr>
        <w:t xml:space="preserve">Le regard scrutateur du juge le place au centre d’une institution censée </w:t>
      </w:r>
      <w:r w:rsidR="00035CD0" w:rsidRPr="00953692">
        <w:rPr>
          <w:rFonts w:cs="Times New Roman"/>
          <w:sz w:val="24"/>
          <w:szCs w:val="24"/>
          <w:lang w:val="fr-FR"/>
        </w:rPr>
        <w:t>être</w:t>
      </w:r>
      <w:r w:rsidR="0098422A" w:rsidRPr="00953692">
        <w:rPr>
          <w:rFonts w:cs="Times New Roman"/>
          <w:sz w:val="24"/>
          <w:szCs w:val="24"/>
          <w:lang w:val="fr-FR"/>
        </w:rPr>
        <w:t xml:space="preserve"> l’apanage des parties, particulièrement de l’accusé</w:t>
      </w:r>
      <w:r w:rsidR="00B0621C" w:rsidRPr="00953692">
        <w:rPr>
          <w:rFonts w:cs="Times New Roman"/>
          <w:sz w:val="24"/>
          <w:szCs w:val="24"/>
          <w:lang w:val="fr-FR"/>
        </w:rPr>
        <w:t xml:space="preserve"> étant donné qu’il s’agit d’un droit subjectif qui lui est garanti</w:t>
      </w:r>
      <w:r w:rsidR="0098422A" w:rsidRPr="00953692">
        <w:rPr>
          <w:rFonts w:cs="Times New Roman"/>
          <w:sz w:val="24"/>
          <w:szCs w:val="24"/>
          <w:lang w:val="fr-FR"/>
        </w:rPr>
        <w:t xml:space="preserve">. </w:t>
      </w:r>
      <w:r w:rsidR="00B0621C" w:rsidRPr="00953692">
        <w:rPr>
          <w:rFonts w:cs="Times New Roman"/>
          <w:sz w:val="24"/>
          <w:szCs w:val="24"/>
          <w:lang w:val="fr-FR"/>
        </w:rPr>
        <w:t>Le juge</w:t>
      </w:r>
      <w:r w:rsidR="00305044" w:rsidRPr="00953692">
        <w:rPr>
          <w:rFonts w:cs="Times New Roman"/>
          <w:sz w:val="24"/>
          <w:szCs w:val="24"/>
          <w:lang w:val="fr-FR"/>
        </w:rPr>
        <w:t>,</w:t>
      </w:r>
      <w:r w:rsidR="00B0621C" w:rsidRPr="00953692">
        <w:rPr>
          <w:rFonts w:cs="Times New Roman"/>
          <w:sz w:val="24"/>
          <w:szCs w:val="24"/>
          <w:lang w:val="fr-FR"/>
        </w:rPr>
        <w:t xml:space="preserve"> qui est garant des droits et libertés de l’individu en procédure pénale</w:t>
      </w:r>
      <w:r w:rsidR="00305044" w:rsidRPr="00953692">
        <w:rPr>
          <w:rFonts w:cs="Times New Roman"/>
          <w:sz w:val="24"/>
          <w:szCs w:val="24"/>
          <w:lang w:val="fr-FR"/>
        </w:rPr>
        <w:t>,</w:t>
      </w:r>
      <w:r w:rsidR="00B0621C" w:rsidRPr="00953692">
        <w:rPr>
          <w:rFonts w:cs="Times New Roman"/>
          <w:sz w:val="24"/>
          <w:szCs w:val="24"/>
          <w:lang w:val="fr-FR"/>
        </w:rPr>
        <w:t xml:space="preserve"> est donc l’organe compétent pour examiner la manière dont l’accusé entend s</w:t>
      </w:r>
      <w:r w:rsidR="00305044" w:rsidRPr="00953692">
        <w:rPr>
          <w:rFonts w:cs="Times New Roman"/>
          <w:sz w:val="24"/>
          <w:szCs w:val="24"/>
          <w:lang w:val="fr-FR"/>
        </w:rPr>
        <w:t>’</w:t>
      </w:r>
      <w:r w:rsidR="00B0621C" w:rsidRPr="00953692">
        <w:rPr>
          <w:rFonts w:cs="Times New Roman"/>
          <w:sz w:val="24"/>
          <w:szCs w:val="24"/>
          <w:lang w:val="fr-FR"/>
        </w:rPr>
        <w:t>e</w:t>
      </w:r>
      <w:r w:rsidR="00305044" w:rsidRPr="00953692">
        <w:rPr>
          <w:rFonts w:cs="Times New Roman"/>
          <w:sz w:val="24"/>
          <w:szCs w:val="24"/>
          <w:lang w:val="fr-FR"/>
        </w:rPr>
        <w:t>n</w:t>
      </w:r>
      <w:r w:rsidR="00B0621C" w:rsidRPr="00953692">
        <w:rPr>
          <w:rFonts w:cs="Times New Roman"/>
          <w:sz w:val="24"/>
          <w:szCs w:val="24"/>
          <w:lang w:val="fr-FR"/>
        </w:rPr>
        <w:t xml:space="preserve"> prévaloir. </w:t>
      </w:r>
      <w:r w:rsidR="00035CD0" w:rsidRPr="00953692">
        <w:rPr>
          <w:rFonts w:cs="Times New Roman"/>
          <w:sz w:val="24"/>
          <w:szCs w:val="24"/>
          <w:lang w:val="fr-FR"/>
        </w:rPr>
        <w:t>L</w:t>
      </w:r>
      <w:r w:rsidR="00145E15" w:rsidRPr="00953692">
        <w:rPr>
          <w:rFonts w:cs="Times New Roman"/>
          <w:sz w:val="24"/>
          <w:szCs w:val="24"/>
          <w:lang w:val="fr-FR"/>
        </w:rPr>
        <w:t>orsque</w:t>
      </w:r>
      <w:r w:rsidR="00035CD0" w:rsidRPr="00953692">
        <w:rPr>
          <w:rFonts w:cs="Times New Roman"/>
          <w:sz w:val="24"/>
          <w:szCs w:val="24"/>
          <w:lang w:val="fr-FR"/>
        </w:rPr>
        <w:t xml:space="preserve"> c</w:t>
      </w:r>
      <w:r w:rsidR="00145E15" w:rsidRPr="00953692">
        <w:rPr>
          <w:rFonts w:cs="Times New Roman"/>
          <w:sz w:val="24"/>
          <w:szCs w:val="24"/>
          <w:lang w:val="fr-FR"/>
        </w:rPr>
        <w:t>es conditions</w:t>
      </w:r>
      <w:r w:rsidR="00035CD0" w:rsidRPr="00953692">
        <w:rPr>
          <w:rFonts w:cs="Times New Roman"/>
          <w:sz w:val="24"/>
          <w:szCs w:val="24"/>
          <w:lang w:val="fr-FR"/>
        </w:rPr>
        <w:t xml:space="preserve"> (non cumulatives)</w:t>
      </w:r>
      <w:r w:rsidR="00145E15" w:rsidRPr="00953692">
        <w:rPr>
          <w:rFonts w:cs="Times New Roman"/>
          <w:sz w:val="24"/>
          <w:szCs w:val="24"/>
          <w:lang w:val="fr-FR"/>
        </w:rPr>
        <w:t xml:space="preserve"> ne sont pas réunies, la Chambre de première instance peut déconsidérer cet aveu de culpabilité et ordonner à ce que la procédure se poursuive selon la procédure </w:t>
      </w:r>
      <w:r w:rsidR="00035CD0" w:rsidRPr="00953692">
        <w:rPr>
          <w:rFonts w:cs="Times New Roman"/>
          <w:sz w:val="24"/>
          <w:szCs w:val="24"/>
          <w:lang w:val="fr-FR"/>
        </w:rPr>
        <w:t>ordinaire</w:t>
      </w:r>
      <w:r w:rsidR="00B0621C" w:rsidRPr="00953692">
        <w:rPr>
          <w:rFonts w:cs="Times New Roman"/>
          <w:sz w:val="24"/>
          <w:szCs w:val="24"/>
          <w:lang w:val="fr-FR"/>
        </w:rPr>
        <w:t>, et donc</w:t>
      </w:r>
      <w:r w:rsidR="00035CD0" w:rsidRPr="00953692">
        <w:rPr>
          <w:rFonts w:cs="Times New Roman"/>
          <w:sz w:val="24"/>
          <w:szCs w:val="24"/>
          <w:lang w:val="fr-FR"/>
        </w:rPr>
        <w:t xml:space="preserve"> contradictoire</w:t>
      </w:r>
      <w:r w:rsidR="00145E15" w:rsidRPr="00953692">
        <w:rPr>
          <w:rFonts w:cs="Times New Roman"/>
          <w:sz w:val="24"/>
          <w:szCs w:val="24"/>
          <w:lang w:val="fr-FR"/>
        </w:rPr>
        <w:t xml:space="preserve">. </w:t>
      </w:r>
      <w:r w:rsidR="000A0767" w:rsidRPr="00953692">
        <w:rPr>
          <w:rFonts w:cs="Times New Roman"/>
          <w:sz w:val="24"/>
          <w:szCs w:val="24"/>
          <w:lang w:val="fr-FR"/>
        </w:rPr>
        <w:t xml:space="preserve">Autrement dit, si le juge constate, par exemple, une équivocité, une incohérence dans le récit de l’accusé, il devra réfuter un tel aveu et décider à ce que le procès se déroule contradictoirement. </w:t>
      </w:r>
      <w:r w:rsidR="00E67A22" w:rsidRPr="00953692">
        <w:rPr>
          <w:rFonts w:cs="Times New Roman"/>
          <w:sz w:val="24"/>
          <w:szCs w:val="24"/>
          <w:lang w:val="fr-FR"/>
        </w:rPr>
        <w:t xml:space="preserve">Mais il se peut que l’accusé qui tient à plaider effectivement coupable rencontre aussi rapidement que pertinemment la préoccupation du juge et plaide à </w:t>
      </w:r>
      <w:r w:rsidR="00E67A22" w:rsidRPr="00953692">
        <w:rPr>
          <w:rFonts w:cs="Times New Roman"/>
          <w:sz w:val="24"/>
          <w:szCs w:val="24"/>
          <w:lang w:val="fr-FR"/>
        </w:rPr>
        <w:lastRenderedPageBreak/>
        <w:t>nouveau coupable</w:t>
      </w:r>
      <w:r w:rsidR="00D57C2E" w:rsidRPr="00953692">
        <w:rPr>
          <w:rStyle w:val="Appelnotedebasdep"/>
          <w:rFonts w:cs="Times New Roman"/>
          <w:sz w:val="24"/>
          <w:szCs w:val="24"/>
          <w:lang w:val="fr-FR"/>
        </w:rPr>
        <w:footnoteReference w:customMarkFollows="1" w:id="159"/>
        <w:t>137</w:t>
      </w:r>
      <w:r w:rsidR="00D57C2E" w:rsidRPr="00953692">
        <w:rPr>
          <w:rFonts w:cs="Times New Roman"/>
          <w:sz w:val="24"/>
          <w:szCs w:val="24"/>
          <w:lang w:val="fr-FR"/>
        </w:rPr>
        <w:t xml:space="preserve">. </w:t>
      </w:r>
      <w:r w:rsidR="00B0621C" w:rsidRPr="00953692">
        <w:rPr>
          <w:rFonts w:cs="Times New Roman"/>
          <w:sz w:val="24"/>
          <w:szCs w:val="24"/>
          <w:lang w:val="fr-FR"/>
        </w:rPr>
        <w:t xml:space="preserve">Il s’ensuit qu’il ne suffit pas de reconnaitre les faits tels qu’étayés ou présentés par le procureur dans son acte d’accusation, il faudrait observer une certaine cohérence dans le récit et les preuves sur lesquelles le juge devra s’appuyer pour établir la culpabilité de </w:t>
      </w:r>
      <w:r w:rsidR="00173B69" w:rsidRPr="00953692">
        <w:rPr>
          <w:rFonts w:cs="Times New Roman"/>
          <w:sz w:val="24"/>
          <w:szCs w:val="24"/>
          <w:lang w:val="fr-FR"/>
        </w:rPr>
        <w:t>celui qui en avoue</w:t>
      </w:r>
      <w:r w:rsidR="00B0621C" w:rsidRPr="00953692">
        <w:rPr>
          <w:rFonts w:cs="Times New Roman"/>
          <w:sz w:val="24"/>
          <w:szCs w:val="24"/>
          <w:lang w:val="fr-FR"/>
        </w:rPr>
        <w:t>.</w:t>
      </w:r>
    </w:p>
    <w:p w14:paraId="191780A6" w14:textId="32C9CB46" w:rsidR="00DA296D" w:rsidRPr="00953692" w:rsidRDefault="00C333C4"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213</w:t>
      </w:r>
      <w:r w:rsidR="00173B69" w:rsidRPr="00953692">
        <w:rPr>
          <w:rFonts w:cs="Times New Roman"/>
          <w:b/>
          <w:bCs/>
          <w:sz w:val="24"/>
          <w:szCs w:val="24"/>
          <w:lang w:val="fr-FR"/>
        </w:rPr>
        <w:t>.</w:t>
      </w:r>
      <w:r w:rsidR="00173B69" w:rsidRPr="00953692">
        <w:rPr>
          <w:rFonts w:cs="Times New Roman"/>
          <w:sz w:val="24"/>
          <w:szCs w:val="24"/>
          <w:lang w:val="fr-FR"/>
        </w:rPr>
        <w:t xml:space="preserve"> </w:t>
      </w:r>
      <w:r w:rsidR="009F4AE8" w:rsidRPr="00953692">
        <w:rPr>
          <w:rFonts w:cs="Times New Roman"/>
          <w:sz w:val="24"/>
          <w:szCs w:val="24"/>
          <w:lang w:val="fr-FR"/>
        </w:rPr>
        <w:t>Par exemple, l</w:t>
      </w:r>
      <w:r w:rsidR="0022617F" w:rsidRPr="00953692">
        <w:rPr>
          <w:rFonts w:cs="Times New Roman"/>
          <w:sz w:val="24"/>
          <w:szCs w:val="24"/>
          <w:lang w:val="fr-FR"/>
        </w:rPr>
        <w:t>’article 149 A) du RPP de la CPS centrafrica</w:t>
      </w:r>
      <w:r w:rsidR="009F4AE8" w:rsidRPr="00953692">
        <w:rPr>
          <w:rFonts w:cs="Times New Roman"/>
          <w:sz w:val="24"/>
          <w:szCs w:val="24"/>
          <w:lang w:val="fr-FR"/>
        </w:rPr>
        <w:t xml:space="preserve">ine que nous avons cité ci-haut précise que, la personne mise en cause susceptible de bénéficier d’une convention de collaboration devra donc se montrer disponible </w:t>
      </w:r>
      <w:r w:rsidR="009F4AE8" w:rsidRPr="00953692">
        <w:rPr>
          <w:rFonts w:cs="Times New Roman"/>
          <w:i/>
          <w:iCs/>
          <w:sz w:val="24"/>
          <w:szCs w:val="24"/>
          <w:lang w:val="fr-FR"/>
        </w:rPr>
        <w:t>de fournir à l’autorité judiciaire tout information utile à la manifestation de la vérité ou permettant d’identifier d’autres auteurs ou complices</w:t>
      </w:r>
      <w:r w:rsidR="00ED64BB" w:rsidRPr="00953692">
        <w:rPr>
          <w:rFonts w:cs="Times New Roman"/>
          <w:sz w:val="24"/>
          <w:szCs w:val="24"/>
          <w:lang w:val="fr-FR"/>
        </w:rPr>
        <w:t>…</w:t>
      </w:r>
      <w:r w:rsidR="00096FFA" w:rsidRPr="00953692">
        <w:rPr>
          <w:rFonts w:cs="Times New Roman"/>
          <w:sz w:val="24"/>
          <w:szCs w:val="24"/>
          <w:lang w:val="fr-FR"/>
        </w:rPr>
        <w:t xml:space="preserve"> </w:t>
      </w:r>
      <w:r w:rsidR="00F55186" w:rsidRPr="00953692">
        <w:rPr>
          <w:rFonts w:cs="Times New Roman"/>
          <w:sz w:val="24"/>
          <w:szCs w:val="24"/>
          <w:lang w:val="fr-FR"/>
        </w:rPr>
        <w:t xml:space="preserve">D’ailleurs, </w:t>
      </w:r>
      <w:r w:rsidR="00F55186" w:rsidRPr="00953692">
        <w:rPr>
          <w:rFonts w:cs="Times New Roman"/>
          <w:i/>
          <w:iCs/>
          <w:sz w:val="24"/>
          <w:szCs w:val="24"/>
          <w:lang w:val="fr-FR"/>
        </w:rPr>
        <w:t>lorsque lors de l’information judiciaire</w:t>
      </w:r>
      <w:r w:rsidR="00F55186" w:rsidRPr="00953692">
        <w:rPr>
          <w:i/>
          <w:iCs/>
          <w:sz w:val="24"/>
          <w:szCs w:val="24"/>
          <w:lang w:val="fr-FR"/>
        </w:rPr>
        <w:t>, les investigations menées contredisent les déclarations de l’inculpé ayant bénéficié d’une convention de collaboration ou si de</w:t>
      </w:r>
      <w:r w:rsidR="00ED64BB" w:rsidRPr="00953692">
        <w:rPr>
          <w:i/>
          <w:iCs/>
          <w:sz w:val="24"/>
          <w:szCs w:val="24"/>
          <w:lang w:val="fr-FR"/>
        </w:rPr>
        <w:t>s</w:t>
      </w:r>
      <w:r w:rsidR="00F55186" w:rsidRPr="00953692">
        <w:rPr>
          <w:i/>
          <w:iCs/>
          <w:sz w:val="24"/>
          <w:szCs w:val="24"/>
          <w:lang w:val="fr-FR"/>
        </w:rPr>
        <w:t xml:space="preserve"> nouveaux chefs d’inculpation lui sont notifiés, le dossier est communiqué au Procureur spécial qui, après avis du Cabinet d’instruction, peut renoncer à l’application de ladite convention</w:t>
      </w:r>
      <w:r w:rsidR="00F55186" w:rsidRPr="00953692">
        <w:rPr>
          <w:sz w:val="24"/>
          <w:szCs w:val="24"/>
          <w:lang w:val="fr-FR"/>
        </w:rPr>
        <w:t>.</w:t>
      </w:r>
      <w:r w:rsidR="00ED64BB" w:rsidRPr="00953692">
        <w:rPr>
          <w:rFonts w:cs="Times New Roman"/>
          <w:sz w:val="24"/>
          <w:szCs w:val="24"/>
          <w:lang w:val="fr-FR"/>
        </w:rPr>
        <w:t xml:space="preserve"> </w:t>
      </w:r>
      <w:r w:rsidR="00173B69" w:rsidRPr="00953692">
        <w:rPr>
          <w:rFonts w:cs="Times New Roman"/>
          <w:sz w:val="24"/>
          <w:szCs w:val="24"/>
          <w:lang w:val="fr-FR"/>
        </w:rPr>
        <w:t>On comprend donc que</w:t>
      </w:r>
      <w:r w:rsidR="000A0767" w:rsidRPr="00953692">
        <w:rPr>
          <w:rFonts w:cs="Times New Roman"/>
          <w:sz w:val="24"/>
          <w:szCs w:val="24"/>
          <w:lang w:val="fr-FR"/>
        </w:rPr>
        <w:t xml:space="preserve"> l’aveu n’implique pas </w:t>
      </w:r>
      <w:r w:rsidR="000A0767" w:rsidRPr="00953692">
        <w:rPr>
          <w:rFonts w:cs="Times New Roman"/>
          <w:i/>
          <w:iCs/>
          <w:sz w:val="24"/>
          <w:szCs w:val="24"/>
          <w:lang w:val="fr-FR"/>
        </w:rPr>
        <w:t>ipso facto</w:t>
      </w:r>
      <w:r w:rsidR="000A0767" w:rsidRPr="00953692">
        <w:rPr>
          <w:rFonts w:cs="Times New Roman"/>
          <w:sz w:val="24"/>
          <w:szCs w:val="24"/>
          <w:lang w:val="fr-FR"/>
        </w:rPr>
        <w:t xml:space="preserve"> une déclaration de culpabilité </w:t>
      </w:r>
      <w:r w:rsidR="0034095C" w:rsidRPr="00953692">
        <w:rPr>
          <w:rFonts w:cs="Times New Roman"/>
          <w:sz w:val="24"/>
          <w:szCs w:val="24"/>
          <w:lang w:val="fr-FR"/>
        </w:rPr>
        <w:t xml:space="preserve">dont seul </w:t>
      </w:r>
      <w:r w:rsidR="00737B47" w:rsidRPr="00953692">
        <w:rPr>
          <w:rFonts w:cs="Times New Roman"/>
          <w:sz w:val="24"/>
          <w:szCs w:val="24"/>
          <w:lang w:val="fr-FR"/>
        </w:rPr>
        <w:t>le</w:t>
      </w:r>
      <w:r w:rsidR="000A0767" w:rsidRPr="00953692">
        <w:rPr>
          <w:rFonts w:cs="Times New Roman"/>
          <w:sz w:val="24"/>
          <w:szCs w:val="24"/>
          <w:lang w:val="fr-FR"/>
        </w:rPr>
        <w:t xml:space="preserve"> juge</w:t>
      </w:r>
      <w:r w:rsidR="0034095C" w:rsidRPr="00953692">
        <w:rPr>
          <w:rFonts w:cs="Times New Roman"/>
          <w:sz w:val="24"/>
          <w:szCs w:val="24"/>
          <w:lang w:val="fr-FR"/>
        </w:rPr>
        <w:t xml:space="preserve"> en a la compétence exclusive</w:t>
      </w:r>
      <w:r w:rsidR="000A0767" w:rsidRPr="00953692">
        <w:rPr>
          <w:rFonts w:cs="Times New Roman"/>
          <w:sz w:val="24"/>
          <w:szCs w:val="24"/>
          <w:lang w:val="fr-FR"/>
        </w:rPr>
        <w:t xml:space="preserve">. </w:t>
      </w:r>
      <w:r w:rsidR="00096FFA" w:rsidRPr="00953692">
        <w:rPr>
          <w:rFonts w:cs="Times New Roman"/>
          <w:sz w:val="24"/>
          <w:szCs w:val="24"/>
          <w:lang w:val="fr-FR"/>
        </w:rPr>
        <w:t>Le paradoxe</w:t>
      </w:r>
      <w:r w:rsidR="000A0767" w:rsidRPr="00953692">
        <w:rPr>
          <w:rFonts w:cs="Times New Roman"/>
          <w:sz w:val="24"/>
          <w:szCs w:val="24"/>
          <w:lang w:val="fr-FR"/>
        </w:rPr>
        <w:t>,</w:t>
      </w:r>
      <w:r w:rsidR="00096FFA" w:rsidRPr="00953692">
        <w:rPr>
          <w:rFonts w:cs="Times New Roman"/>
          <w:sz w:val="24"/>
          <w:szCs w:val="24"/>
          <w:lang w:val="fr-FR"/>
        </w:rPr>
        <w:t xml:space="preserve"> c’est que</w:t>
      </w:r>
      <w:r w:rsidR="000A0767" w:rsidRPr="00953692">
        <w:rPr>
          <w:rFonts w:cs="Times New Roman"/>
          <w:sz w:val="24"/>
          <w:szCs w:val="24"/>
          <w:lang w:val="fr-FR"/>
        </w:rPr>
        <w:t xml:space="preserve"> lorsqu’il y a une insuffisance des faits susceptibles d’établir le crime ou la participation de l’accusé, le juge peut bien </w:t>
      </w:r>
      <w:r w:rsidR="00DA296D" w:rsidRPr="00953692">
        <w:rPr>
          <w:rFonts w:cs="Times New Roman"/>
          <w:sz w:val="24"/>
          <w:szCs w:val="24"/>
          <w:lang w:val="fr-FR"/>
        </w:rPr>
        <w:t xml:space="preserve">en douter ou le </w:t>
      </w:r>
      <w:r w:rsidR="000A0767" w:rsidRPr="00953692">
        <w:rPr>
          <w:rFonts w:cs="Times New Roman"/>
          <w:sz w:val="24"/>
          <w:szCs w:val="24"/>
          <w:lang w:val="fr-FR"/>
        </w:rPr>
        <w:t>déconsidérer.</w:t>
      </w:r>
      <w:r w:rsidR="00DA296D" w:rsidRPr="00953692">
        <w:rPr>
          <w:rFonts w:cs="Times New Roman"/>
          <w:sz w:val="24"/>
          <w:szCs w:val="24"/>
          <w:lang w:val="fr-FR"/>
        </w:rPr>
        <w:t xml:space="preserve"> Dans le premier cas, il peut demander des preuves supplémentaires. Et dans le second cas, il exigerait que la procédure devrait se dérouler selon les procédures normales telles que prévues.</w:t>
      </w:r>
      <w:r w:rsidR="000A0767" w:rsidRPr="00953692">
        <w:rPr>
          <w:rFonts w:cs="Times New Roman"/>
          <w:sz w:val="24"/>
          <w:szCs w:val="24"/>
          <w:lang w:val="fr-FR"/>
        </w:rPr>
        <w:t xml:space="preserve"> </w:t>
      </w:r>
    </w:p>
    <w:p w14:paraId="70B59D71" w14:textId="14D4DF49" w:rsidR="0083023C" w:rsidRPr="00953692" w:rsidRDefault="00C333C4"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214</w:t>
      </w:r>
      <w:r w:rsidR="00B372DE" w:rsidRPr="00953692">
        <w:rPr>
          <w:rFonts w:cs="Times New Roman"/>
          <w:b/>
          <w:bCs/>
          <w:sz w:val="24"/>
          <w:szCs w:val="24"/>
          <w:lang w:val="fr-FR"/>
        </w:rPr>
        <w:t>.</w:t>
      </w:r>
      <w:r w:rsidR="00B372DE" w:rsidRPr="00953692">
        <w:rPr>
          <w:rFonts w:cs="Times New Roman"/>
          <w:sz w:val="24"/>
          <w:szCs w:val="24"/>
          <w:lang w:val="fr-FR"/>
        </w:rPr>
        <w:t xml:space="preserve"> </w:t>
      </w:r>
      <w:r w:rsidR="00035CD0" w:rsidRPr="00953692">
        <w:rPr>
          <w:rFonts w:cs="Times New Roman"/>
          <w:sz w:val="24"/>
          <w:szCs w:val="24"/>
          <w:lang w:val="fr-FR"/>
        </w:rPr>
        <w:t xml:space="preserve">Le statut de Rome </w:t>
      </w:r>
      <w:r w:rsidR="000A0767" w:rsidRPr="00953692">
        <w:rPr>
          <w:rFonts w:cs="Times New Roman"/>
          <w:sz w:val="24"/>
          <w:szCs w:val="24"/>
          <w:lang w:val="fr-FR"/>
        </w:rPr>
        <w:t>va plus loin</w:t>
      </w:r>
      <w:r w:rsidR="00035CD0" w:rsidRPr="00953692">
        <w:rPr>
          <w:rFonts w:cs="Times New Roman"/>
          <w:sz w:val="24"/>
          <w:szCs w:val="24"/>
          <w:lang w:val="fr-FR"/>
        </w:rPr>
        <w:t>,</w:t>
      </w:r>
      <w:r w:rsidR="000A0767" w:rsidRPr="00953692">
        <w:rPr>
          <w:rFonts w:cs="Times New Roman"/>
          <w:sz w:val="24"/>
          <w:szCs w:val="24"/>
          <w:lang w:val="fr-FR"/>
        </w:rPr>
        <w:t xml:space="preserve"> en disposant</w:t>
      </w:r>
      <w:r w:rsidR="00035CD0" w:rsidRPr="00953692">
        <w:rPr>
          <w:rFonts w:cs="Times New Roman"/>
          <w:sz w:val="24"/>
          <w:szCs w:val="24"/>
          <w:lang w:val="fr-FR"/>
        </w:rPr>
        <w:t xml:space="preserve"> que</w:t>
      </w:r>
      <w:r w:rsidR="00145E15" w:rsidRPr="00953692">
        <w:rPr>
          <w:rFonts w:cs="Times New Roman"/>
          <w:sz w:val="24"/>
          <w:szCs w:val="24"/>
          <w:lang w:val="fr-FR"/>
        </w:rPr>
        <w:t>, « si la Chambre de première instance est convaincue qu'une présentation plus complète des faits de la cause serait dans l'intérêt de la justice, en particulier dans l'intérêt des victimes, elle peut demander au Procureur de présenter des éléments de preuve supplémentaires, y compris des dépositions de témoins ; ou ordonner que le procès se poursuive selon les procédures normales prévues par le statut »</w:t>
      </w:r>
      <w:r w:rsidR="008D4A58" w:rsidRPr="00953692">
        <w:rPr>
          <w:rStyle w:val="Appelnotedebasdep"/>
          <w:rFonts w:cs="Times New Roman"/>
          <w:sz w:val="24"/>
          <w:szCs w:val="24"/>
          <w:lang w:val="fr-FR"/>
        </w:rPr>
        <w:footnoteReference w:customMarkFollows="1" w:id="160"/>
        <w:t>138</w:t>
      </w:r>
      <w:r w:rsidR="00145E15" w:rsidRPr="00953692">
        <w:rPr>
          <w:rFonts w:cs="Times New Roman"/>
          <w:sz w:val="24"/>
          <w:szCs w:val="24"/>
          <w:lang w:val="fr-FR"/>
        </w:rPr>
        <w:t xml:space="preserve">. </w:t>
      </w:r>
      <w:r w:rsidR="000A0767" w:rsidRPr="00953692">
        <w:rPr>
          <w:rFonts w:cs="Times New Roman"/>
          <w:sz w:val="24"/>
          <w:szCs w:val="24"/>
          <w:lang w:val="fr-FR"/>
        </w:rPr>
        <w:t>Cette disposition va au-delà même de la validité</w:t>
      </w:r>
      <w:r w:rsidR="00CC6899" w:rsidRPr="00953692">
        <w:rPr>
          <w:rFonts w:cs="Times New Roman"/>
          <w:sz w:val="24"/>
          <w:szCs w:val="24"/>
          <w:lang w:val="fr-FR"/>
        </w:rPr>
        <w:t xml:space="preserve"> de l’aveu. C’est-à-dire que, même si l’aveu est conforme au statut, le juge peut en passer outre</w:t>
      </w:r>
      <w:r w:rsidR="00CF0A96" w:rsidRPr="00953692">
        <w:rPr>
          <w:rFonts w:cs="Times New Roman"/>
          <w:sz w:val="24"/>
          <w:szCs w:val="24"/>
          <w:lang w:val="fr-FR"/>
        </w:rPr>
        <w:t xml:space="preserve"> et exiger une procédure plutôt ordinaire</w:t>
      </w:r>
      <w:r w:rsidR="00C05C75" w:rsidRPr="00953692">
        <w:rPr>
          <w:rFonts w:cs="Times New Roman"/>
          <w:sz w:val="24"/>
          <w:szCs w:val="24"/>
          <w:lang w:val="fr-FR"/>
        </w:rPr>
        <w:t>.</w:t>
      </w:r>
      <w:r w:rsidR="00DA296D" w:rsidRPr="00953692">
        <w:rPr>
          <w:rFonts w:cs="Times New Roman"/>
          <w:sz w:val="24"/>
          <w:szCs w:val="24"/>
          <w:lang w:val="fr-FR"/>
        </w:rPr>
        <w:t xml:space="preserve"> Cette disposition se justifie par le fait que, le procès pénal n’est pas qu’organiser en vue de déclarer ou non l’accusé coupable des faits mis à sa charge. L’objectif majeur est de rétablir la vérité. La société, tout comme </w:t>
      </w:r>
      <w:r w:rsidR="00DA296D" w:rsidRPr="00953692">
        <w:rPr>
          <w:rFonts w:cs="Times New Roman"/>
          <w:sz w:val="24"/>
          <w:szCs w:val="24"/>
          <w:lang w:val="fr-FR"/>
        </w:rPr>
        <w:lastRenderedPageBreak/>
        <w:t>les victimes</w:t>
      </w:r>
      <w:r w:rsidR="00737B47" w:rsidRPr="00953692">
        <w:rPr>
          <w:rFonts w:cs="Times New Roman"/>
          <w:sz w:val="24"/>
          <w:szCs w:val="24"/>
          <w:lang w:val="fr-FR"/>
        </w:rPr>
        <w:t>,</w:t>
      </w:r>
      <w:r w:rsidR="00DA296D" w:rsidRPr="00953692">
        <w:rPr>
          <w:rFonts w:cs="Times New Roman"/>
          <w:sz w:val="24"/>
          <w:szCs w:val="24"/>
          <w:lang w:val="fr-FR"/>
        </w:rPr>
        <w:t xml:space="preserve"> </w:t>
      </w:r>
      <w:r w:rsidR="007020BC" w:rsidRPr="00953692">
        <w:rPr>
          <w:rFonts w:cs="Times New Roman"/>
          <w:sz w:val="24"/>
          <w:szCs w:val="24"/>
          <w:lang w:val="fr-FR"/>
        </w:rPr>
        <w:t xml:space="preserve">doivent connaitre </w:t>
      </w:r>
      <w:r w:rsidR="00DA296D" w:rsidRPr="00953692">
        <w:rPr>
          <w:rFonts w:cs="Times New Roman"/>
          <w:sz w:val="24"/>
          <w:szCs w:val="24"/>
          <w:lang w:val="fr-FR"/>
        </w:rPr>
        <w:t>une vérité auréolée de crédib</w:t>
      </w:r>
      <w:r w:rsidR="00B372DE" w:rsidRPr="00953692">
        <w:rPr>
          <w:rFonts w:cs="Times New Roman"/>
          <w:sz w:val="24"/>
          <w:szCs w:val="24"/>
          <w:lang w:val="fr-FR"/>
        </w:rPr>
        <w:t>i</w:t>
      </w:r>
      <w:r w:rsidR="00DA296D" w:rsidRPr="00953692">
        <w:rPr>
          <w:rFonts w:cs="Times New Roman"/>
          <w:sz w:val="24"/>
          <w:szCs w:val="24"/>
          <w:lang w:val="fr-FR"/>
        </w:rPr>
        <w:t>lité</w:t>
      </w:r>
      <w:r w:rsidR="00B372DE" w:rsidRPr="00953692">
        <w:rPr>
          <w:rFonts w:cs="Times New Roman"/>
          <w:sz w:val="24"/>
          <w:szCs w:val="24"/>
          <w:lang w:val="fr-FR"/>
        </w:rPr>
        <w:t xml:space="preserve"> et d’authenticité, que nul autre organe sociétal n</w:t>
      </w:r>
      <w:r w:rsidR="00CF0A96" w:rsidRPr="00953692">
        <w:rPr>
          <w:rFonts w:cs="Times New Roman"/>
          <w:sz w:val="24"/>
          <w:szCs w:val="24"/>
          <w:lang w:val="fr-FR"/>
        </w:rPr>
        <w:t>’en</w:t>
      </w:r>
      <w:r w:rsidR="00B372DE" w:rsidRPr="00953692">
        <w:rPr>
          <w:rFonts w:cs="Times New Roman"/>
          <w:sz w:val="24"/>
          <w:szCs w:val="24"/>
          <w:lang w:val="fr-FR"/>
        </w:rPr>
        <w:t xml:space="preserve"> s</w:t>
      </w:r>
      <w:r w:rsidR="00CF0A96" w:rsidRPr="00953692">
        <w:rPr>
          <w:rFonts w:cs="Times New Roman"/>
          <w:sz w:val="24"/>
          <w:szCs w:val="24"/>
          <w:lang w:val="fr-FR"/>
        </w:rPr>
        <w:t>erait capable de</w:t>
      </w:r>
      <w:r w:rsidR="00B372DE" w:rsidRPr="00953692">
        <w:rPr>
          <w:rFonts w:cs="Times New Roman"/>
          <w:sz w:val="24"/>
          <w:szCs w:val="24"/>
          <w:lang w:val="fr-FR"/>
        </w:rPr>
        <w:t xml:space="preserve"> leur </w:t>
      </w:r>
      <w:r w:rsidRPr="00953692">
        <w:rPr>
          <w:rFonts w:cs="Times New Roman"/>
          <w:sz w:val="24"/>
          <w:szCs w:val="24"/>
          <w:lang w:val="fr-FR"/>
        </w:rPr>
        <w:t>offrir</w:t>
      </w:r>
      <w:r w:rsidR="00B372DE" w:rsidRPr="00953692">
        <w:rPr>
          <w:rFonts w:cs="Times New Roman"/>
          <w:sz w:val="24"/>
          <w:szCs w:val="24"/>
          <w:lang w:val="fr-FR"/>
        </w:rPr>
        <w:t>. Et pourtant, l’aveu a pour conséquence logique, notamment d’écourter le procès, en évitant des débats contradictoires, au terme desquels pourrait résulter un certain nombre des vérités incontestables, dont ont besoin la société et les victimes.</w:t>
      </w:r>
    </w:p>
    <w:p w14:paraId="70E79D02" w14:textId="6FB33C59" w:rsidR="00E85B94" w:rsidRPr="00953692" w:rsidRDefault="00C333C4"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w:t>
      </w:r>
      <w:r w:rsidR="00993695" w:rsidRPr="00953692">
        <w:rPr>
          <w:rFonts w:cs="Times New Roman"/>
          <w:b/>
          <w:bCs/>
          <w:sz w:val="24"/>
          <w:szCs w:val="24"/>
          <w:lang w:val="fr-FR"/>
        </w:rPr>
        <w:t>15.</w:t>
      </w:r>
      <w:r w:rsidR="00993695" w:rsidRPr="00953692">
        <w:rPr>
          <w:rFonts w:cs="Times New Roman"/>
          <w:sz w:val="24"/>
          <w:szCs w:val="24"/>
          <w:lang w:val="fr-FR"/>
        </w:rPr>
        <w:t xml:space="preserve"> </w:t>
      </w:r>
      <w:r w:rsidR="00CF0A96" w:rsidRPr="00953692">
        <w:rPr>
          <w:rFonts w:cs="Times New Roman"/>
          <w:sz w:val="24"/>
          <w:szCs w:val="24"/>
          <w:lang w:val="fr-FR"/>
        </w:rPr>
        <w:t>Et pourtant, somme toute</w:t>
      </w:r>
      <w:r w:rsidR="00993695" w:rsidRPr="00953692">
        <w:rPr>
          <w:rFonts w:cs="Times New Roman"/>
          <w:sz w:val="24"/>
          <w:szCs w:val="24"/>
          <w:lang w:val="fr-FR"/>
        </w:rPr>
        <w:t>,</w:t>
      </w:r>
      <w:r w:rsidR="00CF0A96" w:rsidRPr="00953692">
        <w:rPr>
          <w:rFonts w:cs="Times New Roman"/>
          <w:sz w:val="24"/>
          <w:szCs w:val="24"/>
          <w:lang w:val="fr-FR"/>
        </w:rPr>
        <w:t xml:space="preserve"> c’est évidemment cet effet spécifique qui intéresse cette étude.</w:t>
      </w:r>
      <w:r w:rsidR="00993695" w:rsidRPr="00953692">
        <w:rPr>
          <w:rFonts w:cs="Times New Roman"/>
          <w:sz w:val="24"/>
          <w:szCs w:val="24"/>
          <w:lang w:val="fr-FR"/>
        </w:rPr>
        <w:t xml:space="preserve"> </w:t>
      </w:r>
      <w:r w:rsidR="00CF0A96" w:rsidRPr="00953692">
        <w:rPr>
          <w:rFonts w:cs="Times New Roman"/>
          <w:sz w:val="24"/>
          <w:szCs w:val="24"/>
          <w:lang w:val="fr-FR"/>
        </w:rPr>
        <w:t>S</w:t>
      </w:r>
      <w:r w:rsidR="00993695" w:rsidRPr="00953692">
        <w:rPr>
          <w:rFonts w:cs="Times New Roman"/>
          <w:sz w:val="24"/>
          <w:szCs w:val="24"/>
          <w:lang w:val="fr-FR"/>
        </w:rPr>
        <w:t xml:space="preserve">i une telle implication </w:t>
      </w:r>
      <w:r w:rsidR="0083023C" w:rsidRPr="00953692">
        <w:rPr>
          <w:rFonts w:cs="Times New Roman"/>
          <w:sz w:val="24"/>
          <w:szCs w:val="24"/>
          <w:lang w:val="fr-FR"/>
        </w:rPr>
        <w:t>pouvait</w:t>
      </w:r>
      <w:r w:rsidR="00926A63" w:rsidRPr="00953692">
        <w:rPr>
          <w:rFonts w:cs="Times New Roman"/>
          <w:sz w:val="24"/>
          <w:szCs w:val="24"/>
          <w:lang w:val="fr-FR"/>
        </w:rPr>
        <w:t xml:space="preserve"> désenchanter particulièrement les victimes, dans une certaine mesure,</w:t>
      </w:r>
      <w:r w:rsidR="00CF0A96" w:rsidRPr="00953692">
        <w:rPr>
          <w:rFonts w:cs="Times New Roman"/>
          <w:sz w:val="24"/>
          <w:szCs w:val="24"/>
          <w:lang w:val="fr-FR"/>
        </w:rPr>
        <w:t xml:space="preserve"> notamment lorsqu’elles ne sont pas satisfaites, </w:t>
      </w:r>
      <w:r w:rsidR="00926A63" w:rsidRPr="00953692">
        <w:rPr>
          <w:rFonts w:cs="Times New Roman"/>
          <w:sz w:val="24"/>
          <w:szCs w:val="24"/>
          <w:lang w:val="fr-FR"/>
        </w:rPr>
        <w:t>il est moins probable qu’il en soit le cas avec l’accusé qui</w:t>
      </w:r>
      <w:r w:rsidR="00CF0A96" w:rsidRPr="00953692">
        <w:rPr>
          <w:rFonts w:cs="Times New Roman"/>
          <w:sz w:val="24"/>
          <w:szCs w:val="24"/>
          <w:lang w:val="fr-FR"/>
        </w:rPr>
        <w:t>,</w:t>
      </w:r>
      <w:r w:rsidR="00926A63" w:rsidRPr="00953692">
        <w:rPr>
          <w:rFonts w:cs="Times New Roman"/>
          <w:sz w:val="24"/>
          <w:szCs w:val="24"/>
          <w:lang w:val="fr-FR"/>
        </w:rPr>
        <w:t xml:space="preserve"> souhait</w:t>
      </w:r>
      <w:r w:rsidR="00CF0A96" w:rsidRPr="00953692">
        <w:rPr>
          <w:rFonts w:cs="Times New Roman"/>
          <w:sz w:val="24"/>
          <w:szCs w:val="24"/>
          <w:lang w:val="fr-FR"/>
        </w:rPr>
        <w:t>ant plaider coupable, prétendrait</w:t>
      </w:r>
      <w:r w:rsidR="00926A63" w:rsidRPr="00953692">
        <w:rPr>
          <w:rFonts w:cs="Times New Roman"/>
          <w:sz w:val="24"/>
          <w:szCs w:val="24"/>
          <w:lang w:val="fr-FR"/>
        </w:rPr>
        <w:t xml:space="preserve"> à ce que son procès </w:t>
      </w:r>
      <w:r w:rsidR="00CF0A96" w:rsidRPr="00953692">
        <w:rPr>
          <w:rFonts w:cs="Times New Roman"/>
          <w:sz w:val="24"/>
          <w:szCs w:val="24"/>
          <w:lang w:val="fr-FR"/>
        </w:rPr>
        <w:t xml:space="preserve">se déroule et </w:t>
      </w:r>
      <w:r w:rsidR="00926A63" w:rsidRPr="00953692">
        <w:rPr>
          <w:rFonts w:cs="Times New Roman"/>
          <w:sz w:val="24"/>
          <w:szCs w:val="24"/>
          <w:lang w:val="fr-FR"/>
        </w:rPr>
        <w:t>s’achève a</w:t>
      </w:r>
      <w:r w:rsidR="00CF0A96" w:rsidRPr="00953692">
        <w:rPr>
          <w:rFonts w:cs="Times New Roman"/>
          <w:sz w:val="24"/>
          <w:szCs w:val="24"/>
          <w:lang w:val="fr-FR"/>
        </w:rPr>
        <w:t>u plus</w:t>
      </w:r>
      <w:r w:rsidR="00B63272" w:rsidRPr="00953692">
        <w:rPr>
          <w:rFonts w:cs="Times New Roman"/>
          <w:sz w:val="24"/>
          <w:szCs w:val="24"/>
          <w:lang w:val="fr-FR"/>
        </w:rPr>
        <w:t xml:space="preserve"> </w:t>
      </w:r>
      <w:r w:rsidR="00CF0A96" w:rsidRPr="00953692">
        <w:rPr>
          <w:rFonts w:cs="Times New Roman"/>
          <w:sz w:val="24"/>
          <w:szCs w:val="24"/>
          <w:lang w:val="fr-FR"/>
        </w:rPr>
        <w:t>vite</w:t>
      </w:r>
      <w:r w:rsidR="00926A63" w:rsidRPr="00953692">
        <w:rPr>
          <w:rFonts w:cs="Times New Roman"/>
          <w:sz w:val="24"/>
          <w:szCs w:val="24"/>
          <w:lang w:val="fr-FR"/>
        </w:rPr>
        <w:t xml:space="preserve">. Il faut garder à l’esprit qu’en plaidant valablement coupable, l’accusé se montre </w:t>
      </w:r>
      <w:r w:rsidR="006C41DC" w:rsidRPr="00953692">
        <w:rPr>
          <w:rFonts w:cs="Times New Roman"/>
          <w:sz w:val="24"/>
          <w:szCs w:val="24"/>
          <w:lang w:val="fr-FR"/>
        </w:rPr>
        <w:t xml:space="preserve">généralement </w:t>
      </w:r>
      <w:r w:rsidR="00926A63" w:rsidRPr="00953692">
        <w:rPr>
          <w:rFonts w:cs="Times New Roman"/>
          <w:sz w:val="24"/>
          <w:szCs w:val="24"/>
          <w:lang w:val="fr-FR"/>
        </w:rPr>
        <w:t xml:space="preserve">coopératif à l’égard de la justice puisqu’il devra, en principe, démontrer </w:t>
      </w:r>
      <w:r w:rsidR="0034095C" w:rsidRPr="00953692">
        <w:rPr>
          <w:rFonts w:cs="Times New Roman"/>
          <w:sz w:val="24"/>
          <w:szCs w:val="24"/>
          <w:lang w:val="fr-FR"/>
        </w:rPr>
        <w:t xml:space="preserve">dans la mesure du possible </w:t>
      </w:r>
      <w:r w:rsidR="00926A63" w:rsidRPr="00953692">
        <w:rPr>
          <w:rFonts w:cs="Times New Roman"/>
          <w:sz w:val="24"/>
          <w:szCs w:val="24"/>
          <w:lang w:val="fr-FR"/>
        </w:rPr>
        <w:t xml:space="preserve">les éléments matériels du crime qu’il avoue avoir commis. Et dans ce sens, </w:t>
      </w:r>
      <w:r w:rsidR="0034095C" w:rsidRPr="00953692">
        <w:rPr>
          <w:rFonts w:cs="Times New Roman"/>
          <w:sz w:val="24"/>
          <w:szCs w:val="24"/>
          <w:lang w:val="fr-FR"/>
        </w:rPr>
        <w:t xml:space="preserve">la pratique des juridictions pénales internationales montre suffisamment que, </w:t>
      </w:r>
      <w:r w:rsidR="001251C4" w:rsidRPr="00953692">
        <w:rPr>
          <w:rFonts w:cs="Times New Roman"/>
          <w:sz w:val="24"/>
          <w:szCs w:val="24"/>
          <w:lang w:val="fr-FR"/>
        </w:rPr>
        <w:t xml:space="preserve">plaider coupable </w:t>
      </w:r>
      <w:r w:rsidR="006C41DC" w:rsidRPr="00953692">
        <w:rPr>
          <w:rFonts w:cs="Times New Roman"/>
          <w:sz w:val="24"/>
          <w:szCs w:val="24"/>
          <w:lang w:val="fr-FR"/>
        </w:rPr>
        <w:t xml:space="preserve">avec une franche collaboration </w:t>
      </w:r>
      <w:r w:rsidR="001251C4" w:rsidRPr="00953692">
        <w:rPr>
          <w:rFonts w:cs="Times New Roman"/>
          <w:sz w:val="24"/>
          <w:szCs w:val="24"/>
          <w:lang w:val="fr-FR"/>
        </w:rPr>
        <w:t>facilite la célérité de la procédure et partant,</w:t>
      </w:r>
      <w:r w:rsidR="006C41DC" w:rsidRPr="00953692">
        <w:rPr>
          <w:rFonts w:cs="Times New Roman"/>
          <w:sz w:val="24"/>
          <w:szCs w:val="24"/>
          <w:lang w:val="fr-FR"/>
        </w:rPr>
        <w:t xml:space="preserve"> l’observation</w:t>
      </w:r>
      <w:r w:rsidR="001251C4" w:rsidRPr="00953692">
        <w:rPr>
          <w:rFonts w:cs="Times New Roman"/>
          <w:sz w:val="24"/>
          <w:szCs w:val="24"/>
          <w:lang w:val="fr-FR"/>
        </w:rPr>
        <w:t xml:space="preserve"> </w:t>
      </w:r>
      <w:r w:rsidR="006C41DC" w:rsidRPr="00953692">
        <w:rPr>
          <w:rFonts w:cs="Times New Roman"/>
          <w:sz w:val="24"/>
          <w:szCs w:val="24"/>
          <w:lang w:val="fr-FR"/>
        </w:rPr>
        <w:t>du</w:t>
      </w:r>
      <w:r w:rsidR="001251C4" w:rsidRPr="00953692">
        <w:rPr>
          <w:rFonts w:cs="Times New Roman"/>
          <w:sz w:val="24"/>
          <w:szCs w:val="24"/>
          <w:lang w:val="fr-FR"/>
        </w:rPr>
        <w:t xml:space="preserve"> droit de l’accusé d’être jugé sans retard excessif.</w:t>
      </w:r>
    </w:p>
    <w:p w14:paraId="582BC3BC" w14:textId="68287A4E" w:rsidR="00165F4D" w:rsidRPr="00953692" w:rsidRDefault="00ED789C" w:rsidP="000B0381">
      <w:pPr>
        <w:pStyle w:val="Titre3"/>
        <w:ind w:left="1134"/>
        <w:rPr>
          <w:rFonts w:ascii="Times New Roman" w:hAnsi="Times New Roman"/>
          <w:b w:val="0"/>
          <w:bCs/>
          <w:color w:val="auto"/>
          <w:sz w:val="24"/>
          <w:szCs w:val="24"/>
          <w:lang w:val="fr-FR"/>
        </w:rPr>
      </w:pPr>
      <w:bookmarkStart w:id="46" w:name="_Toc195179426"/>
      <w:bookmarkStart w:id="47" w:name="_Hlk149472438"/>
      <w:r>
        <w:rPr>
          <w:rFonts w:ascii="Times New Roman" w:hAnsi="Times New Roman"/>
          <w:b w:val="0"/>
          <w:bCs/>
          <w:i/>
          <w:iCs/>
          <w:color w:val="auto"/>
          <w:sz w:val="24"/>
          <w:szCs w:val="24"/>
          <w:lang w:val="fr-FR"/>
        </w:rPr>
        <w:t xml:space="preserve">Paragraphe </w:t>
      </w:r>
      <w:r w:rsidR="0008463B" w:rsidRPr="00953692">
        <w:rPr>
          <w:rFonts w:ascii="Times New Roman" w:hAnsi="Times New Roman"/>
          <w:b w:val="0"/>
          <w:bCs/>
          <w:i/>
          <w:iCs/>
          <w:color w:val="auto"/>
          <w:sz w:val="24"/>
          <w:szCs w:val="24"/>
          <w:lang w:val="fr-FR"/>
        </w:rPr>
        <w:t xml:space="preserve">2. </w:t>
      </w:r>
      <w:r w:rsidR="00623ECB" w:rsidRPr="00953692">
        <w:rPr>
          <w:rFonts w:ascii="Times New Roman" w:hAnsi="Times New Roman"/>
          <w:b w:val="0"/>
          <w:bCs/>
          <w:i/>
          <w:iCs/>
          <w:color w:val="auto"/>
          <w:sz w:val="24"/>
          <w:szCs w:val="24"/>
          <w:lang w:val="fr-FR"/>
        </w:rPr>
        <w:t>Implications</w:t>
      </w:r>
      <w:r w:rsidR="0008463B" w:rsidRPr="00953692">
        <w:rPr>
          <w:rFonts w:ascii="Times New Roman" w:hAnsi="Times New Roman"/>
          <w:b w:val="0"/>
          <w:bCs/>
          <w:i/>
          <w:iCs/>
          <w:color w:val="auto"/>
          <w:sz w:val="24"/>
          <w:szCs w:val="24"/>
          <w:lang w:val="fr-FR"/>
        </w:rPr>
        <w:t xml:space="preserve"> </w:t>
      </w:r>
      <w:r w:rsidR="005E2613" w:rsidRPr="00953692">
        <w:rPr>
          <w:rFonts w:ascii="Times New Roman" w:hAnsi="Times New Roman"/>
          <w:b w:val="0"/>
          <w:bCs/>
          <w:i/>
          <w:iCs/>
          <w:color w:val="auto"/>
          <w:sz w:val="24"/>
          <w:szCs w:val="24"/>
          <w:lang w:val="fr-FR"/>
        </w:rPr>
        <w:t xml:space="preserve">du droit </w:t>
      </w:r>
      <w:r w:rsidR="0008463B" w:rsidRPr="00953692">
        <w:rPr>
          <w:rFonts w:ascii="Times New Roman" w:hAnsi="Times New Roman"/>
          <w:b w:val="0"/>
          <w:bCs/>
          <w:i/>
          <w:iCs/>
          <w:color w:val="auto"/>
          <w:sz w:val="24"/>
          <w:szCs w:val="24"/>
          <w:lang w:val="fr-FR"/>
        </w:rPr>
        <w:t>de plaider coupable sur le délai rai</w:t>
      </w:r>
      <w:r w:rsidR="00623ECB" w:rsidRPr="00953692">
        <w:rPr>
          <w:rFonts w:ascii="Times New Roman" w:hAnsi="Times New Roman"/>
          <w:b w:val="0"/>
          <w:bCs/>
          <w:i/>
          <w:iCs/>
          <w:color w:val="auto"/>
          <w:sz w:val="24"/>
          <w:szCs w:val="24"/>
          <w:lang w:val="fr-FR"/>
        </w:rPr>
        <w:t>sonnable</w:t>
      </w:r>
      <w:r w:rsidR="004E43B3" w:rsidRPr="00953692">
        <w:rPr>
          <w:rFonts w:ascii="Times New Roman" w:hAnsi="Times New Roman"/>
          <w:b w:val="0"/>
          <w:bCs/>
          <w:i/>
          <w:iCs/>
          <w:color w:val="auto"/>
          <w:sz w:val="24"/>
          <w:szCs w:val="24"/>
          <w:lang w:val="fr-FR"/>
        </w:rPr>
        <w:t xml:space="preserve"> du procès</w:t>
      </w:r>
      <w:r w:rsidR="005E2613" w:rsidRPr="00953692">
        <w:rPr>
          <w:rFonts w:ascii="Times New Roman" w:hAnsi="Times New Roman"/>
          <w:b w:val="0"/>
          <w:bCs/>
          <w:i/>
          <w:iCs/>
          <w:color w:val="auto"/>
          <w:sz w:val="24"/>
          <w:szCs w:val="24"/>
          <w:lang w:val="fr-FR"/>
        </w:rPr>
        <w:t xml:space="preserve"> à la lumière des actes constitutifs et de la pratique des juridictions pénales internationales</w:t>
      </w:r>
      <w:bookmarkEnd w:id="46"/>
    </w:p>
    <w:bookmarkEnd w:id="47"/>
    <w:p w14:paraId="01D5C51A" w14:textId="7D956D4B" w:rsidR="0028306E" w:rsidRPr="00953692" w:rsidRDefault="00C333C4" w:rsidP="00864BBF">
      <w:pPr>
        <w:spacing w:before="240" w:line="276" w:lineRule="auto"/>
        <w:ind w:firstLine="1134"/>
        <w:jc w:val="both"/>
        <w:rPr>
          <w:rFonts w:cs="Times New Roman"/>
          <w:sz w:val="24"/>
          <w:szCs w:val="24"/>
          <w:lang w:val="fr-FR"/>
        </w:rPr>
      </w:pPr>
      <w:r w:rsidRPr="00953692">
        <w:rPr>
          <w:rFonts w:cs="Times New Roman"/>
          <w:b/>
          <w:bCs/>
          <w:sz w:val="24"/>
          <w:szCs w:val="24"/>
          <w:lang w:val="fr-FR"/>
        </w:rPr>
        <w:t>216</w:t>
      </w:r>
      <w:r w:rsidR="0057463A" w:rsidRPr="00953692">
        <w:rPr>
          <w:rFonts w:cs="Times New Roman"/>
          <w:b/>
          <w:bCs/>
          <w:sz w:val="24"/>
          <w:szCs w:val="24"/>
          <w:lang w:val="fr-FR"/>
        </w:rPr>
        <w:t>.</w:t>
      </w:r>
      <w:r w:rsidR="0057463A" w:rsidRPr="00953692">
        <w:rPr>
          <w:rFonts w:cs="Times New Roman"/>
          <w:sz w:val="24"/>
          <w:szCs w:val="24"/>
          <w:lang w:val="fr-FR"/>
        </w:rPr>
        <w:t xml:space="preserve"> </w:t>
      </w:r>
      <w:r w:rsidR="00D637A3" w:rsidRPr="00953692">
        <w:rPr>
          <w:rFonts w:cs="Times New Roman"/>
          <w:sz w:val="24"/>
          <w:szCs w:val="24"/>
          <w:lang w:val="fr-FR"/>
        </w:rPr>
        <w:t xml:space="preserve">Dans le cadre de cette première partie consacrée </w:t>
      </w:r>
      <w:r w:rsidR="00D82174" w:rsidRPr="00953692">
        <w:rPr>
          <w:rFonts w:cs="Times New Roman"/>
          <w:sz w:val="24"/>
          <w:szCs w:val="24"/>
          <w:lang w:val="fr-FR"/>
        </w:rPr>
        <w:t>à l’effet de</w:t>
      </w:r>
      <w:r w:rsidR="00D637A3" w:rsidRPr="00953692">
        <w:rPr>
          <w:rFonts w:cs="Times New Roman"/>
          <w:sz w:val="24"/>
          <w:szCs w:val="24"/>
          <w:lang w:val="fr-FR"/>
        </w:rPr>
        <w:t xml:space="preserve"> complémentarité des droits de l’accusé sur le droit d’être jugé dans un délai raisonnable, le présent paragraphe a pour principal objet d’en démontrer</w:t>
      </w:r>
      <w:r w:rsidR="002D548A" w:rsidRPr="00953692">
        <w:rPr>
          <w:rFonts w:cs="Times New Roman"/>
          <w:sz w:val="24"/>
          <w:szCs w:val="24"/>
          <w:lang w:val="fr-FR"/>
        </w:rPr>
        <w:t xml:space="preserve"> </w:t>
      </w:r>
      <w:r w:rsidR="00D637A3" w:rsidRPr="00953692">
        <w:rPr>
          <w:rFonts w:cs="Times New Roman"/>
          <w:sz w:val="24"/>
          <w:szCs w:val="24"/>
          <w:lang w:val="fr-FR"/>
        </w:rPr>
        <w:t>l’</w:t>
      </w:r>
      <w:r w:rsidR="002D548A" w:rsidRPr="00953692">
        <w:rPr>
          <w:rFonts w:cs="Times New Roman"/>
          <w:sz w:val="24"/>
          <w:szCs w:val="24"/>
          <w:lang w:val="fr-FR"/>
        </w:rPr>
        <w:t xml:space="preserve">implication </w:t>
      </w:r>
      <w:r w:rsidR="00D637A3" w:rsidRPr="00953692">
        <w:rPr>
          <w:rFonts w:cs="Times New Roman"/>
          <w:sz w:val="24"/>
          <w:szCs w:val="24"/>
          <w:lang w:val="fr-FR"/>
        </w:rPr>
        <w:t xml:space="preserve">pertinente d’un </w:t>
      </w:r>
      <w:r w:rsidR="00165F4D" w:rsidRPr="00953692">
        <w:rPr>
          <w:rFonts w:cs="Times New Roman"/>
          <w:sz w:val="24"/>
          <w:szCs w:val="24"/>
          <w:lang w:val="fr-FR"/>
        </w:rPr>
        <w:t>aveu de culpabilité</w:t>
      </w:r>
      <w:r w:rsidR="00D637A3" w:rsidRPr="00953692">
        <w:rPr>
          <w:rFonts w:cs="Times New Roman"/>
          <w:sz w:val="24"/>
          <w:szCs w:val="24"/>
          <w:lang w:val="fr-FR"/>
        </w:rPr>
        <w:t>, à savoir</w:t>
      </w:r>
      <w:r w:rsidR="00165F4D" w:rsidRPr="00953692">
        <w:rPr>
          <w:rFonts w:cs="Times New Roman"/>
          <w:sz w:val="24"/>
          <w:szCs w:val="24"/>
          <w:lang w:val="fr-FR"/>
        </w:rPr>
        <w:t xml:space="preserve"> cette </w:t>
      </w:r>
      <w:r w:rsidR="00165F4D" w:rsidRPr="00953692">
        <w:rPr>
          <w:rFonts w:cs="Times New Roman"/>
          <w:i/>
          <w:iCs/>
          <w:sz w:val="24"/>
          <w:szCs w:val="24"/>
          <w:lang w:val="fr-FR"/>
        </w:rPr>
        <w:t>économie d’un long procès</w:t>
      </w:r>
      <w:r w:rsidR="005E2613" w:rsidRPr="00953692">
        <w:rPr>
          <w:rFonts w:cs="Times New Roman"/>
          <w:sz w:val="24"/>
          <w:szCs w:val="24"/>
          <w:lang w:val="fr-FR"/>
        </w:rPr>
        <w:t xml:space="preserve"> </w:t>
      </w:r>
      <w:r w:rsidR="00D82174" w:rsidRPr="00953692">
        <w:rPr>
          <w:rFonts w:cs="Times New Roman"/>
          <w:sz w:val="24"/>
          <w:szCs w:val="24"/>
          <w:lang w:val="fr-FR"/>
        </w:rPr>
        <w:t xml:space="preserve">pénal international </w:t>
      </w:r>
      <w:r w:rsidR="00380CCE" w:rsidRPr="00953692">
        <w:rPr>
          <w:rFonts w:cs="Times New Roman"/>
          <w:sz w:val="24"/>
          <w:szCs w:val="24"/>
          <w:lang w:val="fr-FR"/>
        </w:rPr>
        <w:t>(A)</w:t>
      </w:r>
      <w:r w:rsidR="00165F4D" w:rsidRPr="00953692">
        <w:rPr>
          <w:rFonts w:cs="Times New Roman"/>
          <w:sz w:val="24"/>
          <w:szCs w:val="24"/>
          <w:lang w:val="fr-FR"/>
        </w:rPr>
        <w:t>, que l’on redoute</w:t>
      </w:r>
      <w:r w:rsidR="00380CCE" w:rsidRPr="00953692">
        <w:rPr>
          <w:rFonts w:cs="Times New Roman"/>
          <w:sz w:val="24"/>
          <w:szCs w:val="24"/>
          <w:lang w:val="fr-FR"/>
        </w:rPr>
        <w:t xml:space="preserve"> tous apriori</w:t>
      </w:r>
      <w:r w:rsidR="00165F4D" w:rsidRPr="00953692">
        <w:rPr>
          <w:rFonts w:cs="Times New Roman"/>
          <w:sz w:val="24"/>
          <w:szCs w:val="24"/>
          <w:lang w:val="fr-FR"/>
        </w:rPr>
        <w:t xml:space="preserve">. </w:t>
      </w:r>
      <w:r w:rsidR="0081595D" w:rsidRPr="00953692">
        <w:rPr>
          <w:rFonts w:cs="Times New Roman"/>
          <w:sz w:val="24"/>
          <w:szCs w:val="24"/>
          <w:lang w:val="fr-FR"/>
        </w:rPr>
        <w:t>Il va sans dire que l</w:t>
      </w:r>
      <w:r w:rsidR="00165F4D" w:rsidRPr="00953692">
        <w:rPr>
          <w:rFonts w:cs="Times New Roman"/>
          <w:sz w:val="24"/>
          <w:szCs w:val="24"/>
          <w:lang w:val="fr-FR"/>
        </w:rPr>
        <w:t xml:space="preserve">’accusé, tout comme le </w:t>
      </w:r>
      <w:r w:rsidR="0081595D" w:rsidRPr="00953692">
        <w:rPr>
          <w:rFonts w:cs="Times New Roman"/>
          <w:sz w:val="24"/>
          <w:szCs w:val="24"/>
          <w:lang w:val="fr-FR"/>
        </w:rPr>
        <w:t>P</w:t>
      </w:r>
      <w:r w:rsidR="00165F4D" w:rsidRPr="00953692">
        <w:rPr>
          <w:rFonts w:cs="Times New Roman"/>
          <w:sz w:val="24"/>
          <w:szCs w:val="24"/>
          <w:lang w:val="fr-FR"/>
        </w:rPr>
        <w:t>rocureur</w:t>
      </w:r>
      <w:r w:rsidR="00737B47" w:rsidRPr="00953692">
        <w:rPr>
          <w:rFonts w:cs="Times New Roman"/>
          <w:sz w:val="24"/>
          <w:szCs w:val="24"/>
          <w:lang w:val="fr-FR"/>
        </w:rPr>
        <w:t>,</w:t>
      </w:r>
      <w:r w:rsidR="00165F4D" w:rsidRPr="00953692">
        <w:rPr>
          <w:rFonts w:cs="Times New Roman"/>
          <w:sz w:val="24"/>
          <w:szCs w:val="24"/>
          <w:lang w:val="fr-FR"/>
        </w:rPr>
        <w:t xml:space="preserve"> voyant l’inutilité de s’engager dans une procédure contradictoire </w:t>
      </w:r>
      <w:r w:rsidR="007170D3" w:rsidRPr="00953692">
        <w:rPr>
          <w:rFonts w:cs="Times New Roman"/>
          <w:sz w:val="24"/>
          <w:szCs w:val="24"/>
          <w:lang w:val="fr-FR"/>
        </w:rPr>
        <w:t>à</w:t>
      </w:r>
      <w:r w:rsidR="00165F4D" w:rsidRPr="00953692">
        <w:rPr>
          <w:rFonts w:cs="Times New Roman"/>
          <w:sz w:val="24"/>
          <w:szCs w:val="24"/>
          <w:lang w:val="fr-FR"/>
        </w:rPr>
        <w:t xml:space="preserve"> l’issue visible</w:t>
      </w:r>
      <w:r w:rsidR="0081595D" w:rsidRPr="00953692">
        <w:rPr>
          <w:rFonts w:cs="Times New Roman"/>
          <w:sz w:val="24"/>
          <w:szCs w:val="24"/>
          <w:lang w:val="fr-FR"/>
        </w:rPr>
        <w:t>ment connue (la condamnation)</w:t>
      </w:r>
      <w:r w:rsidR="00165F4D" w:rsidRPr="00953692">
        <w:rPr>
          <w:rFonts w:cs="Times New Roman"/>
          <w:sz w:val="24"/>
          <w:szCs w:val="24"/>
          <w:lang w:val="fr-FR"/>
        </w:rPr>
        <w:t>, peut bien couper court au procès, quel</w:t>
      </w:r>
      <w:r w:rsidR="00565B8B" w:rsidRPr="00953692">
        <w:rPr>
          <w:rFonts w:cs="Times New Roman"/>
          <w:sz w:val="24"/>
          <w:szCs w:val="24"/>
          <w:lang w:val="fr-FR"/>
        </w:rPr>
        <w:t xml:space="preserve"> </w:t>
      </w:r>
      <w:r w:rsidR="00165F4D" w:rsidRPr="00953692">
        <w:rPr>
          <w:rFonts w:cs="Times New Roman"/>
          <w:sz w:val="24"/>
          <w:szCs w:val="24"/>
          <w:lang w:val="fr-FR"/>
        </w:rPr>
        <w:t>qu</w:t>
      </w:r>
      <w:r w:rsidR="00565B8B" w:rsidRPr="00953692">
        <w:rPr>
          <w:rFonts w:cs="Times New Roman"/>
          <w:sz w:val="24"/>
          <w:szCs w:val="24"/>
          <w:lang w:val="fr-FR"/>
        </w:rPr>
        <w:t>’en</w:t>
      </w:r>
      <w:r w:rsidR="00165F4D" w:rsidRPr="00953692">
        <w:rPr>
          <w:rFonts w:cs="Times New Roman"/>
          <w:sz w:val="24"/>
          <w:szCs w:val="24"/>
          <w:lang w:val="fr-FR"/>
        </w:rPr>
        <w:t xml:space="preserve"> soit le stade.</w:t>
      </w:r>
      <w:r w:rsidR="007170D3" w:rsidRPr="00953692">
        <w:rPr>
          <w:rFonts w:cs="Times New Roman"/>
          <w:sz w:val="24"/>
          <w:szCs w:val="24"/>
          <w:lang w:val="fr-FR"/>
        </w:rPr>
        <w:t xml:space="preserve"> C’est donc l’un des avantages d’abord théoriques que l’on puisse s’imaginer résult</w:t>
      </w:r>
      <w:r w:rsidR="00DA3850" w:rsidRPr="00953692">
        <w:rPr>
          <w:rFonts w:cs="Times New Roman"/>
          <w:sz w:val="24"/>
          <w:szCs w:val="24"/>
          <w:lang w:val="fr-FR"/>
        </w:rPr>
        <w:t>ant</w:t>
      </w:r>
      <w:r w:rsidR="007170D3" w:rsidRPr="00953692">
        <w:rPr>
          <w:rFonts w:cs="Times New Roman"/>
          <w:sz w:val="24"/>
          <w:szCs w:val="24"/>
          <w:lang w:val="fr-FR"/>
        </w:rPr>
        <w:t xml:space="preserve"> de cette procédure ou plus exactement de l’application du droit de l’accusé de plaider coupable.</w:t>
      </w:r>
      <w:r w:rsidR="00165F4D" w:rsidRPr="00953692">
        <w:rPr>
          <w:rFonts w:cs="Times New Roman"/>
          <w:sz w:val="24"/>
          <w:szCs w:val="24"/>
          <w:lang w:val="fr-FR"/>
        </w:rPr>
        <w:t xml:space="preserve"> </w:t>
      </w:r>
      <w:r w:rsidR="00FC7DE4" w:rsidRPr="00953692">
        <w:rPr>
          <w:rFonts w:cs="Times New Roman"/>
          <w:sz w:val="24"/>
          <w:szCs w:val="24"/>
          <w:lang w:val="fr-FR"/>
        </w:rPr>
        <w:t>Cependant,</w:t>
      </w:r>
      <w:r w:rsidR="003B4A50" w:rsidRPr="00953692">
        <w:rPr>
          <w:rFonts w:cs="Times New Roman"/>
          <w:sz w:val="24"/>
          <w:szCs w:val="24"/>
          <w:lang w:val="fr-FR"/>
        </w:rPr>
        <w:t xml:space="preserve"> </w:t>
      </w:r>
      <w:r w:rsidR="00FC7DE4" w:rsidRPr="00953692">
        <w:rPr>
          <w:rFonts w:cs="Times New Roman"/>
          <w:sz w:val="24"/>
          <w:szCs w:val="24"/>
          <w:lang w:val="fr-FR"/>
        </w:rPr>
        <w:t xml:space="preserve">une </w:t>
      </w:r>
      <w:r w:rsidR="003B4A50" w:rsidRPr="00953692">
        <w:rPr>
          <w:rFonts w:cs="Times New Roman"/>
          <w:sz w:val="24"/>
          <w:szCs w:val="24"/>
          <w:lang w:val="fr-FR"/>
        </w:rPr>
        <w:t xml:space="preserve">expérience mitigée </w:t>
      </w:r>
      <w:r w:rsidR="007170D3" w:rsidRPr="00953692">
        <w:rPr>
          <w:rFonts w:cs="Times New Roman"/>
          <w:sz w:val="24"/>
          <w:szCs w:val="24"/>
          <w:lang w:val="fr-FR"/>
        </w:rPr>
        <w:t xml:space="preserve">de la pratique </w:t>
      </w:r>
      <w:r w:rsidR="003B4A50" w:rsidRPr="00953692">
        <w:rPr>
          <w:rFonts w:cs="Times New Roman"/>
          <w:sz w:val="24"/>
          <w:szCs w:val="24"/>
          <w:lang w:val="fr-FR"/>
        </w:rPr>
        <w:t xml:space="preserve">des juridictions pénales internationales révèle que cette implication n’est pas </w:t>
      </w:r>
      <w:r w:rsidR="00FC7DE4" w:rsidRPr="00953692">
        <w:rPr>
          <w:rFonts w:cs="Times New Roman"/>
          <w:sz w:val="24"/>
          <w:szCs w:val="24"/>
          <w:lang w:val="fr-FR"/>
        </w:rPr>
        <w:t>tout autant</w:t>
      </w:r>
      <w:r w:rsidR="003B4A50" w:rsidRPr="00953692">
        <w:rPr>
          <w:rFonts w:cs="Times New Roman"/>
          <w:sz w:val="24"/>
          <w:szCs w:val="24"/>
          <w:lang w:val="fr-FR"/>
        </w:rPr>
        <w:t xml:space="preserve"> acquise qu</w:t>
      </w:r>
      <w:r w:rsidR="007170D3" w:rsidRPr="00953692">
        <w:rPr>
          <w:rFonts w:cs="Times New Roman"/>
          <w:sz w:val="24"/>
          <w:szCs w:val="24"/>
          <w:lang w:val="fr-FR"/>
        </w:rPr>
        <w:t>e cela</w:t>
      </w:r>
      <w:r w:rsidR="003B4A50" w:rsidRPr="00953692">
        <w:rPr>
          <w:rFonts w:cs="Times New Roman"/>
          <w:sz w:val="24"/>
          <w:szCs w:val="24"/>
          <w:lang w:val="fr-FR"/>
        </w:rPr>
        <w:t xml:space="preserve"> puisse paraitre</w:t>
      </w:r>
      <w:r w:rsidR="00981C84" w:rsidRPr="00953692">
        <w:rPr>
          <w:rFonts w:cs="Times New Roman"/>
          <w:sz w:val="24"/>
          <w:szCs w:val="24"/>
          <w:lang w:val="fr-FR"/>
        </w:rPr>
        <w:t xml:space="preserve"> (B) par le seul fait de notre imagination</w:t>
      </w:r>
      <w:r w:rsidR="00FC7DE4" w:rsidRPr="00953692">
        <w:rPr>
          <w:rFonts w:cs="Times New Roman"/>
          <w:sz w:val="24"/>
          <w:szCs w:val="24"/>
          <w:lang w:val="fr-FR"/>
        </w:rPr>
        <w:t xml:space="preserve"> bien raisonnable ou des conclusions qui soient basées essentiellement sur des données théoriques</w:t>
      </w:r>
      <w:r w:rsidR="003B4A50" w:rsidRPr="00953692">
        <w:rPr>
          <w:rFonts w:cs="Times New Roman"/>
          <w:sz w:val="24"/>
          <w:szCs w:val="24"/>
          <w:lang w:val="fr-FR"/>
        </w:rPr>
        <w:t>.</w:t>
      </w:r>
    </w:p>
    <w:p w14:paraId="5FEFA287" w14:textId="5881EA98" w:rsidR="00772553" w:rsidRPr="00953692" w:rsidRDefault="00E83446" w:rsidP="000B0381">
      <w:pPr>
        <w:pStyle w:val="Paragraphedeliste"/>
        <w:numPr>
          <w:ilvl w:val="0"/>
          <w:numId w:val="6"/>
        </w:numPr>
        <w:spacing w:before="240" w:line="276" w:lineRule="auto"/>
        <w:jc w:val="both"/>
        <w:outlineLvl w:val="2"/>
        <w:rPr>
          <w:rFonts w:cs="Times New Roman"/>
          <w:bCs/>
          <w:i/>
          <w:iCs/>
          <w:sz w:val="24"/>
          <w:szCs w:val="24"/>
          <w:lang w:val="fr-FR"/>
        </w:rPr>
      </w:pPr>
      <w:bookmarkStart w:id="48" w:name="_Toc195179427"/>
      <w:bookmarkStart w:id="49" w:name="_Hlk150606724"/>
      <w:r w:rsidRPr="00953692">
        <w:rPr>
          <w:rFonts w:cs="Times New Roman"/>
          <w:bCs/>
          <w:i/>
          <w:iCs/>
          <w:sz w:val="24"/>
          <w:szCs w:val="24"/>
          <w:lang w:val="fr-FR"/>
        </w:rPr>
        <w:t>E</w:t>
      </w:r>
      <w:r w:rsidR="00B65D27" w:rsidRPr="00953692">
        <w:rPr>
          <w:rFonts w:cs="Times New Roman"/>
          <w:bCs/>
          <w:i/>
          <w:iCs/>
          <w:sz w:val="24"/>
          <w:szCs w:val="24"/>
          <w:lang w:val="fr-FR"/>
        </w:rPr>
        <w:t>conomie d’un long procès</w:t>
      </w:r>
      <w:bookmarkEnd w:id="48"/>
    </w:p>
    <w:bookmarkEnd w:id="49"/>
    <w:p w14:paraId="34CE3083" w14:textId="171C07FF" w:rsidR="00981C84" w:rsidRPr="00953692" w:rsidRDefault="00C333C4"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217</w:t>
      </w:r>
      <w:r w:rsidR="00B664A0" w:rsidRPr="00953692">
        <w:rPr>
          <w:rFonts w:cs="Times New Roman"/>
          <w:b/>
          <w:bCs/>
          <w:sz w:val="24"/>
          <w:szCs w:val="24"/>
          <w:lang w:val="fr-FR"/>
        </w:rPr>
        <w:t>.</w:t>
      </w:r>
      <w:r w:rsidR="00B664A0" w:rsidRPr="00953692">
        <w:rPr>
          <w:rFonts w:cs="Times New Roman"/>
          <w:sz w:val="24"/>
          <w:szCs w:val="24"/>
          <w:lang w:val="fr-FR"/>
        </w:rPr>
        <w:t xml:space="preserve"> </w:t>
      </w:r>
      <w:r w:rsidR="00981C84" w:rsidRPr="00953692">
        <w:rPr>
          <w:rFonts w:cs="Times New Roman"/>
          <w:sz w:val="24"/>
          <w:szCs w:val="24"/>
          <w:lang w:val="fr-FR"/>
        </w:rPr>
        <w:t>Le procès pénal international est toujours caractérisé par une durée qui fait perdre à la Communauté (</w:t>
      </w:r>
      <w:r w:rsidR="00D34BA7" w:rsidRPr="00953692">
        <w:rPr>
          <w:rFonts w:cs="Times New Roman"/>
          <w:sz w:val="24"/>
          <w:szCs w:val="24"/>
          <w:lang w:val="fr-FR"/>
        </w:rPr>
        <w:t xml:space="preserve">aux </w:t>
      </w:r>
      <w:r w:rsidR="00981C84" w:rsidRPr="00953692">
        <w:rPr>
          <w:rFonts w:cs="Times New Roman"/>
          <w:sz w:val="24"/>
          <w:szCs w:val="24"/>
          <w:lang w:val="fr-FR"/>
        </w:rPr>
        <w:t>accusé et victimes) cette longanimité. On se rappelle que devant les TPI</w:t>
      </w:r>
      <w:r w:rsidR="00EE2BA9" w:rsidRPr="00953692">
        <w:rPr>
          <w:rFonts w:cs="Times New Roman"/>
          <w:sz w:val="24"/>
          <w:szCs w:val="24"/>
          <w:lang w:val="fr-FR"/>
        </w:rPr>
        <w:t>,</w:t>
      </w:r>
      <w:r w:rsidR="00981C84" w:rsidRPr="00953692">
        <w:rPr>
          <w:rFonts w:cs="Times New Roman"/>
          <w:sz w:val="24"/>
          <w:szCs w:val="24"/>
          <w:lang w:val="fr-FR"/>
        </w:rPr>
        <w:t xml:space="preserve"> par exemple, les stratégies d’achèvement des </w:t>
      </w:r>
      <w:r w:rsidR="00EE2BA9" w:rsidRPr="00953692">
        <w:rPr>
          <w:rFonts w:cs="Times New Roman"/>
          <w:sz w:val="24"/>
          <w:szCs w:val="24"/>
          <w:lang w:val="fr-FR"/>
        </w:rPr>
        <w:t xml:space="preserve">travaux des TPI avaient été imaginées en 2003 puis </w:t>
      </w:r>
      <w:r w:rsidR="00E40AAE" w:rsidRPr="00953692">
        <w:rPr>
          <w:rFonts w:cs="Times New Roman"/>
          <w:sz w:val="24"/>
          <w:szCs w:val="24"/>
          <w:lang w:val="fr-FR"/>
        </w:rPr>
        <w:t xml:space="preserve">validées </w:t>
      </w:r>
      <w:r w:rsidR="00EE2BA9" w:rsidRPr="00953692">
        <w:rPr>
          <w:rFonts w:cs="Times New Roman"/>
          <w:sz w:val="24"/>
          <w:szCs w:val="24"/>
          <w:lang w:val="fr-FR"/>
        </w:rPr>
        <w:t>en 2004, (soit dix ans après leur création respective) pour pallier à l’insuffisance des moyens, car ces tribunaux commençaient à travailler au-</w:t>
      </w:r>
      <w:r w:rsidR="00EE2BA9" w:rsidRPr="00953692">
        <w:rPr>
          <w:rFonts w:cs="Times New Roman"/>
          <w:sz w:val="24"/>
          <w:szCs w:val="24"/>
          <w:lang w:val="fr-FR"/>
        </w:rPr>
        <w:lastRenderedPageBreak/>
        <w:t>delà de leurs capacités</w:t>
      </w:r>
      <w:r w:rsidR="008D4A58" w:rsidRPr="00953692">
        <w:rPr>
          <w:rStyle w:val="Appelnotedebasdep"/>
          <w:rFonts w:cs="Times New Roman"/>
          <w:sz w:val="24"/>
          <w:szCs w:val="24"/>
          <w:lang w:val="fr-FR"/>
        </w:rPr>
        <w:footnoteReference w:customMarkFollows="1" w:id="161"/>
        <w:t>139</w:t>
      </w:r>
      <w:r w:rsidR="00EE2BA9" w:rsidRPr="00953692">
        <w:rPr>
          <w:rFonts w:cs="Times New Roman"/>
          <w:sz w:val="24"/>
          <w:szCs w:val="24"/>
          <w:lang w:val="fr-FR"/>
        </w:rPr>
        <w:t xml:space="preserve">. </w:t>
      </w:r>
      <w:r w:rsidR="002B0342" w:rsidRPr="00953692">
        <w:rPr>
          <w:rFonts w:cs="Times New Roman"/>
          <w:sz w:val="24"/>
          <w:szCs w:val="24"/>
          <w:lang w:val="fr-FR"/>
        </w:rPr>
        <w:t xml:space="preserve">Le temps a donc éprouvé cet entrain de poursuivre les personnes soupçonnées ou accusées d’avoir commis des crimes les plus graves. En réalité, contrairement à la procédure des TMI, les TPI ont dans leurs actes constitutifs posés pour la première fois les bases d’un procès véritablement équitable au niveau international ; allant </w:t>
      </w:r>
      <w:r w:rsidR="00D34BA7" w:rsidRPr="00953692">
        <w:rPr>
          <w:rFonts w:cs="Times New Roman"/>
          <w:sz w:val="24"/>
          <w:szCs w:val="24"/>
          <w:lang w:val="fr-FR"/>
        </w:rPr>
        <w:t>de</w:t>
      </w:r>
      <w:r w:rsidR="002B0342" w:rsidRPr="00953692">
        <w:rPr>
          <w:rFonts w:cs="Times New Roman"/>
          <w:sz w:val="24"/>
          <w:szCs w:val="24"/>
          <w:lang w:val="fr-FR"/>
        </w:rPr>
        <w:t xml:space="preserve"> la contestation de la compétence du tribunal par les accusés</w:t>
      </w:r>
      <w:r w:rsidR="00D34BA7" w:rsidRPr="00953692">
        <w:rPr>
          <w:rFonts w:cs="Times New Roman"/>
          <w:sz w:val="24"/>
          <w:szCs w:val="24"/>
          <w:lang w:val="fr-FR"/>
        </w:rPr>
        <w:t>,</w:t>
      </w:r>
      <w:r w:rsidR="002B0342" w:rsidRPr="00953692">
        <w:rPr>
          <w:rFonts w:cs="Times New Roman"/>
          <w:sz w:val="24"/>
          <w:szCs w:val="24"/>
          <w:lang w:val="fr-FR"/>
        </w:rPr>
        <w:t xml:space="preserve"> passant par le respect </w:t>
      </w:r>
      <w:r w:rsidR="00E40AAE" w:rsidRPr="00953692">
        <w:rPr>
          <w:rFonts w:cs="Times New Roman"/>
          <w:sz w:val="24"/>
          <w:szCs w:val="24"/>
          <w:lang w:val="fr-FR"/>
        </w:rPr>
        <w:t xml:space="preserve">maximal </w:t>
      </w:r>
      <w:r w:rsidR="002B0342" w:rsidRPr="00953692">
        <w:rPr>
          <w:rFonts w:cs="Times New Roman"/>
          <w:sz w:val="24"/>
          <w:szCs w:val="24"/>
          <w:lang w:val="fr-FR"/>
        </w:rPr>
        <w:t xml:space="preserve">des droits de la défense dès l’entame du procès jusqu’aux voies de recours, tout </w:t>
      </w:r>
      <w:r w:rsidR="00E40AAE" w:rsidRPr="00953692">
        <w:rPr>
          <w:rFonts w:cs="Times New Roman"/>
          <w:sz w:val="24"/>
          <w:szCs w:val="24"/>
          <w:lang w:val="fr-FR"/>
        </w:rPr>
        <w:t>portait</w:t>
      </w:r>
      <w:r w:rsidR="002B0342" w:rsidRPr="00953692">
        <w:rPr>
          <w:rFonts w:cs="Times New Roman"/>
          <w:sz w:val="24"/>
          <w:szCs w:val="24"/>
          <w:lang w:val="fr-FR"/>
        </w:rPr>
        <w:t xml:space="preserve"> à croire que ce type de procès</w:t>
      </w:r>
      <w:r w:rsidR="00E40AAE" w:rsidRPr="00953692">
        <w:rPr>
          <w:rFonts w:cs="Times New Roman"/>
          <w:sz w:val="24"/>
          <w:szCs w:val="24"/>
          <w:lang w:val="fr-FR"/>
        </w:rPr>
        <w:t xml:space="preserve"> pénal</w:t>
      </w:r>
      <w:r w:rsidR="002B0342" w:rsidRPr="00953692">
        <w:rPr>
          <w:rFonts w:cs="Times New Roman"/>
          <w:sz w:val="24"/>
          <w:szCs w:val="24"/>
          <w:lang w:val="fr-FR"/>
        </w:rPr>
        <w:t xml:space="preserve"> </w:t>
      </w:r>
      <w:r w:rsidR="00E40AAE" w:rsidRPr="00953692">
        <w:rPr>
          <w:rFonts w:cs="Times New Roman"/>
          <w:sz w:val="24"/>
          <w:szCs w:val="24"/>
          <w:lang w:val="fr-FR"/>
        </w:rPr>
        <w:t>était à inscrire dans la durée</w:t>
      </w:r>
      <w:r w:rsidR="00B5197B" w:rsidRPr="00953692">
        <w:rPr>
          <w:rFonts w:cs="Times New Roman"/>
          <w:sz w:val="24"/>
          <w:szCs w:val="24"/>
          <w:lang w:val="fr-FR"/>
        </w:rPr>
        <w:t>, comme en démontre</w:t>
      </w:r>
      <w:r w:rsidR="00D34BA7" w:rsidRPr="00953692">
        <w:rPr>
          <w:rFonts w:cs="Times New Roman"/>
          <w:sz w:val="24"/>
          <w:szCs w:val="24"/>
          <w:lang w:val="fr-FR"/>
        </w:rPr>
        <w:t xml:space="preserve"> parfaitement</w:t>
      </w:r>
      <w:r w:rsidR="00B5197B" w:rsidRPr="00953692">
        <w:rPr>
          <w:rFonts w:cs="Times New Roman"/>
          <w:sz w:val="24"/>
          <w:szCs w:val="24"/>
          <w:lang w:val="fr-FR"/>
        </w:rPr>
        <w:t xml:space="preserve"> la pratique</w:t>
      </w:r>
      <w:r w:rsidR="002B0342" w:rsidRPr="00953692">
        <w:rPr>
          <w:rFonts w:cs="Times New Roman"/>
          <w:sz w:val="24"/>
          <w:szCs w:val="24"/>
          <w:lang w:val="fr-FR"/>
        </w:rPr>
        <w:t>.</w:t>
      </w:r>
    </w:p>
    <w:p w14:paraId="4CCBCFF7" w14:textId="1BC8B551" w:rsidR="00741B01" w:rsidRPr="00953692" w:rsidRDefault="00C333C4" w:rsidP="00864BBF">
      <w:pPr>
        <w:spacing w:after="0" w:line="276" w:lineRule="auto"/>
        <w:ind w:firstLine="1134"/>
        <w:jc w:val="both"/>
        <w:rPr>
          <w:rFonts w:cs="Times New Roman"/>
          <w:sz w:val="24"/>
          <w:szCs w:val="24"/>
          <w:lang w:val="fr-FR"/>
        </w:rPr>
      </w:pPr>
      <w:r w:rsidRPr="00953692">
        <w:rPr>
          <w:rStyle w:val="grammar"/>
          <w:rFonts w:cs="Times New Roman"/>
          <w:b/>
          <w:bCs/>
          <w:sz w:val="24"/>
          <w:szCs w:val="24"/>
          <w:lang w:val="fr-FR"/>
        </w:rPr>
        <w:t>218</w:t>
      </w:r>
      <w:r w:rsidR="00B5197B" w:rsidRPr="00953692">
        <w:rPr>
          <w:rStyle w:val="grammar"/>
          <w:rFonts w:cs="Times New Roman"/>
          <w:b/>
          <w:bCs/>
          <w:sz w:val="24"/>
          <w:szCs w:val="24"/>
          <w:lang w:val="fr-FR"/>
        </w:rPr>
        <w:t>.</w:t>
      </w:r>
      <w:r w:rsidR="00B5197B" w:rsidRPr="00953692">
        <w:rPr>
          <w:rStyle w:val="grammar"/>
          <w:rFonts w:cs="Times New Roman"/>
          <w:sz w:val="24"/>
          <w:szCs w:val="24"/>
          <w:lang w:val="fr-FR"/>
        </w:rPr>
        <w:t xml:space="preserve"> Par ailleurs, </w:t>
      </w:r>
      <w:r w:rsidR="00924F7F" w:rsidRPr="00953692">
        <w:rPr>
          <w:rStyle w:val="grammar"/>
          <w:rFonts w:cs="Times New Roman"/>
          <w:sz w:val="24"/>
          <w:szCs w:val="24"/>
          <w:lang w:val="fr-FR"/>
        </w:rPr>
        <w:t>lorsque l’accusé parvient à reconnaitre sa culpabilité, le mécanisme qui s’ensuit est de nature évidente à écou</w:t>
      </w:r>
      <w:r w:rsidR="00495CED" w:rsidRPr="00953692">
        <w:rPr>
          <w:rStyle w:val="grammar"/>
          <w:rFonts w:cs="Times New Roman"/>
          <w:sz w:val="24"/>
          <w:szCs w:val="24"/>
          <w:lang w:val="fr-FR"/>
        </w:rPr>
        <w:t>r</w:t>
      </w:r>
      <w:r w:rsidR="00924F7F" w:rsidRPr="00953692">
        <w:rPr>
          <w:rStyle w:val="grammar"/>
          <w:rFonts w:cs="Times New Roman"/>
          <w:sz w:val="24"/>
          <w:szCs w:val="24"/>
          <w:lang w:val="fr-FR"/>
        </w:rPr>
        <w:t>ter la durée du procès, étant entendu que dès son</w:t>
      </w:r>
      <w:r w:rsidR="00924F7F" w:rsidRPr="00953692">
        <w:rPr>
          <w:rFonts w:cs="Times New Roman"/>
          <w:sz w:val="24"/>
          <w:szCs w:val="24"/>
          <w:lang w:val="fr-FR"/>
        </w:rPr>
        <w:t xml:space="preserve"> </w:t>
      </w:r>
      <w:r w:rsidR="00E87A73" w:rsidRPr="00953692">
        <w:rPr>
          <w:rFonts w:cs="Times New Roman"/>
          <w:sz w:val="24"/>
          <w:szCs w:val="24"/>
          <w:lang w:val="fr-FR"/>
        </w:rPr>
        <w:t>origine anglosaxonne</w:t>
      </w:r>
      <w:r w:rsidR="00924F7F" w:rsidRPr="00953692">
        <w:rPr>
          <w:rFonts w:cs="Times New Roman"/>
          <w:sz w:val="24"/>
          <w:szCs w:val="24"/>
          <w:lang w:val="fr-FR"/>
        </w:rPr>
        <w:t>,</w:t>
      </w:r>
      <w:r w:rsidR="00E87A73" w:rsidRPr="00953692">
        <w:rPr>
          <w:rFonts w:cs="Times New Roman"/>
          <w:sz w:val="24"/>
          <w:szCs w:val="24"/>
          <w:lang w:val="fr-FR"/>
        </w:rPr>
        <w:t xml:space="preserve"> </w:t>
      </w:r>
      <w:r w:rsidR="00924F7F" w:rsidRPr="00953692">
        <w:rPr>
          <w:rFonts w:cs="Times New Roman"/>
          <w:sz w:val="24"/>
          <w:szCs w:val="24"/>
          <w:lang w:val="fr-FR"/>
        </w:rPr>
        <w:t xml:space="preserve">la </w:t>
      </w:r>
      <w:r w:rsidR="00E87A73" w:rsidRPr="00953692">
        <w:rPr>
          <w:rFonts w:cs="Times New Roman"/>
          <w:sz w:val="24"/>
          <w:szCs w:val="24"/>
          <w:lang w:val="fr-FR"/>
        </w:rPr>
        <w:t>procédure</w:t>
      </w:r>
      <w:r w:rsidR="00924F7F" w:rsidRPr="00953692">
        <w:rPr>
          <w:rFonts w:cs="Times New Roman"/>
          <w:sz w:val="24"/>
          <w:szCs w:val="24"/>
          <w:lang w:val="fr-FR"/>
        </w:rPr>
        <w:t xml:space="preserve"> d’aveu de culpabilité</w:t>
      </w:r>
      <w:r w:rsidR="00E87A73" w:rsidRPr="00953692">
        <w:rPr>
          <w:rFonts w:cs="Times New Roman"/>
          <w:sz w:val="24"/>
          <w:szCs w:val="24"/>
          <w:lang w:val="fr-FR"/>
        </w:rPr>
        <w:t xml:space="preserve"> </w:t>
      </w:r>
      <w:r w:rsidR="00924F7F" w:rsidRPr="00953692">
        <w:rPr>
          <w:rFonts w:cs="Times New Roman"/>
          <w:sz w:val="24"/>
          <w:szCs w:val="24"/>
          <w:lang w:val="fr-FR"/>
        </w:rPr>
        <w:t>a notamment pour</w:t>
      </w:r>
      <w:r w:rsidR="00E87A73" w:rsidRPr="00953692">
        <w:rPr>
          <w:rFonts w:cs="Times New Roman"/>
          <w:sz w:val="24"/>
          <w:szCs w:val="24"/>
          <w:lang w:val="fr-FR"/>
        </w:rPr>
        <w:t xml:space="preserve"> objectifs d’éviter un long et couteux</w:t>
      </w:r>
      <w:r w:rsidR="00924F7F" w:rsidRPr="00953692">
        <w:rPr>
          <w:rFonts w:cs="Times New Roman"/>
          <w:sz w:val="24"/>
          <w:szCs w:val="24"/>
          <w:lang w:val="fr-FR"/>
        </w:rPr>
        <w:t xml:space="preserve"> procès</w:t>
      </w:r>
      <w:r w:rsidR="008D4A58" w:rsidRPr="00953692">
        <w:rPr>
          <w:rStyle w:val="Appelnotedebasdep"/>
          <w:rFonts w:cs="Times New Roman"/>
          <w:sz w:val="24"/>
          <w:szCs w:val="24"/>
          <w:lang w:val="fr-FR"/>
        </w:rPr>
        <w:footnoteReference w:customMarkFollows="1" w:id="162"/>
        <w:t>140</w:t>
      </w:r>
      <w:r w:rsidR="00E87A73" w:rsidRPr="00953692">
        <w:rPr>
          <w:rFonts w:cs="Times New Roman"/>
          <w:sz w:val="24"/>
          <w:szCs w:val="24"/>
          <w:lang w:val="fr-FR"/>
        </w:rPr>
        <w:t>, épargn</w:t>
      </w:r>
      <w:r w:rsidR="00FA7ECB" w:rsidRPr="00953692">
        <w:rPr>
          <w:rFonts w:cs="Times New Roman"/>
          <w:sz w:val="24"/>
          <w:szCs w:val="24"/>
          <w:lang w:val="fr-FR"/>
        </w:rPr>
        <w:t>ant</w:t>
      </w:r>
      <w:r w:rsidR="00E87A73" w:rsidRPr="00953692">
        <w:rPr>
          <w:rFonts w:cs="Times New Roman"/>
          <w:sz w:val="24"/>
          <w:szCs w:val="24"/>
          <w:lang w:val="fr-FR"/>
        </w:rPr>
        <w:t xml:space="preserve"> également aux victimes et témoins de nouvelles souffrances</w:t>
      </w:r>
      <w:r w:rsidR="008D4A58" w:rsidRPr="00953692">
        <w:rPr>
          <w:rStyle w:val="Appelnotedebasdep"/>
          <w:rFonts w:cs="Times New Roman"/>
          <w:sz w:val="24"/>
          <w:szCs w:val="24"/>
          <w:lang w:val="fr-FR"/>
        </w:rPr>
        <w:footnoteReference w:customMarkFollows="1" w:id="163"/>
        <w:t>141</w:t>
      </w:r>
      <w:r w:rsidR="00E87A73" w:rsidRPr="00953692">
        <w:rPr>
          <w:rFonts w:cs="Times New Roman"/>
          <w:sz w:val="24"/>
          <w:szCs w:val="24"/>
          <w:lang w:val="fr-FR"/>
        </w:rPr>
        <w:t xml:space="preserve"> que l</w:t>
      </w:r>
      <w:r w:rsidR="00433BC6" w:rsidRPr="00953692">
        <w:rPr>
          <w:rFonts w:cs="Times New Roman"/>
          <w:sz w:val="24"/>
          <w:szCs w:val="24"/>
          <w:lang w:val="fr-FR"/>
        </w:rPr>
        <w:t xml:space="preserve">a remémoration </w:t>
      </w:r>
      <w:r w:rsidR="00E87A73" w:rsidRPr="00953692">
        <w:rPr>
          <w:rFonts w:cs="Times New Roman"/>
          <w:sz w:val="24"/>
          <w:szCs w:val="24"/>
          <w:lang w:val="fr-FR"/>
        </w:rPr>
        <w:t xml:space="preserve">laisse </w:t>
      </w:r>
      <w:r w:rsidR="00FA7ECB" w:rsidRPr="00953692">
        <w:rPr>
          <w:rFonts w:cs="Times New Roman"/>
          <w:sz w:val="24"/>
          <w:szCs w:val="24"/>
          <w:lang w:val="fr-FR"/>
        </w:rPr>
        <w:t>ré</w:t>
      </w:r>
      <w:r w:rsidR="00E87A73" w:rsidRPr="00953692">
        <w:rPr>
          <w:rFonts w:cs="Times New Roman"/>
          <w:sz w:val="24"/>
          <w:szCs w:val="24"/>
          <w:lang w:val="fr-FR"/>
        </w:rPr>
        <w:t>apparaitre</w:t>
      </w:r>
      <w:r w:rsidR="004E26B2" w:rsidRPr="00953692">
        <w:rPr>
          <w:rFonts w:cs="Times New Roman"/>
          <w:sz w:val="24"/>
          <w:szCs w:val="24"/>
          <w:lang w:val="fr-FR"/>
        </w:rPr>
        <w:t xml:space="preserve"> parfois atrocement</w:t>
      </w:r>
      <w:r w:rsidR="00924F7F" w:rsidRPr="00953692">
        <w:rPr>
          <w:rFonts w:cs="Times New Roman"/>
          <w:sz w:val="24"/>
          <w:szCs w:val="24"/>
          <w:lang w:val="fr-FR"/>
        </w:rPr>
        <w:t xml:space="preserve"> lors d’une confrontation</w:t>
      </w:r>
      <w:r w:rsidR="00E87A73" w:rsidRPr="00953692">
        <w:rPr>
          <w:rFonts w:cs="Times New Roman"/>
          <w:sz w:val="24"/>
          <w:szCs w:val="24"/>
          <w:lang w:val="fr-FR"/>
        </w:rPr>
        <w:t xml:space="preserve">. </w:t>
      </w:r>
      <w:r w:rsidR="006148D7" w:rsidRPr="00953692">
        <w:rPr>
          <w:sz w:val="24"/>
          <w:szCs w:val="24"/>
          <w:lang w:val="fr-FR"/>
        </w:rPr>
        <w:t>Dans son opinion individuelle et dissidente jointe à l’Arrêt Erdemović</w:t>
      </w:r>
      <w:r w:rsidR="00D637A3" w:rsidRPr="00953692">
        <w:rPr>
          <w:sz w:val="24"/>
          <w:szCs w:val="24"/>
          <w:lang w:val="fr-FR"/>
        </w:rPr>
        <w:t xml:space="preserve"> rendu par la Chambre</w:t>
      </w:r>
      <w:r w:rsidR="00C137E4" w:rsidRPr="00953692">
        <w:rPr>
          <w:sz w:val="24"/>
          <w:szCs w:val="24"/>
          <w:lang w:val="fr-FR"/>
        </w:rPr>
        <w:t xml:space="preserve"> </w:t>
      </w:r>
      <w:r w:rsidR="00D637A3" w:rsidRPr="00953692">
        <w:rPr>
          <w:sz w:val="24"/>
          <w:szCs w:val="24"/>
          <w:lang w:val="fr-FR"/>
        </w:rPr>
        <w:t>d’Appel du TPIY</w:t>
      </w:r>
      <w:r w:rsidR="006148D7" w:rsidRPr="00953692">
        <w:rPr>
          <w:sz w:val="24"/>
          <w:szCs w:val="24"/>
          <w:lang w:val="fr-FR"/>
        </w:rPr>
        <w:t>, le Juge Cassese s’est exprimé en ces termes : « </w:t>
      </w:r>
      <w:r w:rsidR="00D637A3" w:rsidRPr="00953692">
        <w:rPr>
          <w:i/>
          <w:iCs/>
          <w:sz w:val="24"/>
          <w:szCs w:val="24"/>
          <w:lang w:val="fr-FR"/>
        </w:rPr>
        <w:t>i</w:t>
      </w:r>
      <w:r w:rsidR="006148D7" w:rsidRPr="00953692">
        <w:rPr>
          <w:i/>
          <w:iCs/>
          <w:sz w:val="24"/>
          <w:szCs w:val="24"/>
          <w:lang w:val="fr-FR"/>
        </w:rPr>
        <w:t>l ressort de l’esprit du Statut et du Règlement que, en prévoyant la possibilité de plaider coupable, les rédacteurs avaient l’intention de permettre à l’accusé (ainsi qu’au Procureur) d’éviter un procès trop long et toutes les difficultés concomitantes</w:t>
      </w:r>
      <w:r w:rsidR="006148D7" w:rsidRPr="00953692">
        <w:rPr>
          <w:sz w:val="24"/>
          <w:szCs w:val="24"/>
          <w:lang w:val="fr-FR"/>
        </w:rPr>
        <w:t> »</w:t>
      </w:r>
      <w:r w:rsidR="008D4A58" w:rsidRPr="00953692">
        <w:rPr>
          <w:rStyle w:val="Appelnotedebasdep"/>
          <w:sz w:val="24"/>
          <w:szCs w:val="24"/>
          <w:lang w:val="fr-FR"/>
        </w:rPr>
        <w:footnoteReference w:customMarkFollows="1" w:id="164"/>
        <w:t>142</w:t>
      </w:r>
      <w:r w:rsidR="006148D7" w:rsidRPr="00953692">
        <w:rPr>
          <w:sz w:val="24"/>
          <w:szCs w:val="24"/>
          <w:lang w:val="fr-FR"/>
        </w:rPr>
        <w:t>.</w:t>
      </w:r>
    </w:p>
    <w:p w14:paraId="5A2DACD8" w14:textId="4F2A57B8" w:rsidR="00FA7946" w:rsidRPr="00953692" w:rsidRDefault="00C333C4"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219</w:t>
      </w:r>
      <w:r w:rsidR="00AD2ADE" w:rsidRPr="00953692">
        <w:rPr>
          <w:rFonts w:cs="Times New Roman"/>
          <w:b/>
          <w:bCs/>
          <w:sz w:val="24"/>
          <w:szCs w:val="24"/>
          <w:lang w:val="fr-FR"/>
        </w:rPr>
        <w:t>.</w:t>
      </w:r>
      <w:r w:rsidR="00AD2ADE" w:rsidRPr="00953692">
        <w:rPr>
          <w:rFonts w:cs="Times New Roman"/>
          <w:sz w:val="24"/>
          <w:szCs w:val="24"/>
          <w:lang w:val="fr-FR"/>
        </w:rPr>
        <w:t xml:space="preserve"> </w:t>
      </w:r>
      <w:r w:rsidR="00C719E4" w:rsidRPr="00953692">
        <w:rPr>
          <w:rFonts w:cs="Times New Roman"/>
          <w:sz w:val="24"/>
          <w:szCs w:val="24"/>
          <w:lang w:val="fr-FR"/>
        </w:rPr>
        <w:t>Dans le même ordre d’idées, l</w:t>
      </w:r>
      <w:r w:rsidR="0057463A" w:rsidRPr="00953692">
        <w:rPr>
          <w:rFonts w:cs="Times New Roman"/>
          <w:sz w:val="24"/>
          <w:szCs w:val="24"/>
          <w:lang w:val="fr-FR"/>
        </w:rPr>
        <w:t>es travaux préparatoires du statut de Rome renseignent qu’à ce sujet, « l</w:t>
      </w:r>
      <w:r w:rsidR="0057463A" w:rsidRPr="00953692">
        <w:rPr>
          <w:sz w:val="24"/>
          <w:szCs w:val="24"/>
          <w:lang w:val="fr-FR"/>
        </w:rPr>
        <w:t>’idée a été avancée que, si l’accusé reconnaissait les faits énoncés dans l’acte d’accusation, la Chambre de première instance pourrait alors opter pour une procédure plus courte en demandant à entendre un exposé succinct des éléments de preuve présenté par le Parquet (…)</w:t>
      </w:r>
      <w:r w:rsidR="008D4A58" w:rsidRPr="00953692">
        <w:rPr>
          <w:rStyle w:val="Appelnotedebasdep"/>
          <w:sz w:val="24"/>
          <w:szCs w:val="24"/>
          <w:lang w:val="fr-FR"/>
        </w:rPr>
        <w:footnoteReference w:customMarkFollows="1" w:id="165"/>
        <w:t>143</w:t>
      </w:r>
      <w:r w:rsidR="0057463A" w:rsidRPr="00953692">
        <w:rPr>
          <w:sz w:val="24"/>
          <w:szCs w:val="24"/>
          <w:lang w:val="fr-FR"/>
        </w:rPr>
        <w:t>.</w:t>
      </w:r>
      <w:r w:rsidR="00B664A0" w:rsidRPr="00953692">
        <w:rPr>
          <w:sz w:val="24"/>
          <w:szCs w:val="24"/>
          <w:lang w:val="fr-FR"/>
        </w:rPr>
        <w:t xml:space="preserve"> Dans son document sur les Principes directeurs de l’accord relatif à l’aveu de culpabilité publié en 2020, la CPI précisé qu’en parlant de </w:t>
      </w:r>
      <w:r w:rsidR="00B664A0" w:rsidRPr="00953692">
        <w:rPr>
          <w:sz w:val="24"/>
          <w:szCs w:val="24"/>
          <w:lang w:val="fr-FR"/>
        </w:rPr>
        <w:lastRenderedPageBreak/>
        <w:t xml:space="preserve">l’aveu de culpabilité, il </w:t>
      </w:r>
      <w:r w:rsidR="00003294" w:rsidRPr="00953692">
        <w:rPr>
          <w:sz w:val="24"/>
          <w:szCs w:val="24"/>
          <w:lang w:val="fr-FR"/>
        </w:rPr>
        <w:t xml:space="preserve">est </w:t>
      </w:r>
      <w:r w:rsidR="00B664A0" w:rsidRPr="00953692">
        <w:rPr>
          <w:sz w:val="24"/>
          <w:szCs w:val="24"/>
          <w:lang w:val="fr-FR"/>
        </w:rPr>
        <w:t>donc question d’une procédure accélée</w:t>
      </w:r>
      <w:r w:rsidR="008D4A58" w:rsidRPr="00953692">
        <w:rPr>
          <w:rStyle w:val="Appelnotedebasdep"/>
          <w:sz w:val="24"/>
          <w:szCs w:val="24"/>
          <w:lang w:val="fr-FR"/>
        </w:rPr>
        <w:footnoteReference w:customMarkFollows="1" w:id="166"/>
        <w:t>144</w:t>
      </w:r>
      <w:r w:rsidR="00B664A0" w:rsidRPr="00953692">
        <w:rPr>
          <w:sz w:val="24"/>
          <w:szCs w:val="24"/>
          <w:lang w:val="fr-FR"/>
        </w:rPr>
        <w:t xml:space="preserve">. </w:t>
      </w:r>
      <w:r w:rsidR="00C137E4" w:rsidRPr="00953692">
        <w:rPr>
          <w:rStyle w:val="grammar"/>
          <w:rFonts w:cs="Times New Roman"/>
          <w:sz w:val="24"/>
          <w:szCs w:val="24"/>
          <w:lang w:val="fr-FR"/>
        </w:rPr>
        <w:t>À</w:t>
      </w:r>
      <w:r w:rsidR="00C137E4" w:rsidRPr="00953692">
        <w:rPr>
          <w:rFonts w:cs="Times New Roman"/>
          <w:sz w:val="24"/>
          <w:szCs w:val="24"/>
          <w:shd w:val="clear" w:color="auto" w:fill="FFFFFF"/>
          <w:lang w:val="fr-FR"/>
        </w:rPr>
        <w:t xml:space="preserve"> ce sujet,</w:t>
      </w:r>
      <w:r w:rsidR="00C137E4" w:rsidRPr="00953692">
        <w:rPr>
          <w:rFonts w:ascii="Tahoma" w:hAnsi="Tahoma" w:cs="Tahoma"/>
          <w:sz w:val="24"/>
          <w:szCs w:val="24"/>
          <w:shd w:val="clear" w:color="auto" w:fill="FFFFFF"/>
          <w:lang w:val="fr-FR"/>
        </w:rPr>
        <w:t xml:space="preserve"> </w:t>
      </w:r>
      <w:r w:rsidR="00C137E4" w:rsidRPr="00953692">
        <w:rPr>
          <w:rFonts w:cs="Times New Roman"/>
          <w:sz w:val="24"/>
          <w:szCs w:val="24"/>
          <w:lang w:val="fr-FR"/>
        </w:rPr>
        <w:t>la doctrine est unanime sur le fait que le plaidoyer de culpabilité contribue largement à l’écourtement du procès</w:t>
      </w:r>
      <w:r w:rsidR="008D4A58" w:rsidRPr="00953692">
        <w:rPr>
          <w:rStyle w:val="Appelnotedebasdep"/>
          <w:rFonts w:cs="Times New Roman"/>
          <w:sz w:val="24"/>
          <w:szCs w:val="24"/>
          <w:lang w:val="fr-FR"/>
        </w:rPr>
        <w:footnoteReference w:customMarkFollows="1" w:id="167"/>
        <w:t>145</w:t>
      </w:r>
      <w:r w:rsidR="00C137E4" w:rsidRPr="00953692">
        <w:rPr>
          <w:rFonts w:cs="Times New Roman"/>
          <w:sz w:val="24"/>
          <w:szCs w:val="24"/>
          <w:lang w:val="fr-FR"/>
        </w:rPr>
        <w:t>.</w:t>
      </w:r>
    </w:p>
    <w:p w14:paraId="6A202383" w14:textId="74568080" w:rsidR="007401CB" w:rsidRPr="00953692" w:rsidRDefault="00C333C4"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220</w:t>
      </w:r>
      <w:r w:rsidR="00313967" w:rsidRPr="00953692">
        <w:rPr>
          <w:rFonts w:cs="Times New Roman"/>
          <w:b/>
          <w:bCs/>
          <w:sz w:val="24"/>
          <w:szCs w:val="24"/>
          <w:lang w:val="fr-FR"/>
        </w:rPr>
        <w:t>.</w:t>
      </w:r>
      <w:r w:rsidR="00313967" w:rsidRPr="00953692">
        <w:rPr>
          <w:rFonts w:cs="Times New Roman"/>
          <w:sz w:val="24"/>
          <w:szCs w:val="24"/>
          <w:lang w:val="fr-FR"/>
        </w:rPr>
        <w:t xml:space="preserve"> </w:t>
      </w:r>
      <w:r w:rsidR="00F87C58" w:rsidRPr="00953692">
        <w:rPr>
          <w:rFonts w:eastAsia="Times New Roman" w:cs="Times New Roman"/>
          <w:sz w:val="24"/>
          <w:szCs w:val="24"/>
          <w:shd w:val="clear" w:color="auto" w:fill="FFFFFF"/>
          <w:lang w:val="fr-FR"/>
        </w:rPr>
        <w:t xml:space="preserve">En effet, </w:t>
      </w:r>
      <w:r w:rsidR="00C719E4" w:rsidRPr="00953692">
        <w:rPr>
          <w:rFonts w:eastAsia="Times New Roman" w:cs="Times New Roman"/>
          <w:sz w:val="24"/>
          <w:szCs w:val="24"/>
          <w:shd w:val="clear" w:color="auto" w:fill="FFFFFF"/>
          <w:lang w:val="fr-FR"/>
        </w:rPr>
        <w:t>revenons</w:t>
      </w:r>
      <w:r w:rsidR="00C137E4" w:rsidRPr="00953692">
        <w:rPr>
          <w:rFonts w:eastAsia="Times New Roman" w:cs="Times New Roman"/>
          <w:sz w:val="24"/>
          <w:szCs w:val="24"/>
          <w:shd w:val="clear" w:color="auto" w:fill="FFFFFF"/>
          <w:lang w:val="fr-FR"/>
        </w:rPr>
        <w:t>-en</w:t>
      </w:r>
      <w:r w:rsidR="00C719E4" w:rsidRPr="00953692">
        <w:rPr>
          <w:rFonts w:eastAsia="Times New Roman" w:cs="Times New Roman"/>
          <w:sz w:val="24"/>
          <w:szCs w:val="24"/>
          <w:shd w:val="clear" w:color="auto" w:fill="FFFFFF"/>
          <w:lang w:val="fr-FR"/>
        </w:rPr>
        <w:t xml:space="preserve"> un peu sur </w:t>
      </w:r>
      <w:r w:rsidR="00F87C58" w:rsidRPr="00953692">
        <w:rPr>
          <w:rFonts w:eastAsia="Times New Roman" w:cs="Times New Roman"/>
          <w:sz w:val="24"/>
          <w:szCs w:val="24"/>
          <w:shd w:val="clear" w:color="auto" w:fill="FFFFFF"/>
          <w:lang w:val="fr-FR"/>
        </w:rPr>
        <w:t>le RPP des TPI</w:t>
      </w:r>
      <w:r w:rsidR="00F97DB1" w:rsidRPr="00953692">
        <w:rPr>
          <w:rFonts w:eastAsia="Times New Roman" w:cs="Times New Roman"/>
          <w:sz w:val="24"/>
          <w:szCs w:val="24"/>
          <w:shd w:val="clear" w:color="auto" w:fill="FFFFFF"/>
          <w:lang w:val="fr-FR"/>
        </w:rPr>
        <w:t xml:space="preserve">Y </w:t>
      </w:r>
      <w:r w:rsidR="00C719E4" w:rsidRPr="00953692">
        <w:rPr>
          <w:rFonts w:eastAsia="Times New Roman" w:cs="Times New Roman"/>
          <w:sz w:val="24"/>
          <w:szCs w:val="24"/>
          <w:shd w:val="clear" w:color="auto" w:fill="FFFFFF"/>
          <w:lang w:val="fr-FR"/>
        </w:rPr>
        <w:t xml:space="preserve">qui </w:t>
      </w:r>
      <w:r w:rsidR="00F97DB1" w:rsidRPr="00953692">
        <w:rPr>
          <w:rFonts w:eastAsia="Times New Roman" w:cs="Times New Roman"/>
          <w:sz w:val="24"/>
          <w:szCs w:val="24"/>
          <w:shd w:val="clear" w:color="auto" w:fill="FFFFFF"/>
          <w:lang w:val="fr-FR"/>
        </w:rPr>
        <w:t>a</w:t>
      </w:r>
      <w:r w:rsidR="00C137E4" w:rsidRPr="00953692">
        <w:rPr>
          <w:rFonts w:eastAsia="Times New Roman" w:cs="Times New Roman"/>
          <w:sz w:val="24"/>
          <w:szCs w:val="24"/>
          <w:shd w:val="clear" w:color="auto" w:fill="FFFFFF"/>
          <w:lang w:val="fr-FR"/>
        </w:rPr>
        <w:t>,</w:t>
      </w:r>
      <w:r w:rsidR="00F97DB1" w:rsidRPr="00953692">
        <w:rPr>
          <w:rFonts w:eastAsia="Times New Roman" w:cs="Times New Roman"/>
          <w:sz w:val="24"/>
          <w:szCs w:val="24"/>
          <w:shd w:val="clear" w:color="auto" w:fill="FFFFFF"/>
          <w:lang w:val="fr-FR"/>
        </w:rPr>
        <w:t xml:space="preserve"> originellement dans </w:t>
      </w:r>
      <w:r w:rsidR="00FA7946" w:rsidRPr="00953692">
        <w:rPr>
          <w:rFonts w:eastAsia="Times New Roman" w:cs="Times New Roman"/>
          <w:sz w:val="24"/>
          <w:szCs w:val="24"/>
          <w:shd w:val="clear" w:color="auto" w:fill="FFFFFF"/>
          <w:lang w:val="fr-FR"/>
        </w:rPr>
        <w:t>s</w:t>
      </w:r>
      <w:r w:rsidR="00F97DB1" w:rsidRPr="00953692">
        <w:rPr>
          <w:rFonts w:eastAsia="Times New Roman" w:cs="Times New Roman"/>
          <w:sz w:val="24"/>
          <w:szCs w:val="24"/>
          <w:shd w:val="clear" w:color="auto" w:fill="FFFFFF"/>
          <w:lang w:val="fr-FR"/>
        </w:rPr>
        <w:t>a version du 11 février 1994</w:t>
      </w:r>
      <w:r w:rsidR="00C137E4" w:rsidRPr="00953692">
        <w:rPr>
          <w:rFonts w:eastAsia="Times New Roman" w:cs="Times New Roman"/>
          <w:sz w:val="24"/>
          <w:szCs w:val="24"/>
          <w:shd w:val="clear" w:color="auto" w:fill="FFFFFF"/>
          <w:lang w:val="fr-FR"/>
        </w:rPr>
        <w:t>,</w:t>
      </w:r>
      <w:r w:rsidR="00F97DB1" w:rsidRPr="00953692">
        <w:rPr>
          <w:rFonts w:eastAsia="Times New Roman" w:cs="Times New Roman"/>
          <w:sz w:val="24"/>
          <w:szCs w:val="24"/>
          <w:shd w:val="clear" w:color="auto" w:fill="FFFFFF"/>
          <w:lang w:val="fr-FR"/>
        </w:rPr>
        <w:t xml:space="preserve"> prévu qu’au moment de sa comparution initiale, la Chambre de première instance invite l’accusé à plaider ou non coupable. </w:t>
      </w:r>
      <w:r w:rsidR="003F2320" w:rsidRPr="00953692">
        <w:rPr>
          <w:rFonts w:eastAsia="Times New Roman" w:cs="Times New Roman"/>
          <w:sz w:val="24"/>
          <w:szCs w:val="24"/>
          <w:shd w:val="clear" w:color="auto" w:fill="FFFFFF"/>
          <w:lang w:val="fr-FR"/>
        </w:rPr>
        <w:t xml:space="preserve">Cette version </w:t>
      </w:r>
      <w:r w:rsidR="009E14CE" w:rsidRPr="00953692">
        <w:rPr>
          <w:rFonts w:eastAsia="Times New Roman" w:cs="Times New Roman"/>
          <w:sz w:val="24"/>
          <w:szCs w:val="24"/>
          <w:shd w:val="clear" w:color="auto" w:fill="FFFFFF"/>
          <w:lang w:val="fr-FR"/>
        </w:rPr>
        <w:t xml:space="preserve">est </w:t>
      </w:r>
      <w:r w:rsidR="00FB0511" w:rsidRPr="00953692">
        <w:rPr>
          <w:rFonts w:eastAsia="Times New Roman" w:cs="Times New Roman"/>
          <w:sz w:val="24"/>
          <w:szCs w:val="24"/>
          <w:shd w:val="clear" w:color="auto" w:fill="FFFFFF"/>
          <w:lang w:val="fr-FR"/>
        </w:rPr>
        <w:t>également celle</w:t>
      </w:r>
      <w:r w:rsidR="009E14CE" w:rsidRPr="00953692">
        <w:rPr>
          <w:rFonts w:eastAsia="Times New Roman" w:cs="Times New Roman"/>
          <w:sz w:val="24"/>
          <w:szCs w:val="24"/>
          <w:shd w:val="clear" w:color="auto" w:fill="FFFFFF"/>
          <w:lang w:val="fr-FR"/>
        </w:rPr>
        <w:t xml:space="preserve"> que l’on retrouve</w:t>
      </w:r>
      <w:r w:rsidR="003F2320" w:rsidRPr="00953692">
        <w:rPr>
          <w:rFonts w:eastAsia="Times New Roman" w:cs="Times New Roman"/>
          <w:sz w:val="24"/>
          <w:szCs w:val="24"/>
          <w:shd w:val="clear" w:color="auto" w:fill="FFFFFF"/>
          <w:lang w:val="fr-FR"/>
        </w:rPr>
        <w:t xml:space="preserve"> reprise </w:t>
      </w:r>
      <w:r w:rsidR="00A46675" w:rsidRPr="00953692">
        <w:rPr>
          <w:rFonts w:eastAsia="Times New Roman" w:cs="Times New Roman"/>
          <w:sz w:val="24"/>
          <w:szCs w:val="24"/>
          <w:shd w:val="clear" w:color="auto" w:fill="FFFFFF"/>
          <w:lang w:val="fr-FR"/>
        </w:rPr>
        <w:t>dans</w:t>
      </w:r>
      <w:r w:rsidR="009E14CE" w:rsidRPr="00953692">
        <w:rPr>
          <w:rFonts w:eastAsia="Times New Roman" w:cs="Times New Roman"/>
          <w:sz w:val="24"/>
          <w:szCs w:val="24"/>
          <w:shd w:val="clear" w:color="auto" w:fill="FFFFFF"/>
          <w:lang w:val="fr-FR"/>
        </w:rPr>
        <w:t xml:space="preserve"> les articles 62 des</w:t>
      </w:r>
      <w:r w:rsidR="003F2320" w:rsidRPr="00953692">
        <w:rPr>
          <w:rFonts w:eastAsia="Times New Roman" w:cs="Times New Roman"/>
          <w:sz w:val="24"/>
          <w:szCs w:val="24"/>
          <w:shd w:val="clear" w:color="auto" w:fill="FFFFFF"/>
          <w:lang w:val="fr-FR"/>
        </w:rPr>
        <w:t xml:space="preserve"> RPP du TPIR</w:t>
      </w:r>
      <w:r w:rsidR="009E14CE" w:rsidRPr="00953692">
        <w:rPr>
          <w:rFonts w:eastAsia="Times New Roman" w:cs="Times New Roman"/>
          <w:sz w:val="24"/>
          <w:szCs w:val="24"/>
          <w:shd w:val="clear" w:color="auto" w:fill="FFFFFF"/>
          <w:lang w:val="fr-FR"/>
        </w:rPr>
        <w:t xml:space="preserve">. </w:t>
      </w:r>
      <w:r w:rsidR="00290BDE" w:rsidRPr="00953692">
        <w:rPr>
          <w:rFonts w:eastAsia="Times New Roman" w:cs="Times New Roman"/>
          <w:sz w:val="24"/>
          <w:szCs w:val="24"/>
          <w:shd w:val="clear" w:color="auto" w:fill="FFFFFF"/>
          <w:lang w:val="fr-FR"/>
        </w:rPr>
        <w:t xml:space="preserve">Dès sa comparution initiale qui, s’il faut le rappeler, devra être sans délai, l’accusé contre lequel l’acte d’accusation a été confirmé a immédiatement en principe le droit de plaider coupable. </w:t>
      </w:r>
      <w:r w:rsidR="005A6A9B" w:rsidRPr="00953692">
        <w:rPr>
          <w:rFonts w:eastAsia="Times New Roman" w:cs="Times New Roman"/>
          <w:sz w:val="24"/>
          <w:szCs w:val="24"/>
          <w:shd w:val="clear" w:color="auto" w:fill="FFFFFF"/>
          <w:lang w:val="fr-FR"/>
        </w:rPr>
        <w:t xml:space="preserve">En </w:t>
      </w:r>
      <w:r w:rsidR="00F276AE" w:rsidRPr="00953692">
        <w:rPr>
          <w:rFonts w:eastAsia="Times New Roman" w:cs="Times New Roman"/>
          <w:sz w:val="24"/>
          <w:szCs w:val="24"/>
          <w:shd w:val="clear" w:color="auto" w:fill="FFFFFF"/>
          <w:lang w:val="fr-FR"/>
        </w:rPr>
        <w:t xml:space="preserve">décembre </w:t>
      </w:r>
      <w:r w:rsidR="005A6A9B" w:rsidRPr="00953692">
        <w:rPr>
          <w:rFonts w:eastAsia="Times New Roman" w:cs="Times New Roman"/>
          <w:sz w:val="24"/>
          <w:szCs w:val="24"/>
          <w:shd w:val="clear" w:color="auto" w:fill="FFFFFF"/>
          <w:lang w:val="fr-FR"/>
        </w:rPr>
        <w:t>1998, les juges du TPIY ont modifié leur RPP, notamment l’article 62 iii)</w:t>
      </w:r>
      <w:r w:rsidR="00F276AE" w:rsidRPr="00953692">
        <w:rPr>
          <w:rFonts w:eastAsia="Times New Roman" w:cs="Times New Roman"/>
          <w:sz w:val="24"/>
          <w:szCs w:val="24"/>
          <w:shd w:val="clear" w:color="auto" w:fill="FFFFFF"/>
          <w:lang w:val="fr-FR"/>
        </w:rPr>
        <w:t xml:space="preserve">, en disposant que la Chambre de première instance ou le juge devant lequel l’accusé comparait initialement </w:t>
      </w:r>
      <w:r w:rsidR="005A6A9B" w:rsidRPr="00953692">
        <w:rPr>
          <w:i/>
          <w:iCs/>
          <w:sz w:val="24"/>
          <w:szCs w:val="24"/>
          <w:lang w:val="fr-FR"/>
        </w:rPr>
        <w:t>informe l'accusé que, dans les trente jours suivant sa comparution initiale, il lui sera demandé de plaider coupable ou non coupable pour chaque chef d'accusation, mais qu'il peut, s'il le demande, plaider immédiatement coupable ou non coupable pour un ou plusieurs chefs d'accusation</w:t>
      </w:r>
      <w:r w:rsidR="008D4A58" w:rsidRPr="00953692">
        <w:rPr>
          <w:rStyle w:val="Appelnotedebasdep"/>
          <w:sz w:val="24"/>
          <w:szCs w:val="24"/>
          <w:lang w:val="fr-FR"/>
        </w:rPr>
        <w:footnoteReference w:customMarkFollows="1" w:id="168"/>
        <w:t>146</w:t>
      </w:r>
      <w:r w:rsidR="00F276AE" w:rsidRPr="00953692">
        <w:rPr>
          <w:sz w:val="24"/>
          <w:szCs w:val="24"/>
          <w:lang w:val="fr-FR"/>
        </w:rPr>
        <w:t>.</w:t>
      </w:r>
      <w:r w:rsidR="00FA7946" w:rsidRPr="00953692">
        <w:rPr>
          <w:sz w:val="24"/>
          <w:szCs w:val="24"/>
          <w:lang w:val="fr-FR"/>
        </w:rPr>
        <w:t xml:space="preserve"> On retrouve ce délai de 30 jours dans </w:t>
      </w:r>
      <w:r w:rsidR="00FA7946" w:rsidRPr="00953692">
        <w:rPr>
          <w:rFonts w:eastAsia="Times New Roman" w:cs="Times New Roman"/>
          <w:sz w:val="24"/>
          <w:szCs w:val="24"/>
          <w:shd w:val="clear" w:color="auto" w:fill="FFFFFF"/>
          <w:lang w:val="fr-FR"/>
        </w:rPr>
        <w:t xml:space="preserve">la règle 92 du RPP des Chambres spécialisées du Kosovo, et l’article 98 iii) du RPP du TSL prévoit plutôt un délai de sept jours. </w:t>
      </w:r>
    </w:p>
    <w:p w14:paraId="5E22577E" w14:textId="7E85A297" w:rsidR="0044724D" w:rsidRPr="00953692" w:rsidRDefault="00C333C4" w:rsidP="00864BBF">
      <w:pPr>
        <w:spacing w:after="0" w:line="276" w:lineRule="auto"/>
        <w:ind w:firstLine="1134"/>
        <w:jc w:val="both"/>
        <w:rPr>
          <w:sz w:val="24"/>
          <w:szCs w:val="24"/>
          <w:lang w:val="fr-FR"/>
        </w:rPr>
      </w:pPr>
      <w:r w:rsidRPr="00953692">
        <w:rPr>
          <w:rFonts w:cs="Times New Roman"/>
          <w:b/>
          <w:bCs/>
          <w:sz w:val="24"/>
          <w:szCs w:val="24"/>
          <w:lang w:val="fr-FR"/>
        </w:rPr>
        <w:t>221</w:t>
      </w:r>
      <w:r w:rsidR="00C34DCE" w:rsidRPr="00953692">
        <w:rPr>
          <w:rFonts w:cs="Times New Roman"/>
          <w:b/>
          <w:bCs/>
          <w:sz w:val="24"/>
          <w:szCs w:val="24"/>
          <w:lang w:val="fr-FR"/>
        </w:rPr>
        <w:t>.</w:t>
      </w:r>
      <w:r w:rsidR="00C34DCE" w:rsidRPr="00953692">
        <w:rPr>
          <w:rFonts w:cs="Times New Roman"/>
          <w:sz w:val="24"/>
          <w:szCs w:val="24"/>
          <w:lang w:val="fr-FR"/>
        </w:rPr>
        <w:t xml:space="preserve"> </w:t>
      </w:r>
      <w:r w:rsidR="00C137E4" w:rsidRPr="00953692">
        <w:rPr>
          <w:rFonts w:cs="Times New Roman"/>
          <w:sz w:val="24"/>
          <w:szCs w:val="24"/>
          <w:lang w:val="fr-FR"/>
        </w:rPr>
        <w:t>Dans ce</w:t>
      </w:r>
      <w:r w:rsidR="005E5962" w:rsidRPr="00953692">
        <w:rPr>
          <w:rFonts w:cs="Times New Roman"/>
          <w:sz w:val="24"/>
          <w:szCs w:val="24"/>
          <w:lang w:val="fr-FR"/>
        </w:rPr>
        <w:t>tte occurrence</w:t>
      </w:r>
      <w:r w:rsidR="00C137E4" w:rsidRPr="00953692">
        <w:rPr>
          <w:rFonts w:cs="Times New Roman"/>
          <w:sz w:val="24"/>
          <w:szCs w:val="24"/>
          <w:lang w:val="fr-FR"/>
        </w:rPr>
        <w:t>, i</w:t>
      </w:r>
      <w:r w:rsidR="007401CB" w:rsidRPr="00953692">
        <w:rPr>
          <w:rFonts w:cs="Times New Roman"/>
          <w:sz w:val="24"/>
          <w:szCs w:val="24"/>
          <w:lang w:val="fr-FR"/>
        </w:rPr>
        <w:t>l est</w:t>
      </w:r>
      <w:r w:rsidR="007401CB" w:rsidRPr="00953692">
        <w:rPr>
          <w:sz w:val="24"/>
          <w:szCs w:val="24"/>
          <w:lang w:val="fr-FR"/>
        </w:rPr>
        <w:t xml:space="preserve"> remarquable ce délai</w:t>
      </w:r>
      <w:r w:rsidR="005E5962" w:rsidRPr="00953692">
        <w:rPr>
          <w:sz w:val="24"/>
          <w:szCs w:val="24"/>
          <w:lang w:val="fr-FR"/>
        </w:rPr>
        <w:t xml:space="preserve"> plus ou moins précis</w:t>
      </w:r>
      <w:r w:rsidR="007401CB" w:rsidRPr="00953692">
        <w:rPr>
          <w:sz w:val="24"/>
          <w:szCs w:val="24"/>
          <w:lang w:val="fr-FR"/>
        </w:rPr>
        <w:t xml:space="preserve"> endéans lequel l’accusé devra plaider éventuellement coupable, donc mettre fin au procès</w:t>
      </w:r>
      <w:r w:rsidR="00720C41" w:rsidRPr="00953692">
        <w:rPr>
          <w:sz w:val="24"/>
          <w:szCs w:val="24"/>
          <w:lang w:val="fr-FR"/>
        </w:rPr>
        <w:t xml:space="preserve"> </w:t>
      </w:r>
      <w:r w:rsidR="00F705CC" w:rsidRPr="00953692">
        <w:rPr>
          <w:sz w:val="24"/>
          <w:szCs w:val="24"/>
          <w:lang w:val="fr-FR"/>
        </w:rPr>
        <w:t>trente ou sept jours après la comparution initiale</w:t>
      </w:r>
      <w:r w:rsidR="005E5962" w:rsidRPr="00953692">
        <w:rPr>
          <w:sz w:val="24"/>
          <w:szCs w:val="24"/>
          <w:lang w:val="fr-FR"/>
        </w:rPr>
        <w:t xml:space="preserve"> devant l’organe juridictionnel</w:t>
      </w:r>
      <w:r w:rsidR="00F705CC" w:rsidRPr="00953692">
        <w:rPr>
          <w:sz w:val="24"/>
          <w:szCs w:val="24"/>
          <w:lang w:val="fr-FR"/>
        </w:rPr>
        <w:t>. En plus, il peut s’agir du jour même de cette comparution initiale. En d’autres termes, l’accusé peut décider de limiter le procès à sa comparution initiale, si et seulement si</w:t>
      </w:r>
      <w:r w:rsidR="00C719E4" w:rsidRPr="00953692">
        <w:rPr>
          <w:sz w:val="24"/>
          <w:szCs w:val="24"/>
          <w:lang w:val="fr-FR"/>
        </w:rPr>
        <w:t>,</w:t>
      </w:r>
      <w:r w:rsidR="00F705CC" w:rsidRPr="00953692">
        <w:rPr>
          <w:sz w:val="24"/>
          <w:szCs w:val="24"/>
          <w:lang w:val="fr-FR"/>
        </w:rPr>
        <w:t xml:space="preserve"> son aveu de culpabilité est accepté</w:t>
      </w:r>
      <w:r w:rsidR="00C719E4" w:rsidRPr="00953692">
        <w:rPr>
          <w:sz w:val="24"/>
          <w:szCs w:val="24"/>
          <w:lang w:val="fr-FR"/>
        </w:rPr>
        <w:t xml:space="preserve"> d’abord par le juge</w:t>
      </w:r>
      <w:r w:rsidR="00F705CC" w:rsidRPr="00953692">
        <w:rPr>
          <w:sz w:val="24"/>
          <w:szCs w:val="24"/>
          <w:lang w:val="fr-FR"/>
        </w:rPr>
        <w:t>.</w:t>
      </w:r>
      <w:r w:rsidR="00C34DCE" w:rsidRPr="00953692">
        <w:rPr>
          <w:sz w:val="24"/>
          <w:szCs w:val="24"/>
          <w:lang w:val="fr-FR"/>
        </w:rPr>
        <w:t xml:space="preserve"> </w:t>
      </w:r>
      <w:r w:rsidR="00DF084A" w:rsidRPr="00953692">
        <w:rPr>
          <w:sz w:val="24"/>
          <w:szCs w:val="24"/>
          <w:lang w:val="fr-FR"/>
        </w:rPr>
        <w:t xml:space="preserve">Cette disposition </w:t>
      </w:r>
      <w:r w:rsidR="00C34DCE" w:rsidRPr="00953692">
        <w:rPr>
          <w:sz w:val="24"/>
          <w:szCs w:val="24"/>
          <w:lang w:val="fr-FR"/>
        </w:rPr>
        <w:t>peut être</w:t>
      </w:r>
      <w:r w:rsidR="00DF084A" w:rsidRPr="00953692">
        <w:rPr>
          <w:sz w:val="24"/>
          <w:szCs w:val="24"/>
          <w:lang w:val="fr-FR"/>
        </w:rPr>
        <w:t xml:space="preserve"> rapproch</w:t>
      </w:r>
      <w:r w:rsidR="00C34DCE" w:rsidRPr="00953692">
        <w:rPr>
          <w:sz w:val="24"/>
          <w:szCs w:val="24"/>
          <w:lang w:val="fr-FR"/>
        </w:rPr>
        <w:t>ée</w:t>
      </w:r>
      <w:r w:rsidR="00DF084A" w:rsidRPr="00953692">
        <w:rPr>
          <w:sz w:val="24"/>
          <w:szCs w:val="24"/>
          <w:lang w:val="fr-FR"/>
        </w:rPr>
        <w:t xml:space="preserve"> </w:t>
      </w:r>
      <w:r w:rsidR="00C34DCE" w:rsidRPr="00953692">
        <w:rPr>
          <w:sz w:val="24"/>
          <w:szCs w:val="24"/>
          <w:lang w:val="fr-FR"/>
        </w:rPr>
        <w:t>à</w:t>
      </w:r>
      <w:r w:rsidR="00DF084A" w:rsidRPr="00953692">
        <w:rPr>
          <w:sz w:val="24"/>
          <w:szCs w:val="24"/>
          <w:lang w:val="fr-FR"/>
        </w:rPr>
        <w:t xml:space="preserve"> l’article 61 du statut de Rome</w:t>
      </w:r>
      <w:r w:rsidR="00C34DCE" w:rsidRPr="00953692">
        <w:rPr>
          <w:sz w:val="24"/>
          <w:szCs w:val="24"/>
          <w:lang w:val="fr-FR"/>
        </w:rPr>
        <w:t>,</w:t>
      </w:r>
      <w:r w:rsidR="00DF084A" w:rsidRPr="00953692">
        <w:rPr>
          <w:sz w:val="24"/>
          <w:szCs w:val="24"/>
          <w:lang w:val="fr-FR"/>
        </w:rPr>
        <w:t xml:space="preserve"> qui prévoit </w:t>
      </w:r>
      <w:r w:rsidR="005B3F40" w:rsidRPr="00953692">
        <w:rPr>
          <w:sz w:val="24"/>
          <w:szCs w:val="24"/>
          <w:lang w:val="fr-FR"/>
        </w:rPr>
        <w:t xml:space="preserve">d’organiser l’audience de confirmation des charges dans un délai raisonnable. Sauf </w:t>
      </w:r>
      <w:r w:rsidR="00C34DCE" w:rsidRPr="00953692">
        <w:rPr>
          <w:sz w:val="24"/>
          <w:szCs w:val="24"/>
          <w:lang w:val="fr-FR"/>
        </w:rPr>
        <w:t xml:space="preserve">à préciser </w:t>
      </w:r>
      <w:r w:rsidR="005B3F40" w:rsidRPr="00953692">
        <w:rPr>
          <w:sz w:val="24"/>
          <w:szCs w:val="24"/>
          <w:lang w:val="fr-FR"/>
        </w:rPr>
        <w:t xml:space="preserve">que devant la CPI, il n’appartient pas à la </w:t>
      </w:r>
      <w:r w:rsidR="00C34DCE" w:rsidRPr="00953692">
        <w:rPr>
          <w:sz w:val="24"/>
          <w:szCs w:val="24"/>
          <w:lang w:val="fr-FR"/>
        </w:rPr>
        <w:t>C</w:t>
      </w:r>
      <w:r w:rsidR="005B3F40" w:rsidRPr="00953692">
        <w:rPr>
          <w:sz w:val="24"/>
          <w:szCs w:val="24"/>
          <w:lang w:val="fr-FR"/>
        </w:rPr>
        <w:t>hambre préliminaire de constater l’aveu de culpabilité</w:t>
      </w:r>
      <w:r w:rsidR="00C34DCE" w:rsidRPr="00953692">
        <w:rPr>
          <w:sz w:val="24"/>
          <w:szCs w:val="24"/>
          <w:lang w:val="fr-FR"/>
        </w:rPr>
        <w:t xml:space="preserve">, et surtout </w:t>
      </w:r>
      <w:r w:rsidR="00C719E4" w:rsidRPr="00953692">
        <w:rPr>
          <w:sz w:val="24"/>
          <w:szCs w:val="24"/>
          <w:lang w:val="fr-FR"/>
        </w:rPr>
        <w:t xml:space="preserve">pas </w:t>
      </w:r>
      <w:r w:rsidR="00C34DCE" w:rsidRPr="00953692">
        <w:rPr>
          <w:sz w:val="24"/>
          <w:szCs w:val="24"/>
          <w:lang w:val="fr-FR"/>
        </w:rPr>
        <w:t>dès la première comparution de l’accusé</w:t>
      </w:r>
      <w:r w:rsidR="005B3F40" w:rsidRPr="00953692">
        <w:rPr>
          <w:sz w:val="24"/>
          <w:szCs w:val="24"/>
          <w:lang w:val="fr-FR"/>
        </w:rPr>
        <w:t xml:space="preserve">. Seul le juge de la première instance </w:t>
      </w:r>
      <w:r w:rsidR="002505CC" w:rsidRPr="00953692">
        <w:rPr>
          <w:sz w:val="24"/>
          <w:szCs w:val="24"/>
          <w:lang w:val="fr-FR"/>
        </w:rPr>
        <w:t>l’</w:t>
      </w:r>
      <w:r w:rsidR="005B3F40" w:rsidRPr="00953692">
        <w:rPr>
          <w:sz w:val="24"/>
          <w:szCs w:val="24"/>
          <w:lang w:val="fr-FR"/>
        </w:rPr>
        <w:t xml:space="preserve">en constate et </w:t>
      </w:r>
      <w:r w:rsidR="002505CC" w:rsidRPr="00953692">
        <w:rPr>
          <w:sz w:val="24"/>
          <w:szCs w:val="24"/>
          <w:lang w:val="fr-FR"/>
        </w:rPr>
        <w:t>l’</w:t>
      </w:r>
      <w:r w:rsidR="00FB0511" w:rsidRPr="00953692">
        <w:rPr>
          <w:sz w:val="24"/>
          <w:szCs w:val="24"/>
          <w:lang w:val="fr-FR"/>
        </w:rPr>
        <w:t xml:space="preserve">en </w:t>
      </w:r>
      <w:r w:rsidR="005B3F40" w:rsidRPr="00953692">
        <w:rPr>
          <w:sz w:val="24"/>
          <w:szCs w:val="24"/>
          <w:lang w:val="fr-FR"/>
        </w:rPr>
        <w:t xml:space="preserve">valide. Il faut </w:t>
      </w:r>
      <w:r w:rsidR="00C34DCE" w:rsidRPr="00953692">
        <w:rPr>
          <w:sz w:val="24"/>
          <w:szCs w:val="24"/>
          <w:lang w:val="fr-FR"/>
        </w:rPr>
        <w:t>rappeler</w:t>
      </w:r>
      <w:r w:rsidR="005B3F40" w:rsidRPr="00953692">
        <w:rPr>
          <w:sz w:val="24"/>
          <w:szCs w:val="24"/>
          <w:lang w:val="fr-FR"/>
        </w:rPr>
        <w:t xml:space="preserve"> que la confirmation des charges est une étape qui consiste à </w:t>
      </w:r>
      <w:r w:rsidR="00FB0511" w:rsidRPr="00953692">
        <w:rPr>
          <w:sz w:val="24"/>
          <w:szCs w:val="24"/>
          <w:lang w:val="fr-FR"/>
        </w:rPr>
        <w:t>accorder</w:t>
      </w:r>
      <w:r w:rsidR="00C719E4" w:rsidRPr="00953692">
        <w:rPr>
          <w:sz w:val="24"/>
          <w:szCs w:val="24"/>
          <w:lang w:val="fr-FR"/>
        </w:rPr>
        <w:t>,</w:t>
      </w:r>
      <w:r w:rsidR="00FB0511" w:rsidRPr="00953692">
        <w:rPr>
          <w:sz w:val="24"/>
          <w:szCs w:val="24"/>
          <w:lang w:val="fr-FR"/>
        </w:rPr>
        <w:t xml:space="preserve"> en quelque sorte</w:t>
      </w:r>
      <w:r w:rsidR="00C719E4" w:rsidRPr="00953692">
        <w:rPr>
          <w:sz w:val="24"/>
          <w:szCs w:val="24"/>
          <w:lang w:val="fr-FR"/>
        </w:rPr>
        <w:t>,</w:t>
      </w:r>
      <w:r w:rsidR="00FB0511" w:rsidRPr="00953692">
        <w:rPr>
          <w:sz w:val="24"/>
          <w:szCs w:val="24"/>
          <w:lang w:val="fr-FR"/>
        </w:rPr>
        <w:t xml:space="preserve"> du</w:t>
      </w:r>
      <w:r w:rsidR="005B3F40" w:rsidRPr="00953692">
        <w:rPr>
          <w:sz w:val="24"/>
          <w:szCs w:val="24"/>
          <w:lang w:val="fr-FR"/>
        </w:rPr>
        <w:t xml:space="preserve"> crédit aux arguments avancés par le </w:t>
      </w:r>
      <w:r w:rsidR="00C719E4" w:rsidRPr="00953692">
        <w:rPr>
          <w:sz w:val="24"/>
          <w:szCs w:val="24"/>
          <w:lang w:val="fr-FR"/>
        </w:rPr>
        <w:t>P</w:t>
      </w:r>
      <w:r w:rsidR="005B3F40" w:rsidRPr="00953692">
        <w:rPr>
          <w:sz w:val="24"/>
          <w:szCs w:val="24"/>
          <w:lang w:val="fr-FR"/>
        </w:rPr>
        <w:t>rocureur</w:t>
      </w:r>
      <w:r w:rsidR="00FB0511" w:rsidRPr="00953692">
        <w:rPr>
          <w:sz w:val="24"/>
          <w:szCs w:val="24"/>
          <w:lang w:val="fr-FR"/>
        </w:rPr>
        <w:t xml:space="preserve"> dans son</w:t>
      </w:r>
      <w:r w:rsidR="00C34DCE" w:rsidRPr="00953692">
        <w:rPr>
          <w:sz w:val="24"/>
          <w:szCs w:val="24"/>
          <w:lang w:val="fr-FR"/>
        </w:rPr>
        <w:t xml:space="preserve"> intention </w:t>
      </w:r>
      <w:r w:rsidR="0034095C" w:rsidRPr="00953692">
        <w:rPr>
          <w:sz w:val="24"/>
          <w:szCs w:val="24"/>
          <w:lang w:val="fr-FR"/>
        </w:rPr>
        <w:t>déclarée</w:t>
      </w:r>
      <w:r w:rsidR="00C719E4" w:rsidRPr="00953692">
        <w:rPr>
          <w:sz w:val="24"/>
          <w:szCs w:val="24"/>
          <w:lang w:val="fr-FR"/>
        </w:rPr>
        <w:t xml:space="preserve"> et ferme</w:t>
      </w:r>
      <w:r w:rsidR="00C34DCE" w:rsidRPr="00953692">
        <w:rPr>
          <w:sz w:val="24"/>
          <w:szCs w:val="24"/>
          <w:lang w:val="fr-FR"/>
        </w:rPr>
        <w:t xml:space="preserve"> de poursuivre l’accusé en jugement</w:t>
      </w:r>
      <w:r w:rsidR="00C719E4" w:rsidRPr="00953692">
        <w:rPr>
          <w:sz w:val="24"/>
          <w:szCs w:val="24"/>
          <w:lang w:val="fr-FR"/>
        </w:rPr>
        <w:t xml:space="preserve">. Et si l’accusé devra plaider coupable, il lui faudrait attendre que les faits ou les charges soient donc confirmées afin </w:t>
      </w:r>
      <w:r w:rsidR="002505CC" w:rsidRPr="00953692">
        <w:rPr>
          <w:sz w:val="24"/>
          <w:szCs w:val="24"/>
          <w:lang w:val="fr-FR"/>
        </w:rPr>
        <w:t>ou avant</w:t>
      </w:r>
      <w:r w:rsidR="00C719E4" w:rsidRPr="00953692">
        <w:rPr>
          <w:sz w:val="24"/>
          <w:szCs w:val="24"/>
          <w:lang w:val="fr-FR"/>
        </w:rPr>
        <w:t xml:space="preserve"> d’opérer son choix entre la culpabilité ou l’innocence.</w:t>
      </w:r>
    </w:p>
    <w:p w14:paraId="259D14FF" w14:textId="7EB748DA" w:rsidR="00227601" w:rsidRPr="00953692" w:rsidRDefault="00C333C4" w:rsidP="00864BBF">
      <w:pPr>
        <w:spacing w:after="0" w:line="276" w:lineRule="auto"/>
        <w:ind w:firstLine="1134"/>
        <w:jc w:val="both"/>
        <w:rPr>
          <w:sz w:val="24"/>
          <w:szCs w:val="24"/>
          <w:lang w:val="fr-FR"/>
        </w:rPr>
      </w:pPr>
      <w:r w:rsidRPr="00953692">
        <w:rPr>
          <w:b/>
          <w:bCs/>
          <w:sz w:val="24"/>
          <w:szCs w:val="24"/>
          <w:lang w:val="fr-FR"/>
        </w:rPr>
        <w:t>222</w:t>
      </w:r>
      <w:r w:rsidR="00C763B1" w:rsidRPr="00953692">
        <w:rPr>
          <w:b/>
          <w:bCs/>
          <w:sz w:val="24"/>
          <w:szCs w:val="24"/>
          <w:lang w:val="fr-FR"/>
        </w:rPr>
        <w:t>.</w:t>
      </w:r>
      <w:r w:rsidR="00C763B1" w:rsidRPr="00953692">
        <w:rPr>
          <w:sz w:val="24"/>
          <w:szCs w:val="24"/>
          <w:lang w:val="fr-FR"/>
        </w:rPr>
        <w:t xml:space="preserve"> </w:t>
      </w:r>
      <w:r w:rsidR="0044724D" w:rsidRPr="00953692">
        <w:rPr>
          <w:sz w:val="24"/>
          <w:szCs w:val="24"/>
          <w:lang w:val="fr-FR"/>
        </w:rPr>
        <w:t xml:space="preserve">En fait, </w:t>
      </w:r>
      <w:r w:rsidR="008C091D" w:rsidRPr="00953692">
        <w:rPr>
          <w:sz w:val="24"/>
          <w:szCs w:val="24"/>
          <w:lang w:val="fr-FR"/>
        </w:rPr>
        <w:t>la lecture des dispositions des actes constitutifs de</w:t>
      </w:r>
      <w:r w:rsidR="00623ECB" w:rsidRPr="00953692">
        <w:rPr>
          <w:sz w:val="24"/>
          <w:szCs w:val="24"/>
          <w:lang w:val="fr-FR"/>
        </w:rPr>
        <w:t xml:space="preserve"> la C</w:t>
      </w:r>
      <w:r w:rsidR="008C091D" w:rsidRPr="00953692">
        <w:rPr>
          <w:sz w:val="24"/>
          <w:szCs w:val="24"/>
          <w:lang w:val="fr-FR"/>
        </w:rPr>
        <w:t>PI montre que</w:t>
      </w:r>
      <w:r w:rsidR="00623ECB" w:rsidRPr="00953692">
        <w:rPr>
          <w:sz w:val="24"/>
          <w:szCs w:val="24"/>
          <w:lang w:val="fr-FR"/>
        </w:rPr>
        <w:t xml:space="preserve"> l’aveu de culpabilité </w:t>
      </w:r>
      <w:r w:rsidR="008C091D" w:rsidRPr="00953692">
        <w:rPr>
          <w:sz w:val="24"/>
          <w:szCs w:val="24"/>
          <w:lang w:val="fr-FR"/>
        </w:rPr>
        <w:t xml:space="preserve">est conditionné </w:t>
      </w:r>
      <w:r w:rsidR="00623ECB" w:rsidRPr="00953692">
        <w:rPr>
          <w:sz w:val="24"/>
          <w:szCs w:val="24"/>
          <w:lang w:val="fr-FR"/>
        </w:rPr>
        <w:t>à la confirmation des charges par la Chambre préliminaire. Ce qui est compréhensible</w:t>
      </w:r>
      <w:r w:rsidR="00003294" w:rsidRPr="00953692">
        <w:rPr>
          <w:sz w:val="24"/>
          <w:szCs w:val="24"/>
          <w:lang w:val="fr-FR"/>
        </w:rPr>
        <w:t>,</w:t>
      </w:r>
      <w:r w:rsidR="00623ECB" w:rsidRPr="00953692">
        <w:rPr>
          <w:sz w:val="24"/>
          <w:szCs w:val="24"/>
          <w:lang w:val="fr-FR"/>
        </w:rPr>
        <w:t xml:space="preserve"> d’autant plus que l’aveu est, juridiquement ou mieux judiciairement valable que lorsqu’il y a une accusation officielle et formelle</w:t>
      </w:r>
      <w:r w:rsidR="0044724D" w:rsidRPr="00953692">
        <w:rPr>
          <w:sz w:val="24"/>
          <w:szCs w:val="24"/>
          <w:lang w:val="fr-FR"/>
        </w:rPr>
        <w:t>.</w:t>
      </w:r>
      <w:r w:rsidR="00623ECB" w:rsidRPr="00953692">
        <w:rPr>
          <w:sz w:val="24"/>
          <w:szCs w:val="24"/>
          <w:lang w:val="fr-FR"/>
        </w:rPr>
        <w:t xml:space="preserve"> </w:t>
      </w:r>
      <w:r w:rsidR="0044724D" w:rsidRPr="00953692">
        <w:rPr>
          <w:sz w:val="24"/>
          <w:szCs w:val="24"/>
          <w:lang w:val="fr-FR"/>
        </w:rPr>
        <w:t>D</w:t>
      </w:r>
      <w:r w:rsidR="00623ECB" w:rsidRPr="00953692">
        <w:rPr>
          <w:sz w:val="24"/>
          <w:szCs w:val="24"/>
          <w:lang w:val="fr-FR"/>
        </w:rPr>
        <w:t xml:space="preserve">evant la CPI, c’est la procédure de confirmation des charges </w:t>
      </w:r>
      <w:r w:rsidR="00346799" w:rsidRPr="00953692">
        <w:rPr>
          <w:sz w:val="24"/>
          <w:szCs w:val="24"/>
          <w:lang w:val="fr-FR"/>
        </w:rPr>
        <w:t>par</w:t>
      </w:r>
      <w:r w:rsidR="00C719E4" w:rsidRPr="00953692">
        <w:rPr>
          <w:sz w:val="24"/>
          <w:szCs w:val="24"/>
          <w:lang w:val="fr-FR"/>
        </w:rPr>
        <w:t xml:space="preserve"> devant </w:t>
      </w:r>
      <w:r w:rsidR="00346799" w:rsidRPr="00953692">
        <w:rPr>
          <w:sz w:val="24"/>
          <w:szCs w:val="24"/>
          <w:lang w:val="fr-FR"/>
        </w:rPr>
        <w:t xml:space="preserve">la Chambre préliminaire </w:t>
      </w:r>
      <w:r w:rsidR="00623ECB" w:rsidRPr="00953692">
        <w:rPr>
          <w:sz w:val="24"/>
          <w:szCs w:val="24"/>
          <w:lang w:val="fr-FR"/>
        </w:rPr>
        <w:t>qui en détermine.</w:t>
      </w:r>
      <w:r w:rsidR="00DB25CC" w:rsidRPr="00953692">
        <w:rPr>
          <w:sz w:val="24"/>
          <w:szCs w:val="24"/>
          <w:lang w:val="fr-FR"/>
        </w:rPr>
        <w:t xml:space="preserve"> Devant les T</w:t>
      </w:r>
      <w:r w:rsidR="005E2613" w:rsidRPr="00953692">
        <w:rPr>
          <w:sz w:val="24"/>
          <w:szCs w:val="24"/>
          <w:lang w:val="fr-FR"/>
        </w:rPr>
        <w:t>ribunaux pénaux internationaux ad hoc</w:t>
      </w:r>
      <w:r w:rsidR="00DB25CC" w:rsidRPr="00953692">
        <w:rPr>
          <w:sz w:val="24"/>
          <w:szCs w:val="24"/>
          <w:lang w:val="fr-FR"/>
        </w:rPr>
        <w:t xml:space="preserve">, c’est </w:t>
      </w:r>
      <w:r w:rsidR="00346799" w:rsidRPr="00953692">
        <w:rPr>
          <w:sz w:val="24"/>
          <w:szCs w:val="24"/>
          <w:lang w:val="fr-FR"/>
        </w:rPr>
        <w:lastRenderedPageBreak/>
        <w:t xml:space="preserve">plutôt </w:t>
      </w:r>
      <w:r w:rsidR="00DB25CC" w:rsidRPr="00953692">
        <w:rPr>
          <w:sz w:val="24"/>
          <w:szCs w:val="24"/>
          <w:lang w:val="fr-FR"/>
        </w:rPr>
        <w:t xml:space="preserve">la confirmation de l’acte d’accusation par la </w:t>
      </w:r>
      <w:r w:rsidR="00346799" w:rsidRPr="00953692">
        <w:rPr>
          <w:sz w:val="24"/>
          <w:szCs w:val="24"/>
          <w:lang w:val="fr-FR"/>
        </w:rPr>
        <w:t>C</w:t>
      </w:r>
      <w:r w:rsidR="00DB25CC" w:rsidRPr="00953692">
        <w:rPr>
          <w:sz w:val="24"/>
          <w:szCs w:val="24"/>
          <w:lang w:val="fr-FR"/>
        </w:rPr>
        <w:t>hambre</w:t>
      </w:r>
      <w:r w:rsidR="009017B2" w:rsidRPr="00953692">
        <w:rPr>
          <w:sz w:val="24"/>
          <w:szCs w:val="24"/>
          <w:lang w:val="fr-FR"/>
        </w:rPr>
        <w:t xml:space="preserve"> de première instance</w:t>
      </w:r>
      <w:r w:rsidR="00DB25CC" w:rsidRPr="00953692">
        <w:rPr>
          <w:sz w:val="24"/>
          <w:szCs w:val="24"/>
          <w:lang w:val="fr-FR"/>
        </w:rPr>
        <w:t xml:space="preserve"> ou un juge de</w:t>
      </w:r>
      <w:r w:rsidR="009017B2" w:rsidRPr="00953692">
        <w:rPr>
          <w:sz w:val="24"/>
          <w:szCs w:val="24"/>
          <w:lang w:val="fr-FR"/>
        </w:rPr>
        <w:t xml:space="preserve"> la</w:t>
      </w:r>
      <w:r w:rsidR="00DB25CC" w:rsidRPr="00953692">
        <w:rPr>
          <w:sz w:val="24"/>
          <w:szCs w:val="24"/>
          <w:lang w:val="fr-FR"/>
        </w:rPr>
        <w:t xml:space="preserve"> </w:t>
      </w:r>
      <w:r w:rsidR="00346799" w:rsidRPr="00953692">
        <w:rPr>
          <w:sz w:val="24"/>
          <w:szCs w:val="24"/>
          <w:lang w:val="fr-FR"/>
        </w:rPr>
        <w:t>première instance.</w:t>
      </w:r>
      <w:r w:rsidR="0044724D" w:rsidRPr="00953692">
        <w:rPr>
          <w:sz w:val="24"/>
          <w:szCs w:val="24"/>
          <w:lang w:val="fr-FR"/>
        </w:rPr>
        <w:t xml:space="preserve"> Dans ce cas, on dira que l’aveu de culpabilité est conditionné à l’acte d’accusation confirmé</w:t>
      </w:r>
      <w:r w:rsidR="009017B2" w:rsidRPr="00953692">
        <w:rPr>
          <w:sz w:val="24"/>
          <w:szCs w:val="24"/>
          <w:lang w:val="fr-FR"/>
        </w:rPr>
        <w:t>, théoriquement lors d’une procédure ex parte</w:t>
      </w:r>
      <w:r w:rsidR="0044724D" w:rsidRPr="00953692">
        <w:rPr>
          <w:sz w:val="24"/>
          <w:szCs w:val="24"/>
          <w:lang w:val="fr-FR"/>
        </w:rPr>
        <w:t>. Si au fond, la logique reste la même, sur le plan de la forme, il n’en est pas le cas. D</w:t>
      </w:r>
      <w:r w:rsidR="005B3F40" w:rsidRPr="00953692">
        <w:rPr>
          <w:sz w:val="24"/>
          <w:szCs w:val="24"/>
          <w:lang w:val="fr-FR"/>
        </w:rPr>
        <w:t xml:space="preserve">evant la </w:t>
      </w:r>
      <w:r w:rsidR="001B13B6" w:rsidRPr="00953692">
        <w:rPr>
          <w:sz w:val="24"/>
          <w:szCs w:val="24"/>
          <w:lang w:val="fr-FR"/>
        </w:rPr>
        <w:t>CPI</w:t>
      </w:r>
      <w:r w:rsidR="00003294" w:rsidRPr="00953692">
        <w:rPr>
          <w:sz w:val="24"/>
          <w:szCs w:val="24"/>
          <w:lang w:val="fr-FR"/>
        </w:rPr>
        <w:t xml:space="preserve">, </w:t>
      </w:r>
      <w:r w:rsidR="001B13B6" w:rsidRPr="00953692">
        <w:rPr>
          <w:sz w:val="24"/>
          <w:szCs w:val="24"/>
          <w:lang w:val="fr-FR"/>
        </w:rPr>
        <w:t xml:space="preserve">l’aveu de culpabilité </w:t>
      </w:r>
      <w:r w:rsidR="0044724D" w:rsidRPr="00953692">
        <w:rPr>
          <w:sz w:val="24"/>
          <w:szCs w:val="24"/>
          <w:lang w:val="fr-FR"/>
        </w:rPr>
        <w:t xml:space="preserve">ne peut </w:t>
      </w:r>
      <w:r w:rsidR="001B13B6" w:rsidRPr="00953692">
        <w:rPr>
          <w:sz w:val="24"/>
          <w:szCs w:val="24"/>
          <w:lang w:val="fr-FR"/>
        </w:rPr>
        <w:t>interv</w:t>
      </w:r>
      <w:r w:rsidR="0044724D" w:rsidRPr="00953692">
        <w:rPr>
          <w:sz w:val="24"/>
          <w:szCs w:val="24"/>
          <w:lang w:val="fr-FR"/>
        </w:rPr>
        <w:t>enir</w:t>
      </w:r>
      <w:r w:rsidR="001B13B6" w:rsidRPr="00953692">
        <w:rPr>
          <w:sz w:val="24"/>
          <w:szCs w:val="24"/>
          <w:lang w:val="fr-FR"/>
        </w:rPr>
        <w:t xml:space="preserve"> </w:t>
      </w:r>
      <w:r w:rsidR="008B7CD2" w:rsidRPr="00953692">
        <w:rPr>
          <w:sz w:val="24"/>
          <w:szCs w:val="24"/>
          <w:lang w:val="fr-FR"/>
        </w:rPr>
        <w:t>ou être constat</w:t>
      </w:r>
      <w:r w:rsidR="008C091D" w:rsidRPr="00953692">
        <w:rPr>
          <w:sz w:val="24"/>
          <w:szCs w:val="24"/>
          <w:lang w:val="fr-FR"/>
        </w:rPr>
        <w:t>é</w:t>
      </w:r>
      <w:r w:rsidR="008B7CD2" w:rsidRPr="00953692">
        <w:rPr>
          <w:sz w:val="24"/>
          <w:szCs w:val="24"/>
          <w:lang w:val="fr-FR"/>
        </w:rPr>
        <w:t xml:space="preserve"> valablement </w:t>
      </w:r>
      <w:r w:rsidR="001B13B6" w:rsidRPr="00953692">
        <w:rPr>
          <w:sz w:val="24"/>
          <w:szCs w:val="24"/>
          <w:lang w:val="fr-FR"/>
        </w:rPr>
        <w:t xml:space="preserve">dès la comparution initiale de l’accusé. </w:t>
      </w:r>
      <w:r w:rsidR="00C763B1" w:rsidRPr="00953692">
        <w:rPr>
          <w:sz w:val="24"/>
          <w:szCs w:val="24"/>
          <w:lang w:val="fr-FR"/>
        </w:rPr>
        <w:t>Ce dernier devra attendre à ce que les charges retenues par le procureur à son encontre soient confirmées par la Chambre préliminaire, afin de plaider coupable à la première audience devant la Chambre de première instance</w:t>
      </w:r>
      <w:r w:rsidR="008D4A58" w:rsidRPr="00953692">
        <w:rPr>
          <w:rStyle w:val="Appelnotedebasdep"/>
          <w:sz w:val="24"/>
          <w:szCs w:val="24"/>
          <w:lang w:val="fr-FR"/>
        </w:rPr>
        <w:footnoteReference w:customMarkFollows="1" w:id="169"/>
        <w:t>147</w:t>
      </w:r>
      <w:r w:rsidR="00C763B1" w:rsidRPr="00953692">
        <w:rPr>
          <w:sz w:val="24"/>
          <w:szCs w:val="24"/>
          <w:lang w:val="fr-FR"/>
        </w:rPr>
        <w:t>.</w:t>
      </w:r>
      <w:r w:rsidR="00227601" w:rsidRPr="00953692">
        <w:rPr>
          <w:sz w:val="24"/>
          <w:szCs w:val="24"/>
          <w:lang w:val="fr-FR"/>
        </w:rPr>
        <w:t xml:space="preserve"> </w:t>
      </w:r>
    </w:p>
    <w:p w14:paraId="0843863C" w14:textId="133DA34C" w:rsidR="00653E31" w:rsidRPr="00953692" w:rsidRDefault="00C333C4" w:rsidP="00864BBF">
      <w:pPr>
        <w:spacing w:after="0" w:line="276" w:lineRule="auto"/>
        <w:ind w:firstLine="1134"/>
        <w:jc w:val="both"/>
        <w:rPr>
          <w:sz w:val="24"/>
          <w:szCs w:val="24"/>
          <w:lang w:val="fr-FR"/>
        </w:rPr>
      </w:pPr>
      <w:r w:rsidRPr="00953692">
        <w:rPr>
          <w:b/>
          <w:bCs/>
          <w:sz w:val="24"/>
          <w:szCs w:val="24"/>
          <w:lang w:val="fr-FR"/>
        </w:rPr>
        <w:t>223</w:t>
      </w:r>
      <w:r w:rsidR="00843B70" w:rsidRPr="00953692">
        <w:rPr>
          <w:b/>
          <w:bCs/>
          <w:sz w:val="24"/>
          <w:szCs w:val="24"/>
          <w:lang w:val="fr-FR"/>
        </w:rPr>
        <w:t>.</w:t>
      </w:r>
      <w:r w:rsidR="00843B70" w:rsidRPr="00953692">
        <w:rPr>
          <w:sz w:val="24"/>
          <w:szCs w:val="24"/>
          <w:lang w:val="fr-FR"/>
        </w:rPr>
        <w:t xml:space="preserve"> </w:t>
      </w:r>
      <w:r w:rsidR="00227601" w:rsidRPr="00953692">
        <w:rPr>
          <w:sz w:val="24"/>
          <w:szCs w:val="24"/>
          <w:lang w:val="fr-FR"/>
        </w:rPr>
        <w:t>Cependant, ceci n’empêche pas à ce que durant la phase de confirmation des charges le suspect reconnaisse les faits tels que contenu</w:t>
      </w:r>
      <w:r w:rsidR="008B7CD2" w:rsidRPr="00953692">
        <w:rPr>
          <w:sz w:val="24"/>
          <w:szCs w:val="24"/>
          <w:lang w:val="fr-FR"/>
        </w:rPr>
        <w:t>s</w:t>
      </w:r>
      <w:r w:rsidR="00227601" w:rsidRPr="00953692">
        <w:rPr>
          <w:sz w:val="24"/>
          <w:szCs w:val="24"/>
          <w:lang w:val="fr-FR"/>
        </w:rPr>
        <w:t xml:space="preserve"> et présentés dans l’acte d’accusation. </w:t>
      </w:r>
      <w:r w:rsidR="009017B2" w:rsidRPr="00953692">
        <w:rPr>
          <w:sz w:val="24"/>
          <w:szCs w:val="24"/>
          <w:lang w:val="fr-FR"/>
        </w:rPr>
        <w:t xml:space="preserve">D’ailleurs, il est l’occasion de rappeler </w:t>
      </w:r>
      <w:r w:rsidR="008B7CD2" w:rsidRPr="00953692">
        <w:rPr>
          <w:sz w:val="24"/>
          <w:szCs w:val="24"/>
          <w:lang w:val="fr-FR"/>
        </w:rPr>
        <w:t xml:space="preserve">clairement </w:t>
      </w:r>
      <w:r w:rsidR="009017B2" w:rsidRPr="00953692">
        <w:rPr>
          <w:sz w:val="24"/>
          <w:szCs w:val="24"/>
          <w:lang w:val="fr-FR"/>
        </w:rPr>
        <w:t>qu’</w:t>
      </w:r>
      <w:r w:rsidR="008B7CD2" w:rsidRPr="00953692">
        <w:rPr>
          <w:sz w:val="24"/>
          <w:szCs w:val="24"/>
          <w:lang w:val="fr-FR"/>
        </w:rPr>
        <w:t>en théorie tout comme en pratique, il</w:t>
      </w:r>
      <w:r w:rsidR="009017B2" w:rsidRPr="00953692">
        <w:rPr>
          <w:sz w:val="24"/>
          <w:szCs w:val="24"/>
          <w:lang w:val="fr-FR"/>
        </w:rPr>
        <w:t xml:space="preserve"> n’existe pas un moment déterminé durant lequel le suspect</w:t>
      </w:r>
      <w:r w:rsidR="008B7CD2" w:rsidRPr="00953692">
        <w:rPr>
          <w:sz w:val="24"/>
          <w:szCs w:val="24"/>
          <w:lang w:val="fr-FR"/>
        </w:rPr>
        <w:t xml:space="preserve"> ou l’accusé</w:t>
      </w:r>
      <w:r w:rsidR="009017B2" w:rsidRPr="00953692">
        <w:rPr>
          <w:sz w:val="24"/>
          <w:szCs w:val="24"/>
          <w:lang w:val="fr-FR"/>
        </w:rPr>
        <w:t xml:space="preserve"> devra plaider coupable ; à tout moment dès lors qu’il est mis en cause d’une quelconque</w:t>
      </w:r>
      <w:r w:rsidR="008B7CD2" w:rsidRPr="00953692">
        <w:rPr>
          <w:sz w:val="24"/>
          <w:szCs w:val="24"/>
          <w:lang w:val="fr-FR"/>
        </w:rPr>
        <w:t xml:space="preserve"> manière</w:t>
      </w:r>
      <w:r w:rsidR="009017B2" w:rsidRPr="00953692">
        <w:rPr>
          <w:sz w:val="24"/>
          <w:szCs w:val="24"/>
          <w:lang w:val="fr-FR"/>
        </w:rPr>
        <w:t>, le suspect peut avouer les faits, voire décider de</w:t>
      </w:r>
      <w:r w:rsidR="00B135FF" w:rsidRPr="00953692">
        <w:rPr>
          <w:sz w:val="24"/>
          <w:szCs w:val="24"/>
          <w:lang w:val="fr-FR"/>
        </w:rPr>
        <w:t xml:space="preserve"> se </w:t>
      </w:r>
      <w:r w:rsidR="009017B2" w:rsidRPr="00953692">
        <w:rPr>
          <w:sz w:val="24"/>
          <w:szCs w:val="24"/>
          <w:lang w:val="fr-FR"/>
        </w:rPr>
        <w:t xml:space="preserve">rendre à la justice sans qu’il </w:t>
      </w:r>
      <w:r w:rsidR="008B7CD2" w:rsidRPr="00953692">
        <w:rPr>
          <w:sz w:val="24"/>
          <w:szCs w:val="24"/>
          <w:lang w:val="fr-FR"/>
        </w:rPr>
        <w:t>n</w:t>
      </w:r>
      <w:r w:rsidR="008C091D" w:rsidRPr="00953692">
        <w:rPr>
          <w:sz w:val="24"/>
          <w:szCs w:val="24"/>
          <w:lang w:val="fr-FR"/>
        </w:rPr>
        <w:t>’y</w:t>
      </w:r>
      <w:r w:rsidR="008B7CD2" w:rsidRPr="00953692">
        <w:rPr>
          <w:sz w:val="24"/>
          <w:szCs w:val="24"/>
          <w:lang w:val="fr-FR"/>
        </w:rPr>
        <w:t xml:space="preserve"> </w:t>
      </w:r>
      <w:r w:rsidR="009017B2" w:rsidRPr="00953692">
        <w:rPr>
          <w:sz w:val="24"/>
          <w:szCs w:val="24"/>
          <w:lang w:val="fr-FR"/>
        </w:rPr>
        <w:t xml:space="preserve">soit formellement convoqué. </w:t>
      </w:r>
    </w:p>
    <w:p w14:paraId="4FDB3353" w14:textId="7FFB8ED1" w:rsidR="0044724D" w:rsidRPr="00953692" w:rsidRDefault="00C333C4" w:rsidP="00864BBF">
      <w:pPr>
        <w:spacing w:after="0" w:line="276" w:lineRule="auto"/>
        <w:ind w:firstLine="1134"/>
        <w:jc w:val="both"/>
        <w:rPr>
          <w:sz w:val="24"/>
          <w:szCs w:val="24"/>
          <w:lang w:val="fr-FR"/>
        </w:rPr>
      </w:pPr>
      <w:r w:rsidRPr="00953692">
        <w:rPr>
          <w:b/>
          <w:bCs/>
          <w:sz w:val="24"/>
          <w:szCs w:val="24"/>
          <w:lang w:val="fr-FR"/>
        </w:rPr>
        <w:t>224</w:t>
      </w:r>
      <w:r w:rsidR="00653E31" w:rsidRPr="00953692">
        <w:rPr>
          <w:b/>
          <w:bCs/>
          <w:sz w:val="24"/>
          <w:szCs w:val="24"/>
          <w:lang w:val="fr-FR"/>
        </w:rPr>
        <w:t>.</w:t>
      </w:r>
      <w:r w:rsidR="00653E31" w:rsidRPr="00953692">
        <w:rPr>
          <w:sz w:val="24"/>
          <w:szCs w:val="24"/>
          <w:lang w:val="fr-FR"/>
        </w:rPr>
        <w:t xml:space="preserve"> En réalité, l</w:t>
      </w:r>
      <w:r w:rsidR="00227601" w:rsidRPr="00953692">
        <w:rPr>
          <w:sz w:val="24"/>
          <w:szCs w:val="24"/>
          <w:lang w:val="fr-FR"/>
        </w:rPr>
        <w:t>e suspect peut</w:t>
      </w:r>
      <w:r w:rsidR="008B7CD2" w:rsidRPr="00953692">
        <w:rPr>
          <w:sz w:val="24"/>
          <w:szCs w:val="24"/>
          <w:lang w:val="fr-FR"/>
        </w:rPr>
        <w:t xml:space="preserve"> évidemment</w:t>
      </w:r>
      <w:r w:rsidR="00227601" w:rsidRPr="00953692">
        <w:rPr>
          <w:sz w:val="24"/>
          <w:szCs w:val="24"/>
          <w:lang w:val="fr-FR"/>
        </w:rPr>
        <w:t xml:space="preserve"> précipiter les choses</w:t>
      </w:r>
      <w:r w:rsidR="00653E31" w:rsidRPr="00953692">
        <w:rPr>
          <w:sz w:val="24"/>
          <w:szCs w:val="24"/>
          <w:lang w:val="fr-FR"/>
        </w:rPr>
        <w:t xml:space="preserve"> en plaidant sa culpabilité dans les faits qui lui sont reprochés.</w:t>
      </w:r>
      <w:r w:rsidR="008B7CD2" w:rsidRPr="00953692">
        <w:rPr>
          <w:sz w:val="24"/>
          <w:szCs w:val="24"/>
          <w:lang w:val="fr-FR"/>
        </w:rPr>
        <w:t xml:space="preserve"> </w:t>
      </w:r>
      <w:r w:rsidR="00653E31" w:rsidRPr="00953692">
        <w:rPr>
          <w:sz w:val="24"/>
          <w:szCs w:val="24"/>
          <w:lang w:val="fr-FR"/>
        </w:rPr>
        <w:t>M</w:t>
      </w:r>
      <w:r w:rsidR="008B7CD2" w:rsidRPr="00953692">
        <w:rPr>
          <w:sz w:val="24"/>
          <w:szCs w:val="24"/>
          <w:lang w:val="fr-FR"/>
        </w:rPr>
        <w:t>ais cette précipitation sera</w:t>
      </w:r>
      <w:r w:rsidR="00227601" w:rsidRPr="00953692">
        <w:rPr>
          <w:sz w:val="24"/>
          <w:szCs w:val="24"/>
          <w:lang w:val="fr-FR"/>
        </w:rPr>
        <w:t xml:space="preserve"> sans conséquence sur la successivité des étapes de la procédure et encore moins sur la répartition des fonctions</w:t>
      </w:r>
      <w:r w:rsidR="009017B2" w:rsidRPr="00953692">
        <w:rPr>
          <w:sz w:val="24"/>
          <w:szCs w:val="24"/>
          <w:lang w:val="fr-FR"/>
        </w:rPr>
        <w:t xml:space="preserve"> judiciaires</w:t>
      </w:r>
      <w:r w:rsidR="00227601" w:rsidRPr="00953692">
        <w:rPr>
          <w:sz w:val="24"/>
          <w:szCs w:val="24"/>
          <w:lang w:val="fr-FR"/>
        </w:rPr>
        <w:t xml:space="preserve">. Une autre nuance importante, c’est que peu importe son anticipation, la décision de la </w:t>
      </w:r>
      <w:r w:rsidR="009017B2" w:rsidRPr="00953692">
        <w:rPr>
          <w:sz w:val="24"/>
          <w:szCs w:val="24"/>
          <w:lang w:val="fr-FR"/>
        </w:rPr>
        <w:t>C</w:t>
      </w:r>
      <w:r w:rsidR="00227601" w:rsidRPr="00953692">
        <w:rPr>
          <w:sz w:val="24"/>
          <w:szCs w:val="24"/>
          <w:lang w:val="fr-FR"/>
        </w:rPr>
        <w:t>hambre préliminaire en demeure indépendante, car le rôle de ce</w:t>
      </w:r>
      <w:r w:rsidR="00954599" w:rsidRPr="00953692">
        <w:rPr>
          <w:sz w:val="24"/>
          <w:szCs w:val="24"/>
          <w:lang w:val="fr-FR"/>
        </w:rPr>
        <w:t>t organe</w:t>
      </w:r>
      <w:r w:rsidR="00227601" w:rsidRPr="00953692">
        <w:rPr>
          <w:sz w:val="24"/>
          <w:szCs w:val="24"/>
          <w:lang w:val="fr-FR"/>
        </w:rPr>
        <w:t xml:space="preserve"> est de constater que les faits et éléments de preuve présentés par le procureur</w:t>
      </w:r>
      <w:r w:rsidR="00954599" w:rsidRPr="00953692">
        <w:rPr>
          <w:sz w:val="24"/>
          <w:szCs w:val="24"/>
          <w:lang w:val="fr-FR"/>
        </w:rPr>
        <w:t xml:space="preserve"> qui</w:t>
      </w:r>
      <w:r w:rsidR="00227601" w:rsidRPr="00953692">
        <w:rPr>
          <w:sz w:val="24"/>
          <w:szCs w:val="24"/>
          <w:lang w:val="fr-FR"/>
        </w:rPr>
        <w:t xml:space="preserve"> justifieraient un procès devant la CPI</w:t>
      </w:r>
      <w:r w:rsidR="008D4A58" w:rsidRPr="00953692">
        <w:rPr>
          <w:rStyle w:val="Appelnotedebasdep"/>
          <w:sz w:val="24"/>
          <w:szCs w:val="24"/>
          <w:lang w:val="fr-FR"/>
        </w:rPr>
        <w:footnoteReference w:customMarkFollows="1" w:id="170"/>
        <w:t>148</w:t>
      </w:r>
      <w:r w:rsidR="00227601" w:rsidRPr="00953692">
        <w:rPr>
          <w:sz w:val="24"/>
          <w:szCs w:val="24"/>
          <w:lang w:val="fr-FR"/>
        </w:rPr>
        <w:t>. Ainsi,</w:t>
      </w:r>
      <w:r w:rsidR="0026126B" w:rsidRPr="00953692">
        <w:rPr>
          <w:sz w:val="24"/>
          <w:szCs w:val="24"/>
          <w:lang w:val="fr-FR"/>
        </w:rPr>
        <w:t xml:space="preserve"> il est possible d’affirmer</w:t>
      </w:r>
      <w:r w:rsidR="00227601" w:rsidRPr="00953692">
        <w:rPr>
          <w:sz w:val="24"/>
          <w:szCs w:val="24"/>
          <w:lang w:val="fr-FR"/>
        </w:rPr>
        <w:t xml:space="preserve"> que peu importe l’aveu de culpabilité</w:t>
      </w:r>
      <w:r w:rsidR="00704A20" w:rsidRPr="00953692">
        <w:rPr>
          <w:sz w:val="24"/>
          <w:szCs w:val="24"/>
          <w:lang w:val="fr-FR"/>
        </w:rPr>
        <w:t>,</w:t>
      </w:r>
      <w:r w:rsidR="00227601" w:rsidRPr="00953692">
        <w:rPr>
          <w:sz w:val="24"/>
          <w:szCs w:val="24"/>
          <w:lang w:val="fr-FR"/>
        </w:rPr>
        <w:t xml:space="preserve"> si la Chambre préliminaire décide de ne pas confirmer les charges ou </w:t>
      </w:r>
      <w:r w:rsidR="00704A20" w:rsidRPr="00953692">
        <w:rPr>
          <w:sz w:val="24"/>
          <w:szCs w:val="24"/>
          <w:lang w:val="fr-FR"/>
        </w:rPr>
        <w:t>celles</w:t>
      </w:r>
      <w:r w:rsidR="00227601" w:rsidRPr="00953692">
        <w:rPr>
          <w:sz w:val="24"/>
          <w:szCs w:val="24"/>
          <w:lang w:val="fr-FR"/>
        </w:rPr>
        <w:t xml:space="preserve"> que le suspect a </w:t>
      </w:r>
      <w:r w:rsidR="0026126B" w:rsidRPr="00953692">
        <w:rPr>
          <w:sz w:val="24"/>
          <w:szCs w:val="24"/>
          <w:lang w:val="fr-FR"/>
        </w:rPr>
        <w:t xml:space="preserve">déjà </w:t>
      </w:r>
      <w:r w:rsidR="00227601" w:rsidRPr="00953692">
        <w:rPr>
          <w:sz w:val="24"/>
          <w:szCs w:val="24"/>
          <w:lang w:val="fr-FR"/>
        </w:rPr>
        <w:t>avouées</w:t>
      </w:r>
      <w:r w:rsidR="00704A20" w:rsidRPr="00953692">
        <w:rPr>
          <w:sz w:val="24"/>
          <w:szCs w:val="24"/>
          <w:lang w:val="fr-FR"/>
        </w:rPr>
        <w:t xml:space="preserve">, il n’y aurait </w:t>
      </w:r>
      <w:r w:rsidR="001C060D" w:rsidRPr="00953692">
        <w:rPr>
          <w:sz w:val="24"/>
          <w:szCs w:val="24"/>
          <w:lang w:val="fr-FR"/>
        </w:rPr>
        <w:t xml:space="preserve">donc </w:t>
      </w:r>
      <w:r w:rsidR="00704A20" w:rsidRPr="00953692">
        <w:rPr>
          <w:sz w:val="24"/>
          <w:szCs w:val="24"/>
          <w:lang w:val="fr-FR"/>
        </w:rPr>
        <w:t>aucune suite logique tendant à la condamnation par le juge.</w:t>
      </w:r>
    </w:p>
    <w:p w14:paraId="2338499E" w14:textId="5F9E7966" w:rsidR="00AE6DD4" w:rsidRPr="00953692" w:rsidRDefault="00C333C4" w:rsidP="008D4A58">
      <w:pPr>
        <w:pStyle w:val="Notedebasdepage"/>
        <w:spacing w:line="276" w:lineRule="auto"/>
        <w:jc w:val="both"/>
        <w:rPr>
          <w:rFonts w:cs="Times New Roman"/>
          <w:lang w:val="fr-FR"/>
        </w:rPr>
      </w:pPr>
      <w:r w:rsidRPr="00953692">
        <w:rPr>
          <w:b/>
          <w:bCs/>
          <w:sz w:val="24"/>
          <w:szCs w:val="24"/>
          <w:lang w:val="fr-FR"/>
        </w:rPr>
        <w:t>225</w:t>
      </w:r>
      <w:r w:rsidR="00AE6DD4" w:rsidRPr="00953692">
        <w:rPr>
          <w:b/>
          <w:bCs/>
          <w:sz w:val="24"/>
          <w:szCs w:val="24"/>
          <w:lang w:val="fr-FR"/>
        </w:rPr>
        <w:t>.</w:t>
      </w:r>
      <w:r w:rsidR="00AE6DD4" w:rsidRPr="00953692">
        <w:rPr>
          <w:sz w:val="24"/>
          <w:szCs w:val="24"/>
          <w:lang w:val="fr-FR"/>
        </w:rPr>
        <w:t xml:space="preserve"> Cet argument est basé sur le fait que l’aveu de culpabilité est juridiquement valable </w:t>
      </w:r>
      <w:r w:rsidR="00E51DCD" w:rsidRPr="00953692">
        <w:rPr>
          <w:sz w:val="24"/>
          <w:szCs w:val="24"/>
          <w:lang w:val="fr-FR"/>
        </w:rPr>
        <w:t xml:space="preserve">s’il est fait en rapport avec les faits tels qu’évoqués officiellement par le procureur dans son acte d’accusation. Devant les juridictions pénales internationales, ces faits doivent au préalable être validés par les formations chargées d’instruction. </w:t>
      </w:r>
      <w:r w:rsidR="00CC34BD" w:rsidRPr="00953692">
        <w:rPr>
          <w:sz w:val="24"/>
          <w:szCs w:val="24"/>
          <w:lang w:val="fr-FR"/>
        </w:rPr>
        <w:t>A défaut d’une confirmation de l’acte d’accusation</w:t>
      </w:r>
      <w:r w:rsidRPr="00953692">
        <w:rPr>
          <w:sz w:val="24"/>
          <w:szCs w:val="24"/>
          <w:lang w:val="fr-FR"/>
        </w:rPr>
        <w:t xml:space="preserve">, </w:t>
      </w:r>
      <w:r w:rsidR="00CC34BD" w:rsidRPr="00953692">
        <w:rPr>
          <w:sz w:val="24"/>
          <w:szCs w:val="24"/>
          <w:lang w:val="fr-FR"/>
        </w:rPr>
        <w:t xml:space="preserve">l’aveu de culpabilité quel qu’en soit le moment qu’il </w:t>
      </w:r>
      <w:r w:rsidR="00CC34BD" w:rsidRPr="00953692">
        <w:rPr>
          <w:sz w:val="24"/>
          <w:szCs w:val="24"/>
          <w:lang w:val="fr-FR"/>
        </w:rPr>
        <w:lastRenderedPageBreak/>
        <w:t>est fait ne saurait être prise en compte</w:t>
      </w:r>
      <w:r w:rsidR="008D4A58" w:rsidRPr="00953692">
        <w:rPr>
          <w:sz w:val="24"/>
          <w:szCs w:val="24"/>
          <w:lang w:val="fr-FR"/>
        </w:rPr>
        <w:t xml:space="preserve"> (</w:t>
      </w:r>
      <w:r w:rsidR="008D4A58" w:rsidRPr="00953692">
        <w:rPr>
          <w:rFonts w:cs="Times New Roman"/>
          <w:sz w:val="24"/>
          <w:szCs w:val="24"/>
          <w:lang w:val="fr-FR"/>
        </w:rPr>
        <w:t>La nuance entre la CPI et les TPI, c’est que la Chambre préliminaire de la CPI n’est peut valider cet aveu</w:t>
      </w:r>
      <w:r w:rsidR="008D4A58" w:rsidRPr="00953692">
        <w:rPr>
          <w:sz w:val="24"/>
          <w:szCs w:val="24"/>
          <w:lang w:val="fr-FR"/>
        </w:rPr>
        <w:t>)</w:t>
      </w:r>
      <w:r w:rsidR="00CC34BD" w:rsidRPr="00953692">
        <w:rPr>
          <w:sz w:val="24"/>
          <w:szCs w:val="24"/>
          <w:lang w:val="fr-FR"/>
        </w:rPr>
        <w:t xml:space="preserve">. </w:t>
      </w:r>
      <w:r w:rsidR="004D6D95" w:rsidRPr="00953692">
        <w:rPr>
          <w:sz w:val="24"/>
          <w:szCs w:val="24"/>
          <w:lang w:val="fr-FR"/>
        </w:rPr>
        <w:t>Devant d’autres juridictions telles que la CPI ou les TPI, la décision de conformation de l’acte d’accusation n’est susceptible d’appel, c’est-à-dire que le procureur devra reprendre son instruction et tenter plus tard de ressaisir avec un nouvel acte d’accusation l</w:t>
      </w:r>
      <w:r w:rsidR="00C05AC5" w:rsidRPr="00953692">
        <w:rPr>
          <w:sz w:val="24"/>
          <w:szCs w:val="24"/>
          <w:lang w:val="fr-FR"/>
        </w:rPr>
        <w:t xml:space="preserve">e même </w:t>
      </w:r>
      <w:r w:rsidR="004D6D95" w:rsidRPr="00953692">
        <w:rPr>
          <w:sz w:val="24"/>
          <w:szCs w:val="24"/>
          <w:lang w:val="fr-FR"/>
        </w:rPr>
        <w:t xml:space="preserve">organe juridictionnel chargé d’en confirmer. </w:t>
      </w:r>
      <w:r w:rsidR="009505E5" w:rsidRPr="00953692">
        <w:rPr>
          <w:sz w:val="24"/>
          <w:szCs w:val="24"/>
          <w:lang w:val="fr-FR"/>
        </w:rPr>
        <w:t xml:space="preserve">Ce qui n’est pas le cas devant la CPS </w:t>
      </w:r>
      <w:r w:rsidR="007D3870" w:rsidRPr="00953692">
        <w:rPr>
          <w:sz w:val="24"/>
          <w:szCs w:val="24"/>
          <w:lang w:val="fr-FR"/>
        </w:rPr>
        <w:t>et la CETC dont les décisions de clôture d’instruction sont appelables</w:t>
      </w:r>
      <w:r w:rsidR="008D4A58" w:rsidRPr="00953692">
        <w:rPr>
          <w:rStyle w:val="Appelnotedebasdep"/>
          <w:sz w:val="24"/>
          <w:szCs w:val="24"/>
          <w:lang w:val="fr-FR"/>
        </w:rPr>
        <w:footnoteReference w:customMarkFollows="1" w:id="171"/>
        <w:t>149</w:t>
      </w:r>
      <w:r w:rsidR="007D3870" w:rsidRPr="00953692">
        <w:rPr>
          <w:sz w:val="24"/>
          <w:szCs w:val="24"/>
          <w:lang w:val="fr-FR"/>
        </w:rPr>
        <w:t xml:space="preserve">. </w:t>
      </w:r>
    </w:p>
    <w:p w14:paraId="1322BA87" w14:textId="5A8C07B1" w:rsidR="00FD232A" w:rsidRPr="00953692" w:rsidRDefault="00C333C4" w:rsidP="00864BBF">
      <w:pPr>
        <w:spacing w:after="0" w:line="276" w:lineRule="auto"/>
        <w:ind w:firstLine="1134"/>
        <w:jc w:val="both"/>
        <w:rPr>
          <w:sz w:val="24"/>
          <w:szCs w:val="24"/>
          <w:lang w:val="fr-FR"/>
        </w:rPr>
      </w:pPr>
      <w:r w:rsidRPr="00953692">
        <w:rPr>
          <w:b/>
          <w:bCs/>
          <w:sz w:val="24"/>
          <w:szCs w:val="24"/>
          <w:lang w:val="fr-FR"/>
        </w:rPr>
        <w:t>226</w:t>
      </w:r>
      <w:r w:rsidR="00E70D0E" w:rsidRPr="00953692">
        <w:rPr>
          <w:b/>
          <w:bCs/>
          <w:sz w:val="24"/>
          <w:szCs w:val="24"/>
          <w:lang w:val="fr-FR"/>
        </w:rPr>
        <w:t>.</w:t>
      </w:r>
      <w:r w:rsidR="00E70D0E" w:rsidRPr="00953692">
        <w:rPr>
          <w:sz w:val="24"/>
          <w:szCs w:val="24"/>
          <w:lang w:val="fr-FR"/>
        </w:rPr>
        <w:t xml:space="preserve"> Devant la CPS centrafricaine la </w:t>
      </w:r>
      <w:r w:rsidR="00F449D7" w:rsidRPr="00953692">
        <w:rPr>
          <w:sz w:val="24"/>
          <w:szCs w:val="24"/>
          <w:lang w:val="fr-FR"/>
        </w:rPr>
        <w:t>collaboration avec la Cour</w:t>
      </w:r>
      <w:r w:rsidR="004679E8" w:rsidRPr="00953692">
        <w:rPr>
          <w:sz w:val="24"/>
          <w:szCs w:val="24"/>
          <w:lang w:val="fr-FR"/>
        </w:rPr>
        <w:t>,</w:t>
      </w:r>
      <w:r w:rsidR="00F449D7" w:rsidRPr="00953692">
        <w:rPr>
          <w:sz w:val="24"/>
          <w:szCs w:val="24"/>
          <w:lang w:val="fr-FR"/>
        </w:rPr>
        <w:t xml:space="preserve"> basée sur une reconnaissance des faits</w:t>
      </w:r>
      <w:r w:rsidR="00ED64BB" w:rsidRPr="00953692">
        <w:rPr>
          <w:sz w:val="24"/>
          <w:szCs w:val="24"/>
          <w:lang w:val="fr-FR"/>
        </w:rPr>
        <w:t xml:space="preserve">, ouvre la voie à </w:t>
      </w:r>
      <w:r w:rsidR="004679E8" w:rsidRPr="00953692">
        <w:rPr>
          <w:sz w:val="24"/>
          <w:szCs w:val="24"/>
          <w:lang w:val="fr-FR"/>
        </w:rPr>
        <w:t>‘’</w:t>
      </w:r>
      <w:r w:rsidR="00ED64BB" w:rsidRPr="00953692">
        <w:rPr>
          <w:i/>
          <w:iCs/>
          <w:sz w:val="24"/>
          <w:szCs w:val="24"/>
          <w:lang w:val="fr-FR"/>
        </w:rPr>
        <w:t>une</w:t>
      </w:r>
      <w:r w:rsidR="00ED64BB" w:rsidRPr="00953692">
        <w:rPr>
          <w:sz w:val="24"/>
          <w:szCs w:val="24"/>
          <w:lang w:val="fr-FR"/>
        </w:rPr>
        <w:t xml:space="preserve"> </w:t>
      </w:r>
      <w:r w:rsidR="00ED64BB" w:rsidRPr="00953692">
        <w:rPr>
          <w:i/>
          <w:iCs/>
          <w:sz w:val="24"/>
          <w:szCs w:val="24"/>
          <w:lang w:val="fr-FR"/>
        </w:rPr>
        <w:t>procédure d’homologation d</w:t>
      </w:r>
      <w:r w:rsidR="00E95CC0" w:rsidRPr="00953692">
        <w:rPr>
          <w:i/>
          <w:iCs/>
          <w:sz w:val="24"/>
          <w:szCs w:val="24"/>
          <w:lang w:val="fr-FR"/>
        </w:rPr>
        <w:t>’une</w:t>
      </w:r>
      <w:r w:rsidR="00ED64BB" w:rsidRPr="00953692">
        <w:rPr>
          <w:i/>
          <w:iCs/>
          <w:sz w:val="24"/>
          <w:szCs w:val="24"/>
          <w:lang w:val="fr-FR"/>
        </w:rPr>
        <w:t xml:space="preserve"> convention</w:t>
      </w:r>
      <w:r w:rsidR="004679E8" w:rsidRPr="00953692">
        <w:rPr>
          <w:i/>
          <w:iCs/>
          <w:sz w:val="24"/>
          <w:szCs w:val="24"/>
          <w:lang w:val="fr-FR"/>
        </w:rPr>
        <w:t xml:space="preserve"> de collaboration</w:t>
      </w:r>
      <w:r w:rsidR="004679E8" w:rsidRPr="00953692">
        <w:rPr>
          <w:sz w:val="24"/>
          <w:szCs w:val="24"/>
          <w:lang w:val="fr-FR"/>
        </w:rPr>
        <w:t>’’</w:t>
      </w:r>
      <w:r w:rsidR="00864276" w:rsidRPr="00953692">
        <w:rPr>
          <w:sz w:val="24"/>
          <w:szCs w:val="24"/>
          <w:lang w:val="fr-FR"/>
        </w:rPr>
        <w:t xml:space="preserve"> organisée spécialement par l’article 150 du RPP</w:t>
      </w:r>
      <w:r w:rsidR="00ED64BB" w:rsidRPr="00953692">
        <w:rPr>
          <w:sz w:val="24"/>
          <w:szCs w:val="24"/>
          <w:lang w:val="fr-FR"/>
        </w:rPr>
        <w:t xml:space="preserve">. </w:t>
      </w:r>
      <w:r w:rsidR="00FD232A" w:rsidRPr="00953692">
        <w:rPr>
          <w:sz w:val="24"/>
          <w:szCs w:val="24"/>
          <w:lang w:val="fr-FR"/>
        </w:rPr>
        <w:t>La section d’assises</w:t>
      </w:r>
      <w:r w:rsidR="00AE6DD4" w:rsidRPr="00953692">
        <w:rPr>
          <w:sz w:val="24"/>
          <w:szCs w:val="24"/>
          <w:lang w:val="fr-FR"/>
        </w:rPr>
        <w:t xml:space="preserve"> de la Cour</w:t>
      </w:r>
      <w:r w:rsidR="008D4A58" w:rsidRPr="00953692">
        <w:rPr>
          <w:rStyle w:val="Appelnotedebasdep"/>
          <w:sz w:val="24"/>
          <w:szCs w:val="24"/>
          <w:lang w:val="fr-FR"/>
        </w:rPr>
        <w:footnoteReference w:customMarkFollows="1" w:id="172"/>
        <w:t>150</w:t>
      </w:r>
      <w:r w:rsidR="00FD232A" w:rsidRPr="00953692">
        <w:rPr>
          <w:sz w:val="24"/>
          <w:szCs w:val="24"/>
          <w:lang w:val="fr-FR"/>
        </w:rPr>
        <w:t>, saisie par l’ordonnance (</w:t>
      </w:r>
      <w:r w:rsidR="00E95CC0" w:rsidRPr="00953692">
        <w:rPr>
          <w:sz w:val="24"/>
          <w:szCs w:val="24"/>
          <w:lang w:val="fr-FR"/>
        </w:rPr>
        <w:t xml:space="preserve">du </w:t>
      </w:r>
      <w:r w:rsidR="00FD232A" w:rsidRPr="00953692">
        <w:rPr>
          <w:sz w:val="24"/>
          <w:szCs w:val="24"/>
          <w:lang w:val="fr-FR"/>
        </w:rPr>
        <w:t>Cabinet d’instruction) ou l’arrêt de renvoi (</w:t>
      </w:r>
      <w:r w:rsidR="00E95CC0" w:rsidRPr="00953692">
        <w:rPr>
          <w:sz w:val="24"/>
          <w:szCs w:val="24"/>
          <w:lang w:val="fr-FR"/>
        </w:rPr>
        <w:t>de la C</w:t>
      </w:r>
      <w:r w:rsidR="00FD232A" w:rsidRPr="00953692">
        <w:rPr>
          <w:sz w:val="24"/>
          <w:szCs w:val="24"/>
          <w:lang w:val="fr-FR"/>
        </w:rPr>
        <w:t xml:space="preserve">hambre d’accusation spéciale), statue dans </w:t>
      </w:r>
      <w:r w:rsidR="00FD232A" w:rsidRPr="00953692">
        <w:rPr>
          <w:b/>
          <w:bCs/>
          <w:i/>
          <w:iCs/>
          <w:sz w:val="24"/>
          <w:szCs w:val="24"/>
          <w:lang w:val="fr-FR"/>
        </w:rPr>
        <w:t>les plus brefs délais</w:t>
      </w:r>
      <w:r w:rsidR="00FD232A" w:rsidRPr="00953692">
        <w:rPr>
          <w:sz w:val="24"/>
          <w:szCs w:val="24"/>
          <w:lang w:val="fr-FR"/>
        </w:rPr>
        <w:t xml:space="preserve"> sur cette homologation</w:t>
      </w:r>
      <w:r w:rsidR="00B45784" w:rsidRPr="00953692">
        <w:rPr>
          <w:sz w:val="24"/>
          <w:szCs w:val="24"/>
          <w:lang w:val="fr-FR"/>
        </w:rPr>
        <w:t xml:space="preserve">. </w:t>
      </w:r>
      <w:r w:rsidR="00E85DFC" w:rsidRPr="00953692">
        <w:rPr>
          <w:sz w:val="24"/>
          <w:szCs w:val="24"/>
          <w:lang w:val="fr-FR"/>
        </w:rPr>
        <w:t xml:space="preserve">Lorsqu’il y a une </w:t>
      </w:r>
      <w:r w:rsidR="001E0EE2" w:rsidRPr="00953692">
        <w:rPr>
          <w:sz w:val="24"/>
          <w:szCs w:val="24"/>
          <w:lang w:val="fr-FR"/>
        </w:rPr>
        <w:t>pluralité des accusés</w:t>
      </w:r>
      <w:r w:rsidR="00E85DFC" w:rsidRPr="00953692">
        <w:rPr>
          <w:sz w:val="24"/>
          <w:szCs w:val="24"/>
          <w:lang w:val="fr-FR"/>
        </w:rPr>
        <w:t>, l’accusé faisant objet d</w:t>
      </w:r>
      <w:r w:rsidR="00E95CC0" w:rsidRPr="00953692">
        <w:rPr>
          <w:sz w:val="24"/>
          <w:szCs w:val="24"/>
          <w:lang w:val="fr-FR"/>
        </w:rPr>
        <w:t>e cette</w:t>
      </w:r>
      <w:r w:rsidR="00E85DFC" w:rsidRPr="00953692">
        <w:rPr>
          <w:sz w:val="24"/>
          <w:szCs w:val="24"/>
          <w:lang w:val="fr-FR"/>
        </w:rPr>
        <w:t xml:space="preserve"> </w:t>
      </w:r>
      <w:r w:rsidR="003C34B4" w:rsidRPr="00953692">
        <w:rPr>
          <w:sz w:val="24"/>
          <w:szCs w:val="24"/>
          <w:lang w:val="fr-FR"/>
        </w:rPr>
        <w:t xml:space="preserve">convention de </w:t>
      </w:r>
      <w:r w:rsidR="00E85DFC" w:rsidRPr="00953692">
        <w:rPr>
          <w:sz w:val="24"/>
          <w:szCs w:val="24"/>
          <w:lang w:val="fr-FR"/>
        </w:rPr>
        <w:t>collaboration bénéficie d’une disjonction des poursuites dans le but d</w:t>
      </w:r>
      <w:r w:rsidR="002403A8" w:rsidRPr="00953692">
        <w:rPr>
          <w:sz w:val="24"/>
          <w:szCs w:val="24"/>
          <w:lang w:val="fr-FR"/>
        </w:rPr>
        <w:t>e statuer</w:t>
      </w:r>
      <w:r w:rsidR="007F71DD" w:rsidRPr="00953692">
        <w:rPr>
          <w:sz w:val="24"/>
          <w:szCs w:val="24"/>
          <w:lang w:val="fr-FR"/>
        </w:rPr>
        <w:t xml:space="preserve"> rapidement</w:t>
      </w:r>
      <w:r w:rsidR="00486C56" w:rsidRPr="00953692">
        <w:rPr>
          <w:sz w:val="24"/>
          <w:szCs w:val="24"/>
          <w:lang w:val="fr-FR"/>
        </w:rPr>
        <w:t xml:space="preserve"> </w:t>
      </w:r>
      <w:r w:rsidR="002403A8" w:rsidRPr="00953692">
        <w:rPr>
          <w:sz w:val="24"/>
          <w:szCs w:val="24"/>
          <w:lang w:val="fr-FR"/>
        </w:rPr>
        <w:t>sur cette convention</w:t>
      </w:r>
      <w:r w:rsidR="001C060D" w:rsidRPr="00953692">
        <w:rPr>
          <w:sz w:val="24"/>
          <w:szCs w:val="24"/>
          <w:lang w:val="fr-FR"/>
        </w:rPr>
        <w:t xml:space="preserve"> de collaboration</w:t>
      </w:r>
      <w:r w:rsidR="002403A8" w:rsidRPr="00953692">
        <w:rPr>
          <w:sz w:val="24"/>
          <w:szCs w:val="24"/>
          <w:lang w:val="fr-FR"/>
        </w:rPr>
        <w:t xml:space="preserve"> </w:t>
      </w:r>
      <w:r w:rsidR="00486C56" w:rsidRPr="00953692">
        <w:rPr>
          <w:sz w:val="24"/>
          <w:szCs w:val="24"/>
          <w:lang w:val="fr-FR"/>
        </w:rPr>
        <w:t>soit, séance tenante soit</w:t>
      </w:r>
      <w:r w:rsidR="00D34BA7" w:rsidRPr="00953692">
        <w:rPr>
          <w:sz w:val="24"/>
          <w:szCs w:val="24"/>
          <w:lang w:val="fr-FR"/>
        </w:rPr>
        <w:t>,</w:t>
      </w:r>
      <w:r w:rsidR="00486C56" w:rsidRPr="00953692">
        <w:rPr>
          <w:sz w:val="24"/>
          <w:szCs w:val="24"/>
          <w:lang w:val="fr-FR"/>
        </w:rPr>
        <w:t xml:space="preserve"> dans le mois de la première audience</w:t>
      </w:r>
      <w:r w:rsidR="005C6532" w:rsidRPr="00953692">
        <w:rPr>
          <w:sz w:val="24"/>
          <w:szCs w:val="24"/>
          <w:lang w:val="fr-FR"/>
        </w:rPr>
        <w:t xml:space="preserve"> ; c’est-à-dire </w:t>
      </w:r>
      <w:r w:rsidR="009C72BA" w:rsidRPr="00953692">
        <w:rPr>
          <w:sz w:val="24"/>
          <w:szCs w:val="24"/>
          <w:lang w:val="fr-FR"/>
        </w:rPr>
        <w:t>dans une temporalité judiciaire très courte</w:t>
      </w:r>
      <w:r w:rsidR="007F71DD" w:rsidRPr="00953692">
        <w:rPr>
          <w:sz w:val="24"/>
          <w:szCs w:val="24"/>
          <w:lang w:val="fr-FR"/>
        </w:rPr>
        <w:t xml:space="preserve">. </w:t>
      </w:r>
      <w:r w:rsidR="001C060D" w:rsidRPr="00953692">
        <w:rPr>
          <w:sz w:val="24"/>
          <w:szCs w:val="24"/>
          <w:lang w:val="fr-FR"/>
        </w:rPr>
        <w:t>Il convient de noter que, l</w:t>
      </w:r>
      <w:r w:rsidR="00486C56" w:rsidRPr="00953692">
        <w:rPr>
          <w:sz w:val="24"/>
          <w:szCs w:val="24"/>
          <w:lang w:val="fr-FR"/>
        </w:rPr>
        <w:t xml:space="preserve">a procédure d’homologation prend bien la forme d’un procès étant entendu que les juges entendent l’accusé et son avocat sur ladite convention, les peines atténuées ; les parties civiles peuvent être entendues le cas échéant. </w:t>
      </w:r>
      <w:r w:rsidR="00864276" w:rsidRPr="00953692">
        <w:rPr>
          <w:sz w:val="24"/>
          <w:szCs w:val="24"/>
          <w:lang w:val="fr-FR"/>
        </w:rPr>
        <w:t>La Décision d’homologation a les effets d’un jugement de condamnation et n’est susceptible d’aucun recours.</w:t>
      </w:r>
    </w:p>
    <w:p w14:paraId="023ACACB" w14:textId="77777777" w:rsidR="00C333C4" w:rsidRPr="00953692" w:rsidRDefault="00C333C4" w:rsidP="00864BBF">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227</w:t>
      </w:r>
      <w:r w:rsidR="00547A37" w:rsidRPr="00953692">
        <w:rPr>
          <w:rFonts w:eastAsia="Times New Roman" w:cs="Times New Roman"/>
          <w:b/>
          <w:bCs/>
          <w:sz w:val="24"/>
          <w:szCs w:val="24"/>
          <w:shd w:val="clear" w:color="auto" w:fill="FFFFFF"/>
          <w:lang w:val="fr-FR"/>
        </w:rPr>
        <w:t>.</w:t>
      </w:r>
      <w:r w:rsidR="00547A37" w:rsidRPr="00953692">
        <w:rPr>
          <w:rFonts w:eastAsia="Times New Roman" w:cs="Times New Roman"/>
          <w:sz w:val="24"/>
          <w:szCs w:val="24"/>
          <w:shd w:val="clear" w:color="auto" w:fill="FFFFFF"/>
          <w:lang w:val="fr-FR"/>
        </w:rPr>
        <w:t xml:space="preserve"> </w:t>
      </w:r>
      <w:r w:rsidR="008B7CD2" w:rsidRPr="00953692">
        <w:rPr>
          <w:rFonts w:eastAsia="Times New Roman" w:cs="Times New Roman"/>
          <w:sz w:val="24"/>
          <w:szCs w:val="24"/>
          <w:shd w:val="clear" w:color="auto" w:fill="FFFFFF"/>
          <w:lang w:val="fr-FR"/>
        </w:rPr>
        <w:t>Par contre, d</w:t>
      </w:r>
      <w:r w:rsidR="00547A37" w:rsidRPr="00953692">
        <w:rPr>
          <w:rFonts w:eastAsia="Times New Roman" w:cs="Times New Roman"/>
          <w:sz w:val="24"/>
          <w:szCs w:val="24"/>
          <w:shd w:val="clear" w:color="auto" w:fill="FFFFFF"/>
          <w:lang w:val="fr-FR"/>
        </w:rPr>
        <w:t xml:space="preserve">evant les CETC, ce renoncement </w:t>
      </w:r>
      <w:r w:rsidR="00F97CD7" w:rsidRPr="00953692">
        <w:rPr>
          <w:rFonts w:eastAsia="Times New Roman" w:cs="Times New Roman"/>
          <w:sz w:val="24"/>
          <w:szCs w:val="24"/>
          <w:shd w:val="clear" w:color="auto" w:fill="FFFFFF"/>
          <w:lang w:val="fr-FR"/>
        </w:rPr>
        <w:t xml:space="preserve">de </w:t>
      </w:r>
      <w:r w:rsidR="00B56DD9" w:rsidRPr="00953692">
        <w:rPr>
          <w:rFonts w:eastAsia="Times New Roman" w:cs="Times New Roman"/>
          <w:sz w:val="24"/>
          <w:szCs w:val="24"/>
          <w:shd w:val="clear" w:color="auto" w:fill="FFFFFF"/>
          <w:lang w:val="fr-FR"/>
        </w:rPr>
        <w:t>l’accusé à</w:t>
      </w:r>
      <w:r w:rsidR="00F444E7" w:rsidRPr="00953692">
        <w:rPr>
          <w:rFonts w:eastAsia="Times New Roman" w:cs="Times New Roman"/>
          <w:sz w:val="24"/>
          <w:szCs w:val="24"/>
          <w:shd w:val="clear" w:color="auto" w:fill="FFFFFF"/>
          <w:lang w:val="fr-FR"/>
        </w:rPr>
        <w:t xml:space="preserve"> la contradiction avec le procureur </w:t>
      </w:r>
      <w:r w:rsidR="00547A37" w:rsidRPr="00953692">
        <w:rPr>
          <w:rFonts w:eastAsia="Times New Roman" w:cs="Times New Roman"/>
          <w:sz w:val="24"/>
          <w:szCs w:val="24"/>
          <w:shd w:val="clear" w:color="auto" w:fill="FFFFFF"/>
          <w:lang w:val="fr-FR"/>
        </w:rPr>
        <w:t>s’avère inopérant en matière de rapidité de la procédure. Selon la procédure prévue devant cette juridiction, la Chambre de première instance n’est pas tenue d’accepter un plaidoyer de culpabilité, puisqu’un tel mécanisme</w:t>
      </w:r>
      <w:r w:rsidR="00F444E7" w:rsidRPr="00953692">
        <w:rPr>
          <w:rFonts w:eastAsia="Times New Roman" w:cs="Times New Roman"/>
          <w:sz w:val="24"/>
          <w:szCs w:val="24"/>
          <w:shd w:val="clear" w:color="auto" w:fill="FFFFFF"/>
          <w:lang w:val="fr-FR"/>
        </w:rPr>
        <w:t xml:space="preserve"> (d’acceptation)</w:t>
      </w:r>
      <w:r w:rsidR="00547A37" w:rsidRPr="00953692">
        <w:rPr>
          <w:rFonts w:eastAsia="Times New Roman" w:cs="Times New Roman"/>
          <w:sz w:val="24"/>
          <w:szCs w:val="24"/>
          <w:shd w:val="clear" w:color="auto" w:fill="FFFFFF"/>
          <w:lang w:val="fr-FR"/>
        </w:rPr>
        <w:t xml:space="preserve"> n’existe pas dans les actes constitutifs, et les juges ont eu l’occasion de le rappeler dans l’affaire Kaing Guek Eav alias Duch. En fait, l’accusé a admis un certain nombre de faits </w:t>
      </w:r>
      <w:r w:rsidR="00547A37" w:rsidRPr="00953692">
        <w:rPr>
          <w:rFonts w:eastAsia="Times New Roman" w:cs="Times New Roman"/>
          <w:sz w:val="24"/>
          <w:szCs w:val="24"/>
          <w:shd w:val="clear" w:color="auto" w:fill="FFFFFF"/>
          <w:lang w:val="fr-FR"/>
        </w:rPr>
        <w:lastRenderedPageBreak/>
        <w:t xml:space="preserve">tels que retenus dans l’ordonnance de renvoi, et en a signé un accord avec les Co-procureurs. </w:t>
      </w:r>
    </w:p>
    <w:p w14:paraId="597257FB" w14:textId="10C42F65" w:rsidR="00547A37" w:rsidRPr="00953692" w:rsidRDefault="00C333C4" w:rsidP="00864BBF">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228.</w:t>
      </w:r>
      <w:r w:rsidRPr="00953692">
        <w:rPr>
          <w:rFonts w:eastAsia="Times New Roman" w:cs="Times New Roman"/>
          <w:sz w:val="24"/>
          <w:szCs w:val="24"/>
          <w:shd w:val="clear" w:color="auto" w:fill="FFFFFF"/>
          <w:lang w:val="fr-FR"/>
        </w:rPr>
        <w:t xml:space="preserve"> </w:t>
      </w:r>
      <w:r w:rsidR="00547A37" w:rsidRPr="00953692">
        <w:rPr>
          <w:rFonts w:eastAsia="Times New Roman" w:cs="Times New Roman"/>
          <w:sz w:val="24"/>
          <w:szCs w:val="24"/>
          <w:shd w:val="clear" w:color="auto" w:fill="FFFFFF"/>
          <w:lang w:val="fr-FR"/>
        </w:rPr>
        <w:t>Cependant, faute du mécanisme d’acceptation d’un tel accord, la Chambre a indiqué avoir été dans l’obligation d’entendre et d’apprécier tous les moyens de preuve produits devant elle, y compris ceux qui portaient sur des points non contestés par l’accusé. En plus, les Co-procureurs n’étaient pas exemptés de l’obligation qui leur incombait de présenter les preuves</w:t>
      </w:r>
      <w:r w:rsidR="008D4A58" w:rsidRPr="00953692">
        <w:rPr>
          <w:rStyle w:val="Appelnotedebasdep"/>
          <w:rFonts w:eastAsia="Times New Roman" w:cs="Times New Roman"/>
          <w:sz w:val="24"/>
          <w:szCs w:val="24"/>
          <w:shd w:val="clear" w:color="auto" w:fill="FFFFFF"/>
          <w:lang w:val="fr-FR"/>
        </w:rPr>
        <w:footnoteReference w:customMarkFollows="1" w:id="173"/>
        <w:t>151</w:t>
      </w:r>
      <w:r w:rsidR="00547A37" w:rsidRPr="00953692">
        <w:rPr>
          <w:rFonts w:eastAsia="Times New Roman" w:cs="Times New Roman"/>
          <w:sz w:val="24"/>
          <w:szCs w:val="24"/>
          <w:shd w:val="clear" w:color="auto" w:fill="FFFFFF"/>
          <w:lang w:val="fr-FR"/>
        </w:rPr>
        <w:t xml:space="preserve">. </w:t>
      </w:r>
      <w:r w:rsidR="005F5B7F" w:rsidRPr="00953692">
        <w:rPr>
          <w:rFonts w:eastAsia="Times New Roman" w:cs="Times New Roman"/>
          <w:sz w:val="24"/>
          <w:szCs w:val="24"/>
          <w:shd w:val="clear" w:color="auto" w:fill="FFFFFF"/>
          <w:lang w:val="fr-FR"/>
        </w:rPr>
        <w:t>On voit encore une fois de plus</w:t>
      </w:r>
      <w:r w:rsidR="004D013D" w:rsidRPr="00953692">
        <w:rPr>
          <w:rFonts w:eastAsia="Times New Roman" w:cs="Times New Roman"/>
          <w:sz w:val="24"/>
          <w:szCs w:val="24"/>
          <w:shd w:val="clear" w:color="auto" w:fill="FFFFFF"/>
          <w:lang w:val="fr-FR"/>
        </w:rPr>
        <w:t xml:space="preserve">, </w:t>
      </w:r>
      <w:r w:rsidR="005F5B7F" w:rsidRPr="00953692">
        <w:rPr>
          <w:rFonts w:eastAsia="Times New Roman" w:cs="Times New Roman"/>
          <w:sz w:val="24"/>
          <w:szCs w:val="24"/>
          <w:shd w:val="clear" w:color="auto" w:fill="FFFFFF"/>
          <w:lang w:val="fr-FR"/>
        </w:rPr>
        <w:t>dans ce cas précis</w:t>
      </w:r>
      <w:r w:rsidR="004D013D" w:rsidRPr="00953692">
        <w:rPr>
          <w:rFonts w:eastAsia="Times New Roman" w:cs="Times New Roman"/>
          <w:sz w:val="24"/>
          <w:szCs w:val="24"/>
          <w:shd w:val="clear" w:color="auto" w:fill="FFFFFF"/>
          <w:lang w:val="fr-FR"/>
        </w:rPr>
        <w:t>,</w:t>
      </w:r>
      <w:r w:rsidR="005F5B7F" w:rsidRPr="00953692">
        <w:rPr>
          <w:rFonts w:eastAsia="Times New Roman" w:cs="Times New Roman"/>
          <w:sz w:val="24"/>
          <w:szCs w:val="24"/>
          <w:shd w:val="clear" w:color="auto" w:fill="FFFFFF"/>
          <w:lang w:val="fr-FR"/>
        </w:rPr>
        <w:t xml:space="preserve"> </w:t>
      </w:r>
      <w:r w:rsidR="004D013D" w:rsidRPr="00953692">
        <w:rPr>
          <w:rFonts w:eastAsia="Times New Roman" w:cs="Times New Roman"/>
          <w:sz w:val="24"/>
          <w:szCs w:val="24"/>
          <w:shd w:val="clear" w:color="auto" w:fill="FFFFFF"/>
          <w:lang w:val="fr-FR"/>
        </w:rPr>
        <w:t xml:space="preserve">une illustration de plus de </w:t>
      </w:r>
      <w:r w:rsidR="005F5B7F" w:rsidRPr="00953692">
        <w:rPr>
          <w:rFonts w:eastAsia="Times New Roman" w:cs="Times New Roman"/>
          <w:sz w:val="24"/>
          <w:szCs w:val="24"/>
          <w:shd w:val="clear" w:color="auto" w:fill="FFFFFF"/>
          <w:lang w:val="fr-FR"/>
        </w:rPr>
        <w:t>la complémentarité entre un tel mécanisme d’aveu de culpabilité et la rapidité du procès</w:t>
      </w:r>
      <w:r w:rsidR="00022CBB" w:rsidRPr="00953692">
        <w:rPr>
          <w:rFonts w:eastAsia="Times New Roman" w:cs="Times New Roman"/>
          <w:sz w:val="24"/>
          <w:szCs w:val="24"/>
          <w:shd w:val="clear" w:color="auto" w:fill="FFFFFF"/>
          <w:lang w:val="fr-FR"/>
        </w:rPr>
        <w:t xml:space="preserve"> pénal international</w:t>
      </w:r>
      <w:r w:rsidR="005F5B7F" w:rsidRPr="00953692">
        <w:rPr>
          <w:rFonts w:eastAsia="Times New Roman" w:cs="Times New Roman"/>
          <w:sz w:val="24"/>
          <w:szCs w:val="24"/>
          <w:shd w:val="clear" w:color="auto" w:fill="FFFFFF"/>
          <w:lang w:val="fr-FR"/>
        </w:rPr>
        <w:t xml:space="preserve">. </w:t>
      </w:r>
    </w:p>
    <w:p w14:paraId="06D2B502" w14:textId="344D9AC1" w:rsidR="009B48B1" w:rsidRPr="00953692" w:rsidRDefault="00C333C4" w:rsidP="009B48B1">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229</w:t>
      </w:r>
      <w:r w:rsidR="00C763B1" w:rsidRPr="00953692">
        <w:rPr>
          <w:rFonts w:eastAsia="Times New Roman" w:cs="Times New Roman"/>
          <w:b/>
          <w:bCs/>
          <w:sz w:val="24"/>
          <w:szCs w:val="24"/>
          <w:shd w:val="clear" w:color="auto" w:fill="FFFFFF"/>
          <w:lang w:val="fr-FR"/>
        </w:rPr>
        <w:t>.</w:t>
      </w:r>
      <w:r w:rsidR="00C763B1" w:rsidRPr="00953692">
        <w:rPr>
          <w:rFonts w:eastAsia="Times New Roman" w:cs="Times New Roman"/>
          <w:sz w:val="24"/>
          <w:szCs w:val="24"/>
          <w:shd w:val="clear" w:color="auto" w:fill="FFFFFF"/>
          <w:lang w:val="fr-FR"/>
        </w:rPr>
        <w:t xml:space="preserve"> </w:t>
      </w:r>
      <w:r w:rsidR="00036E0A" w:rsidRPr="00953692">
        <w:rPr>
          <w:rFonts w:eastAsia="Times New Roman" w:cs="Times New Roman"/>
          <w:sz w:val="24"/>
          <w:szCs w:val="24"/>
          <w:shd w:val="clear" w:color="auto" w:fill="FFFFFF"/>
          <w:lang w:val="fr-FR"/>
        </w:rPr>
        <w:t>Dans tous les cas,</w:t>
      </w:r>
      <w:r w:rsidR="00603A5F" w:rsidRPr="00953692">
        <w:rPr>
          <w:rFonts w:eastAsia="Times New Roman" w:cs="Times New Roman"/>
          <w:sz w:val="24"/>
          <w:szCs w:val="24"/>
          <w:shd w:val="clear" w:color="auto" w:fill="FFFFFF"/>
          <w:lang w:val="fr-FR"/>
        </w:rPr>
        <w:t xml:space="preserve"> en plaidant coupable,</w:t>
      </w:r>
      <w:r w:rsidR="00343F19" w:rsidRPr="00953692">
        <w:rPr>
          <w:rFonts w:eastAsia="Times New Roman" w:cs="Times New Roman"/>
          <w:sz w:val="24"/>
          <w:szCs w:val="24"/>
          <w:shd w:val="clear" w:color="auto" w:fill="FFFFFF"/>
          <w:lang w:val="fr-FR"/>
        </w:rPr>
        <w:t xml:space="preserve"> </w:t>
      </w:r>
      <w:r w:rsidR="00305246" w:rsidRPr="00953692">
        <w:rPr>
          <w:rFonts w:eastAsia="Times New Roman" w:cs="Times New Roman"/>
          <w:sz w:val="24"/>
          <w:szCs w:val="24"/>
          <w:shd w:val="clear" w:color="auto" w:fill="FFFFFF"/>
          <w:lang w:val="fr-FR"/>
        </w:rPr>
        <w:t xml:space="preserve">il en résulterait que </w:t>
      </w:r>
      <w:r w:rsidR="00036E0A" w:rsidRPr="00953692">
        <w:rPr>
          <w:rFonts w:eastAsia="Times New Roman" w:cs="Times New Roman"/>
          <w:sz w:val="24"/>
          <w:szCs w:val="24"/>
          <w:shd w:val="clear" w:color="auto" w:fill="FFFFFF"/>
          <w:lang w:val="fr-FR"/>
        </w:rPr>
        <w:t>l’accusé</w:t>
      </w:r>
      <w:r w:rsidR="00343F19" w:rsidRPr="00953692">
        <w:rPr>
          <w:rFonts w:eastAsia="Times New Roman" w:cs="Times New Roman"/>
          <w:sz w:val="24"/>
          <w:szCs w:val="24"/>
          <w:shd w:val="clear" w:color="auto" w:fill="FFFFFF"/>
          <w:lang w:val="fr-FR"/>
        </w:rPr>
        <w:t xml:space="preserve"> ne peut plus</w:t>
      </w:r>
      <w:r w:rsidR="00036E0A" w:rsidRPr="00953692">
        <w:rPr>
          <w:rFonts w:eastAsia="Times New Roman" w:cs="Times New Roman"/>
          <w:sz w:val="24"/>
          <w:szCs w:val="24"/>
          <w:shd w:val="clear" w:color="auto" w:fill="FFFFFF"/>
          <w:lang w:val="fr-FR"/>
        </w:rPr>
        <w:t xml:space="preserve"> raisonnablement</w:t>
      </w:r>
      <w:r w:rsidR="00343F19" w:rsidRPr="00953692">
        <w:rPr>
          <w:rFonts w:eastAsia="Times New Roman" w:cs="Times New Roman"/>
          <w:sz w:val="24"/>
          <w:szCs w:val="24"/>
          <w:shd w:val="clear" w:color="auto" w:fill="FFFFFF"/>
          <w:lang w:val="fr-FR"/>
        </w:rPr>
        <w:t xml:space="preserve"> exiger une confrontation avec les témoins à charge, citer les témoins à décharges, présenter des preuves</w:t>
      </w:r>
      <w:r w:rsidR="008D4A58" w:rsidRPr="00953692">
        <w:rPr>
          <w:rStyle w:val="Appelnotedebasdep"/>
          <w:rFonts w:eastAsia="Times New Roman" w:cs="Times New Roman"/>
          <w:sz w:val="24"/>
          <w:szCs w:val="24"/>
          <w:shd w:val="clear" w:color="auto" w:fill="FFFFFF"/>
          <w:lang w:val="fr-FR"/>
        </w:rPr>
        <w:footnoteReference w:customMarkFollows="1" w:id="174"/>
        <w:t>152</w:t>
      </w:r>
      <w:r w:rsidR="00343F19" w:rsidRPr="00953692">
        <w:rPr>
          <w:rFonts w:eastAsia="Times New Roman" w:cs="Times New Roman"/>
          <w:sz w:val="24"/>
          <w:szCs w:val="24"/>
          <w:shd w:val="clear" w:color="auto" w:fill="FFFFFF"/>
          <w:lang w:val="fr-FR"/>
        </w:rPr>
        <w:t xml:space="preserve"> ou consulter chaque pièce que le procureur aura versé</w:t>
      </w:r>
      <w:r w:rsidR="00AE6DD4" w:rsidRPr="00953692">
        <w:rPr>
          <w:rFonts w:eastAsia="Times New Roman" w:cs="Times New Roman"/>
          <w:sz w:val="24"/>
          <w:szCs w:val="24"/>
          <w:shd w:val="clear" w:color="auto" w:fill="FFFFFF"/>
          <w:lang w:val="fr-FR"/>
        </w:rPr>
        <w:t>e</w:t>
      </w:r>
      <w:r w:rsidR="00343F19" w:rsidRPr="00953692">
        <w:rPr>
          <w:rFonts w:eastAsia="Times New Roman" w:cs="Times New Roman"/>
          <w:sz w:val="24"/>
          <w:szCs w:val="24"/>
          <w:shd w:val="clear" w:color="auto" w:fill="FFFFFF"/>
          <w:lang w:val="fr-FR"/>
        </w:rPr>
        <w:t xml:space="preserve"> dans le dossier</w:t>
      </w:r>
      <w:r w:rsidR="00305246" w:rsidRPr="00953692">
        <w:rPr>
          <w:rFonts w:eastAsia="Times New Roman" w:cs="Times New Roman"/>
          <w:sz w:val="24"/>
          <w:szCs w:val="24"/>
          <w:shd w:val="clear" w:color="auto" w:fill="FFFFFF"/>
          <w:lang w:val="fr-FR"/>
        </w:rPr>
        <w:t xml:space="preserve"> ou encore procéder aux contre-interrogatoires comme il en a évidemment le droit</w:t>
      </w:r>
      <w:r w:rsidR="008D4A58" w:rsidRPr="00953692">
        <w:rPr>
          <w:rStyle w:val="Appelnotedebasdep"/>
          <w:rFonts w:eastAsia="Times New Roman" w:cs="Times New Roman"/>
          <w:sz w:val="24"/>
          <w:szCs w:val="24"/>
          <w:shd w:val="clear" w:color="auto" w:fill="FFFFFF"/>
          <w:lang w:val="fr-FR"/>
        </w:rPr>
        <w:footnoteReference w:customMarkFollows="1" w:id="175"/>
        <w:t>153</w:t>
      </w:r>
      <w:r w:rsidR="00305246" w:rsidRPr="00953692">
        <w:rPr>
          <w:rFonts w:eastAsia="Times New Roman" w:cs="Times New Roman"/>
          <w:sz w:val="24"/>
          <w:szCs w:val="24"/>
          <w:shd w:val="clear" w:color="auto" w:fill="FFFFFF"/>
          <w:lang w:val="fr-FR"/>
        </w:rPr>
        <w:t>, qui peuvent influencer aussi la durée du procès comme nous le verrons de manière casuelle dans la seconde partie de cette étude</w:t>
      </w:r>
      <w:r w:rsidR="00343F19" w:rsidRPr="00953692">
        <w:rPr>
          <w:rFonts w:eastAsia="Times New Roman" w:cs="Times New Roman"/>
          <w:sz w:val="24"/>
          <w:szCs w:val="24"/>
          <w:shd w:val="clear" w:color="auto" w:fill="FFFFFF"/>
          <w:lang w:val="fr-FR"/>
        </w:rPr>
        <w:t xml:space="preserve">. </w:t>
      </w:r>
    </w:p>
    <w:p w14:paraId="0B302D82" w14:textId="0BBBFAA7" w:rsidR="00022CBB" w:rsidRPr="00953692" w:rsidRDefault="009B48B1" w:rsidP="009B48B1">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230.</w:t>
      </w:r>
      <w:r w:rsidRPr="00953692">
        <w:rPr>
          <w:rFonts w:eastAsia="Times New Roman" w:cs="Times New Roman"/>
          <w:sz w:val="24"/>
          <w:szCs w:val="24"/>
          <w:shd w:val="clear" w:color="auto" w:fill="FFFFFF"/>
          <w:lang w:val="fr-FR"/>
        </w:rPr>
        <w:t xml:space="preserve"> </w:t>
      </w:r>
      <w:r w:rsidR="00305246" w:rsidRPr="00953692">
        <w:rPr>
          <w:rFonts w:eastAsia="Times New Roman" w:cs="Times New Roman"/>
          <w:sz w:val="24"/>
          <w:szCs w:val="24"/>
          <w:shd w:val="clear" w:color="auto" w:fill="FFFFFF"/>
          <w:lang w:val="fr-FR"/>
        </w:rPr>
        <w:t>En outre, l</w:t>
      </w:r>
      <w:r w:rsidR="00D22467" w:rsidRPr="00953692">
        <w:rPr>
          <w:rFonts w:eastAsia="Times New Roman" w:cs="Times New Roman"/>
          <w:sz w:val="24"/>
          <w:szCs w:val="24"/>
          <w:shd w:val="clear" w:color="auto" w:fill="FFFFFF"/>
          <w:lang w:val="fr-FR"/>
        </w:rPr>
        <w:t>’accusé peut également aller jusqu’à s’interdire soit de manière unilatérale ou conventionnelle le droit d</w:t>
      </w:r>
      <w:r w:rsidR="008B6E76" w:rsidRPr="00953692">
        <w:rPr>
          <w:rFonts w:eastAsia="Times New Roman" w:cs="Times New Roman"/>
          <w:sz w:val="24"/>
          <w:szCs w:val="24"/>
          <w:shd w:val="clear" w:color="auto" w:fill="FFFFFF"/>
          <w:lang w:val="fr-FR"/>
        </w:rPr>
        <w:t xml:space="preserve">’appeler le jugement portant condamnation qui sera prononcé à son encontre. </w:t>
      </w:r>
      <w:r w:rsidR="00343F19" w:rsidRPr="00953692">
        <w:rPr>
          <w:rFonts w:eastAsia="Times New Roman" w:cs="Times New Roman"/>
          <w:i/>
          <w:iCs/>
          <w:sz w:val="24"/>
          <w:szCs w:val="24"/>
          <w:shd w:val="clear" w:color="auto" w:fill="FFFFFF"/>
          <w:lang w:val="fr-FR"/>
        </w:rPr>
        <w:t>Grosso modo</w:t>
      </w:r>
      <w:r w:rsidR="00343F19" w:rsidRPr="00953692">
        <w:rPr>
          <w:rFonts w:eastAsia="Times New Roman" w:cs="Times New Roman"/>
          <w:sz w:val="24"/>
          <w:szCs w:val="24"/>
          <w:shd w:val="clear" w:color="auto" w:fill="FFFFFF"/>
          <w:lang w:val="fr-FR"/>
        </w:rPr>
        <w:t xml:space="preserve">, tout ce qui pourrait donner lieu à une contradiction ou </w:t>
      </w:r>
      <w:r w:rsidR="00B5221C" w:rsidRPr="00953692">
        <w:rPr>
          <w:rFonts w:eastAsia="Times New Roman" w:cs="Times New Roman"/>
          <w:sz w:val="24"/>
          <w:szCs w:val="24"/>
          <w:shd w:val="clear" w:color="auto" w:fill="FFFFFF"/>
          <w:lang w:val="fr-FR"/>
        </w:rPr>
        <w:t xml:space="preserve">à </w:t>
      </w:r>
      <w:r w:rsidR="00343F19" w:rsidRPr="00953692">
        <w:rPr>
          <w:rFonts w:eastAsia="Times New Roman" w:cs="Times New Roman"/>
          <w:sz w:val="24"/>
          <w:szCs w:val="24"/>
          <w:shd w:val="clear" w:color="auto" w:fill="FFFFFF"/>
          <w:lang w:val="fr-FR"/>
        </w:rPr>
        <w:t>un débat plus ou moins prolixe entre l’</w:t>
      </w:r>
      <w:r w:rsidR="005869A3" w:rsidRPr="00953692">
        <w:rPr>
          <w:rFonts w:eastAsia="Times New Roman" w:cs="Times New Roman"/>
          <w:sz w:val="24"/>
          <w:szCs w:val="24"/>
          <w:shd w:val="clear" w:color="auto" w:fill="FFFFFF"/>
          <w:lang w:val="fr-FR"/>
        </w:rPr>
        <w:t>A</w:t>
      </w:r>
      <w:r w:rsidR="00343F19" w:rsidRPr="00953692">
        <w:rPr>
          <w:rFonts w:eastAsia="Times New Roman" w:cs="Times New Roman"/>
          <w:sz w:val="24"/>
          <w:szCs w:val="24"/>
          <w:shd w:val="clear" w:color="auto" w:fill="FFFFFF"/>
          <w:lang w:val="fr-FR"/>
        </w:rPr>
        <w:t>ccusation et l</w:t>
      </w:r>
      <w:r w:rsidR="005869A3" w:rsidRPr="00953692">
        <w:rPr>
          <w:rFonts w:eastAsia="Times New Roman" w:cs="Times New Roman"/>
          <w:sz w:val="24"/>
          <w:szCs w:val="24"/>
          <w:shd w:val="clear" w:color="auto" w:fill="FFFFFF"/>
          <w:lang w:val="fr-FR"/>
        </w:rPr>
        <w:t>a Défense</w:t>
      </w:r>
      <w:r w:rsidR="00343F19" w:rsidRPr="00953692">
        <w:rPr>
          <w:rFonts w:eastAsia="Times New Roman" w:cs="Times New Roman"/>
          <w:sz w:val="24"/>
          <w:szCs w:val="24"/>
          <w:shd w:val="clear" w:color="auto" w:fill="FFFFFF"/>
          <w:lang w:val="fr-FR"/>
        </w:rPr>
        <w:t xml:space="preserve"> sera absorbé par cette reconnaissance des faits faite par l’accusé lui-même de manière volontaire et consciencieuse</w:t>
      </w:r>
      <w:r w:rsidR="008B6E76" w:rsidRPr="00953692">
        <w:rPr>
          <w:rFonts w:eastAsia="Times New Roman" w:cs="Times New Roman"/>
          <w:sz w:val="24"/>
          <w:szCs w:val="24"/>
          <w:shd w:val="clear" w:color="auto" w:fill="FFFFFF"/>
          <w:lang w:val="fr-FR"/>
        </w:rPr>
        <w:t>.</w:t>
      </w:r>
      <w:r w:rsidR="00603A5F" w:rsidRPr="00953692">
        <w:rPr>
          <w:rFonts w:eastAsia="Times New Roman" w:cs="Times New Roman"/>
          <w:sz w:val="24"/>
          <w:szCs w:val="24"/>
          <w:shd w:val="clear" w:color="auto" w:fill="FFFFFF"/>
          <w:lang w:val="fr-FR"/>
        </w:rPr>
        <w:t xml:space="preserve"> Dans l’affaire </w:t>
      </w:r>
      <w:r w:rsidR="00603A5F" w:rsidRPr="00953692">
        <w:rPr>
          <w:sz w:val="24"/>
          <w:szCs w:val="24"/>
          <w:lang w:val="fr-FR"/>
        </w:rPr>
        <w:t>Darko Mr</w:t>
      </w:r>
      <w:r w:rsidR="00737B47" w:rsidRPr="00953692">
        <w:rPr>
          <w:sz w:val="24"/>
          <w:szCs w:val="24"/>
          <w:lang w:val="fr-FR"/>
        </w:rPr>
        <w:t>d</w:t>
      </w:r>
      <w:r w:rsidR="00603A5F" w:rsidRPr="00953692">
        <w:rPr>
          <w:sz w:val="24"/>
          <w:szCs w:val="24"/>
          <w:lang w:val="fr-FR"/>
        </w:rPr>
        <w:t>a</w:t>
      </w:r>
      <w:r w:rsidR="00036E0A" w:rsidRPr="00953692">
        <w:rPr>
          <w:sz w:val="24"/>
          <w:szCs w:val="24"/>
          <w:lang w:val="fr-FR"/>
        </w:rPr>
        <w:t xml:space="preserve">, </w:t>
      </w:r>
      <w:r w:rsidR="00603A5F" w:rsidRPr="00953692">
        <w:rPr>
          <w:sz w:val="24"/>
          <w:szCs w:val="24"/>
          <w:lang w:val="fr-FR"/>
        </w:rPr>
        <w:t>devant la Chambre de première instance du TPIY, l’accusé</w:t>
      </w:r>
      <w:r w:rsidR="005869A3" w:rsidRPr="00953692">
        <w:rPr>
          <w:sz w:val="24"/>
          <w:szCs w:val="24"/>
          <w:lang w:val="fr-FR"/>
        </w:rPr>
        <w:t>,</w:t>
      </w:r>
      <w:r w:rsidR="00603A5F" w:rsidRPr="00953692">
        <w:rPr>
          <w:sz w:val="24"/>
          <w:szCs w:val="24"/>
          <w:lang w:val="fr-FR"/>
        </w:rPr>
        <w:t xml:space="preserve"> qui plaida coupable</w:t>
      </w:r>
      <w:r w:rsidR="005869A3" w:rsidRPr="00953692">
        <w:rPr>
          <w:sz w:val="24"/>
          <w:szCs w:val="24"/>
          <w:lang w:val="fr-FR"/>
        </w:rPr>
        <w:t>,</w:t>
      </w:r>
      <w:r w:rsidR="00603A5F" w:rsidRPr="00953692">
        <w:rPr>
          <w:sz w:val="24"/>
          <w:szCs w:val="24"/>
          <w:lang w:val="fr-FR"/>
        </w:rPr>
        <w:t xml:space="preserve"> reconnut clairement avoir renoncé aux droits suivants :</w:t>
      </w:r>
    </w:p>
    <w:p w14:paraId="7E52380C" w14:textId="217D2BC0" w:rsidR="00603A5F" w:rsidRPr="00953692" w:rsidRDefault="00603A5F" w:rsidP="00864BBF">
      <w:pPr>
        <w:spacing w:line="276" w:lineRule="auto"/>
        <w:ind w:left="1134" w:firstLine="1134"/>
        <w:jc w:val="both"/>
        <w:rPr>
          <w:rFonts w:eastAsia="Times New Roman" w:cs="Times New Roman"/>
          <w:sz w:val="22"/>
          <w:shd w:val="clear" w:color="auto" w:fill="FFFFFF"/>
          <w:lang w:val="fr-FR"/>
        </w:rPr>
      </w:pPr>
      <w:r w:rsidRPr="00953692">
        <w:rPr>
          <w:rFonts w:eastAsia="Times New Roman" w:cs="Times New Roman"/>
          <w:sz w:val="22"/>
          <w:shd w:val="clear" w:color="auto" w:fill="FFFFFF"/>
          <w:lang w:val="fr-FR"/>
        </w:rPr>
        <w:t>« </w:t>
      </w:r>
      <w:r w:rsidRPr="00953692">
        <w:rPr>
          <w:i/>
          <w:iCs/>
          <w:sz w:val="22"/>
          <w:lang w:val="fr-FR"/>
        </w:rPr>
        <w:t xml:space="preserve">le droit de plaider non coupable et d’imposer à l’Accusation la charge de prouver les faits incriminés dans l’Acte d’accusation au-delà de tout doute raisonnable dans le cadre d’un procès juste équitable et public, le droit de préparer et de présenter sa défense contre les accusations retenues contre lui dans le cadre d’un procès public, </w:t>
      </w:r>
      <w:r w:rsidRPr="00953692">
        <w:rPr>
          <w:b/>
          <w:bCs/>
          <w:i/>
          <w:iCs/>
          <w:sz w:val="22"/>
          <w:lang w:val="fr-FR"/>
        </w:rPr>
        <w:t>le droit d’être jugé sans retard excessif</w:t>
      </w:r>
      <w:r w:rsidRPr="00953692">
        <w:rPr>
          <w:i/>
          <w:iCs/>
          <w:sz w:val="22"/>
          <w:lang w:val="fr-FR"/>
        </w:rPr>
        <w:t xml:space="preserve">, le droit d’être présent au procès et de se défendre lui-même au procès ou d’avoir l’assistance d’un défenseur de son choix, le droit, lors de son procès, d’interroger ou de faire </w:t>
      </w:r>
      <w:r w:rsidRPr="00953692">
        <w:rPr>
          <w:i/>
          <w:iCs/>
          <w:sz w:val="22"/>
          <w:lang w:val="fr-FR"/>
        </w:rPr>
        <w:lastRenderedPageBreak/>
        <w:t>interroger les témoins à charge et d’obtenir la comparution et l’interrogatoire des témoins à décharge dans les mêmes conditions que les témoins à charge, le droit de ne pas être forcé de témoigner contre lui-même ou de s’avouer coupable, le droit de témoigner ou de garder le silence au procès, et le droit d’interjeter appel d’une déclaration de culpabilité, ou de toute décision rendue au cours de la phase préalable au procès</w:t>
      </w:r>
      <w:r w:rsidRPr="00953692">
        <w:rPr>
          <w:sz w:val="22"/>
          <w:lang w:val="fr-FR"/>
        </w:rPr>
        <w:t> »</w:t>
      </w:r>
      <w:r w:rsidR="008D4A58" w:rsidRPr="00953692">
        <w:rPr>
          <w:rStyle w:val="Appelnotedebasdep"/>
          <w:sz w:val="22"/>
          <w:lang w:val="fr-FR"/>
        </w:rPr>
        <w:footnoteReference w:customMarkFollows="1" w:id="176"/>
        <w:t>154</w:t>
      </w:r>
      <w:r w:rsidRPr="00953692">
        <w:rPr>
          <w:sz w:val="22"/>
          <w:lang w:val="fr-FR"/>
        </w:rPr>
        <w:t>.</w:t>
      </w:r>
    </w:p>
    <w:p w14:paraId="0C2A724B" w14:textId="1C817677" w:rsidR="0072642A" w:rsidRPr="00953692" w:rsidRDefault="009B48B1" w:rsidP="00864BBF">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231</w:t>
      </w:r>
      <w:r w:rsidR="001A44DC" w:rsidRPr="00953692">
        <w:rPr>
          <w:rFonts w:eastAsia="Times New Roman" w:cs="Times New Roman"/>
          <w:b/>
          <w:bCs/>
          <w:sz w:val="24"/>
          <w:szCs w:val="24"/>
          <w:shd w:val="clear" w:color="auto" w:fill="FFFFFF"/>
          <w:lang w:val="fr-FR"/>
        </w:rPr>
        <w:t>.</w:t>
      </w:r>
      <w:r w:rsidR="001A44DC" w:rsidRPr="00953692">
        <w:rPr>
          <w:rFonts w:eastAsia="Times New Roman" w:cs="Times New Roman"/>
          <w:sz w:val="24"/>
          <w:szCs w:val="24"/>
          <w:shd w:val="clear" w:color="auto" w:fill="FFFFFF"/>
          <w:lang w:val="fr-FR"/>
        </w:rPr>
        <w:t xml:space="preserve"> </w:t>
      </w:r>
      <w:r w:rsidR="00E83446" w:rsidRPr="00953692">
        <w:rPr>
          <w:rFonts w:eastAsia="Times New Roman" w:cs="Times New Roman"/>
          <w:sz w:val="24"/>
          <w:szCs w:val="24"/>
          <w:shd w:val="clear" w:color="auto" w:fill="FFFFFF"/>
          <w:lang w:val="fr-FR"/>
        </w:rPr>
        <w:t xml:space="preserve">Il </w:t>
      </w:r>
      <w:r w:rsidR="0059176B" w:rsidRPr="00953692">
        <w:rPr>
          <w:rFonts w:eastAsia="Times New Roman" w:cs="Times New Roman"/>
          <w:sz w:val="24"/>
          <w:szCs w:val="24"/>
          <w:shd w:val="clear" w:color="auto" w:fill="FFFFFF"/>
          <w:lang w:val="fr-FR"/>
        </w:rPr>
        <w:t>va sans dire</w:t>
      </w:r>
      <w:r w:rsidR="00E83446" w:rsidRPr="00953692">
        <w:rPr>
          <w:rFonts w:eastAsia="Times New Roman" w:cs="Times New Roman"/>
          <w:sz w:val="24"/>
          <w:szCs w:val="24"/>
          <w:shd w:val="clear" w:color="auto" w:fill="FFFFFF"/>
          <w:lang w:val="fr-FR"/>
        </w:rPr>
        <w:t xml:space="preserve"> qu’e</w:t>
      </w:r>
      <w:r w:rsidR="00EE6E21" w:rsidRPr="00953692">
        <w:rPr>
          <w:rFonts w:eastAsia="Times New Roman" w:cs="Times New Roman"/>
          <w:sz w:val="24"/>
          <w:szCs w:val="24"/>
          <w:shd w:val="clear" w:color="auto" w:fill="FFFFFF"/>
          <w:lang w:val="fr-FR"/>
        </w:rPr>
        <w:t>n renonçant à ces</w:t>
      </w:r>
      <w:r w:rsidR="005869A3" w:rsidRPr="00953692">
        <w:rPr>
          <w:rFonts w:eastAsia="Times New Roman" w:cs="Times New Roman"/>
          <w:sz w:val="24"/>
          <w:szCs w:val="24"/>
          <w:shd w:val="clear" w:color="auto" w:fill="FFFFFF"/>
          <w:lang w:val="fr-FR"/>
        </w:rPr>
        <w:t xml:space="preserve"> (ses)</w:t>
      </w:r>
      <w:r w:rsidR="00EE6E21" w:rsidRPr="00953692">
        <w:rPr>
          <w:rFonts w:eastAsia="Times New Roman" w:cs="Times New Roman"/>
          <w:sz w:val="24"/>
          <w:szCs w:val="24"/>
          <w:shd w:val="clear" w:color="auto" w:fill="FFFFFF"/>
          <w:lang w:val="fr-FR"/>
        </w:rPr>
        <w:t xml:space="preserve"> droits</w:t>
      </w:r>
      <w:r w:rsidR="00036E0A" w:rsidRPr="00953692">
        <w:rPr>
          <w:rFonts w:eastAsia="Times New Roman" w:cs="Times New Roman"/>
          <w:sz w:val="24"/>
          <w:szCs w:val="24"/>
          <w:shd w:val="clear" w:color="auto" w:fill="FFFFFF"/>
          <w:lang w:val="fr-FR"/>
        </w:rPr>
        <w:t>,</w:t>
      </w:r>
      <w:r w:rsidR="00EE6E21" w:rsidRPr="00953692">
        <w:rPr>
          <w:rFonts w:eastAsia="Times New Roman" w:cs="Times New Roman"/>
          <w:sz w:val="24"/>
          <w:szCs w:val="24"/>
          <w:shd w:val="clear" w:color="auto" w:fill="FFFFFF"/>
          <w:lang w:val="fr-FR"/>
        </w:rPr>
        <w:t xml:space="preserve"> l’accusé permet à ce que le procès se déroule rapidement.</w:t>
      </w:r>
      <w:r w:rsidR="00F33352" w:rsidRPr="00953692">
        <w:rPr>
          <w:rFonts w:eastAsia="Times New Roman" w:cs="Times New Roman"/>
          <w:sz w:val="24"/>
          <w:szCs w:val="24"/>
          <w:shd w:val="clear" w:color="auto" w:fill="FFFFFF"/>
          <w:lang w:val="fr-FR"/>
        </w:rPr>
        <w:t xml:space="preserve"> </w:t>
      </w:r>
      <w:r w:rsidR="00EE6E21" w:rsidRPr="00953692">
        <w:rPr>
          <w:rFonts w:eastAsia="Times New Roman" w:cs="Times New Roman"/>
          <w:sz w:val="24"/>
          <w:szCs w:val="24"/>
          <w:shd w:val="clear" w:color="auto" w:fill="FFFFFF"/>
          <w:lang w:val="fr-FR"/>
        </w:rPr>
        <w:t>Mais</w:t>
      </w:r>
      <w:r w:rsidR="00036E0A" w:rsidRPr="00953692">
        <w:rPr>
          <w:rFonts w:eastAsia="Times New Roman" w:cs="Times New Roman"/>
          <w:sz w:val="24"/>
          <w:szCs w:val="24"/>
          <w:shd w:val="clear" w:color="auto" w:fill="FFFFFF"/>
          <w:lang w:val="fr-FR"/>
        </w:rPr>
        <w:t>, contrairement à ce</w:t>
      </w:r>
      <w:r w:rsidR="00003294" w:rsidRPr="00953692">
        <w:rPr>
          <w:rFonts w:eastAsia="Times New Roman" w:cs="Times New Roman"/>
          <w:sz w:val="24"/>
          <w:szCs w:val="24"/>
          <w:shd w:val="clear" w:color="auto" w:fill="FFFFFF"/>
          <w:lang w:val="fr-FR"/>
        </w:rPr>
        <w:t xml:space="preserve"> qui</w:t>
      </w:r>
      <w:r w:rsidR="00036E0A" w:rsidRPr="00953692">
        <w:rPr>
          <w:rFonts w:eastAsia="Times New Roman" w:cs="Times New Roman"/>
          <w:sz w:val="24"/>
          <w:szCs w:val="24"/>
          <w:shd w:val="clear" w:color="auto" w:fill="FFFFFF"/>
          <w:lang w:val="fr-FR"/>
        </w:rPr>
        <w:t xml:space="preserve"> vient d’être souligné dans l’affaire Darko</w:t>
      </w:r>
      <w:r w:rsidR="00572754" w:rsidRPr="00953692">
        <w:rPr>
          <w:rFonts w:eastAsia="Times New Roman" w:cs="Times New Roman"/>
          <w:sz w:val="24"/>
          <w:szCs w:val="24"/>
          <w:shd w:val="clear" w:color="auto" w:fill="FFFFFF"/>
          <w:lang w:val="fr-FR"/>
        </w:rPr>
        <w:t xml:space="preserve"> devant le TPIY</w:t>
      </w:r>
      <w:r w:rsidR="00036E0A" w:rsidRPr="00953692">
        <w:rPr>
          <w:rFonts w:eastAsia="Times New Roman" w:cs="Times New Roman"/>
          <w:sz w:val="24"/>
          <w:szCs w:val="24"/>
          <w:shd w:val="clear" w:color="auto" w:fill="FFFFFF"/>
          <w:lang w:val="fr-FR"/>
        </w:rPr>
        <w:t>,</w:t>
      </w:r>
      <w:r w:rsidR="00EE6E21" w:rsidRPr="00953692">
        <w:rPr>
          <w:rFonts w:eastAsia="Times New Roman" w:cs="Times New Roman"/>
          <w:sz w:val="24"/>
          <w:szCs w:val="24"/>
          <w:shd w:val="clear" w:color="auto" w:fill="FFFFFF"/>
          <w:lang w:val="fr-FR"/>
        </w:rPr>
        <w:t xml:space="preserve"> </w:t>
      </w:r>
      <w:r w:rsidR="00572754" w:rsidRPr="00953692">
        <w:rPr>
          <w:rFonts w:eastAsia="Times New Roman" w:cs="Times New Roman"/>
          <w:sz w:val="24"/>
          <w:szCs w:val="24"/>
          <w:shd w:val="clear" w:color="auto" w:fill="FFFFFF"/>
          <w:lang w:val="fr-FR"/>
        </w:rPr>
        <w:t xml:space="preserve">en reconnaissant les faits, </w:t>
      </w:r>
      <w:r w:rsidR="00036E0A" w:rsidRPr="00953692">
        <w:rPr>
          <w:rFonts w:eastAsia="Times New Roman" w:cs="Times New Roman"/>
          <w:sz w:val="24"/>
          <w:szCs w:val="24"/>
          <w:shd w:val="clear" w:color="auto" w:fill="FFFFFF"/>
          <w:lang w:val="fr-FR"/>
        </w:rPr>
        <w:t>l’accusé</w:t>
      </w:r>
      <w:r w:rsidR="00EE6E21" w:rsidRPr="00953692">
        <w:rPr>
          <w:rFonts w:eastAsia="Times New Roman" w:cs="Times New Roman"/>
          <w:sz w:val="24"/>
          <w:szCs w:val="24"/>
          <w:shd w:val="clear" w:color="auto" w:fill="FFFFFF"/>
          <w:lang w:val="fr-FR"/>
        </w:rPr>
        <w:t xml:space="preserve"> ne </w:t>
      </w:r>
      <w:r w:rsidR="00036E0A" w:rsidRPr="00953692">
        <w:rPr>
          <w:rFonts w:eastAsia="Times New Roman" w:cs="Times New Roman"/>
          <w:sz w:val="24"/>
          <w:szCs w:val="24"/>
          <w:shd w:val="clear" w:color="auto" w:fill="FFFFFF"/>
          <w:lang w:val="fr-FR"/>
        </w:rPr>
        <w:t xml:space="preserve">peut pas </w:t>
      </w:r>
      <w:r w:rsidR="00EE6E21" w:rsidRPr="00953692">
        <w:rPr>
          <w:rFonts w:eastAsia="Times New Roman" w:cs="Times New Roman"/>
          <w:sz w:val="24"/>
          <w:szCs w:val="24"/>
          <w:shd w:val="clear" w:color="auto" w:fill="FFFFFF"/>
          <w:lang w:val="fr-FR"/>
        </w:rPr>
        <w:t>se prive</w:t>
      </w:r>
      <w:r w:rsidR="00036E0A" w:rsidRPr="00953692">
        <w:rPr>
          <w:rFonts w:eastAsia="Times New Roman" w:cs="Times New Roman"/>
          <w:sz w:val="24"/>
          <w:szCs w:val="24"/>
          <w:shd w:val="clear" w:color="auto" w:fill="FFFFFF"/>
          <w:lang w:val="fr-FR"/>
        </w:rPr>
        <w:t>r</w:t>
      </w:r>
      <w:r w:rsidR="00EE6E21" w:rsidRPr="00953692">
        <w:rPr>
          <w:rFonts w:eastAsia="Times New Roman" w:cs="Times New Roman"/>
          <w:sz w:val="24"/>
          <w:szCs w:val="24"/>
          <w:shd w:val="clear" w:color="auto" w:fill="FFFFFF"/>
          <w:lang w:val="fr-FR"/>
        </w:rPr>
        <w:t xml:space="preserve"> </w:t>
      </w:r>
      <w:r w:rsidR="00572754" w:rsidRPr="00953692">
        <w:rPr>
          <w:rFonts w:eastAsia="Times New Roman" w:cs="Times New Roman"/>
          <w:i/>
          <w:iCs/>
          <w:sz w:val="24"/>
          <w:szCs w:val="24"/>
          <w:shd w:val="clear" w:color="auto" w:fill="FFFFFF"/>
          <w:lang w:val="fr-FR"/>
        </w:rPr>
        <w:t>ipso facto</w:t>
      </w:r>
      <w:r w:rsidR="00572754" w:rsidRPr="00953692">
        <w:rPr>
          <w:rFonts w:eastAsia="Times New Roman" w:cs="Times New Roman"/>
          <w:sz w:val="24"/>
          <w:szCs w:val="24"/>
          <w:shd w:val="clear" w:color="auto" w:fill="FFFFFF"/>
          <w:lang w:val="fr-FR"/>
        </w:rPr>
        <w:t xml:space="preserve"> </w:t>
      </w:r>
      <w:r w:rsidR="00EE6E21" w:rsidRPr="00953692">
        <w:rPr>
          <w:rFonts w:eastAsia="Times New Roman" w:cs="Times New Roman"/>
          <w:b/>
          <w:bCs/>
          <w:sz w:val="24"/>
          <w:szCs w:val="24"/>
          <w:shd w:val="clear" w:color="auto" w:fill="FFFFFF"/>
          <w:lang w:val="fr-FR"/>
        </w:rPr>
        <w:t>du droit d’être jugé sans retard excessif</w:t>
      </w:r>
      <w:r w:rsidR="00EE6E21" w:rsidRPr="00953692">
        <w:rPr>
          <w:rFonts w:eastAsia="Times New Roman" w:cs="Times New Roman"/>
          <w:sz w:val="24"/>
          <w:szCs w:val="24"/>
          <w:shd w:val="clear" w:color="auto" w:fill="FFFFFF"/>
          <w:lang w:val="fr-FR"/>
        </w:rPr>
        <w:t>. Ce</w:t>
      </w:r>
      <w:r w:rsidR="00036E0A" w:rsidRPr="00953692">
        <w:rPr>
          <w:rFonts w:eastAsia="Times New Roman" w:cs="Times New Roman"/>
          <w:sz w:val="24"/>
          <w:szCs w:val="24"/>
          <w:shd w:val="clear" w:color="auto" w:fill="FFFFFF"/>
          <w:lang w:val="fr-FR"/>
        </w:rPr>
        <w:t>tte prérogative</w:t>
      </w:r>
      <w:r w:rsidR="001A44DC" w:rsidRPr="00953692">
        <w:rPr>
          <w:rFonts w:eastAsia="Times New Roman" w:cs="Times New Roman"/>
          <w:sz w:val="24"/>
          <w:szCs w:val="24"/>
          <w:shd w:val="clear" w:color="auto" w:fill="FFFFFF"/>
          <w:lang w:val="fr-FR"/>
        </w:rPr>
        <w:t xml:space="preserve"> conserve toute sa </w:t>
      </w:r>
      <w:r w:rsidR="00EE6E21" w:rsidRPr="00953692">
        <w:rPr>
          <w:rFonts w:eastAsia="Times New Roman" w:cs="Times New Roman"/>
          <w:sz w:val="24"/>
          <w:szCs w:val="24"/>
          <w:shd w:val="clear" w:color="auto" w:fill="FFFFFF"/>
          <w:lang w:val="fr-FR"/>
        </w:rPr>
        <w:t>pertinen</w:t>
      </w:r>
      <w:r w:rsidR="001A44DC" w:rsidRPr="00953692">
        <w:rPr>
          <w:rFonts w:eastAsia="Times New Roman" w:cs="Times New Roman"/>
          <w:sz w:val="24"/>
          <w:szCs w:val="24"/>
          <w:shd w:val="clear" w:color="auto" w:fill="FFFFFF"/>
          <w:lang w:val="fr-FR"/>
        </w:rPr>
        <w:t>ce</w:t>
      </w:r>
      <w:r w:rsidR="00EE6E21" w:rsidRPr="00953692">
        <w:rPr>
          <w:rFonts w:eastAsia="Times New Roman" w:cs="Times New Roman"/>
          <w:sz w:val="24"/>
          <w:szCs w:val="24"/>
          <w:shd w:val="clear" w:color="auto" w:fill="FFFFFF"/>
          <w:lang w:val="fr-FR"/>
        </w:rPr>
        <w:t xml:space="preserve"> même dans l</w:t>
      </w:r>
      <w:r w:rsidR="001A44DC" w:rsidRPr="00953692">
        <w:rPr>
          <w:rFonts w:eastAsia="Times New Roman" w:cs="Times New Roman"/>
          <w:sz w:val="24"/>
          <w:szCs w:val="24"/>
          <w:shd w:val="clear" w:color="auto" w:fill="FFFFFF"/>
          <w:lang w:val="fr-FR"/>
        </w:rPr>
        <w:t>e cas</w:t>
      </w:r>
      <w:r w:rsidR="00E83446" w:rsidRPr="00953692">
        <w:rPr>
          <w:rFonts w:eastAsia="Times New Roman" w:cs="Times New Roman"/>
          <w:sz w:val="24"/>
          <w:szCs w:val="24"/>
          <w:shd w:val="clear" w:color="auto" w:fill="FFFFFF"/>
          <w:lang w:val="fr-FR"/>
        </w:rPr>
        <w:t xml:space="preserve"> où</w:t>
      </w:r>
      <w:r w:rsidR="00EE6E21" w:rsidRPr="00953692">
        <w:rPr>
          <w:rFonts w:eastAsia="Times New Roman" w:cs="Times New Roman"/>
          <w:sz w:val="24"/>
          <w:szCs w:val="24"/>
          <w:shd w:val="clear" w:color="auto" w:fill="FFFFFF"/>
          <w:lang w:val="fr-FR"/>
        </w:rPr>
        <w:t xml:space="preserve"> </w:t>
      </w:r>
      <w:r w:rsidR="00E83446" w:rsidRPr="00953692">
        <w:rPr>
          <w:rFonts w:eastAsia="Times New Roman" w:cs="Times New Roman"/>
          <w:sz w:val="24"/>
          <w:szCs w:val="24"/>
          <w:shd w:val="clear" w:color="auto" w:fill="FFFFFF"/>
          <w:lang w:val="fr-FR"/>
        </w:rPr>
        <w:t>l’accusé passe aux aveux</w:t>
      </w:r>
      <w:r w:rsidR="00EE6E21" w:rsidRPr="00953692">
        <w:rPr>
          <w:rFonts w:eastAsia="Times New Roman" w:cs="Times New Roman"/>
          <w:sz w:val="24"/>
          <w:szCs w:val="24"/>
          <w:shd w:val="clear" w:color="auto" w:fill="FFFFFF"/>
          <w:lang w:val="fr-FR"/>
        </w:rPr>
        <w:t xml:space="preserve">. Celui qui plaide coupable ne s’en prive pas, mais en facilite plutôt la réalisation. De </w:t>
      </w:r>
      <w:r w:rsidR="00FB3E59" w:rsidRPr="00953692">
        <w:rPr>
          <w:rFonts w:eastAsia="Times New Roman" w:cs="Times New Roman"/>
          <w:sz w:val="24"/>
          <w:szCs w:val="24"/>
          <w:shd w:val="clear" w:color="auto" w:fill="FFFFFF"/>
          <w:lang w:val="fr-FR"/>
        </w:rPr>
        <w:t>façon plus</w:t>
      </w:r>
      <w:r w:rsidR="00EE6E21" w:rsidRPr="00953692">
        <w:rPr>
          <w:rFonts w:eastAsia="Times New Roman" w:cs="Times New Roman"/>
          <w:sz w:val="24"/>
          <w:szCs w:val="24"/>
          <w:shd w:val="clear" w:color="auto" w:fill="FFFFFF"/>
          <w:lang w:val="fr-FR"/>
        </w:rPr>
        <w:t xml:space="preserve"> osée, il est possible d’émettre l’hypothèse d’une prétention basée sur la violation du droit d’être jugé sans retard excessif alors que l’accusé a plaidé coupable.</w:t>
      </w:r>
      <w:r w:rsidR="00FB3E59" w:rsidRPr="00953692">
        <w:rPr>
          <w:rFonts w:eastAsia="Times New Roman" w:cs="Times New Roman"/>
          <w:sz w:val="24"/>
          <w:szCs w:val="24"/>
          <w:shd w:val="clear" w:color="auto" w:fill="FFFFFF"/>
          <w:lang w:val="fr-FR"/>
        </w:rPr>
        <w:t xml:space="preserve"> C’est-à-dire qu’après avoir plaidé coupable, </w:t>
      </w:r>
      <w:r w:rsidR="0072642A" w:rsidRPr="00953692">
        <w:rPr>
          <w:rFonts w:eastAsia="Times New Roman" w:cs="Times New Roman"/>
          <w:sz w:val="24"/>
          <w:szCs w:val="24"/>
          <w:shd w:val="clear" w:color="auto" w:fill="FFFFFF"/>
          <w:lang w:val="fr-FR"/>
        </w:rPr>
        <w:t xml:space="preserve">un </w:t>
      </w:r>
      <w:r w:rsidR="00FB3E59" w:rsidRPr="00953692">
        <w:rPr>
          <w:rFonts w:eastAsia="Times New Roman" w:cs="Times New Roman"/>
          <w:sz w:val="24"/>
          <w:szCs w:val="24"/>
          <w:shd w:val="clear" w:color="auto" w:fill="FFFFFF"/>
          <w:lang w:val="fr-FR"/>
        </w:rPr>
        <w:t xml:space="preserve">accusé peut bien se plaindre de la durée du procès </w:t>
      </w:r>
      <w:r w:rsidR="0072642A" w:rsidRPr="00953692">
        <w:rPr>
          <w:rFonts w:eastAsia="Times New Roman" w:cs="Times New Roman"/>
          <w:sz w:val="24"/>
          <w:szCs w:val="24"/>
          <w:shd w:val="clear" w:color="auto" w:fill="FFFFFF"/>
          <w:lang w:val="fr-FR"/>
        </w:rPr>
        <w:t>pénal dans le cas où</w:t>
      </w:r>
      <w:r w:rsidR="00FB3E59" w:rsidRPr="00953692">
        <w:rPr>
          <w:rFonts w:eastAsia="Times New Roman" w:cs="Times New Roman"/>
          <w:sz w:val="24"/>
          <w:szCs w:val="24"/>
          <w:shd w:val="clear" w:color="auto" w:fill="FFFFFF"/>
          <w:lang w:val="fr-FR"/>
        </w:rPr>
        <w:t xml:space="preserve"> le prononcé de la sentence n’intervien</w:t>
      </w:r>
      <w:r w:rsidR="0072642A" w:rsidRPr="00953692">
        <w:rPr>
          <w:rFonts w:eastAsia="Times New Roman" w:cs="Times New Roman"/>
          <w:sz w:val="24"/>
          <w:szCs w:val="24"/>
          <w:shd w:val="clear" w:color="auto" w:fill="FFFFFF"/>
          <w:lang w:val="fr-FR"/>
        </w:rPr>
        <w:t>drait</w:t>
      </w:r>
      <w:r w:rsidR="00FB3E59" w:rsidRPr="00953692">
        <w:rPr>
          <w:rFonts w:eastAsia="Times New Roman" w:cs="Times New Roman"/>
          <w:sz w:val="24"/>
          <w:szCs w:val="24"/>
          <w:shd w:val="clear" w:color="auto" w:fill="FFFFFF"/>
          <w:lang w:val="fr-FR"/>
        </w:rPr>
        <w:t xml:space="preserve"> pas si rapidement en raison des retards imputables aux organes judiciaires.</w:t>
      </w:r>
    </w:p>
    <w:p w14:paraId="7F553AD5" w14:textId="0155036F" w:rsidR="00E83446" w:rsidRPr="00953692" w:rsidRDefault="009B48B1" w:rsidP="00864BBF">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232</w:t>
      </w:r>
      <w:r w:rsidR="00C82847" w:rsidRPr="00953692">
        <w:rPr>
          <w:rFonts w:eastAsia="Times New Roman" w:cs="Times New Roman"/>
          <w:b/>
          <w:bCs/>
          <w:sz w:val="24"/>
          <w:szCs w:val="24"/>
          <w:shd w:val="clear" w:color="auto" w:fill="FFFFFF"/>
          <w:lang w:val="fr-FR"/>
        </w:rPr>
        <w:t>.</w:t>
      </w:r>
      <w:r w:rsidR="00C82847" w:rsidRPr="00953692">
        <w:rPr>
          <w:rFonts w:eastAsia="Times New Roman" w:cs="Times New Roman"/>
          <w:sz w:val="24"/>
          <w:szCs w:val="24"/>
          <w:shd w:val="clear" w:color="auto" w:fill="FFFFFF"/>
          <w:lang w:val="fr-FR"/>
        </w:rPr>
        <w:t xml:space="preserve"> </w:t>
      </w:r>
      <w:r w:rsidR="00241DC6" w:rsidRPr="00953692">
        <w:rPr>
          <w:rFonts w:eastAsia="Times New Roman" w:cs="Times New Roman"/>
          <w:sz w:val="24"/>
          <w:szCs w:val="24"/>
          <w:shd w:val="clear" w:color="auto" w:fill="FFFFFF"/>
          <w:lang w:val="fr-FR"/>
        </w:rPr>
        <w:t>Si b</w:t>
      </w:r>
      <w:r w:rsidR="00EE6E21" w:rsidRPr="00953692">
        <w:rPr>
          <w:rFonts w:eastAsia="Times New Roman" w:cs="Times New Roman"/>
          <w:sz w:val="24"/>
          <w:szCs w:val="24"/>
          <w:shd w:val="clear" w:color="auto" w:fill="FFFFFF"/>
          <w:lang w:val="fr-FR"/>
        </w:rPr>
        <w:t xml:space="preserve">ien que la </w:t>
      </w:r>
      <w:r w:rsidR="006346EB" w:rsidRPr="00953692">
        <w:rPr>
          <w:rFonts w:eastAsia="Times New Roman" w:cs="Times New Roman"/>
          <w:sz w:val="24"/>
          <w:szCs w:val="24"/>
          <w:shd w:val="clear" w:color="auto" w:fill="FFFFFF"/>
          <w:lang w:val="fr-FR"/>
        </w:rPr>
        <w:t>plausi</w:t>
      </w:r>
      <w:r w:rsidR="00EE6E21" w:rsidRPr="00953692">
        <w:rPr>
          <w:rFonts w:eastAsia="Times New Roman" w:cs="Times New Roman"/>
          <w:sz w:val="24"/>
          <w:szCs w:val="24"/>
          <w:shd w:val="clear" w:color="auto" w:fill="FFFFFF"/>
          <w:lang w:val="fr-FR"/>
        </w:rPr>
        <w:t>bilité d’une telle hy</w:t>
      </w:r>
      <w:r w:rsidR="006346EB" w:rsidRPr="00953692">
        <w:rPr>
          <w:rFonts w:eastAsia="Times New Roman" w:cs="Times New Roman"/>
          <w:sz w:val="24"/>
          <w:szCs w:val="24"/>
          <w:shd w:val="clear" w:color="auto" w:fill="FFFFFF"/>
          <w:lang w:val="fr-FR"/>
        </w:rPr>
        <w:t>po</w:t>
      </w:r>
      <w:r w:rsidR="00EE6E21" w:rsidRPr="00953692">
        <w:rPr>
          <w:rFonts w:eastAsia="Times New Roman" w:cs="Times New Roman"/>
          <w:sz w:val="24"/>
          <w:szCs w:val="24"/>
          <w:shd w:val="clear" w:color="auto" w:fill="FFFFFF"/>
          <w:lang w:val="fr-FR"/>
        </w:rPr>
        <w:t xml:space="preserve">thèse </w:t>
      </w:r>
      <w:r w:rsidR="006346EB" w:rsidRPr="00953692">
        <w:rPr>
          <w:rFonts w:eastAsia="Times New Roman" w:cs="Times New Roman"/>
          <w:sz w:val="24"/>
          <w:szCs w:val="24"/>
          <w:shd w:val="clear" w:color="auto" w:fill="FFFFFF"/>
          <w:lang w:val="fr-FR"/>
        </w:rPr>
        <w:t>s’avère moins envisageable, la question mérite</w:t>
      </w:r>
      <w:r w:rsidR="00241DC6" w:rsidRPr="00953692">
        <w:rPr>
          <w:rFonts w:eastAsia="Times New Roman" w:cs="Times New Roman"/>
          <w:sz w:val="24"/>
          <w:szCs w:val="24"/>
          <w:shd w:val="clear" w:color="auto" w:fill="FFFFFF"/>
          <w:lang w:val="fr-FR"/>
        </w:rPr>
        <w:t>rait</w:t>
      </w:r>
      <w:r w:rsidR="006346EB" w:rsidRPr="00953692">
        <w:rPr>
          <w:rFonts w:eastAsia="Times New Roman" w:cs="Times New Roman"/>
          <w:sz w:val="24"/>
          <w:szCs w:val="24"/>
          <w:shd w:val="clear" w:color="auto" w:fill="FFFFFF"/>
          <w:lang w:val="fr-FR"/>
        </w:rPr>
        <w:t xml:space="preserve"> d’être néanmoins posée. </w:t>
      </w:r>
      <w:r w:rsidR="008A4FE5" w:rsidRPr="00953692">
        <w:rPr>
          <w:rFonts w:eastAsia="Times New Roman" w:cs="Times New Roman"/>
          <w:sz w:val="24"/>
          <w:szCs w:val="24"/>
          <w:shd w:val="clear" w:color="auto" w:fill="FFFFFF"/>
          <w:lang w:val="fr-FR"/>
        </w:rPr>
        <w:t>P</w:t>
      </w:r>
      <w:r w:rsidR="00241DC6" w:rsidRPr="00953692">
        <w:rPr>
          <w:rFonts w:eastAsia="Times New Roman" w:cs="Times New Roman"/>
          <w:sz w:val="24"/>
          <w:szCs w:val="24"/>
          <w:shd w:val="clear" w:color="auto" w:fill="FFFFFF"/>
          <w:lang w:val="fr-FR"/>
        </w:rPr>
        <w:t xml:space="preserve">ar exemple, lorsqu’ils tentent de justifier les retards mis en cause par l’accusé dans le cadre de son droit au délai raisonnable, les juges internationaux ont souvent comme argument incontournable la complexité de l’affaire, qui se rapporte notamment à la nécessité de conduire des longs contradictoires débats entre les parties. Nous verrons un peu plus loin qu’ils peuvent évoquer la nécessité pour l’accusé de disposer d’un temps nécessaire à la préparation de sa défense ou </w:t>
      </w:r>
      <w:r w:rsidR="00342769" w:rsidRPr="00953692">
        <w:rPr>
          <w:rFonts w:eastAsia="Times New Roman" w:cs="Times New Roman"/>
          <w:sz w:val="24"/>
          <w:szCs w:val="24"/>
          <w:shd w:val="clear" w:color="auto" w:fill="FFFFFF"/>
          <w:lang w:val="fr-FR"/>
        </w:rPr>
        <w:t xml:space="preserve">le respect de son droit de former un recours. Ces arguments sont de nature à justifier la durée d’un procès sur le fond de la notion d’équité. Par </w:t>
      </w:r>
      <w:r w:rsidR="006346EB" w:rsidRPr="00953692">
        <w:rPr>
          <w:rFonts w:eastAsia="Times New Roman" w:cs="Times New Roman"/>
          <w:sz w:val="24"/>
          <w:szCs w:val="24"/>
          <w:shd w:val="clear" w:color="auto" w:fill="FFFFFF"/>
          <w:lang w:val="fr-FR"/>
        </w:rPr>
        <w:t xml:space="preserve">ailleurs, </w:t>
      </w:r>
      <w:r w:rsidR="00342769" w:rsidRPr="00953692">
        <w:rPr>
          <w:rFonts w:eastAsia="Times New Roman" w:cs="Times New Roman"/>
          <w:sz w:val="24"/>
          <w:szCs w:val="24"/>
          <w:shd w:val="clear" w:color="auto" w:fill="FFFFFF"/>
          <w:lang w:val="fr-FR"/>
        </w:rPr>
        <w:t xml:space="preserve">en cas d’un plaidoyer de culpabilité, </w:t>
      </w:r>
      <w:r w:rsidR="00E83446" w:rsidRPr="00953692">
        <w:rPr>
          <w:rFonts w:eastAsia="Times New Roman" w:cs="Times New Roman"/>
          <w:sz w:val="24"/>
          <w:szCs w:val="24"/>
          <w:shd w:val="clear" w:color="auto" w:fill="FFFFFF"/>
          <w:lang w:val="fr-FR"/>
        </w:rPr>
        <w:t xml:space="preserve">les organes judiciaires </w:t>
      </w:r>
      <w:r w:rsidR="00FB3E59" w:rsidRPr="00953692">
        <w:rPr>
          <w:rFonts w:eastAsia="Times New Roman" w:cs="Times New Roman"/>
          <w:sz w:val="24"/>
          <w:szCs w:val="24"/>
          <w:shd w:val="clear" w:color="auto" w:fill="FFFFFF"/>
          <w:lang w:val="fr-FR"/>
        </w:rPr>
        <w:t xml:space="preserve">risquent de n’avoir </w:t>
      </w:r>
      <w:r w:rsidR="00E83446" w:rsidRPr="00953692">
        <w:rPr>
          <w:rFonts w:eastAsia="Times New Roman" w:cs="Times New Roman"/>
          <w:sz w:val="24"/>
          <w:szCs w:val="24"/>
          <w:shd w:val="clear" w:color="auto" w:fill="FFFFFF"/>
          <w:lang w:val="fr-FR"/>
        </w:rPr>
        <w:t xml:space="preserve">aucun argument convaincant pour se justifier ou justifier le retard </w:t>
      </w:r>
      <w:r w:rsidR="00FB3E59" w:rsidRPr="00953692">
        <w:rPr>
          <w:rFonts w:eastAsia="Times New Roman" w:cs="Times New Roman"/>
          <w:sz w:val="24"/>
          <w:szCs w:val="24"/>
          <w:shd w:val="clear" w:color="auto" w:fill="FFFFFF"/>
          <w:lang w:val="fr-FR"/>
        </w:rPr>
        <w:t xml:space="preserve">qui sera </w:t>
      </w:r>
      <w:r w:rsidR="00E83446" w:rsidRPr="00953692">
        <w:rPr>
          <w:rFonts w:eastAsia="Times New Roman" w:cs="Times New Roman"/>
          <w:sz w:val="24"/>
          <w:szCs w:val="24"/>
          <w:shd w:val="clear" w:color="auto" w:fill="FFFFFF"/>
          <w:lang w:val="fr-FR"/>
        </w:rPr>
        <w:t xml:space="preserve">mis en cause, car il a été établi que </w:t>
      </w:r>
      <w:r w:rsidR="00342769" w:rsidRPr="00953692">
        <w:rPr>
          <w:rFonts w:eastAsia="Times New Roman" w:cs="Times New Roman"/>
          <w:sz w:val="24"/>
          <w:szCs w:val="24"/>
          <w:shd w:val="clear" w:color="auto" w:fill="FFFFFF"/>
          <w:lang w:val="fr-FR"/>
        </w:rPr>
        <w:t xml:space="preserve">l’aveu </w:t>
      </w:r>
      <w:r w:rsidR="00E83446" w:rsidRPr="00953692">
        <w:rPr>
          <w:rFonts w:eastAsia="Times New Roman" w:cs="Times New Roman"/>
          <w:sz w:val="24"/>
          <w:szCs w:val="24"/>
          <w:shd w:val="clear" w:color="auto" w:fill="FFFFFF"/>
          <w:lang w:val="fr-FR"/>
        </w:rPr>
        <w:t xml:space="preserve">de culpabilité </w:t>
      </w:r>
      <w:r w:rsidR="004969D1" w:rsidRPr="00953692">
        <w:rPr>
          <w:rFonts w:eastAsia="Times New Roman" w:cs="Times New Roman"/>
          <w:sz w:val="24"/>
          <w:szCs w:val="24"/>
          <w:shd w:val="clear" w:color="auto" w:fill="FFFFFF"/>
          <w:lang w:val="fr-FR"/>
        </w:rPr>
        <w:t xml:space="preserve">en </w:t>
      </w:r>
      <w:r w:rsidR="00E83446" w:rsidRPr="00953692">
        <w:rPr>
          <w:rFonts w:eastAsia="Times New Roman" w:cs="Times New Roman"/>
          <w:sz w:val="24"/>
          <w:szCs w:val="24"/>
          <w:shd w:val="clear" w:color="auto" w:fill="FFFFFF"/>
          <w:lang w:val="fr-FR"/>
        </w:rPr>
        <w:t>supprime</w:t>
      </w:r>
      <w:r w:rsidR="004969D1" w:rsidRPr="00953692">
        <w:rPr>
          <w:rFonts w:eastAsia="Times New Roman" w:cs="Times New Roman"/>
          <w:sz w:val="24"/>
          <w:szCs w:val="24"/>
          <w:shd w:val="clear" w:color="auto" w:fill="FFFFFF"/>
          <w:lang w:val="fr-FR"/>
        </w:rPr>
        <w:t xml:space="preserve"> apriori</w:t>
      </w:r>
      <w:r w:rsidR="00E83446" w:rsidRPr="00953692">
        <w:rPr>
          <w:rFonts w:eastAsia="Times New Roman" w:cs="Times New Roman"/>
          <w:sz w:val="24"/>
          <w:szCs w:val="24"/>
          <w:shd w:val="clear" w:color="auto" w:fill="FFFFFF"/>
          <w:lang w:val="fr-FR"/>
        </w:rPr>
        <w:t xml:space="preserve"> les facteurs.</w:t>
      </w:r>
    </w:p>
    <w:p w14:paraId="241BBF67" w14:textId="7BCD2108" w:rsidR="0028306E" w:rsidRPr="00953692" w:rsidRDefault="008A4FE5" w:rsidP="00864BBF">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233</w:t>
      </w:r>
      <w:r w:rsidR="001A44DC" w:rsidRPr="00953692">
        <w:rPr>
          <w:rFonts w:eastAsia="Times New Roman" w:cs="Times New Roman"/>
          <w:b/>
          <w:bCs/>
          <w:sz w:val="24"/>
          <w:szCs w:val="24"/>
          <w:shd w:val="clear" w:color="auto" w:fill="FFFFFF"/>
          <w:lang w:val="fr-FR"/>
        </w:rPr>
        <w:t>.</w:t>
      </w:r>
      <w:r w:rsidR="001A44DC" w:rsidRPr="00953692">
        <w:rPr>
          <w:rFonts w:eastAsia="Times New Roman" w:cs="Times New Roman"/>
          <w:sz w:val="24"/>
          <w:szCs w:val="24"/>
          <w:shd w:val="clear" w:color="auto" w:fill="FFFFFF"/>
          <w:lang w:val="fr-FR"/>
        </w:rPr>
        <w:t xml:space="preserve"> </w:t>
      </w:r>
      <w:r w:rsidR="00E83446" w:rsidRPr="00953692">
        <w:rPr>
          <w:rFonts w:eastAsia="Times New Roman" w:cs="Times New Roman"/>
          <w:sz w:val="24"/>
          <w:szCs w:val="24"/>
          <w:shd w:val="clear" w:color="auto" w:fill="FFFFFF"/>
          <w:lang w:val="fr-FR"/>
        </w:rPr>
        <w:t>Ceci permet</w:t>
      </w:r>
      <w:r w:rsidR="00FB3E59" w:rsidRPr="00953692">
        <w:rPr>
          <w:rFonts w:eastAsia="Times New Roman" w:cs="Times New Roman"/>
          <w:sz w:val="24"/>
          <w:szCs w:val="24"/>
          <w:shd w:val="clear" w:color="auto" w:fill="FFFFFF"/>
          <w:lang w:val="fr-FR"/>
        </w:rPr>
        <w:t xml:space="preserve"> enfin</w:t>
      </w:r>
      <w:r w:rsidR="00E83446" w:rsidRPr="00953692">
        <w:rPr>
          <w:rFonts w:eastAsia="Times New Roman" w:cs="Times New Roman"/>
          <w:sz w:val="24"/>
          <w:szCs w:val="24"/>
          <w:shd w:val="clear" w:color="auto" w:fill="FFFFFF"/>
          <w:lang w:val="fr-FR"/>
        </w:rPr>
        <w:t xml:space="preserve"> de conclure que</w:t>
      </w:r>
      <w:r w:rsidR="00FB3E59" w:rsidRPr="00953692">
        <w:rPr>
          <w:rFonts w:eastAsia="Times New Roman" w:cs="Times New Roman"/>
          <w:sz w:val="24"/>
          <w:szCs w:val="24"/>
          <w:shd w:val="clear" w:color="auto" w:fill="FFFFFF"/>
          <w:lang w:val="fr-FR"/>
        </w:rPr>
        <w:t>,</w:t>
      </w:r>
      <w:r w:rsidR="000F2E8B" w:rsidRPr="00953692">
        <w:rPr>
          <w:rFonts w:eastAsia="Times New Roman" w:cs="Times New Roman"/>
          <w:sz w:val="24"/>
          <w:szCs w:val="24"/>
          <w:shd w:val="clear" w:color="auto" w:fill="FFFFFF"/>
          <w:lang w:val="fr-FR"/>
        </w:rPr>
        <w:t xml:space="preserve"> l</w:t>
      </w:r>
      <w:r w:rsidR="0096670E" w:rsidRPr="00953692">
        <w:rPr>
          <w:rFonts w:eastAsia="Times New Roman" w:cs="Times New Roman"/>
          <w:sz w:val="24"/>
          <w:szCs w:val="24"/>
          <w:shd w:val="clear" w:color="auto" w:fill="FFFFFF"/>
          <w:lang w:val="fr-FR"/>
        </w:rPr>
        <w:t xml:space="preserve">e lien de complémentarité entre cet aveu de culpabilité et </w:t>
      </w:r>
      <w:r w:rsidR="000F2E8B" w:rsidRPr="00953692">
        <w:rPr>
          <w:rFonts w:eastAsia="Times New Roman" w:cs="Times New Roman"/>
          <w:sz w:val="24"/>
          <w:szCs w:val="24"/>
          <w:shd w:val="clear" w:color="auto" w:fill="FFFFFF"/>
          <w:lang w:val="fr-FR"/>
        </w:rPr>
        <w:t xml:space="preserve">le droit d’être jugé sans retard excessif est bien visible. </w:t>
      </w:r>
      <w:r w:rsidR="00CB52EA" w:rsidRPr="00953692">
        <w:rPr>
          <w:rFonts w:eastAsia="Times New Roman" w:cs="Times New Roman"/>
          <w:sz w:val="24"/>
          <w:szCs w:val="24"/>
          <w:shd w:val="clear" w:color="auto" w:fill="FFFFFF"/>
          <w:lang w:val="fr-FR"/>
        </w:rPr>
        <w:t>L</w:t>
      </w:r>
      <w:r w:rsidR="00CF5FE6" w:rsidRPr="00953692">
        <w:rPr>
          <w:rFonts w:eastAsia="Times New Roman" w:cs="Times New Roman"/>
          <w:sz w:val="24"/>
          <w:szCs w:val="24"/>
          <w:shd w:val="clear" w:color="auto" w:fill="FFFFFF"/>
          <w:lang w:val="fr-FR"/>
        </w:rPr>
        <w:t>’absence de toute contradiction dé</w:t>
      </w:r>
      <w:r w:rsidR="00177854" w:rsidRPr="00953692">
        <w:rPr>
          <w:rFonts w:eastAsia="Times New Roman" w:cs="Times New Roman"/>
          <w:sz w:val="24"/>
          <w:szCs w:val="24"/>
          <w:shd w:val="clear" w:color="auto" w:fill="FFFFFF"/>
          <w:lang w:val="fr-FR"/>
        </w:rPr>
        <w:t>bride</w:t>
      </w:r>
      <w:r w:rsidR="00CF5FE6" w:rsidRPr="00953692">
        <w:rPr>
          <w:rFonts w:eastAsia="Times New Roman" w:cs="Times New Roman"/>
          <w:sz w:val="24"/>
          <w:szCs w:val="24"/>
          <w:shd w:val="clear" w:color="auto" w:fill="FFFFFF"/>
          <w:lang w:val="fr-FR"/>
        </w:rPr>
        <w:t xml:space="preserve"> le procès pénal </w:t>
      </w:r>
      <w:r w:rsidR="00E70D0E" w:rsidRPr="00953692">
        <w:rPr>
          <w:rFonts w:eastAsia="Times New Roman" w:cs="Times New Roman"/>
          <w:sz w:val="24"/>
          <w:szCs w:val="24"/>
          <w:shd w:val="clear" w:color="auto" w:fill="FFFFFF"/>
          <w:lang w:val="fr-FR"/>
        </w:rPr>
        <w:t xml:space="preserve">international </w:t>
      </w:r>
      <w:r w:rsidR="00CF5FE6" w:rsidRPr="00953692">
        <w:rPr>
          <w:rFonts w:eastAsia="Times New Roman" w:cs="Times New Roman"/>
          <w:sz w:val="24"/>
          <w:szCs w:val="24"/>
          <w:shd w:val="clear" w:color="auto" w:fill="FFFFFF"/>
          <w:lang w:val="fr-FR"/>
        </w:rPr>
        <w:t>du joug de la sinuosité</w:t>
      </w:r>
      <w:r w:rsidR="00177854" w:rsidRPr="00953692">
        <w:rPr>
          <w:rFonts w:eastAsia="Times New Roman" w:cs="Times New Roman"/>
          <w:sz w:val="24"/>
          <w:szCs w:val="24"/>
          <w:shd w:val="clear" w:color="auto" w:fill="FFFFFF"/>
          <w:lang w:val="fr-FR"/>
        </w:rPr>
        <w:t xml:space="preserve"> </w:t>
      </w:r>
      <w:r w:rsidR="00FC542A" w:rsidRPr="00953692">
        <w:rPr>
          <w:rFonts w:eastAsia="Times New Roman" w:cs="Times New Roman"/>
          <w:sz w:val="24"/>
          <w:szCs w:val="24"/>
          <w:shd w:val="clear" w:color="auto" w:fill="FFFFFF"/>
          <w:lang w:val="fr-FR"/>
        </w:rPr>
        <w:t>et</w:t>
      </w:r>
      <w:r w:rsidR="00177854" w:rsidRPr="00953692">
        <w:rPr>
          <w:rFonts w:eastAsia="Times New Roman" w:cs="Times New Roman"/>
          <w:sz w:val="24"/>
          <w:szCs w:val="24"/>
          <w:shd w:val="clear" w:color="auto" w:fill="FFFFFF"/>
          <w:lang w:val="fr-FR"/>
        </w:rPr>
        <w:t xml:space="preserve"> de la prolixité des discussions</w:t>
      </w:r>
      <w:r w:rsidR="00E70D0E" w:rsidRPr="00953692">
        <w:rPr>
          <w:rFonts w:eastAsia="Times New Roman" w:cs="Times New Roman"/>
          <w:sz w:val="24"/>
          <w:szCs w:val="24"/>
          <w:shd w:val="clear" w:color="auto" w:fill="FFFFFF"/>
          <w:lang w:val="fr-FR"/>
        </w:rPr>
        <w:t xml:space="preserve"> qui en caractérisent</w:t>
      </w:r>
      <w:r w:rsidR="00CF5FE6" w:rsidRPr="00953692">
        <w:rPr>
          <w:rFonts w:eastAsia="Times New Roman" w:cs="Times New Roman"/>
          <w:sz w:val="24"/>
          <w:szCs w:val="24"/>
          <w:shd w:val="clear" w:color="auto" w:fill="FFFFFF"/>
          <w:lang w:val="fr-FR"/>
        </w:rPr>
        <w:t>.</w:t>
      </w:r>
      <w:r w:rsidR="00FB3E59" w:rsidRPr="00953692">
        <w:rPr>
          <w:rFonts w:eastAsia="Times New Roman" w:cs="Times New Roman"/>
          <w:sz w:val="24"/>
          <w:szCs w:val="24"/>
          <w:shd w:val="clear" w:color="auto" w:fill="FFFFFF"/>
          <w:lang w:val="fr-FR"/>
        </w:rPr>
        <w:t xml:space="preserve"> </w:t>
      </w:r>
      <w:r w:rsidR="00E70D0E" w:rsidRPr="00953692">
        <w:rPr>
          <w:rFonts w:eastAsia="Times New Roman" w:cs="Times New Roman"/>
          <w:sz w:val="24"/>
          <w:szCs w:val="24"/>
          <w:shd w:val="clear" w:color="auto" w:fill="FFFFFF"/>
          <w:lang w:val="fr-FR"/>
        </w:rPr>
        <w:t>Il va sans dire que l</w:t>
      </w:r>
      <w:r w:rsidR="00FB3E59" w:rsidRPr="00953692">
        <w:rPr>
          <w:rFonts w:eastAsia="Times New Roman" w:cs="Times New Roman"/>
          <w:sz w:val="24"/>
          <w:szCs w:val="24"/>
          <w:shd w:val="clear" w:color="auto" w:fill="FFFFFF"/>
          <w:lang w:val="fr-FR"/>
        </w:rPr>
        <w:t>’accusé qui plaide coupable</w:t>
      </w:r>
      <w:r w:rsidR="00E70D0E" w:rsidRPr="00953692">
        <w:rPr>
          <w:rFonts w:eastAsia="Times New Roman" w:cs="Times New Roman"/>
          <w:sz w:val="24"/>
          <w:szCs w:val="24"/>
          <w:shd w:val="clear" w:color="auto" w:fill="FFFFFF"/>
          <w:lang w:val="fr-FR"/>
        </w:rPr>
        <w:t xml:space="preserve"> et collabore avec la justice</w:t>
      </w:r>
      <w:r w:rsidR="00FB3E59" w:rsidRPr="00953692">
        <w:rPr>
          <w:rFonts w:eastAsia="Times New Roman" w:cs="Times New Roman"/>
          <w:sz w:val="24"/>
          <w:szCs w:val="24"/>
          <w:shd w:val="clear" w:color="auto" w:fill="FFFFFF"/>
          <w:lang w:val="fr-FR"/>
        </w:rPr>
        <w:t xml:space="preserve"> bénéficie</w:t>
      </w:r>
      <w:r w:rsidR="00E70D0E" w:rsidRPr="00953692">
        <w:rPr>
          <w:rFonts w:eastAsia="Times New Roman" w:cs="Times New Roman"/>
          <w:sz w:val="24"/>
          <w:szCs w:val="24"/>
          <w:shd w:val="clear" w:color="auto" w:fill="FFFFFF"/>
          <w:lang w:val="fr-FR"/>
        </w:rPr>
        <w:t>rait</w:t>
      </w:r>
      <w:r w:rsidR="00FB3E59" w:rsidRPr="00953692">
        <w:rPr>
          <w:rFonts w:eastAsia="Times New Roman" w:cs="Times New Roman"/>
          <w:sz w:val="24"/>
          <w:szCs w:val="24"/>
          <w:shd w:val="clear" w:color="auto" w:fill="FFFFFF"/>
          <w:lang w:val="fr-FR"/>
        </w:rPr>
        <w:t xml:space="preserve"> d’une procédure </w:t>
      </w:r>
      <w:r w:rsidR="00E70D0E" w:rsidRPr="00953692">
        <w:rPr>
          <w:rFonts w:eastAsia="Times New Roman" w:cs="Times New Roman"/>
          <w:sz w:val="24"/>
          <w:szCs w:val="24"/>
          <w:shd w:val="clear" w:color="auto" w:fill="FFFFFF"/>
          <w:lang w:val="fr-FR"/>
        </w:rPr>
        <w:t xml:space="preserve">particulièrement </w:t>
      </w:r>
      <w:r w:rsidR="00FB3E59" w:rsidRPr="00953692">
        <w:rPr>
          <w:rFonts w:eastAsia="Times New Roman" w:cs="Times New Roman"/>
          <w:sz w:val="24"/>
          <w:szCs w:val="24"/>
          <w:shd w:val="clear" w:color="auto" w:fill="FFFFFF"/>
          <w:lang w:val="fr-FR"/>
        </w:rPr>
        <w:t>rapide, et risque moins d’être jugé avec un retard excessif.</w:t>
      </w:r>
      <w:r w:rsidR="00CF5FE6" w:rsidRPr="00953692">
        <w:rPr>
          <w:rFonts w:eastAsia="Times New Roman" w:cs="Times New Roman"/>
          <w:sz w:val="24"/>
          <w:szCs w:val="24"/>
          <w:shd w:val="clear" w:color="auto" w:fill="FFFFFF"/>
          <w:lang w:val="fr-FR"/>
        </w:rPr>
        <w:t xml:space="preserve"> </w:t>
      </w:r>
      <w:r w:rsidR="00036E0A" w:rsidRPr="00953692">
        <w:rPr>
          <w:rFonts w:eastAsia="Times New Roman" w:cs="Times New Roman"/>
          <w:sz w:val="24"/>
          <w:szCs w:val="24"/>
          <w:shd w:val="clear" w:color="auto" w:fill="FFFFFF"/>
          <w:lang w:val="fr-FR"/>
        </w:rPr>
        <w:t>Mais l’expérience des juridictions pénales internationales reste mitigée</w:t>
      </w:r>
      <w:r w:rsidR="00772553" w:rsidRPr="00953692">
        <w:rPr>
          <w:rFonts w:eastAsia="Times New Roman" w:cs="Times New Roman"/>
          <w:sz w:val="24"/>
          <w:szCs w:val="24"/>
          <w:shd w:val="clear" w:color="auto" w:fill="FFFFFF"/>
          <w:lang w:val="fr-FR"/>
        </w:rPr>
        <w:t>.</w:t>
      </w:r>
    </w:p>
    <w:p w14:paraId="2941371E" w14:textId="44B9018A" w:rsidR="00772553" w:rsidRPr="00953692" w:rsidRDefault="001D282C" w:rsidP="000B0381">
      <w:pPr>
        <w:pStyle w:val="Paragraphedeliste"/>
        <w:numPr>
          <w:ilvl w:val="0"/>
          <w:numId w:val="6"/>
        </w:numPr>
        <w:spacing w:before="240" w:line="276" w:lineRule="auto"/>
        <w:jc w:val="both"/>
        <w:outlineLvl w:val="2"/>
        <w:rPr>
          <w:rFonts w:eastAsia="Times New Roman" w:cs="Times New Roman"/>
          <w:bCs/>
          <w:i/>
          <w:iCs/>
          <w:sz w:val="24"/>
          <w:szCs w:val="24"/>
          <w:shd w:val="clear" w:color="auto" w:fill="FFFFFF"/>
          <w:lang w:val="fr-FR"/>
        </w:rPr>
      </w:pPr>
      <w:bookmarkStart w:id="50" w:name="_Toc195179428"/>
      <w:bookmarkStart w:id="51" w:name="_Hlk150606618"/>
      <w:r w:rsidRPr="00953692">
        <w:rPr>
          <w:rFonts w:eastAsia="Times New Roman" w:cs="Times New Roman"/>
          <w:bCs/>
          <w:i/>
          <w:iCs/>
          <w:sz w:val="24"/>
          <w:szCs w:val="24"/>
          <w:shd w:val="clear" w:color="auto" w:fill="FFFFFF"/>
          <w:lang w:val="fr-FR"/>
        </w:rPr>
        <w:t>L</w:t>
      </w:r>
      <w:r w:rsidR="0074208F" w:rsidRPr="00953692">
        <w:rPr>
          <w:rFonts w:eastAsia="Times New Roman" w:cs="Times New Roman"/>
          <w:bCs/>
          <w:i/>
          <w:iCs/>
          <w:sz w:val="24"/>
          <w:szCs w:val="24"/>
          <w:shd w:val="clear" w:color="auto" w:fill="FFFFFF"/>
          <w:lang w:val="fr-FR"/>
        </w:rPr>
        <w:t>’expérience</w:t>
      </w:r>
      <w:r w:rsidR="00EA0208" w:rsidRPr="00953692">
        <w:rPr>
          <w:rFonts w:eastAsia="Times New Roman" w:cs="Times New Roman"/>
          <w:bCs/>
          <w:i/>
          <w:iCs/>
          <w:sz w:val="24"/>
          <w:szCs w:val="24"/>
          <w:shd w:val="clear" w:color="auto" w:fill="FFFFFF"/>
          <w:lang w:val="fr-FR"/>
        </w:rPr>
        <w:t xml:space="preserve"> </w:t>
      </w:r>
      <w:r w:rsidR="006A6E03" w:rsidRPr="00953692">
        <w:rPr>
          <w:rFonts w:eastAsia="Times New Roman" w:cs="Times New Roman"/>
          <w:bCs/>
          <w:i/>
          <w:iCs/>
          <w:sz w:val="24"/>
          <w:szCs w:val="24"/>
          <w:shd w:val="clear" w:color="auto" w:fill="FFFFFF"/>
          <w:lang w:val="fr-FR"/>
        </w:rPr>
        <w:t xml:space="preserve">d’une pratique </w:t>
      </w:r>
      <w:r w:rsidR="00EA0208" w:rsidRPr="00953692">
        <w:rPr>
          <w:rFonts w:eastAsia="Times New Roman" w:cs="Times New Roman"/>
          <w:bCs/>
          <w:i/>
          <w:iCs/>
          <w:sz w:val="24"/>
          <w:szCs w:val="24"/>
          <w:shd w:val="clear" w:color="auto" w:fill="FFFFFF"/>
          <w:lang w:val="fr-FR"/>
        </w:rPr>
        <w:t>mitigée</w:t>
      </w:r>
      <w:r w:rsidR="009D224A" w:rsidRPr="00953692">
        <w:rPr>
          <w:rFonts w:eastAsia="Times New Roman" w:cs="Times New Roman"/>
          <w:bCs/>
          <w:i/>
          <w:iCs/>
          <w:sz w:val="24"/>
          <w:szCs w:val="24"/>
          <w:shd w:val="clear" w:color="auto" w:fill="FFFFFF"/>
          <w:lang w:val="fr-FR"/>
        </w:rPr>
        <w:t xml:space="preserve"> des juridictions pénales internationales</w:t>
      </w:r>
      <w:bookmarkEnd w:id="50"/>
      <w:r w:rsidR="00772553" w:rsidRPr="00953692">
        <w:rPr>
          <w:rFonts w:eastAsia="Times New Roman" w:cs="Times New Roman"/>
          <w:bCs/>
          <w:i/>
          <w:iCs/>
          <w:sz w:val="24"/>
          <w:szCs w:val="24"/>
          <w:shd w:val="clear" w:color="auto" w:fill="FFFFFF"/>
          <w:lang w:val="fr-FR"/>
        </w:rPr>
        <w:t xml:space="preserve"> </w:t>
      </w:r>
    </w:p>
    <w:bookmarkEnd w:id="51"/>
    <w:p w14:paraId="78B12A81" w14:textId="77777777" w:rsidR="008A4FE5" w:rsidRPr="00953692" w:rsidRDefault="008A4FE5" w:rsidP="00864BBF">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lastRenderedPageBreak/>
        <w:t>234</w:t>
      </w:r>
      <w:r w:rsidR="00364C25" w:rsidRPr="00953692">
        <w:rPr>
          <w:rFonts w:eastAsia="Times New Roman" w:cs="Times New Roman"/>
          <w:b/>
          <w:bCs/>
          <w:sz w:val="24"/>
          <w:szCs w:val="24"/>
          <w:shd w:val="clear" w:color="auto" w:fill="FFFFFF"/>
          <w:lang w:val="fr-FR"/>
        </w:rPr>
        <w:t>.</w:t>
      </w:r>
      <w:r w:rsidR="00364C25" w:rsidRPr="00953692">
        <w:rPr>
          <w:rFonts w:eastAsia="Times New Roman" w:cs="Times New Roman"/>
          <w:sz w:val="24"/>
          <w:szCs w:val="24"/>
          <w:shd w:val="clear" w:color="auto" w:fill="FFFFFF"/>
          <w:lang w:val="fr-FR"/>
        </w:rPr>
        <w:t xml:space="preserve"> </w:t>
      </w:r>
      <w:r w:rsidR="00EF0873" w:rsidRPr="00953692">
        <w:rPr>
          <w:rFonts w:eastAsia="Times New Roman" w:cs="Times New Roman"/>
          <w:sz w:val="24"/>
          <w:szCs w:val="24"/>
          <w:shd w:val="clear" w:color="auto" w:fill="FFFFFF"/>
          <w:lang w:val="fr-FR"/>
        </w:rPr>
        <w:t>Si l’on est épargné de la sinuosité d’une procédure ordinaire, on n</w:t>
      </w:r>
      <w:r w:rsidR="0074208F" w:rsidRPr="00953692">
        <w:rPr>
          <w:rFonts w:eastAsia="Times New Roman" w:cs="Times New Roman"/>
          <w:sz w:val="24"/>
          <w:szCs w:val="24"/>
          <w:shd w:val="clear" w:color="auto" w:fill="FFFFFF"/>
          <w:lang w:val="fr-FR"/>
        </w:rPr>
        <w:t>e l</w:t>
      </w:r>
      <w:r w:rsidR="00EF0873" w:rsidRPr="00953692">
        <w:rPr>
          <w:rFonts w:eastAsia="Times New Roman" w:cs="Times New Roman"/>
          <w:sz w:val="24"/>
          <w:szCs w:val="24"/>
          <w:shd w:val="clear" w:color="auto" w:fill="FFFFFF"/>
          <w:lang w:val="fr-FR"/>
        </w:rPr>
        <w:t xml:space="preserve">’est </w:t>
      </w:r>
      <w:r w:rsidR="0074208F" w:rsidRPr="00953692">
        <w:rPr>
          <w:rFonts w:eastAsia="Times New Roman" w:cs="Times New Roman"/>
          <w:sz w:val="24"/>
          <w:szCs w:val="24"/>
          <w:shd w:val="clear" w:color="auto" w:fill="FFFFFF"/>
          <w:lang w:val="fr-FR"/>
        </w:rPr>
        <w:t xml:space="preserve">pas </w:t>
      </w:r>
      <w:r w:rsidR="00E11B1B" w:rsidRPr="00953692">
        <w:rPr>
          <w:rFonts w:eastAsia="Times New Roman" w:cs="Times New Roman"/>
          <w:sz w:val="24"/>
          <w:szCs w:val="24"/>
          <w:shd w:val="clear" w:color="auto" w:fill="FFFFFF"/>
          <w:lang w:val="fr-FR"/>
        </w:rPr>
        <w:t xml:space="preserve">tout autant des procédures relativement longues. </w:t>
      </w:r>
      <w:r w:rsidR="003C75DF" w:rsidRPr="00953692">
        <w:rPr>
          <w:rFonts w:eastAsia="Times New Roman" w:cs="Times New Roman"/>
          <w:sz w:val="24"/>
          <w:szCs w:val="24"/>
          <w:shd w:val="clear" w:color="auto" w:fill="FFFFFF"/>
          <w:lang w:val="fr-FR"/>
        </w:rPr>
        <w:t xml:space="preserve">Ceci résulte du fait qu’étant </w:t>
      </w:r>
      <w:r w:rsidR="00E24D8D" w:rsidRPr="00953692">
        <w:rPr>
          <w:rFonts w:eastAsia="Times New Roman" w:cs="Times New Roman"/>
          <w:sz w:val="24"/>
          <w:szCs w:val="24"/>
          <w:shd w:val="clear" w:color="auto" w:fill="FFFFFF"/>
          <w:lang w:val="fr-FR"/>
        </w:rPr>
        <w:t xml:space="preserve">avant tout </w:t>
      </w:r>
      <w:r w:rsidR="003C75DF" w:rsidRPr="00953692">
        <w:rPr>
          <w:rFonts w:eastAsia="Times New Roman" w:cs="Times New Roman"/>
          <w:sz w:val="24"/>
          <w:szCs w:val="24"/>
          <w:shd w:val="clear" w:color="auto" w:fill="FFFFFF"/>
          <w:lang w:val="fr-FR"/>
        </w:rPr>
        <w:t xml:space="preserve">un droit, l’accusé n’est </w:t>
      </w:r>
      <w:r w:rsidR="00E21515" w:rsidRPr="00953692">
        <w:rPr>
          <w:rFonts w:eastAsia="Times New Roman" w:cs="Times New Roman"/>
          <w:sz w:val="24"/>
          <w:szCs w:val="24"/>
          <w:shd w:val="clear" w:color="auto" w:fill="FFFFFF"/>
          <w:lang w:val="fr-FR"/>
        </w:rPr>
        <w:t xml:space="preserve">donc </w:t>
      </w:r>
      <w:r w:rsidR="003C75DF" w:rsidRPr="00953692">
        <w:rPr>
          <w:rFonts w:eastAsia="Times New Roman" w:cs="Times New Roman"/>
          <w:sz w:val="24"/>
          <w:szCs w:val="24"/>
          <w:shd w:val="clear" w:color="auto" w:fill="FFFFFF"/>
          <w:lang w:val="fr-FR"/>
        </w:rPr>
        <w:t>pas obligé de plaider coupable. Il peut alors choisir</w:t>
      </w:r>
      <w:r w:rsidR="00E214C4" w:rsidRPr="00953692">
        <w:rPr>
          <w:rFonts w:eastAsia="Times New Roman" w:cs="Times New Roman"/>
          <w:sz w:val="24"/>
          <w:szCs w:val="24"/>
          <w:shd w:val="clear" w:color="auto" w:fill="FFFFFF"/>
          <w:lang w:val="fr-FR"/>
        </w:rPr>
        <w:t>,</w:t>
      </w:r>
      <w:r w:rsidR="003C75DF" w:rsidRPr="00953692">
        <w:rPr>
          <w:rFonts w:eastAsia="Times New Roman" w:cs="Times New Roman"/>
          <w:sz w:val="24"/>
          <w:szCs w:val="24"/>
          <w:shd w:val="clear" w:color="auto" w:fill="FFFFFF"/>
          <w:lang w:val="fr-FR"/>
        </w:rPr>
        <w:t xml:space="preserve"> selon ses intérêts </w:t>
      </w:r>
      <w:r w:rsidR="00364C25" w:rsidRPr="00953692">
        <w:rPr>
          <w:rFonts w:eastAsia="Times New Roman" w:cs="Times New Roman"/>
          <w:sz w:val="24"/>
          <w:szCs w:val="24"/>
          <w:shd w:val="clear" w:color="auto" w:fill="FFFFFF"/>
          <w:lang w:val="fr-FR"/>
        </w:rPr>
        <w:t>(</w:t>
      </w:r>
      <w:r w:rsidR="003C75DF" w:rsidRPr="00953692">
        <w:rPr>
          <w:rFonts w:eastAsia="Times New Roman" w:cs="Times New Roman"/>
          <w:sz w:val="24"/>
          <w:szCs w:val="24"/>
          <w:shd w:val="clear" w:color="auto" w:fill="FFFFFF"/>
          <w:lang w:val="fr-FR"/>
        </w:rPr>
        <w:t>on aurait souhaité qu’il en soit</w:t>
      </w:r>
      <w:r w:rsidR="00E214C4" w:rsidRPr="00953692">
        <w:rPr>
          <w:rFonts w:eastAsia="Times New Roman" w:cs="Times New Roman"/>
          <w:sz w:val="24"/>
          <w:szCs w:val="24"/>
          <w:shd w:val="clear" w:color="auto" w:fill="FFFFFF"/>
          <w:lang w:val="fr-FR"/>
        </w:rPr>
        <w:t>,</w:t>
      </w:r>
      <w:r w:rsidR="003C75DF" w:rsidRPr="00953692">
        <w:rPr>
          <w:rFonts w:eastAsia="Times New Roman" w:cs="Times New Roman"/>
          <w:sz w:val="24"/>
          <w:szCs w:val="24"/>
          <w:shd w:val="clear" w:color="auto" w:fill="FFFFFF"/>
          <w:lang w:val="fr-FR"/>
        </w:rPr>
        <w:t xml:space="preserve"> selon sa conscience</w:t>
      </w:r>
      <w:r w:rsidR="00364C25" w:rsidRPr="00953692">
        <w:rPr>
          <w:rFonts w:eastAsia="Times New Roman" w:cs="Times New Roman"/>
          <w:sz w:val="24"/>
          <w:szCs w:val="24"/>
          <w:shd w:val="clear" w:color="auto" w:fill="FFFFFF"/>
          <w:lang w:val="fr-FR"/>
        </w:rPr>
        <w:t>)</w:t>
      </w:r>
      <w:r w:rsidR="003C75DF" w:rsidRPr="00953692">
        <w:rPr>
          <w:rFonts w:eastAsia="Times New Roman" w:cs="Times New Roman"/>
          <w:sz w:val="24"/>
          <w:szCs w:val="24"/>
          <w:shd w:val="clear" w:color="auto" w:fill="FFFFFF"/>
          <w:lang w:val="fr-FR"/>
        </w:rPr>
        <w:t xml:space="preserve">, le moment opportun de reconnaitre les faits mis à sa charge. </w:t>
      </w:r>
      <w:r w:rsidR="00750DD3" w:rsidRPr="00953692">
        <w:rPr>
          <w:rFonts w:eastAsia="Times New Roman" w:cs="Times New Roman"/>
          <w:sz w:val="24"/>
          <w:szCs w:val="24"/>
          <w:shd w:val="clear" w:color="auto" w:fill="FFFFFF"/>
          <w:lang w:val="fr-FR"/>
        </w:rPr>
        <w:t xml:space="preserve">Du coup, </w:t>
      </w:r>
      <w:r w:rsidR="00487C2D" w:rsidRPr="00953692">
        <w:rPr>
          <w:rFonts w:eastAsia="Times New Roman" w:cs="Times New Roman"/>
          <w:sz w:val="24"/>
          <w:szCs w:val="24"/>
          <w:shd w:val="clear" w:color="auto" w:fill="FFFFFF"/>
          <w:lang w:val="fr-FR"/>
        </w:rPr>
        <w:t>l’exercice de ce droit</w:t>
      </w:r>
      <w:r w:rsidR="00750DD3" w:rsidRPr="00953692">
        <w:rPr>
          <w:rFonts w:eastAsia="Times New Roman" w:cs="Times New Roman"/>
          <w:sz w:val="24"/>
          <w:szCs w:val="24"/>
          <w:shd w:val="clear" w:color="auto" w:fill="FFFFFF"/>
          <w:lang w:val="fr-FR"/>
        </w:rPr>
        <w:t xml:space="preserve"> </w:t>
      </w:r>
      <w:r w:rsidR="005914C0" w:rsidRPr="00953692">
        <w:rPr>
          <w:rFonts w:eastAsia="Times New Roman" w:cs="Times New Roman"/>
          <w:sz w:val="24"/>
          <w:szCs w:val="24"/>
          <w:shd w:val="clear" w:color="auto" w:fill="FFFFFF"/>
          <w:lang w:val="fr-FR"/>
        </w:rPr>
        <w:t xml:space="preserve">pourra </w:t>
      </w:r>
      <w:r w:rsidR="00750DD3" w:rsidRPr="00953692">
        <w:rPr>
          <w:rFonts w:eastAsia="Times New Roman" w:cs="Times New Roman"/>
          <w:sz w:val="24"/>
          <w:szCs w:val="24"/>
          <w:shd w:val="clear" w:color="auto" w:fill="FFFFFF"/>
          <w:lang w:val="fr-FR"/>
        </w:rPr>
        <w:t xml:space="preserve">réellement servir les intérêts de la justice </w:t>
      </w:r>
      <w:r w:rsidR="00B708CA" w:rsidRPr="00953692">
        <w:rPr>
          <w:rFonts w:eastAsia="Times New Roman" w:cs="Times New Roman"/>
          <w:sz w:val="24"/>
          <w:szCs w:val="24"/>
          <w:shd w:val="clear" w:color="auto" w:fill="FFFFFF"/>
          <w:lang w:val="fr-FR"/>
        </w:rPr>
        <w:t xml:space="preserve">ou </w:t>
      </w:r>
      <w:r w:rsidR="00487C2D" w:rsidRPr="00953692">
        <w:rPr>
          <w:rFonts w:eastAsia="Times New Roman" w:cs="Times New Roman"/>
          <w:sz w:val="24"/>
          <w:szCs w:val="24"/>
          <w:shd w:val="clear" w:color="auto" w:fill="FFFFFF"/>
          <w:lang w:val="fr-FR"/>
        </w:rPr>
        <w:t>s’avérer</w:t>
      </w:r>
      <w:r w:rsidR="00B708CA" w:rsidRPr="00953692">
        <w:rPr>
          <w:rFonts w:eastAsia="Times New Roman" w:cs="Times New Roman"/>
          <w:sz w:val="24"/>
          <w:szCs w:val="24"/>
          <w:shd w:val="clear" w:color="auto" w:fill="FFFFFF"/>
          <w:lang w:val="fr-FR"/>
        </w:rPr>
        <w:t xml:space="preserve"> un peu ou complètement sans intérêt. </w:t>
      </w:r>
    </w:p>
    <w:p w14:paraId="42CC37D1" w14:textId="4E74C184" w:rsidR="00487C2D" w:rsidRPr="00953692" w:rsidRDefault="008A4FE5" w:rsidP="00864BBF">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235.</w:t>
      </w:r>
      <w:r w:rsidRPr="00953692">
        <w:rPr>
          <w:rFonts w:eastAsia="Times New Roman" w:cs="Times New Roman"/>
          <w:sz w:val="24"/>
          <w:szCs w:val="24"/>
          <w:shd w:val="clear" w:color="auto" w:fill="FFFFFF"/>
          <w:lang w:val="fr-FR"/>
        </w:rPr>
        <w:t xml:space="preserve"> </w:t>
      </w:r>
      <w:r w:rsidR="00B708CA" w:rsidRPr="00953692">
        <w:rPr>
          <w:rFonts w:eastAsia="Times New Roman" w:cs="Times New Roman"/>
          <w:sz w:val="24"/>
          <w:szCs w:val="24"/>
          <w:shd w:val="clear" w:color="auto" w:fill="FFFFFF"/>
          <w:lang w:val="fr-FR"/>
        </w:rPr>
        <w:t xml:space="preserve">Dans l’affaire </w:t>
      </w:r>
      <w:r w:rsidR="00B708CA" w:rsidRPr="00953692">
        <w:rPr>
          <w:sz w:val="24"/>
          <w:szCs w:val="24"/>
          <w:lang w:val="fr-FR"/>
        </w:rPr>
        <w:t xml:space="preserve">Todorović, la </w:t>
      </w:r>
      <w:r w:rsidR="00193288" w:rsidRPr="00953692">
        <w:rPr>
          <w:sz w:val="24"/>
          <w:szCs w:val="24"/>
          <w:lang w:val="fr-FR"/>
        </w:rPr>
        <w:t>C</w:t>
      </w:r>
      <w:r w:rsidR="00B708CA" w:rsidRPr="00953692">
        <w:rPr>
          <w:sz w:val="24"/>
          <w:szCs w:val="24"/>
          <w:lang w:val="fr-FR"/>
        </w:rPr>
        <w:t xml:space="preserve">hambre de première instance du TPIY, </w:t>
      </w:r>
      <w:r w:rsidR="008953BD" w:rsidRPr="00953692">
        <w:rPr>
          <w:sz w:val="24"/>
          <w:szCs w:val="24"/>
          <w:lang w:val="fr-FR"/>
        </w:rPr>
        <w:t>à la suite de l’argument du Juge Cassesse</w:t>
      </w:r>
      <w:r w:rsidR="005914C0" w:rsidRPr="00953692">
        <w:rPr>
          <w:sz w:val="24"/>
          <w:szCs w:val="24"/>
          <w:lang w:val="fr-FR"/>
        </w:rPr>
        <w:t xml:space="preserve"> qu’elle a faite sienne</w:t>
      </w:r>
      <w:r w:rsidR="008953BD" w:rsidRPr="00953692">
        <w:rPr>
          <w:sz w:val="24"/>
          <w:szCs w:val="24"/>
          <w:lang w:val="fr-FR"/>
        </w:rPr>
        <w:t>, a soutenu</w:t>
      </w:r>
      <w:r w:rsidR="00E24D8D" w:rsidRPr="00953692">
        <w:rPr>
          <w:sz w:val="24"/>
          <w:szCs w:val="24"/>
          <w:lang w:val="fr-FR"/>
        </w:rPr>
        <w:t> :</w:t>
      </w:r>
      <w:r w:rsidR="008953BD" w:rsidRPr="00953692">
        <w:rPr>
          <w:sz w:val="24"/>
          <w:szCs w:val="24"/>
          <w:lang w:val="fr-FR"/>
        </w:rPr>
        <w:t xml:space="preserve"> </w:t>
      </w:r>
      <w:r w:rsidR="002E5AC1" w:rsidRPr="00953692">
        <w:rPr>
          <w:sz w:val="24"/>
          <w:szCs w:val="24"/>
          <w:lang w:val="fr-FR"/>
        </w:rPr>
        <w:t>« </w:t>
      </w:r>
      <w:r w:rsidR="008953BD" w:rsidRPr="00953692">
        <w:rPr>
          <w:sz w:val="24"/>
          <w:szCs w:val="24"/>
          <w:lang w:val="fr-FR"/>
        </w:rPr>
        <w:t>qu’un plaidoyer de culpabilité ne sert l</w:t>
      </w:r>
      <w:r w:rsidR="00E24D8D" w:rsidRPr="00953692">
        <w:rPr>
          <w:sz w:val="24"/>
          <w:szCs w:val="24"/>
          <w:lang w:val="fr-FR"/>
        </w:rPr>
        <w:t>’</w:t>
      </w:r>
      <w:r w:rsidR="008953BD" w:rsidRPr="00953692">
        <w:rPr>
          <w:sz w:val="24"/>
          <w:szCs w:val="24"/>
          <w:lang w:val="fr-FR"/>
        </w:rPr>
        <w:t>intérêt public que s</w:t>
      </w:r>
      <w:r w:rsidR="00E24D8D" w:rsidRPr="00953692">
        <w:rPr>
          <w:sz w:val="24"/>
          <w:szCs w:val="24"/>
          <w:lang w:val="fr-FR"/>
        </w:rPr>
        <w:t>’</w:t>
      </w:r>
      <w:r w:rsidR="008953BD" w:rsidRPr="00953692">
        <w:rPr>
          <w:sz w:val="24"/>
          <w:szCs w:val="24"/>
          <w:lang w:val="fr-FR"/>
        </w:rPr>
        <w:t>il intervient avant l'ouverture du procès.</w:t>
      </w:r>
      <w:r w:rsidR="00E24D8D" w:rsidRPr="00953692">
        <w:rPr>
          <w:sz w:val="24"/>
          <w:szCs w:val="24"/>
          <w:lang w:val="fr-FR"/>
        </w:rPr>
        <w:t xml:space="preserve"> La Chambre fait remarquer qu’il est</w:t>
      </w:r>
      <w:r w:rsidR="008953BD" w:rsidRPr="00953692">
        <w:rPr>
          <w:sz w:val="24"/>
          <w:szCs w:val="24"/>
          <w:lang w:val="fr-FR"/>
        </w:rPr>
        <w:t xml:space="preserve"> </w:t>
      </w:r>
      <w:r w:rsidR="00E24D8D" w:rsidRPr="00953692">
        <w:rPr>
          <w:sz w:val="24"/>
          <w:szCs w:val="24"/>
          <w:lang w:val="fr-FR"/>
        </w:rPr>
        <w:t>i</w:t>
      </w:r>
      <w:r w:rsidR="008953BD" w:rsidRPr="00953692">
        <w:rPr>
          <w:sz w:val="24"/>
          <w:szCs w:val="24"/>
          <w:lang w:val="fr-FR"/>
        </w:rPr>
        <w:t>nutile de préciser que</w:t>
      </w:r>
      <w:r w:rsidR="00193288" w:rsidRPr="00953692">
        <w:rPr>
          <w:sz w:val="24"/>
          <w:szCs w:val="24"/>
          <w:lang w:val="fr-FR"/>
        </w:rPr>
        <w:t>,</w:t>
      </w:r>
      <w:r w:rsidR="008953BD" w:rsidRPr="00953692">
        <w:rPr>
          <w:sz w:val="24"/>
          <w:szCs w:val="24"/>
          <w:lang w:val="fr-FR"/>
        </w:rPr>
        <w:t xml:space="preserve"> s'il intervient tardivement, voire après la clôture du procès, un aveu volontaire n'épargne au Tribunal international ni le temps ni les efforts que réclament une enquête et un procès de longue durée</w:t>
      </w:r>
      <w:r w:rsidR="002E5AC1" w:rsidRPr="00953692">
        <w:rPr>
          <w:sz w:val="24"/>
          <w:szCs w:val="24"/>
          <w:lang w:val="fr-FR"/>
        </w:rPr>
        <w:t> »</w:t>
      </w:r>
      <w:r w:rsidR="008D4A58" w:rsidRPr="00953692">
        <w:rPr>
          <w:rStyle w:val="Appelnotedebasdep"/>
          <w:sz w:val="24"/>
          <w:szCs w:val="24"/>
          <w:lang w:val="fr-FR"/>
        </w:rPr>
        <w:footnoteReference w:customMarkFollows="1" w:id="177"/>
        <w:t>155</w:t>
      </w:r>
      <w:r w:rsidR="008953BD" w:rsidRPr="00953692">
        <w:rPr>
          <w:sz w:val="24"/>
          <w:szCs w:val="24"/>
          <w:lang w:val="fr-FR"/>
        </w:rPr>
        <w:t>.</w:t>
      </w:r>
      <w:r w:rsidR="00487C2D" w:rsidRPr="00953692">
        <w:rPr>
          <w:rFonts w:eastAsia="Times New Roman" w:cs="Times New Roman"/>
          <w:sz w:val="24"/>
          <w:szCs w:val="24"/>
          <w:shd w:val="clear" w:color="auto" w:fill="FFFFFF"/>
          <w:lang w:val="fr-FR"/>
        </w:rPr>
        <w:t xml:space="preserve"> </w:t>
      </w:r>
      <w:r w:rsidR="00DA2102" w:rsidRPr="00953692">
        <w:rPr>
          <w:sz w:val="24"/>
          <w:szCs w:val="24"/>
          <w:lang w:val="fr-FR"/>
        </w:rPr>
        <w:t>Ce</w:t>
      </w:r>
      <w:r w:rsidR="00193288" w:rsidRPr="00953692">
        <w:rPr>
          <w:sz w:val="24"/>
          <w:szCs w:val="24"/>
          <w:lang w:val="fr-FR"/>
        </w:rPr>
        <w:t>tte argumentation combien pertinente</w:t>
      </w:r>
      <w:r w:rsidR="00DA2102" w:rsidRPr="00953692">
        <w:rPr>
          <w:sz w:val="24"/>
          <w:szCs w:val="24"/>
          <w:lang w:val="fr-FR"/>
        </w:rPr>
        <w:t xml:space="preserve"> montre parfaitement</w:t>
      </w:r>
      <w:r w:rsidR="00EA0208" w:rsidRPr="00953692">
        <w:rPr>
          <w:sz w:val="24"/>
          <w:szCs w:val="24"/>
          <w:lang w:val="fr-FR"/>
        </w:rPr>
        <w:t xml:space="preserve"> que</w:t>
      </w:r>
      <w:r w:rsidR="00193288" w:rsidRPr="00953692">
        <w:rPr>
          <w:sz w:val="24"/>
          <w:szCs w:val="24"/>
          <w:lang w:val="fr-FR"/>
        </w:rPr>
        <w:t>, le</w:t>
      </w:r>
      <w:r w:rsidR="00277BA7" w:rsidRPr="00953692">
        <w:rPr>
          <w:sz w:val="24"/>
          <w:szCs w:val="24"/>
          <w:lang w:val="fr-FR"/>
        </w:rPr>
        <w:t xml:space="preserve"> moment </w:t>
      </w:r>
      <w:r w:rsidR="00EA0208" w:rsidRPr="00953692">
        <w:rPr>
          <w:sz w:val="24"/>
          <w:szCs w:val="24"/>
          <w:lang w:val="fr-FR"/>
        </w:rPr>
        <w:t xml:space="preserve">que </w:t>
      </w:r>
      <w:r w:rsidR="00277BA7" w:rsidRPr="00953692">
        <w:rPr>
          <w:sz w:val="24"/>
          <w:szCs w:val="24"/>
          <w:lang w:val="fr-FR"/>
        </w:rPr>
        <w:t>choisi</w:t>
      </w:r>
      <w:r w:rsidR="00EA0208" w:rsidRPr="00953692">
        <w:rPr>
          <w:sz w:val="24"/>
          <w:szCs w:val="24"/>
          <w:lang w:val="fr-FR"/>
        </w:rPr>
        <w:t>t</w:t>
      </w:r>
      <w:r w:rsidR="00277BA7" w:rsidRPr="00953692">
        <w:rPr>
          <w:sz w:val="24"/>
          <w:szCs w:val="24"/>
          <w:lang w:val="fr-FR"/>
        </w:rPr>
        <w:t xml:space="preserve"> l’accusé </w:t>
      </w:r>
      <w:r w:rsidR="00EA0208" w:rsidRPr="00953692">
        <w:rPr>
          <w:sz w:val="24"/>
          <w:szCs w:val="24"/>
          <w:lang w:val="fr-FR"/>
        </w:rPr>
        <w:t>ou même le suspect de se débarrasser de sa chape de plomb n’est pas indifférent</w:t>
      </w:r>
      <w:r w:rsidR="00277BA7" w:rsidRPr="00953692">
        <w:rPr>
          <w:sz w:val="24"/>
          <w:szCs w:val="24"/>
          <w:lang w:val="fr-FR"/>
        </w:rPr>
        <w:t xml:space="preserve"> si, </w:t>
      </w:r>
      <w:r w:rsidR="00E214C4" w:rsidRPr="00953692">
        <w:rPr>
          <w:sz w:val="24"/>
          <w:szCs w:val="24"/>
          <w:lang w:val="fr-FR"/>
        </w:rPr>
        <w:t>concrètement</w:t>
      </w:r>
      <w:r w:rsidR="00277BA7" w:rsidRPr="00953692">
        <w:rPr>
          <w:sz w:val="24"/>
          <w:szCs w:val="24"/>
          <w:lang w:val="fr-FR"/>
        </w:rPr>
        <w:t>, cela devra donner un</w:t>
      </w:r>
      <w:r w:rsidR="00824FDD" w:rsidRPr="00953692">
        <w:rPr>
          <w:sz w:val="24"/>
          <w:szCs w:val="24"/>
          <w:lang w:val="fr-FR"/>
        </w:rPr>
        <w:t xml:space="preserve"> véritable</w:t>
      </w:r>
      <w:r w:rsidR="00277BA7" w:rsidRPr="00953692">
        <w:rPr>
          <w:sz w:val="24"/>
          <w:szCs w:val="24"/>
          <w:lang w:val="fr-FR"/>
        </w:rPr>
        <w:t xml:space="preserve"> coup de pouce à la rapidité du procès</w:t>
      </w:r>
      <w:r w:rsidRPr="00953692">
        <w:rPr>
          <w:sz w:val="24"/>
          <w:szCs w:val="24"/>
          <w:lang w:val="fr-FR"/>
        </w:rPr>
        <w:t xml:space="preserve"> (pénal international)</w:t>
      </w:r>
      <w:r w:rsidR="00277BA7" w:rsidRPr="00953692">
        <w:rPr>
          <w:sz w:val="24"/>
          <w:szCs w:val="24"/>
          <w:lang w:val="fr-FR"/>
        </w:rPr>
        <w:t xml:space="preserve">. </w:t>
      </w:r>
    </w:p>
    <w:p w14:paraId="1D98EE1F" w14:textId="514C02DB" w:rsidR="00CF5FE6" w:rsidRPr="00953692" w:rsidRDefault="008A4FE5" w:rsidP="00864BBF">
      <w:pPr>
        <w:spacing w:after="0" w:line="276" w:lineRule="auto"/>
        <w:ind w:firstLine="1134"/>
        <w:jc w:val="both"/>
        <w:rPr>
          <w:rFonts w:eastAsia="Times New Roman" w:cs="Times New Roman"/>
          <w:sz w:val="24"/>
          <w:szCs w:val="24"/>
          <w:shd w:val="clear" w:color="auto" w:fill="FFFFFF"/>
          <w:lang w:val="fr-FR"/>
        </w:rPr>
      </w:pPr>
      <w:r w:rsidRPr="00953692">
        <w:rPr>
          <w:b/>
          <w:bCs/>
          <w:sz w:val="24"/>
          <w:szCs w:val="24"/>
          <w:lang w:val="fr-FR"/>
        </w:rPr>
        <w:t>236</w:t>
      </w:r>
      <w:r w:rsidR="00EA0CDD" w:rsidRPr="00953692">
        <w:rPr>
          <w:b/>
          <w:bCs/>
          <w:sz w:val="24"/>
          <w:szCs w:val="24"/>
          <w:lang w:val="fr-FR"/>
        </w:rPr>
        <w:t>.</w:t>
      </w:r>
      <w:r w:rsidR="00EA0CDD" w:rsidRPr="00953692">
        <w:rPr>
          <w:sz w:val="24"/>
          <w:szCs w:val="24"/>
          <w:lang w:val="fr-FR"/>
        </w:rPr>
        <w:t xml:space="preserve"> </w:t>
      </w:r>
      <w:r w:rsidR="00277BA7" w:rsidRPr="00953692">
        <w:rPr>
          <w:sz w:val="24"/>
          <w:szCs w:val="24"/>
          <w:lang w:val="fr-FR"/>
        </w:rPr>
        <w:t xml:space="preserve">On le voit par exemple dans l’affaire </w:t>
      </w:r>
      <w:r w:rsidR="00277BA7" w:rsidRPr="00953692">
        <w:rPr>
          <w:rFonts w:eastAsia="Times New Roman" w:cs="Times New Roman"/>
          <w:sz w:val="24"/>
          <w:szCs w:val="24"/>
          <w:shd w:val="clear" w:color="auto" w:fill="FFFFFF"/>
          <w:lang w:val="fr-FR"/>
        </w:rPr>
        <w:t xml:space="preserve">Dražen Erdemović devant le TPIY. </w:t>
      </w:r>
      <w:r w:rsidR="00C03678" w:rsidRPr="00953692">
        <w:rPr>
          <w:rFonts w:eastAsia="Times New Roman" w:cs="Times New Roman"/>
          <w:sz w:val="24"/>
          <w:szCs w:val="24"/>
          <w:shd w:val="clear" w:color="auto" w:fill="FFFFFF"/>
          <w:lang w:val="fr-FR"/>
        </w:rPr>
        <w:t>Ce dernier fut</w:t>
      </w:r>
      <w:r w:rsidR="00CF5FE6" w:rsidRPr="00953692">
        <w:rPr>
          <w:rFonts w:eastAsia="Times New Roman" w:cs="Times New Roman"/>
          <w:sz w:val="24"/>
          <w:szCs w:val="24"/>
          <w:shd w:val="clear" w:color="auto" w:fill="FFFFFF"/>
          <w:lang w:val="fr-FR"/>
        </w:rPr>
        <w:t xml:space="preserve"> arrêté le 2 mars 1996</w:t>
      </w:r>
      <w:r w:rsidR="00C03678" w:rsidRPr="00953692">
        <w:rPr>
          <w:rFonts w:eastAsia="Times New Roman" w:cs="Times New Roman"/>
          <w:sz w:val="24"/>
          <w:szCs w:val="24"/>
          <w:shd w:val="clear" w:color="auto" w:fill="FFFFFF"/>
          <w:lang w:val="fr-FR"/>
        </w:rPr>
        <w:t xml:space="preserve"> et son acte d’accusation fut confirmé</w:t>
      </w:r>
      <w:r w:rsidR="00CF5FE6" w:rsidRPr="00953692">
        <w:rPr>
          <w:rFonts w:eastAsia="Times New Roman" w:cs="Times New Roman"/>
          <w:sz w:val="24"/>
          <w:szCs w:val="24"/>
          <w:shd w:val="clear" w:color="auto" w:fill="FFFFFF"/>
          <w:lang w:val="fr-FR"/>
        </w:rPr>
        <w:t xml:space="preserve"> le 29 mai de la même année. Il a comparu le 31 mai </w:t>
      </w:r>
      <w:r w:rsidR="00C03678" w:rsidRPr="00953692">
        <w:rPr>
          <w:rFonts w:eastAsia="Times New Roman" w:cs="Times New Roman"/>
          <w:sz w:val="24"/>
          <w:szCs w:val="24"/>
          <w:shd w:val="clear" w:color="auto" w:fill="FFFFFF"/>
          <w:lang w:val="fr-FR"/>
        </w:rPr>
        <w:t>qui a suivi</w:t>
      </w:r>
      <w:r w:rsidR="00CF5FE6" w:rsidRPr="00953692">
        <w:rPr>
          <w:rFonts w:eastAsia="Times New Roman" w:cs="Times New Roman"/>
          <w:sz w:val="24"/>
          <w:szCs w:val="24"/>
          <w:shd w:val="clear" w:color="auto" w:fill="FFFFFF"/>
          <w:lang w:val="fr-FR"/>
        </w:rPr>
        <w:t xml:space="preserve"> et a plaidé coupable de meurtre constitutif de crime contre l'humanité. </w:t>
      </w:r>
      <w:r w:rsidR="00B37FA6" w:rsidRPr="00953692">
        <w:rPr>
          <w:rFonts w:eastAsia="Times New Roman" w:cs="Times New Roman"/>
          <w:sz w:val="24"/>
          <w:szCs w:val="24"/>
          <w:shd w:val="clear" w:color="auto" w:fill="FFFFFF"/>
          <w:lang w:val="fr-FR"/>
        </w:rPr>
        <w:t>Il fut condamné à dix ans de prison le</w:t>
      </w:r>
      <w:r w:rsidR="00CF5FE6" w:rsidRPr="00953692">
        <w:rPr>
          <w:rFonts w:eastAsia="Times New Roman" w:cs="Times New Roman"/>
          <w:sz w:val="24"/>
          <w:szCs w:val="24"/>
          <w:shd w:val="clear" w:color="auto" w:fill="FFFFFF"/>
          <w:lang w:val="fr-FR"/>
        </w:rPr>
        <w:t xml:space="preserve"> 29 novembre 1996</w:t>
      </w:r>
      <w:r w:rsidR="008D4A58" w:rsidRPr="00953692">
        <w:rPr>
          <w:rStyle w:val="Appelnotedebasdep"/>
          <w:rFonts w:eastAsia="Times New Roman" w:cs="Times New Roman"/>
          <w:sz w:val="24"/>
          <w:szCs w:val="24"/>
          <w:shd w:val="clear" w:color="auto" w:fill="FFFFFF"/>
          <w:lang w:val="fr-FR"/>
        </w:rPr>
        <w:footnoteReference w:customMarkFollows="1" w:id="178"/>
        <w:t>157</w:t>
      </w:r>
      <w:r w:rsidR="00DC780A" w:rsidRPr="00953692">
        <w:rPr>
          <w:rFonts w:eastAsia="Times New Roman" w:cs="Times New Roman"/>
          <w:sz w:val="24"/>
          <w:szCs w:val="24"/>
          <w:shd w:val="clear" w:color="auto" w:fill="FFFFFF"/>
          <w:lang w:val="fr-FR"/>
        </w:rPr>
        <w:t xml:space="preserve">, soit huit mois après la confirmation de son acte d’accusation. </w:t>
      </w:r>
      <w:r w:rsidR="000B04A9" w:rsidRPr="00953692">
        <w:rPr>
          <w:rFonts w:eastAsia="Times New Roman" w:cs="Times New Roman"/>
          <w:sz w:val="24"/>
          <w:szCs w:val="24"/>
          <w:shd w:val="clear" w:color="auto" w:fill="FFFFFF"/>
          <w:lang w:val="fr-FR"/>
        </w:rPr>
        <w:t>Cependant, l</w:t>
      </w:r>
      <w:r w:rsidR="00193288" w:rsidRPr="00953692">
        <w:rPr>
          <w:rFonts w:eastAsia="Times New Roman" w:cs="Times New Roman"/>
          <w:sz w:val="24"/>
          <w:szCs w:val="24"/>
          <w:shd w:val="clear" w:color="auto" w:fill="FFFFFF"/>
          <w:lang w:val="fr-FR"/>
        </w:rPr>
        <w:t>e</w:t>
      </w:r>
      <w:r w:rsidR="000B04A9" w:rsidRPr="00953692">
        <w:rPr>
          <w:rFonts w:eastAsia="Times New Roman" w:cs="Times New Roman"/>
          <w:sz w:val="24"/>
          <w:szCs w:val="24"/>
          <w:shd w:val="clear" w:color="auto" w:fill="FFFFFF"/>
          <w:lang w:val="fr-FR"/>
        </w:rPr>
        <w:t xml:space="preserve"> jugement </w:t>
      </w:r>
      <w:r w:rsidR="00193288" w:rsidRPr="00953692">
        <w:rPr>
          <w:rFonts w:eastAsia="Times New Roman" w:cs="Times New Roman"/>
          <w:sz w:val="24"/>
          <w:szCs w:val="24"/>
          <w:shd w:val="clear" w:color="auto" w:fill="FFFFFF"/>
          <w:lang w:val="fr-FR"/>
        </w:rPr>
        <w:t>n’est intervenu</w:t>
      </w:r>
      <w:r w:rsidR="000B04A9" w:rsidRPr="00953692">
        <w:rPr>
          <w:rFonts w:eastAsia="Times New Roman" w:cs="Times New Roman"/>
          <w:sz w:val="24"/>
          <w:szCs w:val="24"/>
          <w:shd w:val="clear" w:color="auto" w:fill="FFFFFF"/>
          <w:lang w:val="fr-FR"/>
        </w:rPr>
        <w:t xml:space="preserve"> </w:t>
      </w:r>
      <w:r w:rsidR="00193288" w:rsidRPr="00953692">
        <w:rPr>
          <w:rFonts w:eastAsia="Times New Roman" w:cs="Times New Roman"/>
          <w:sz w:val="24"/>
          <w:szCs w:val="24"/>
          <w:shd w:val="clear" w:color="auto" w:fill="FFFFFF"/>
          <w:lang w:val="fr-FR"/>
        </w:rPr>
        <w:t xml:space="preserve">que le </w:t>
      </w:r>
      <w:r w:rsidR="000B04A9" w:rsidRPr="00953692">
        <w:rPr>
          <w:rFonts w:eastAsia="Times New Roman" w:cs="Times New Roman"/>
          <w:sz w:val="24"/>
          <w:szCs w:val="24"/>
          <w:shd w:val="clear" w:color="auto" w:fill="FFFFFF"/>
          <w:lang w:val="fr-FR"/>
        </w:rPr>
        <w:t>5 mars 1998</w:t>
      </w:r>
      <w:r w:rsidR="00193288" w:rsidRPr="00953692">
        <w:rPr>
          <w:rFonts w:eastAsia="Times New Roman" w:cs="Times New Roman"/>
          <w:sz w:val="24"/>
          <w:szCs w:val="24"/>
          <w:shd w:val="clear" w:color="auto" w:fill="FFFFFF"/>
          <w:lang w:val="fr-FR"/>
        </w:rPr>
        <w:t>. Mais voyons pourquoi. En effet,</w:t>
      </w:r>
      <w:r w:rsidR="000B04A9" w:rsidRPr="00953692">
        <w:rPr>
          <w:rFonts w:eastAsia="Times New Roman" w:cs="Times New Roman"/>
          <w:sz w:val="24"/>
          <w:szCs w:val="24"/>
          <w:shd w:val="clear" w:color="auto" w:fill="FFFFFF"/>
          <w:lang w:val="fr-FR"/>
        </w:rPr>
        <w:t xml:space="preserve"> le condamné avait interjeté appel au motif pris de sa condamnation à une peine de 10 ans d’emprisonnement alors qu’il lui aurait fallu</w:t>
      </w:r>
      <w:r w:rsidR="00C10765" w:rsidRPr="00953692">
        <w:rPr>
          <w:rFonts w:eastAsia="Times New Roman" w:cs="Times New Roman"/>
          <w:sz w:val="24"/>
          <w:szCs w:val="24"/>
          <w:shd w:val="clear" w:color="auto" w:fill="FFFFFF"/>
          <w:lang w:val="fr-FR"/>
        </w:rPr>
        <w:t>, selon lui,</w:t>
      </w:r>
      <w:r w:rsidR="000B04A9" w:rsidRPr="00953692">
        <w:rPr>
          <w:rFonts w:eastAsia="Times New Roman" w:cs="Times New Roman"/>
          <w:sz w:val="24"/>
          <w:szCs w:val="24"/>
          <w:shd w:val="clear" w:color="auto" w:fill="FFFFFF"/>
          <w:lang w:val="fr-FR"/>
        </w:rPr>
        <w:t xml:space="preserve"> être exempté </w:t>
      </w:r>
      <w:r w:rsidR="00C10765" w:rsidRPr="00953692">
        <w:rPr>
          <w:rFonts w:eastAsia="Times New Roman" w:cs="Times New Roman"/>
          <w:sz w:val="24"/>
          <w:szCs w:val="24"/>
          <w:shd w:val="clear" w:color="auto" w:fill="FFFFFF"/>
          <w:lang w:val="fr-FR"/>
        </w:rPr>
        <w:t xml:space="preserve">totalement </w:t>
      </w:r>
      <w:r w:rsidR="000B04A9" w:rsidRPr="00953692">
        <w:rPr>
          <w:rFonts w:eastAsia="Times New Roman" w:cs="Times New Roman"/>
          <w:sz w:val="24"/>
          <w:szCs w:val="24"/>
          <w:shd w:val="clear" w:color="auto" w:fill="FFFFFF"/>
          <w:lang w:val="fr-FR"/>
        </w:rPr>
        <w:t xml:space="preserve">de son exécution ou bénéficier d’une atténuation sensible de la peine. </w:t>
      </w:r>
      <w:r w:rsidR="00E24D8D" w:rsidRPr="00953692">
        <w:rPr>
          <w:rFonts w:eastAsia="Times New Roman" w:cs="Times New Roman"/>
          <w:sz w:val="24"/>
          <w:szCs w:val="24"/>
          <w:shd w:val="clear" w:color="auto" w:fill="FFFFFF"/>
          <w:lang w:val="fr-FR"/>
        </w:rPr>
        <w:t>En analysant cette prétention, l</w:t>
      </w:r>
      <w:r w:rsidR="00866C64" w:rsidRPr="00953692">
        <w:rPr>
          <w:rFonts w:eastAsia="Times New Roman" w:cs="Times New Roman"/>
          <w:sz w:val="24"/>
          <w:szCs w:val="24"/>
          <w:shd w:val="clear" w:color="auto" w:fill="FFFFFF"/>
          <w:lang w:val="fr-FR"/>
        </w:rPr>
        <w:t>a Chambre d’appel</w:t>
      </w:r>
      <w:r w:rsidR="007D73EC" w:rsidRPr="00953692">
        <w:rPr>
          <w:rFonts w:eastAsia="Times New Roman" w:cs="Times New Roman"/>
          <w:sz w:val="24"/>
          <w:szCs w:val="24"/>
          <w:shd w:val="clear" w:color="auto" w:fill="FFFFFF"/>
          <w:lang w:val="fr-FR"/>
        </w:rPr>
        <w:t xml:space="preserve"> </w:t>
      </w:r>
      <w:r w:rsidR="00E24D8D" w:rsidRPr="00953692">
        <w:rPr>
          <w:rFonts w:eastAsia="Times New Roman" w:cs="Times New Roman"/>
          <w:sz w:val="24"/>
          <w:szCs w:val="24"/>
          <w:shd w:val="clear" w:color="auto" w:fill="FFFFFF"/>
          <w:lang w:val="fr-FR"/>
        </w:rPr>
        <w:t>est parvenue à la conclusion selon laquelle</w:t>
      </w:r>
      <w:r w:rsidR="00E214C4" w:rsidRPr="00953692">
        <w:rPr>
          <w:rFonts w:eastAsia="Times New Roman" w:cs="Times New Roman"/>
          <w:sz w:val="24"/>
          <w:szCs w:val="24"/>
          <w:shd w:val="clear" w:color="auto" w:fill="FFFFFF"/>
          <w:lang w:val="fr-FR"/>
        </w:rPr>
        <w:t>,</w:t>
      </w:r>
      <w:r w:rsidR="007D73EC" w:rsidRPr="00953692">
        <w:rPr>
          <w:rFonts w:eastAsia="Times New Roman" w:cs="Times New Roman"/>
          <w:sz w:val="24"/>
          <w:szCs w:val="24"/>
          <w:shd w:val="clear" w:color="auto" w:fill="FFFFFF"/>
          <w:lang w:val="fr-FR"/>
        </w:rPr>
        <w:t xml:space="preserve"> l’accusé n’avait pas plaidé coupable consciencieusement, et qu’il fallait le renvoyer devant la </w:t>
      </w:r>
      <w:r w:rsidR="00C10765" w:rsidRPr="00953692">
        <w:rPr>
          <w:rFonts w:eastAsia="Times New Roman" w:cs="Times New Roman"/>
          <w:sz w:val="24"/>
          <w:szCs w:val="24"/>
          <w:shd w:val="clear" w:color="auto" w:fill="FFFFFF"/>
          <w:lang w:val="fr-FR"/>
        </w:rPr>
        <w:t>C</w:t>
      </w:r>
      <w:r w:rsidR="007D73EC" w:rsidRPr="00953692">
        <w:rPr>
          <w:rFonts w:eastAsia="Times New Roman" w:cs="Times New Roman"/>
          <w:sz w:val="24"/>
          <w:szCs w:val="24"/>
          <w:shd w:val="clear" w:color="auto" w:fill="FFFFFF"/>
          <w:lang w:val="fr-FR"/>
        </w:rPr>
        <w:t>hambre de première instance pour plaider à nouveau</w:t>
      </w:r>
      <w:r w:rsidR="008D4A58" w:rsidRPr="00953692">
        <w:rPr>
          <w:rStyle w:val="Appelnotedebasdep"/>
          <w:rFonts w:eastAsia="Times New Roman" w:cs="Times New Roman"/>
          <w:sz w:val="24"/>
          <w:szCs w:val="24"/>
          <w:shd w:val="clear" w:color="auto" w:fill="FFFFFF"/>
          <w:lang w:val="fr-FR"/>
        </w:rPr>
        <w:footnoteReference w:customMarkFollows="1" w:id="179"/>
        <w:t>158</w:t>
      </w:r>
      <w:r w:rsidR="007D73EC" w:rsidRPr="00953692">
        <w:rPr>
          <w:rFonts w:eastAsia="Times New Roman" w:cs="Times New Roman"/>
          <w:sz w:val="24"/>
          <w:szCs w:val="24"/>
          <w:shd w:val="clear" w:color="auto" w:fill="FFFFFF"/>
          <w:lang w:val="fr-FR"/>
        </w:rPr>
        <w:t>.</w:t>
      </w:r>
    </w:p>
    <w:p w14:paraId="65C8E20D" w14:textId="1AE56CCF" w:rsidR="00C10765" w:rsidRPr="00953692" w:rsidRDefault="008A4FE5" w:rsidP="00864BBF">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237</w:t>
      </w:r>
      <w:r w:rsidR="00EA0CDD" w:rsidRPr="00953692">
        <w:rPr>
          <w:rFonts w:eastAsia="Times New Roman" w:cs="Times New Roman"/>
          <w:b/>
          <w:bCs/>
          <w:sz w:val="24"/>
          <w:szCs w:val="24"/>
          <w:shd w:val="clear" w:color="auto" w:fill="FFFFFF"/>
          <w:lang w:val="fr-FR"/>
        </w:rPr>
        <w:t>.</w:t>
      </w:r>
      <w:r w:rsidR="00EA0CDD" w:rsidRPr="00953692">
        <w:rPr>
          <w:rFonts w:eastAsia="Times New Roman" w:cs="Times New Roman"/>
          <w:sz w:val="24"/>
          <w:szCs w:val="24"/>
          <w:shd w:val="clear" w:color="auto" w:fill="FFFFFF"/>
          <w:lang w:val="fr-FR"/>
        </w:rPr>
        <w:t xml:space="preserve"> </w:t>
      </w:r>
      <w:r w:rsidR="00C10765" w:rsidRPr="00953692">
        <w:rPr>
          <w:rFonts w:eastAsia="Times New Roman" w:cs="Times New Roman"/>
          <w:sz w:val="24"/>
          <w:szCs w:val="24"/>
          <w:shd w:val="clear" w:color="auto" w:fill="FFFFFF"/>
          <w:lang w:val="fr-FR"/>
        </w:rPr>
        <w:t>Lors de l’audience du 14 janvier 1998</w:t>
      </w:r>
      <w:r w:rsidR="00E20BBE" w:rsidRPr="00953692">
        <w:rPr>
          <w:rFonts w:eastAsia="Times New Roman" w:cs="Times New Roman"/>
          <w:sz w:val="24"/>
          <w:szCs w:val="24"/>
          <w:shd w:val="clear" w:color="auto" w:fill="FFFFFF"/>
          <w:lang w:val="fr-FR"/>
        </w:rPr>
        <w:t>,</w:t>
      </w:r>
      <w:r w:rsidR="00C10765" w:rsidRPr="00953692">
        <w:rPr>
          <w:rFonts w:eastAsia="Times New Roman" w:cs="Times New Roman"/>
          <w:sz w:val="24"/>
          <w:szCs w:val="24"/>
          <w:shd w:val="clear" w:color="auto" w:fill="FFFFFF"/>
          <w:lang w:val="fr-FR"/>
        </w:rPr>
        <w:t xml:space="preserve"> consacrée au plaidoyer de l’accusé, après </w:t>
      </w:r>
      <w:r w:rsidR="00E23CE9" w:rsidRPr="00953692">
        <w:rPr>
          <w:rFonts w:eastAsia="Times New Roman" w:cs="Times New Roman"/>
          <w:sz w:val="24"/>
          <w:szCs w:val="24"/>
          <w:shd w:val="clear" w:color="auto" w:fill="FFFFFF"/>
          <w:lang w:val="fr-FR"/>
        </w:rPr>
        <w:t>que</w:t>
      </w:r>
      <w:r w:rsidR="00C10765" w:rsidRPr="00953692">
        <w:rPr>
          <w:rFonts w:eastAsia="Times New Roman" w:cs="Times New Roman"/>
          <w:sz w:val="24"/>
          <w:szCs w:val="24"/>
          <w:shd w:val="clear" w:color="auto" w:fill="FFFFFF"/>
          <w:lang w:val="fr-FR"/>
        </w:rPr>
        <w:t xml:space="preserve"> la Chambre de première instance </w:t>
      </w:r>
      <w:r w:rsidR="00E23CE9" w:rsidRPr="00953692">
        <w:rPr>
          <w:rFonts w:eastAsia="Times New Roman" w:cs="Times New Roman"/>
          <w:sz w:val="24"/>
          <w:szCs w:val="24"/>
          <w:shd w:val="clear" w:color="auto" w:fill="FFFFFF"/>
          <w:lang w:val="fr-FR"/>
        </w:rPr>
        <w:t xml:space="preserve">lui a expliqué </w:t>
      </w:r>
      <w:r w:rsidR="00C10765" w:rsidRPr="00953692">
        <w:rPr>
          <w:rFonts w:eastAsia="Times New Roman" w:cs="Times New Roman"/>
          <w:sz w:val="24"/>
          <w:szCs w:val="24"/>
          <w:shd w:val="clear" w:color="auto" w:fill="FFFFFF"/>
          <w:lang w:val="fr-FR"/>
        </w:rPr>
        <w:t xml:space="preserve">les chefs d’accusations, l’arrêt de la Chambre d’appel et lui </w:t>
      </w:r>
      <w:r w:rsidR="00E23CE9" w:rsidRPr="00953692">
        <w:rPr>
          <w:rFonts w:eastAsia="Times New Roman" w:cs="Times New Roman"/>
          <w:sz w:val="24"/>
          <w:szCs w:val="24"/>
          <w:shd w:val="clear" w:color="auto" w:fill="FFFFFF"/>
          <w:lang w:val="fr-FR"/>
        </w:rPr>
        <w:t>a</w:t>
      </w:r>
      <w:r w:rsidR="00C10765" w:rsidRPr="00953692">
        <w:rPr>
          <w:rFonts w:eastAsia="Times New Roman" w:cs="Times New Roman"/>
          <w:sz w:val="24"/>
          <w:szCs w:val="24"/>
          <w:shd w:val="clear" w:color="auto" w:fill="FFFFFF"/>
          <w:lang w:val="fr-FR"/>
        </w:rPr>
        <w:t xml:space="preserve"> rappelé les options qui s’ouvraient à lui, l’accusé </w:t>
      </w:r>
      <w:r w:rsidR="00E23CE9" w:rsidRPr="00953692">
        <w:rPr>
          <w:rFonts w:eastAsia="Times New Roman" w:cs="Times New Roman"/>
          <w:sz w:val="24"/>
          <w:szCs w:val="24"/>
          <w:shd w:val="clear" w:color="auto" w:fill="FFFFFF"/>
          <w:lang w:val="fr-FR"/>
        </w:rPr>
        <w:t xml:space="preserve">a </w:t>
      </w:r>
      <w:r w:rsidR="00C10765" w:rsidRPr="00953692">
        <w:rPr>
          <w:rFonts w:eastAsia="Times New Roman" w:cs="Times New Roman"/>
          <w:sz w:val="24"/>
          <w:szCs w:val="24"/>
          <w:shd w:val="clear" w:color="auto" w:fill="FFFFFF"/>
          <w:lang w:val="fr-FR"/>
        </w:rPr>
        <w:t>déclar</w:t>
      </w:r>
      <w:r w:rsidR="00E23CE9" w:rsidRPr="00953692">
        <w:rPr>
          <w:rFonts w:eastAsia="Times New Roman" w:cs="Times New Roman"/>
          <w:sz w:val="24"/>
          <w:szCs w:val="24"/>
          <w:shd w:val="clear" w:color="auto" w:fill="FFFFFF"/>
          <w:lang w:val="fr-FR"/>
        </w:rPr>
        <w:t>é</w:t>
      </w:r>
      <w:r w:rsidR="00C10765" w:rsidRPr="00953692">
        <w:rPr>
          <w:rFonts w:eastAsia="Times New Roman" w:cs="Times New Roman"/>
          <w:sz w:val="24"/>
          <w:szCs w:val="24"/>
          <w:shd w:val="clear" w:color="auto" w:fill="FFFFFF"/>
          <w:lang w:val="fr-FR"/>
        </w:rPr>
        <w:t xml:space="preserve"> comprendre les accusations portées contre lui et les conséquences qui découl</w:t>
      </w:r>
      <w:r w:rsidR="00E24D8D" w:rsidRPr="00953692">
        <w:rPr>
          <w:rFonts w:eastAsia="Times New Roman" w:cs="Times New Roman"/>
          <w:sz w:val="24"/>
          <w:szCs w:val="24"/>
          <w:shd w:val="clear" w:color="auto" w:fill="FFFFFF"/>
          <w:lang w:val="fr-FR"/>
        </w:rPr>
        <w:t>er</w:t>
      </w:r>
      <w:r w:rsidR="00C10765" w:rsidRPr="00953692">
        <w:rPr>
          <w:rFonts w:eastAsia="Times New Roman" w:cs="Times New Roman"/>
          <w:sz w:val="24"/>
          <w:szCs w:val="24"/>
          <w:shd w:val="clear" w:color="auto" w:fill="FFFFFF"/>
          <w:lang w:val="fr-FR"/>
        </w:rPr>
        <w:t xml:space="preserve">aient de chacun des plaidoyers possibles. </w:t>
      </w:r>
      <w:r w:rsidR="00F23E62" w:rsidRPr="00953692">
        <w:rPr>
          <w:rStyle w:val="grammar"/>
          <w:rFonts w:cs="Times New Roman"/>
          <w:sz w:val="24"/>
          <w:szCs w:val="24"/>
          <w:lang w:val="fr-FR"/>
        </w:rPr>
        <w:t>À</w:t>
      </w:r>
      <w:r w:rsidR="00F23E62" w:rsidRPr="00953692">
        <w:rPr>
          <w:rFonts w:cs="Times New Roman"/>
          <w:sz w:val="24"/>
          <w:szCs w:val="24"/>
          <w:shd w:val="clear" w:color="auto" w:fill="FFFFFF"/>
          <w:lang w:val="fr-FR"/>
        </w:rPr>
        <w:t xml:space="preserve"> cet effet</w:t>
      </w:r>
      <w:r w:rsidR="00C10765" w:rsidRPr="00953692">
        <w:rPr>
          <w:rFonts w:eastAsia="Times New Roman" w:cs="Times New Roman"/>
          <w:sz w:val="24"/>
          <w:szCs w:val="24"/>
          <w:shd w:val="clear" w:color="auto" w:fill="FFFFFF"/>
          <w:lang w:val="fr-FR"/>
        </w:rPr>
        <w:t>, il a plaidé à nouveau coupable du chef de crime de guerre</w:t>
      </w:r>
      <w:r w:rsidR="0003273C" w:rsidRPr="00953692">
        <w:rPr>
          <w:rFonts w:eastAsia="Times New Roman" w:cs="Times New Roman"/>
          <w:sz w:val="24"/>
          <w:szCs w:val="24"/>
          <w:shd w:val="clear" w:color="auto" w:fill="FFFFFF"/>
          <w:lang w:val="fr-FR"/>
        </w:rPr>
        <w:t>, et a été condamné à une peine d’emprisonnement de cinq ans le 5 mars 1998</w:t>
      </w:r>
      <w:r w:rsidR="008D4A58" w:rsidRPr="00953692">
        <w:rPr>
          <w:rStyle w:val="Appelnotedebasdep"/>
          <w:rFonts w:eastAsia="Times New Roman" w:cs="Times New Roman"/>
          <w:sz w:val="24"/>
          <w:szCs w:val="24"/>
          <w:shd w:val="clear" w:color="auto" w:fill="FFFFFF"/>
          <w:lang w:val="fr-FR"/>
        </w:rPr>
        <w:footnoteReference w:customMarkFollows="1" w:id="180"/>
        <w:t>159</w:t>
      </w:r>
      <w:r w:rsidR="0003273C" w:rsidRPr="00953692">
        <w:rPr>
          <w:rFonts w:eastAsia="Times New Roman" w:cs="Times New Roman"/>
          <w:sz w:val="24"/>
          <w:szCs w:val="24"/>
          <w:shd w:val="clear" w:color="auto" w:fill="FFFFFF"/>
          <w:lang w:val="fr-FR"/>
        </w:rPr>
        <w:t xml:space="preserve">. </w:t>
      </w:r>
      <w:r w:rsidR="009D54D2" w:rsidRPr="00953692">
        <w:rPr>
          <w:rFonts w:eastAsia="Times New Roman" w:cs="Times New Roman"/>
          <w:sz w:val="24"/>
          <w:szCs w:val="24"/>
          <w:shd w:val="clear" w:color="auto" w:fill="FFFFFF"/>
          <w:lang w:val="fr-FR"/>
        </w:rPr>
        <w:t>Il faut reconnaitre que</w:t>
      </w:r>
      <w:r w:rsidR="00E23CE9" w:rsidRPr="00953692">
        <w:rPr>
          <w:rFonts w:eastAsia="Times New Roman" w:cs="Times New Roman"/>
          <w:sz w:val="24"/>
          <w:szCs w:val="24"/>
          <w:shd w:val="clear" w:color="auto" w:fill="FFFFFF"/>
          <w:lang w:val="fr-FR"/>
        </w:rPr>
        <w:t>,</w:t>
      </w:r>
      <w:r w:rsidR="009D54D2" w:rsidRPr="00953692">
        <w:rPr>
          <w:rFonts w:eastAsia="Times New Roman" w:cs="Times New Roman"/>
          <w:sz w:val="24"/>
          <w:szCs w:val="24"/>
          <w:shd w:val="clear" w:color="auto" w:fill="FFFFFF"/>
          <w:lang w:val="fr-FR"/>
        </w:rPr>
        <w:t xml:space="preserve"> malgré l’appel</w:t>
      </w:r>
      <w:r w:rsidR="00E23CE9" w:rsidRPr="00953692">
        <w:rPr>
          <w:rFonts w:eastAsia="Times New Roman" w:cs="Times New Roman"/>
          <w:sz w:val="24"/>
          <w:szCs w:val="24"/>
          <w:shd w:val="clear" w:color="auto" w:fill="FFFFFF"/>
          <w:lang w:val="fr-FR"/>
        </w:rPr>
        <w:t xml:space="preserve"> et le renvoi de l’affaire en première instance dus</w:t>
      </w:r>
      <w:r w:rsidR="009D54D2" w:rsidRPr="00953692">
        <w:rPr>
          <w:rFonts w:eastAsia="Times New Roman" w:cs="Times New Roman"/>
          <w:sz w:val="24"/>
          <w:szCs w:val="24"/>
          <w:shd w:val="clear" w:color="auto" w:fill="FFFFFF"/>
          <w:lang w:val="fr-FR"/>
        </w:rPr>
        <w:t xml:space="preserve"> </w:t>
      </w:r>
      <w:r w:rsidR="00E24D8D" w:rsidRPr="00953692">
        <w:rPr>
          <w:rFonts w:eastAsia="Times New Roman" w:cs="Times New Roman"/>
          <w:sz w:val="24"/>
          <w:szCs w:val="24"/>
          <w:shd w:val="clear" w:color="auto" w:fill="FFFFFF"/>
          <w:lang w:val="fr-FR"/>
        </w:rPr>
        <w:t>aux</w:t>
      </w:r>
      <w:r w:rsidR="009D54D2" w:rsidRPr="00953692">
        <w:rPr>
          <w:rFonts w:eastAsia="Times New Roman" w:cs="Times New Roman"/>
          <w:sz w:val="24"/>
          <w:szCs w:val="24"/>
          <w:shd w:val="clear" w:color="auto" w:fill="FFFFFF"/>
          <w:lang w:val="fr-FR"/>
        </w:rPr>
        <w:t xml:space="preserve"> réclamations de l’accusé, la question de la rapidité </w:t>
      </w:r>
      <w:r w:rsidR="009D54D2" w:rsidRPr="00953692">
        <w:rPr>
          <w:rFonts w:eastAsia="Times New Roman" w:cs="Times New Roman"/>
          <w:sz w:val="24"/>
          <w:szCs w:val="24"/>
          <w:shd w:val="clear" w:color="auto" w:fill="FFFFFF"/>
          <w:lang w:val="fr-FR"/>
        </w:rPr>
        <w:lastRenderedPageBreak/>
        <w:t xml:space="preserve">de la procédure qu’imprime le plaidoyer de culpabilité n’a </w:t>
      </w:r>
      <w:r w:rsidR="00FA6142" w:rsidRPr="00953692">
        <w:rPr>
          <w:rFonts w:eastAsia="Times New Roman" w:cs="Times New Roman"/>
          <w:sz w:val="24"/>
          <w:szCs w:val="24"/>
          <w:shd w:val="clear" w:color="auto" w:fill="FFFFFF"/>
          <w:lang w:val="fr-FR"/>
        </w:rPr>
        <w:t>guère</w:t>
      </w:r>
      <w:r w:rsidR="009D54D2" w:rsidRPr="00953692">
        <w:rPr>
          <w:rFonts w:eastAsia="Times New Roman" w:cs="Times New Roman"/>
          <w:sz w:val="24"/>
          <w:szCs w:val="24"/>
          <w:shd w:val="clear" w:color="auto" w:fill="FFFFFF"/>
          <w:lang w:val="fr-FR"/>
        </w:rPr>
        <w:t xml:space="preserve"> été </w:t>
      </w:r>
      <w:r w:rsidR="00385FDD" w:rsidRPr="00953692">
        <w:rPr>
          <w:rFonts w:eastAsia="Times New Roman" w:cs="Times New Roman"/>
          <w:sz w:val="24"/>
          <w:szCs w:val="24"/>
          <w:shd w:val="clear" w:color="auto" w:fill="FFFFFF"/>
          <w:lang w:val="fr-FR"/>
        </w:rPr>
        <w:t>entamée</w:t>
      </w:r>
      <w:r w:rsidR="00FA6142" w:rsidRPr="00953692">
        <w:rPr>
          <w:rFonts w:eastAsia="Times New Roman" w:cs="Times New Roman"/>
          <w:sz w:val="24"/>
          <w:szCs w:val="24"/>
          <w:shd w:val="clear" w:color="auto" w:fill="FFFFFF"/>
          <w:lang w:val="fr-FR"/>
        </w:rPr>
        <w:t>.</w:t>
      </w:r>
      <w:r w:rsidR="00E24D8D" w:rsidRPr="00953692">
        <w:rPr>
          <w:rFonts w:eastAsia="Times New Roman" w:cs="Times New Roman"/>
          <w:sz w:val="24"/>
          <w:szCs w:val="24"/>
          <w:shd w:val="clear" w:color="auto" w:fill="FFFFFF"/>
          <w:lang w:val="fr-FR"/>
        </w:rPr>
        <w:t xml:space="preserve"> Un mécanisme censé être plus long ou lourd (jugement, appel, renvoi à la chambre de première instance pour un nouveau jugement) n’en a pas été par le seul fait d’une absence de contradiction au fond entre la Défense et l’accusation.</w:t>
      </w:r>
    </w:p>
    <w:p w14:paraId="5188E7E1" w14:textId="4B28C12C" w:rsidR="00FA6142" w:rsidRPr="00953692" w:rsidRDefault="008A4FE5" w:rsidP="00864BBF">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238</w:t>
      </w:r>
      <w:r w:rsidR="00B71706" w:rsidRPr="00953692">
        <w:rPr>
          <w:rFonts w:eastAsia="Times New Roman" w:cs="Times New Roman"/>
          <w:b/>
          <w:bCs/>
          <w:sz w:val="24"/>
          <w:szCs w:val="24"/>
          <w:shd w:val="clear" w:color="auto" w:fill="FFFFFF"/>
          <w:lang w:val="fr-FR"/>
        </w:rPr>
        <w:t>.</w:t>
      </w:r>
      <w:r w:rsidR="00B71706" w:rsidRPr="00953692">
        <w:rPr>
          <w:rFonts w:eastAsia="Times New Roman" w:cs="Times New Roman"/>
          <w:sz w:val="24"/>
          <w:szCs w:val="24"/>
          <w:shd w:val="clear" w:color="auto" w:fill="FFFFFF"/>
          <w:lang w:val="fr-FR"/>
        </w:rPr>
        <w:t xml:space="preserve"> </w:t>
      </w:r>
      <w:r w:rsidR="00FA6142" w:rsidRPr="00953692">
        <w:rPr>
          <w:rFonts w:eastAsia="Times New Roman" w:cs="Times New Roman"/>
          <w:sz w:val="24"/>
          <w:szCs w:val="24"/>
          <w:shd w:val="clear" w:color="auto" w:fill="FFFFFF"/>
          <w:lang w:val="fr-FR"/>
        </w:rPr>
        <w:t xml:space="preserve">On </w:t>
      </w:r>
      <w:r w:rsidR="004969D1" w:rsidRPr="00953692">
        <w:rPr>
          <w:rFonts w:eastAsia="Times New Roman" w:cs="Times New Roman"/>
          <w:sz w:val="24"/>
          <w:szCs w:val="24"/>
          <w:shd w:val="clear" w:color="auto" w:fill="FFFFFF"/>
          <w:lang w:val="fr-FR"/>
        </w:rPr>
        <w:t>retrouve</w:t>
      </w:r>
      <w:r w:rsidR="00FA6142" w:rsidRPr="00953692">
        <w:rPr>
          <w:rFonts w:eastAsia="Times New Roman" w:cs="Times New Roman"/>
          <w:sz w:val="24"/>
          <w:szCs w:val="24"/>
          <w:shd w:val="clear" w:color="auto" w:fill="FFFFFF"/>
          <w:lang w:val="fr-FR"/>
        </w:rPr>
        <w:t xml:space="preserve"> la même rapidité, beaucoup plus d’ailleurs, avec l’affaire Kambanda devant la Chambre de première instance du TPIR</w:t>
      </w:r>
      <w:r w:rsidR="00B91672" w:rsidRPr="00953692">
        <w:rPr>
          <w:rStyle w:val="Appelnotedebasdep"/>
          <w:rFonts w:eastAsia="Times New Roman" w:cs="Times New Roman"/>
          <w:sz w:val="24"/>
          <w:szCs w:val="24"/>
          <w:shd w:val="clear" w:color="auto" w:fill="FFFFFF"/>
          <w:lang w:val="fr-FR"/>
        </w:rPr>
        <w:footnoteReference w:customMarkFollows="1" w:id="181"/>
        <w:t>160</w:t>
      </w:r>
      <w:r w:rsidR="00207D7A" w:rsidRPr="00953692">
        <w:rPr>
          <w:rFonts w:eastAsia="Times New Roman" w:cs="Times New Roman"/>
          <w:sz w:val="24"/>
          <w:szCs w:val="24"/>
          <w:shd w:val="clear" w:color="auto" w:fill="FFFFFF"/>
          <w:lang w:val="fr-FR"/>
        </w:rPr>
        <w:t xml:space="preserve">. Dans cette affaire, </w:t>
      </w:r>
      <w:r w:rsidR="00BA5A1D" w:rsidRPr="00953692">
        <w:rPr>
          <w:rFonts w:eastAsia="Times New Roman" w:cs="Times New Roman"/>
          <w:sz w:val="24"/>
          <w:szCs w:val="24"/>
          <w:shd w:val="clear" w:color="auto" w:fill="FFFFFF"/>
          <w:lang w:val="fr-FR"/>
        </w:rPr>
        <w:t>l’accusé comparait initialement le 1</w:t>
      </w:r>
      <w:r w:rsidR="00BA5A1D" w:rsidRPr="00953692">
        <w:rPr>
          <w:rFonts w:eastAsia="Times New Roman" w:cs="Times New Roman"/>
          <w:sz w:val="24"/>
          <w:szCs w:val="24"/>
          <w:shd w:val="clear" w:color="auto" w:fill="FFFFFF"/>
          <w:vertAlign w:val="superscript"/>
          <w:lang w:val="fr-FR"/>
        </w:rPr>
        <w:t>er</w:t>
      </w:r>
      <w:r w:rsidR="00BA5A1D" w:rsidRPr="00953692">
        <w:rPr>
          <w:rFonts w:eastAsia="Times New Roman" w:cs="Times New Roman"/>
          <w:sz w:val="24"/>
          <w:szCs w:val="24"/>
          <w:shd w:val="clear" w:color="auto" w:fill="FFFFFF"/>
          <w:lang w:val="fr-FR"/>
        </w:rPr>
        <w:t xml:space="preserve"> mai 1998 plaide coupable de tous les chefs d’accusation contenus dans l’acte d’accusation qui avait été confirmé le 16 octobre 1997. Au cours de cette comparution, la Chambre a déclaré l’accusé coupable et le prononcé du jugement est intervenu quelques mois plus tard, soit le 4 septembre 1998. </w:t>
      </w:r>
      <w:r w:rsidR="00244CA3" w:rsidRPr="00953692">
        <w:rPr>
          <w:rFonts w:eastAsia="Times New Roman" w:cs="Times New Roman"/>
          <w:sz w:val="24"/>
          <w:szCs w:val="24"/>
          <w:shd w:val="clear" w:color="auto" w:fill="FFFFFF"/>
          <w:lang w:val="fr-FR"/>
        </w:rPr>
        <w:t>Il y a aussi l’affaire GAA devant la Chambre de première instance III du TPIR, dans laquelle l’accusé</w:t>
      </w:r>
      <w:r w:rsidR="00E24D8D" w:rsidRPr="00953692">
        <w:rPr>
          <w:rFonts w:eastAsia="Times New Roman" w:cs="Times New Roman"/>
          <w:sz w:val="24"/>
          <w:szCs w:val="24"/>
          <w:shd w:val="clear" w:color="auto" w:fill="FFFFFF"/>
          <w:lang w:val="fr-FR"/>
        </w:rPr>
        <w:t>,</w:t>
      </w:r>
      <w:r w:rsidR="00244CA3" w:rsidRPr="00953692">
        <w:rPr>
          <w:rFonts w:eastAsia="Times New Roman" w:cs="Times New Roman"/>
          <w:sz w:val="24"/>
          <w:szCs w:val="24"/>
          <w:shd w:val="clear" w:color="auto" w:fill="FFFFFF"/>
          <w:lang w:val="fr-FR"/>
        </w:rPr>
        <w:t xml:space="preserve"> transféré le 1</w:t>
      </w:r>
      <w:r w:rsidR="00244CA3" w:rsidRPr="00953692">
        <w:rPr>
          <w:rFonts w:eastAsia="Times New Roman" w:cs="Times New Roman"/>
          <w:sz w:val="24"/>
          <w:szCs w:val="24"/>
          <w:shd w:val="clear" w:color="auto" w:fill="FFFFFF"/>
          <w:vertAlign w:val="superscript"/>
          <w:lang w:val="fr-FR"/>
        </w:rPr>
        <w:t>er</w:t>
      </w:r>
      <w:r w:rsidR="00244CA3" w:rsidRPr="00953692">
        <w:rPr>
          <w:rFonts w:eastAsia="Times New Roman" w:cs="Times New Roman"/>
          <w:sz w:val="24"/>
          <w:szCs w:val="24"/>
          <w:shd w:val="clear" w:color="auto" w:fill="FFFFFF"/>
          <w:lang w:val="fr-FR"/>
        </w:rPr>
        <w:t xml:space="preserve"> aout </w:t>
      </w:r>
      <w:r w:rsidR="00B71706" w:rsidRPr="00953692">
        <w:rPr>
          <w:rFonts w:eastAsia="Times New Roman" w:cs="Times New Roman"/>
          <w:sz w:val="24"/>
          <w:szCs w:val="24"/>
          <w:shd w:val="clear" w:color="auto" w:fill="FFFFFF"/>
          <w:lang w:val="fr-FR"/>
        </w:rPr>
        <w:t xml:space="preserve">2007 </w:t>
      </w:r>
      <w:r w:rsidR="00244CA3" w:rsidRPr="00953692">
        <w:rPr>
          <w:rFonts w:eastAsia="Times New Roman" w:cs="Times New Roman"/>
          <w:sz w:val="24"/>
          <w:szCs w:val="24"/>
          <w:shd w:val="clear" w:color="auto" w:fill="FFFFFF"/>
          <w:lang w:val="fr-FR"/>
        </w:rPr>
        <w:t>au siège du tribunal</w:t>
      </w:r>
      <w:r w:rsidR="00E24D8D" w:rsidRPr="00953692">
        <w:rPr>
          <w:rFonts w:eastAsia="Times New Roman" w:cs="Times New Roman"/>
          <w:sz w:val="24"/>
          <w:szCs w:val="24"/>
          <w:shd w:val="clear" w:color="auto" w:fill="FFFFFF"/>
          <w:lang w:val="fr-FR"/>
        </w:rPr>
        <w:t>,</w:t>
      </w:r>
      <w:r w:rsidR="00244CA3" w:rsidRPr="00953692">
        <w:rPr>
          <w:rFonts w:eastAsia="Times New Roman" w:cs="Times New Roman"/>
          <w:sz w:val="24"/>
          <w:szCs w:val="24"/>
          <w:shd w:val="clear" w:color="auto" w:fill="FFFFFF"/>
          <w:lang w:val="fr-FR"/>
        </w:rPr>
        <w:t xml:space="preserve"> a comparu initialement le 10 aout</w:t>
      </w:r>
      <w:r w:rsidR="00E24D8D" w:rsidRPr="00953692">
        <w:rPr>
          <w:rFonts w:eastAsia="Times New Roman" w:cs="Times New Roman"/>
          <w:sz w:val="24"/>
          <w:szCs w:val="24"/>
          <w:shd w:val="clear" w:color="auto" w:fill="FFFFFF"/>
          <w:lang w:val="fr-FR"/>
        </w:rPr>
        <w:t xml:space="preserve"> de la même année,</w:t>
      </w:r>
      <w:r w:rsidR="00244CA3" w:rsidRPr="00953692">
        <w:rPr>
          <w:rFonts w:eastAsia="Times New Roman" w:cs="Times New Roman"/>
          <w:sz w:val="24"/>
          <w:szCs w:val="24"/>
          <w:shd w:val="clear" w:color="auto" w:fill="FFFFFF"/>
          <w:lang w:val="fr-FR"/>
        </w:rPr>
        <w:t xml:space="preserve"> et a</w:t>
      </w:r>
      <w:r w:rsidR="00E24D8D" w:rsidRPr="00953692">
        <w:rPr>
          <w:rFonts w:eastAsia="Times New Roman" w:cs="Times New Roman"/>
          <w:sz w:val="24"/>
          <w:szCs w:val="24"/>
          <w:shd w:val="clear" w:color="auto" w:fill="FFFFFF"/>
          <w:lang w:val="fr-FR"/>
        </w:rPr>
        <w:t>yant</w:t>
      </w:r>
      <w:r w:rsidR="00244CA3" w:rsidRPr="00953692">
        <w:rPr>
          <w:rFonts w:eastAsia="Times New Roman" w:cs="Times New Roman"/>
          <w:sz w:val="24"/>
          <w:szCs w:val="24"/>
          <w:shd w:val="clear" w:color="auto" w:fill="FFFFFF"/>
          <w:lang w:val="fr-FR"/>
        </w:rPr>
        <w:t xml:space="preserve"> plaidé coupable d’un chef d’accusation et en a rejeté cinq autres. Il a suffi de quelques négociations avec l’</w:t>
      </w:r>
      <w:r w:rsidR="00824FDD" w:rsidRPr="00953692">
        <w:rPr>
          <w:rFonts w:eastAsia="Times New Roman" w:cs="Times New Roman"/>
          <w:sz w:val="24"/>
          <w:szCs w:val="24"/>
          <w:shd w:val="clear" w:color="auto" w:fill="FFFFFF"/>
          <w:lang w:val="fr-FR"/>
        </w:rPr>
        <w:t>A</w:t>
      </w:r>
      <w:r w:rsidR="00244CA3" w:rsidRPr="00953692">
        <w:rPr>
          <w:rFonts w:eastAsia="Times New Roman" w:cs="Times New Roman"/>
          <w:sz w:val="24"/>
          <w:szCs w:val="24"/>
          <w:shd w:val="clear" w:color="auto" w:fill="FFFFFF"/>
          <w:lang w:val="fr-FR"/>
        </w:rPr>
        <w:t>ccusation pour que l’accusé reconnaisse deux chefs d’accusation, à savoir l’outrage au tribunal et faux témoignage sous la déclaration solennelle, faits pour lesquels il a été reconnu coupable assez rapidement le 4 décembre 2007</w:t>
      </w:r>
      <w:r w:rsidR="00E24D8D" w:rsidRPr="00953692">
        <w:rPr>
          <w:rFonts w:eastAsia="Times New Roman" w:cs="Times New Roman"/>
          <w:sz w:val="24"/>
          <w:szCs w:val="24"/>
          <w:shd w:val="clear" w:color="auto" w:fill="FFFFFF"/>
          <w:lang w:val="fr-FR"/>
        </w:rPr>
        <w:t>, par la Chambre de première instance</w:t>
      </w:r>
      <w:r w:rsidR="00B91672" w:rsidRPr="00953692">
        <w:rPr>
          <w:rStyle w:val="Appelnotedebasdep"/>
          <w:rFonts w:eastAsia="Times New Roman" w:cs="Times New Roman"/>
          <w:sz w:val="24"/>
          <w:szCs w:val="24"/>
          <w:shd w:val="clear" w:color="auto" w:fill="FFFFFF"/>
          <w:lang w:val="fr-FR"/>
        </w:rPr>
        <w:footnoteReference w:customMarkFollows="1" w:id="182"/>
        <w:t>161</w:t>
      </w:r>
      <w:r w:rsidR="00244CA3" w:rsidRPr="00953692">
        <w:rPr>
          <w:rFonts w:eastAsia="Times New Roman" w:cs="Times New Roman"/>
          <w:sz w:val="24"/>
          <w:szCs w:val="24"/>
          <w:shd w:val="clear" w:color="auto" w:fill="FFFFFF"/>
          <w:lang w:val="fr-FR"/>
        </w:rPr>
        <w:t>.</w:t>
      </w:r>
    </w:p>
    <w:p w14:paraId="10D6FF76" w14:textId="6447C914" w:rsidR="00572754" w:rsidRPr="00953692" w:rsidRDefault="008A4FE5" w:rsidP="00864BBF">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239</w:t>
      </w:r>
      <w:r w:rsidR="00B71706" w:rsidRPr="00953692">
        <w:rPr>
          <w:rFonts w:eastAsia="Times New Roman" w:cs="Times New Roman"/>
          <w:b/>
          <w:bCs/>
          <w:sz w:val="24"/>
          <w:szCs w:val="24"/>
          <w:shd w:val="clear" w:color="auto" w:fill="FFFFFF"/>
          <w:lang w:val="fr-FR"/>
        </w:rPr>
        <w:t>.</w:t>
      </w:r>
      <w:r w:rsidR="00B71706" w:rsidRPr="00953692">
        <w:rPr>
          <w:rFonts w:eastAsia="Times New Roman" w:cs="Times New Roman"/>
          <w:sz w:val="24"/>
          <w:szCs w:val="24"/>
          <w:shd w:val="clear" w:color="auto" w:fill="FFFFFF"/>
          <w:lang w:val="fr-FR"/>
        </w:rPr>
        <w:t xml:space="preserve"> </w:t>
      </w:r>
      <w:r w:rsidR="005914C0" w:rsidRPr="00953692">
        <w:rPr>
          <w:rFonts w:eastAsia="Times New Roman" w:cs="Times New Roman"/>
          <w:sz w:val="24"/>
          <w:szCs w:val="24"/>
          <w:shd w:val="clear" w:color="auto" w:fill="FFFFFF"/>
          <w:lang w:val="fr-FR"/>
        </w:rPr>
        <w:t xml:space="preserve">Dans l’affaire </w:t>
      </w:r>
      <w:r w:rsidR="005914C0" w:rsidRPr="00953692">
        <w:rPr>
          <w:sz w:val="24"/>
          <w:szCs w:val="24"/>
          <w:lang w:val="fr-FR"/>
        </w:rPr>
        <w:t>Omar Serushago</w:t>
      </w:r>
      <w:r w:rsidR="00726572" w:rsidRPr="00953692">
        <w:rPr>
          <w:sz w:val="24"/>
          <w:szCs w:val="24"/>
          <w:lang w:val="fr-FR"/>
        </w:rPr>
        <w:t xml:space="preserve">, </w:t>
      </w:r>
      <w:r w:rsidR="00F91473" w:rsidRPr="00953692">
        <w:rPr>
          <w:sz w:val="24"/>
          <w:szCs w:val="24"/>
          <w:lang w:val="fr-FR"/>
        </w:rPr>
        <w:t>ce dernier</w:t>
      </w:r>
      <w:r w:rsidR="00EC4EC8" w:rsidRPr="00953692">
        <w:rPr>
          <w:sz w:val="24"/>
          <w:szCs w:val="24"/>
          <w:lang w:val="fr-FR"/>
        </w:rPr>
        <w:t>,</w:t>
      </w:r>
      <w:r w:rsidR="00F91473" w:rsidRPr="00953692">
        <w:rPr>
          <w:sz w:val="24"/>
          <w:szCs w:val="24"/>
          <w:lang w:val="fr-FR"/>
        </w:rPr>
        <w:t xml:space="preserve"> encore suspect</w:t>
      </w:r>
      <w:r w:rsidR="00F6593E" w:rsidRPr="00953692">
        <w:rPr>
          <w:sz w:val="24"/>
          <w:szCs w:val="24"/>
          <w:lang w:val="fr-FR"/>
        </w:rPr>
        <w:t xml:space="preserve"> </w:t>
      </w:r>
      <w:r w:rsidR="00726572" w:rsidRPr="00953692">
        <w:rPr>
          <w:sz w:val="24"/>
          <w:szCs w:val="24"/>
          <w:lang w:val="fr-FR"/>
        </w:rPr>
        <w:t>a</w:t>
      </w:r>
      <w:r w:rsidR="00F6593E" w:rsidRPr="00953692">
        <w:rPr>
          <w:sz w:val="24"/>
          <w:szCs w:val="24"/>
          <w:lang w:val="fr-FR"/>
        </w:rPr>
        <w:t>,</w:t>
      </w:r>
      <w:r w:rsidR="00726572" w:rsidRPr="00953692">
        <w:rPr>
          <w:sz w:val="24"/>
          <w:szCs w:val="24"/>
          <w:lang w:val="fr-FR"/>
        </w:rPr>
        <w:t xml:space="preserve"> dès le</w:t>
      </w:r>
      <w:r w:rsidR="00F91473" w:rsidRPr="00953692">
        <w:rPr>
          <w:sz w:val="24"/>
          <w:szCs w:val="24"/>
          <w:lang w:val="fr-FR"/>
        </w:rPr>
        <w:t>s</w:t>
      </w:r>
      <w:r w:rsidR="00726572" w:rsidRPr="00953692">
        <w:rPr>
          <w:sz w:val="24"/>
          <w:szCs w:val="24"/>
          <w:lang w:val="fr-FR"/>
        </w:rPr>
        <w:t xml:space="preserve"> premiers moments</w:t>
      </w:r>
      <w:r w:rsidR="00F6593E" w:rsidRPr="00953692">
        <w:rPr>
          <w:sz w:val="24"/>
          <w:szCs w:val="24"/>
          <w:lang w:val="fr-FR"/>
        </w:rPr>
        <w:t>,</w:t>
      </w:r>
      <w:r w:rsidR="00726572" w:rsidRPr="00953692">
        <w:rPr>
          <w:sz w:val="24"/>
          <w:szCs w:val="24"/>
          <w:lang w:val="fr-FR"/>
        </w:rPr>
        <w:t xml:space="preserve"> montré qu’il était prêt à collaborer avec la justice pénale internationale en s</w:t>
      </w:r>
      <w:r w:rsidR="00F91473" w:rsidRPr="00953692">
        <w:rPr>
          <w:sz w:val="24"/>
          <w:szCs w:val="24"/>
          <w:lang w:val="fr-FR"/>
        </w:rPr>
        <w:t xml:space="preserve">’étant rendu volontairement aux autorités ivoiriennes le 2 juin 1998. Lors de sa comparution initiale le 14 décembre 1998 devant la Chambre de première instance, il a plaidé coupable </w:t>
      </w:r>
      <w:r w:rsidR="00B71706" w:rsidRPr="00953692">
        <w:rPr>
          <w:sz w:val="24"/>
          <w:szCs w:val="24"/>
          <w:lang w:val="fr-FR"/>
        </w:rPr>
        <w:t>de</w:t>
      </w:r>
      <w:r w:rsidR="00F91473" w:rsidRPr="00953692">
        <w:rPr>
          <w:sz w:val="24"/>
          <w:szCs w:val="24"/>
          <w:lang w:val="fr-FR"/>
        </w:rPr>
        <w:t xml:space="preserve"> quatre des cinq chefs d’accusation. Suite à ce plaidoyer de culpabilité, le cinquième chef d’accusation a été retiré sur demande du </w:t>
      </w:r>
      <w:r w:rsidR="00B71706" w:rsidRPr="00953692">
        <w:rPr>
          <w:sz w:val="24"/>
          <w:szCs w:val="24"/>
          <w:lang w:val="fr-FR"/>
        </w:rPr>
        <w:t>P</w:t>
      </w:r>
      <w:r w:rsidR="00F91473" w:rsidRPr="00953692">
        <w:rPr>
          <w:sz w:val="24"/>
          <w:szCs w:val="24"/>
          <w:lang w:val="fr-FR"/>
        </w:rPr>
        <w:t>rocureur. Après validation du plaidoyer de culpabilité, la Chambre</w:t>
      </w:r>
      <w:r w:rsidR="00B71706" w:rsidRPr="00953692">
        <w:rPr>
          <w:sz w:val="24"/>
          <w:szCs w:val="24"/>
          <w:lang w:val="fr-FR"/>
        </w:rPr>
        <w:t xml:space="preserve"> a</w:t>
      </w:r>
      <w:r w:rsidR="00F91473" w:rsidRPr="00953692">
        <w:rPr>
          <w:sz w:val="24"/>
          <w:szCs w:val="24"/>
          <w:lang w:val="fr-FR"/>
        </w:rPr>
        <w:t xml:space="preserve"> déclar</w:t>
      </w:r>
      <w:r w:rsidR="00B71706" w:rsidRPr="00953692">
        <w:rPr>
          <w:sz w:val="24"/>
          <w:szCs w:val="24"/>
          <w:lang w:val="fr-FR"/>
        </w:rPr>
        <w:t>é</w:t>
      </w:r>
      <w:r w:rsidR="00F91473" w:rsidRPr="00953692">
        <w:rPr>
          <w:sz w:val="24"/>
          <w:szCs w:val="24"/>
          <w:lang w:val="fr-FR"/>
        </w:rPr>
        <w:t xml:space="preserve"> solennellement l’accusé coupable, et le jugement portant condamnation est intervenu moins de deux mois après, soit le 5 février 1998</w:t>
      </w:r>
      <w:r w:rsidR="00B91672" w:rsidRPr="00953692">
        <w:rPr>
          <w:rStyle w:val="Appelnotedebasdep"/>
          <w:sz w:val="24"/>
          <w:szCs w:val="24"/>
          <w:lang w:val="fr-FR"/>
        </w:rPr>
        <w:footnoteReference w:customMarkFollows="1" w:id="183"/>
        <w:t>162</w:t>
      </w:r>
      <w:r w:rsidR="00F91473" w:rsidRPr="00953692">
        <w:rPr>
          <w:sz w:val="24"/>
          <w:szCs w:val="24"/>
          <w:lang w:val="fr-FR"/>
        </w:rPr>
        <w:t>.</w:t>
      </w:r>
      <w:r w:rsidR="00572754" w:rsidRPr="00953692">
        <w:rPr>
          <w:sz w:val="24"/>
          <w:szCs w:val="24"/>
          <w:lang w:val="fr-FR"/>
        </w:rPr>
        <w:t xml:space="preserve"> </w:t>
      </w:r>
      <w:r w:rsidRPr="00953692">
        <w:rPr>
          <w:sz w:val="24"/>
          <w:szCs w:val="24"/>
          <w:lang w:val="fr-FR"/>
        </w:rPr>
        <w:t>P</w:t>
      </w:r>
      <w:r w:rsidR="00572754" w:rsidRPr="00953692">
        <w:rPr>
          <w:sz w:val="24"/>
          <w:szCs w:val="24"/>
          <w:lang w:val="fr-FR"/>
        </w:rPr>
        <w:t>areille</w:t>
      </w:r>
      <w:r w:rsidR="0064145C" w:rsidRPr="00953692">
        <w:rPr>
          <w:sz w:val="24"/>
          <w:szCs w:val="24"/>
          <w:lang w:val="fr-FR"/>
        </w:rPr>
        <w:t xml:space="preserve"> coopération </w:t>
      </w:r>
      <w:r w:rsidR="00572754" w:rsidRPr="00953692">
        <w:rPr>
          <w:sz w:val="24"/>
          <w:szCs w:val="24"/>
          <w:lang w:val="fr-FR"/>
        </w:rPr>
        <w:t xml:space="preserve">a </w:t>
      </w:r>
      <w:r w:rsidRPr="00953692">
        <w:rPr>
          <w:sz w:val="24"/>
          <w:szCs w:val="24"/>
          <w:lang w:val="fr-FR"/>
        </w:rPr>
        <w:t xml:space="preserve">aussi </w:t>
      </w:r>
      <w:r w:rsidR="0064145C" w:rsidRPr="00953692">
        <w:rPr>
          <w:sz w:val="24"/>
          <w:szCs w:val="24"/>
          <w:lang w:val="fr-FR"/>
        </w:rPr>
        <w:t>abouti à une procédure très courte devant la CPI</w:t>
      </w:r>
      <w:r w:rsidR="00782A33" w:rsidRPr="00953692">
        <w:rPr>
          <w:sz w:val="24"/>
          <w:szCs w:val="24"/>
          <w:lang w:val="fr-FR"/>
        </w:rPr>
        <w:t xml:space="preserve"> dans l’affaire </w:t>
      </w:r>
      <w:r w:rsidR="002978C4" w:rsidRPr="00953692">
        <w:rPr>
          <w:rFonts w:eastAsia="Times New Roman" w:cs="Times New Roman"/>
          <w:sz w:val="24"/>
          <w:szCs w:val="24"/>
          <w:shd w:val="clear" w:color="auto" w:fill="FFFFFF"/>
          <w:lang w:val="fr-FR"/>
        </w:rPr>
        <w:t>Ahmad Al Faqi Al MAHDI</w:t>
      </w:r>
      <w:r w:rsidR="00D22F65" w:rsidRPr="00953692">
        <w:rPr>
          <w:rFonts w:eastAsia="Times New Roman" w:cs="Times New Roman"/>
          <w:sz w:val="24"/>
          <w:szCs w:val="24"/>
          <w:shd w:val="clear" w:color="auto" w:fill="FFFFFF"/>
          <w:lang w:val="fr-FR"/>
        </w:rPr>
        <w:t xml:space="preserve">. </w:t>
      </w:r>
    </w:p>
    <w:p w14:paraId="7CD85C9F" w14:textId="3B10B6CF" w:rsidR="008A4FE5" w:rsidRPr="00953692" w:rsidRDefault="008A4FE5" w:rsidP="008A4FE5">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240</w:t>
      </w:r>
      <w:r w:rsidR="00F84682" w:rsidRPr="00953692">
        <w:rPr>
          <w:rFonts w:eastAsia="Times New Roman" w:cs="Times New Roman"/>
          <w:b/>
          <w:bCs/>
          <w:sz w:val="24"/>
          <w:szCs w:val="24"/>
          <w:shd w:val="clear" w:color="auto" w:fill="FFFFFF"/>
          <w:lang w:val="fr-FR"/>
        </w:rPr>
        <w:t>.</w:t>
      </w:r>
      <w:r w:rsidR="00F84682" w:rsidRPr="00953692">
        <w:rPr>
          <w:rFonts w:eastAsia="Times New Roman" w:cs="Times New Roman"/>
          <w:sz w:val="24"/>
          <w:szCs w:val="24"/>
          <w:shd w:val="clear" w:color="auto" w:fill="FFFFFF"/>
          <w:lang w:val="fr-FR"/>
        </w:rPr>
        <w:t xml:space="preserve"> </w:t>
      </w:r>
      <w:r w:rsidR="00D22F65" w:rsidRPr="00953692">
        <w:rPr>
          <w:rFonts w:eastAsia="Times New Roman" w:cs="Times New Roman"/>
          <w:sz w:val="24"/>
          <w:szCs w:val="24"/>
          <w:shd w:val="clear" w:color="auto" w:fill="FFFFFF"/>
          <w:lang w:val="fr-FR"/>
        </w:rPr>
        <w:t>Après l’enquête du Procureur saisi par le gouvernement malien, le 18 septembre 2015</w:t>
      </w:r>
      <w:r w:rsidR="00F84682" w:rsidRPr="00953692">
        <w:rPr>
          <w:rFonts w:eastAsia="Times New Roman" w:cs="Times New Roman"/>
          <w:sz w:val="24"/>
          <w:szCs w:val="24"/>
          <w:shd w:val="clear" w:color="auto" w:fill="FFFFFF"/>
          <w:lang w:val="fr-FR"/>
        </w:rPr>
        <w:t>,</w:t>
      </w:r>
      <w:r w:rsidR="00D22F65" w:rsidRPr="00953692">
        <w:rPr>
          <w:rFonts w:eastAsia="Times New Roman" w:cs="Times New Roman"/>
          <w:sz w:val="24"/>
          <w:szCs w:val="24"/>
          <w:shd w:val="clear" w:color="auto" w:fill="FFFFFF"/>
          <w:lang w:val="fr-FR"/>
        </w:rPr>
        <w:t xml:space="preserve"> la Chambre préliminaire a délivré un mandat d’arrêt à l’encontre de Ahmad Al Faqi, qui été transféré le 26 septembre 2015</w:t>
      </w:r>
      <w:r w:rsidR="00EE28A3" w:rsidRPr="00953692">
        <w:rPr>
          <w:rFonts w:eastAsia="Times New Roman" w:cs="Times New Roman"/>
          <w:sz w:val="24"/>
          <w:szCs w:val="24"/>
          <w:shd w:val="clear" w:color="auto" w:fill="FFFFFF"/>
          <w:lang w:val="fr-FR"/>
        </w:rPr>
        <w:t>,</w:t>
      </w:r>
      <w:r w:rsidR="00D22F65" w:rsidRPr="00953692">
        <w:rPr>
          <w:rFonts w:eastAsia="Times New Roman" w:cs="Times New Roman"/>
          <w:sz w:val="24"/>
          <w:szCs w:val="24"/>
          <w:shd w:val="clear" w:color="auto" w:fill="FFFFFF"/>
          <w:lang w:val="fr-FR"/>
        </w:rPr>
        <w:t xml:space="preserve"> au siège de la Cour et a comparu initialement le 30 septembre de la même année</w:t>
      </w:r>
      <w:r w:rsidR="00B91672" w:rsidRPr="00953692">
        <w:rPr>
          <w:rStyle w:val="Appelnotedebasdep"/>
          <w:rFonts w:eastAsia="Times New Roman" w:cs="Times New Roman"/>
          <w:sz w:val="24"/>
          <w:szCs w:val="24"/>
          <w:shd w:val="clear" w:color="auto" w:fill="FFFFFF"/>
          <w:lang w:val="fr-FR"/>
        </w:rPr>
        <w:footnoteReference w:customMarkFollows="1" w:id="184"/>
        <w:t>163</w:t>
      </w:r>
      <w:r w:rsidR="00D22F65" w:rsidRPr="00953692">
        <w:rPr>
          <w:rFonts w:eastAsia="Times New Roman" w:cs="Times New Roman"/>
          <w:sz w:val="24"/>
          <w:szCs w:val="24"/>
          <w:shd w:val="clear" w:color="auto" w:fill="FFFFFF"/>
          <w:lang w:val="fr-FR"/>
        </w:rPr>
        <w:t xml:space="preserve">. </w:t>
      </w:r>
      <w:r w:rsidR="002C3B97" w:rsidRPr="00953692">
        <w:rPr>
          <w:rFonts w:eastAsia="Times New Roman" w:cs="Times New Roman"/>
          <w:sz w:val="24"/>
          <w:szCs w:val="24"/>
          <w:shd w:val="clear" w:color="auto" w:fill="FFFFFF"/>
          <w:lang w:val="fr-FR"/>
        </w:rPr>
        <w:t xml:space="preserve">Il est fait état d’une </w:t>
      </w:r>
      <w:r w:rsidR="00A32BA3" w:rsidRPr="00953692">
        <w:rPr>
          <w:rFonts w:eastAsia="Times New Roman" w:cs="Times New Roman"/>
          <w:sz w:val="24"/>
          <w:szCs w:val="24"/>
          <w:shd w:val="clear" w:color="auto" w:fill="FFFFFF"/>
          <w:lang w:val="fr-FR"/>
        </w:rPr>
        <w:t>coopération qui s’est établi</w:t>
      </w:r>
      <w:r w:rsidR="002C3B97" w:rsidRPr="00953692">
        <w:rPr>
          <w:rFonts w:eastAsia="Times New Roman" w:cs="Times New Roman"/>
          <w:sz w:val="24"/>
          <w:szCs w:val="24"/>
          <w:shd w:val="clear" w:color="auto" w:fill="FFFFFF"/>
          <w:lang w:val="fr-FR"/>
        </w:rPr>
        <w:t>e</w:t>
      </w:r>
      <w:r w:rsidR="00A32BA3" w:rsidRPr="00953692">
        <w:rPr>
          <w:rFonts w:eastAsia="Times New Roman" w:cs="Times New Roman"/>
          <w:sz w:val="24"/>
          <w:szCs w:val="24"/>
          <w:shd w:val="clear" w:color="auto" w:fill="FFFFFF"/>
          <w:lang w:val="fr-FR"/>
        </w:rPr>
        <w:t xml:space="preserve"> entre l’Accusation et la Défense dès le premier interrogatoire de l’inculpé</w:t>
      </w:r>
      <w:r w:rsidR="00B91672" w:rsidRPr="00953692">
        <w:rPr>
          <w:rStyle w:val="Appelnotedebasdep"/>
          <w:rFonts w:eastAsia="Times New Roman" w:cs="Times New Roman"/>
          <w:sz w:val="24"/>
          <w:szCs w:val="24"/>
          <w:shd w:val="clear" w:color="auto" w:fill="FFFFFF"/>
          <w:lang w:val="fr-FR"/>
        </w:rPr>
        <w:footnoteReference w:customMarkFollows="1" w:id="185"/>
        <w:t>164</w:t>
      </w:r>
      <w:r w:rsidR="00A32BA3" w:rsidRPr="00953692">
        <w:rPr>
          <w:rFonts w:eastAsia="Times New Roman" w:cs="Times New Roman"/>
          <w:sz w:val="24"/>
          <w:szCs w:val="24"/>
          <w:shd w:val="clear" w:color="auto" w:fill="FFFFFF"/>
          <w:lang w:val="fr-FR"/>
        </w:rPr>
        <w:t xml:space="preserve">. </w:t>
      </w:r>
      <w:r w:rsidR="00A32BA3" w:rsidRPr="00953692">
        <w:rPr>
          <w:rFonts w:eastAsia="Times New Roman" w:cs="Times New Roman"/>
          <w:sz w:val="24"/>
          <w:szCs w:val="24"/>
          <w:shd w:val="clear" w:color="auto" w:fill="FFFFFF"/>
          <w:lang w:val="fr-FR"/>
        </w:rPr>
        <w:lastRenderedPageBreak/>
        <w:t>Cette coopération rapide qui commence entre les parties au procès a permis à cette Cour pénale internationale de s’occuper de cette affaire exceptionnellement que pendant une année, à compter de la date du transfert de l’inculpé à La Haye</w:t>
      </w:r>
      <w:r w:rsidR="00B91672" w:rsidRPr="00953692">
        <w:rPr>
          <w:rStyle w:val="Appelnotedebasdep"/>
          <w:rFonts w:eastAsia="Times New Roman" w:cs="Times New Roman"/>
          <w:sz w:val="24"/>
          <w:szCs w:val="24"/>
          <w:shd w:val="clear" w:color="auto" w:fill="FFFFFF"/>
          <w:lang w:val="fr-FR"/>
        </w:rPr>
        <w:footnoteReference w:customMarkFollows="1" w:id="186"/>
        <w:t>165</w:t>
      </w:r>
      <w:r w:rsidR="00A32BA3" w:rsidRPr="00953692">
        <w:rPr>
          <w:rFonts w:eastAsia="Times New Roman" w:cs="Times New Roman"/>
          <w:sz w:val="24"/>
          <w:szCs w:val="24"/>
          <w:shd w:val="clear" w:color="auto" w:fill="FFFFFF"/>
          <w:lang w:val="fr-FR"/>
        </w:rPr>
        <w:t>. Les juges ont d’ailleurs qualifié cet accord de culpabilité de prématuré parce qu’il a été conclu avant que les Charges retenues par le procureur n’aient été confirmées par la Chambre préliminaire</w:t>
      </w:r>
      <w:r w:rsidR="00B91672" w:rsidRPr="00953692">
        <w:rPr>
          <w:rStyle w:val="Appelnotedebasdep"/>
          <w:rFonts w:eastAsia="Times New Roman" w:cs="Times New Roman"/>
          <w:sz w:val="24"/>
          <w:szCs w:val="24"/>
          <w:shd w:val="clear" w:color="auto" w:fill="FFFFFF"/>
          <w:lang w:val="fr-FR"/>
        </w:rPr>
        <w:footnoteReference w:customMarkFollows="1" w:id="187"/>
        <w:t>166</w:t>
      </w:r>
      <w:r w:rsidR="00A32BA3" w:rsidRPr="00953692">
        <w:rPr>
          <w:rFonts w:eastAsia="Times New Roman" w:cs="Times New Roman"/>
          <w:sz w:val="24"/>
          <w:szCs w:val="24"/>
          <w:shd w:val="clear" w:color="auto" w:fill="FFFFFF"/>
          <w:lang w:val="fr-FR"/>
        </w:rPr>
        <w:t xml:space="preserve">. </w:t>
      </w:r>
    </w:p>
    <w:p w14:paraId="57C8CBE1" w14:textId="21671BBA" w:rsidR="002C3B97" w:rsidRPr="00953692" w:rsidRDefault="008A4FE5" w:rsidP="008A4FE5">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241.</w:t>
      </w:r>
      <w:r w:rsidRPr="00953692">
        <w:rPr>
          <w:rFonts w:eastAsia="Times New Roman" w:cs="Times New Roman"/>
          <w:sz w:val="24"/>
          <w:szCs w:val="24"/>
          <w:shd w:val="clear" w:color="auto" w:fill="FFFFFF"/>
          <w:lang w:val="fr-FR"/>
        </w:rPr>
        <w:t xml:space="preserve"> </w:t>
      </w:r>
      <w:r w:rsidR="008C5DD5" w:rsidRPr="00953692">
        <w:rPr>
          <w:rFonts w:eastAsia="Times New Roman" w:cs="Times New Roman"/>
          <w:sz w:val="24"/>
          <w:szCs w:val="24"/>
          <w:shd w:val="clear" w:color="auto" w:fill="FFFFFF"/>
          <w:lang w:val="fr-FR"/>
        </w:rPr>
        <w:t xml:space="preserve">Quoiqu’il en ait été, il est évidemment clair qu’un </w:t>
      </w:r>
      <w:r w:rsidR="008C5DD5" w:rsidRPr="00953692">
        <w:rPr>
          <w:sz w:val="24"/>
          <w:szCs w:val="24"/>
          <w:lang w:val="fr-FR"/>
        </w:rPr>
        <w:t>tel délai</w:t>
      </w:r>
      <w:r w:rsidR="00F84682" w:rsidRPr="00953692">
        <w:rPr>
          <w:sz w:val="24"/>
          <w:szCs w:val="24"/>
          <w:lang w:val="fr-FR"/>
        </w:rPr>
        <w:t>,</w:t>
      </w:r>
      <w:r w:rsidR="008C5DD5" w:rsidRPr="00953692">
        <w:rPr>
          <w:sz w:val="24"/>
          <w:szCs w:val="24"/>
          <w:lang w:val="fr-FR"/>
        </w:rPr>
        <w:t xml:space="preserve"> que M</w:t>
      </w:r>
      <w:r w:rsidR="00F7431A" w:rsidRPr="00953692">
        <w:rPr>
          <w:sz w:val="24"/>
          <w:szCs w:val="24"/>
          <w:lang w:val="fr-FR"/>
        </w:rPr>
        <w:t>.</w:t>
      </w:r>
      <w:r w:rsidR="008C5DD5" w:rsidRPr="00953692">
        <w:rPr>
          <w:sz w:val="24"/>
          <w:szCs w:val="24"/>
          <w:lang w:val="fr-FR"/>
        </w:rPr>
        <w:t xml:space="preserve"> Nicolas qualifie comparativement </w:t>
      </w:r>
      <w:r w:rsidR="00F43D42" w:rsidRPr="00953692">
        <w:rPr>
          <w:sz w:val="24"/>
          <w:szCs w:val="24"/>
          <w:lang w:val="fr-FR"/>
        </w:rPr>
        <w:t xml:space="preserve">de </w:t>
      </w:r>
      <w:r w:rsidR="008C5DD5" w:rsidRPr="00953692">
        <w:rPr>
          <w:sz w:val="24"/>
          <w:szCs w:val="24"/>
          <w:lang w:val="fr-FR"/>
        </w:rPr>
        <w:t>court</w:t>
      </w:r>
      <w:r w:rsidR="00B91672" w:rsidRPr="00953692">
        <w:rPr>
          <w:rStyle w:val="Appelnotedebasdep"/>
          <w:sz w:val="24"/>
          <w:szCs w:val="24"/>
          <w:lang w:val="fr-FR"/>
        </w:rPr>
        <w:footnoteReference w:customMarkFollows="1" w:id="188"/>
        <w:t>167</w:t>
      </w:r>
      <w:r w:rsidR="008C5DD5" w:rsidRPr="00953692">
        <w:rPr>
          <w:sz w:val="24"/>
          <w:szCs w:val="24"/>
          <w:lang w:val="fr-FR"/>
        </w:rPr>
        <w:t>, illustre en effet cette complémentarité qui existe entre l’aveu de culpabilité et le délai raisonnable du procès.</w:t>
      </w:r>
      <w:r w:rsidR="00E06536" w:rsidRPr="00953692">
        <w:rPr>
          <w:sz w:val="24"/>
          <w:szCs w:val="24"/>
          <w:lang w:val="fr-FR"/>
        </w:rPr>
        <w:t xml:space="preserve"> En termes clairs, comme le soutient M. Nicolas</w:t>
      </w:r>
      <w:r w:rsidR="00F43D42" w:rsidRPr="00953692">
        <w:rPr>
          <w:sz w:val="24"/>
          <w:szCs w:val="24"/>
          <w:lang w:val="fr-FR"/>
        </w:rPr>
        <w:t>,</w:t>
      </w:r>
      <w:r w:rsidR="00E06536" w:rsidRPr="00953692">
        <w:rPr>
          <w:sz w:val="24"/>
          <w:szCs w:val="24"/>
          <w:lang w:val="fr-FR"/>
        </w:rPr>
        <w:t xml:space="preserve"> et nous en sommes bien d’accord, un tel délai constitue sans nul doute un respect du droit d’être jugé sans retard excessif.</w:t>
      </w:r>
    </w:p>
    <w:p w14:paraId="536A2103" w14:textId="4A09C50E" w:rsidR="003E04F2" w:rsidRPr="00953692" w:rsidRDefault="008A4FE5" w:rsidP="00864BBF">
      <w:pPr>
        <w:spacing w:after="0" w:line="276" w:lineRule="auto"/>
        <w:ind w:firstLine="1134"/>
        <w:jc w:val="both"/>
        <w:rPr>
          <w:sz w:val="24"/>
          <w:szCs w:val="24"/>
          <w:lang w:val="fr-FR"/>
        </w:rPr>
      </w:pPr>
      <w:r w:rsidRPr="00953692">
        <w:rPr>
          <w:b/>
          <w:bCs/>
          <w:sz w:val="24"/>
          <w:szCs w:val="24"/>
          <w:lang w:val="fr-FR"/>
        </w:rPr>
        <w:t>242</w:t>
      </w:r>
      <w:r w:rsidR="00D93BEF" w:rsidRPr="00953692">
        <w:rPr>
          <w:b/>
          <w:bCs/>
          <w:sz w:val="24"/>
          <w:szCs w:val="24"/>
          <w:lang w:val="fr-FR"/>
        </w:rPr>
        <w:t>.</w:t>
      </w:r>
      <w:r w:rsidR="00D93BEF" w:rsidRPr="00953692">
        <w:rPr>
          <w:sz w:val="24"/>
          <w:szCs w:val="24"/>
          <w:lang w:val="fr-FR"/>
        </w:rPr>
        <w:t xml:space="preserve"> </w:t>
      </w:r>
      <w:r w:rsidR="00F7431A" w:rsidRPr="00953692">
        <w:rPr>
          <w:sz w:val="24"/>
          <w:szCs w:val="24"/>
          <w:lang w:val="fr-FR"/>
        </w:rPr>
        <w:t xml:space="preserve">Par ailleurs, l’analyse de la pratique des TPI montre une attitude ou mieux une stratégie d’hésitation que la plupart des accusés adoptent </w:t>
      </w:r>
      <w:r w:rsidR="00D23348" w:rsidRPr="00953692">
        <w:rPr>
          <w:sz w:val="24"/>
          <w:szCs w:val="24"/>
          <w:lang w:val="fr-FR"/>
        </w:rPr>
        <w:t>durant les procès. En effet, comme il a été souligné dans les lignes précédentes, c’est le moment à partir duquel l’on plaide coupable qui détermine la mesure de la complémentarité d’un aveu de culpabilité. Or, les accusés ont développé une stratégie consistant à plaider initialement non-coupable</w:t>
      </w:r>
      <w:r w:rsidR="0032334A" w:rsidRPr="00953692">
        <w:rPr>
          <w:sz w:val="24"/>
          <w:szCs w:val="24"/>
          <w:lang w:val="fr-FR"/>
        </w:rPr>
        <w:t xml:space="preserve"> afin de négocier</w:t>
      </w:r>
      <w:r w:rsidR="003E04F2" w:rsidRPr="00953692">
        <w:rPr>
          <w:sz w:val="24"/>
          <w:szCs w:val="24"/>
          <w:lang w:val="fr-FR"/>
        </w:rPr>
        <w:t xml:space="preserve"> ou</w:t>
      </w:r>
      <w:r w:rsidR="0032334A" w:rsidRPr="00953692">
        <w:rPr>
          <w:sz w:val="24"/>
          <w:szCs w:val="24"/>
          <w:lang w:val="fr-FR"/>
        </w:rPr>
        <w:t xml:space="preserve"> de marchander avec le Procureur sur les chefs d’accusations et la fourchette de la peine</w:t>
      </w:r>
      <w:r w:rsidR="007D7040" w:rsidRPr="00953692">
        <w:rPr>
          <w:sz w:val="24"/>
          <w:szCs w:val="24"/>
          <w:lang w:val="fr-FR"/>
        </w:rPr>
        <w:t>. En contrepartie, les accusés parviennent à plaider coupable</w:t>
      </w:r>
      <w:r w:rsidR="003E04F2" w:rsidRPr="00953692">
        <w:rPr>
          <w:sz w:val="24"/>
          <w:szCs w:val="24"/>
          <w:lang w:val="fr-FR"/>
        </w:rPr>
        <w:t xml:space="preserve"> au bout d’un moment</w:t>
      </w:r>
      <w:r w:rsidR="007D7040" w:rsidRPr="00953692">
        <w:rPr>
          <w:sz w:val="24"/>
          <w:szCs w:val="24"/>
          <w:lang w:val="fr-FR"/>
        </w:rPr>
        <w:t xml:space="preserve">. S’il y a </w:t>
      </w:r>
      <w:r w:rsidR="003E04F2" w:rsidRPr="00953692">
        <w:rPr>
          <w:sz w:val="24"/>
          <w:szCs w:val="24"/>
          <w:lang w:val="fr-FR"/>
        </w:rPr>
        <w:t>au</w:t>
      </w:r>
      <w:r w:rsidR="007D7040" w:rsidRPr="00953692">
        <w:rPr>
          <w:sz w:val="24"/>
          <w:szCs w:val="24"/>
          <w:lang w:val="fr-FR"/>
        </w:rPr>
        <w:t xml:space="preserve"> fond </w:t>
      </w:r>
      <w:r w:rsidR="003E04F2" w:rsidRPr="00953692">
        <w:rPr>
          <w:sz w:val="24"/>
          <w:szCs w:val="24"/>
          <w:lang w:val="fr-FR"/>
        </w:rPr>
        <w:t xml:space="preserve">une justification raisonnable </w:t>
      </w:r>
      <w:r w:rsidR="00C146CA" w:rsidRPr="00953692">
        <w:rPr>
          <w:sz w:val="24"/>
          <w:szCs w:val="24"/>
          <w:lang w:val="fr-FR"/>
        </w:rPr>
        <w:t>quant</w:t>
      </w:r>
      <w:r w:rsidR="007D7040" w:rsidRPr="00953692">
        <w:rPr>
          <w:sz w:val="24"/>
          <w:szCs w:val="24"/>
          <w:lang w:val="fr-FR"/>
        </w:rPr>
        <w:t xml:space="preserve"> à la stratégie globale des TPI, allusion faite notamment </w:t>
      </w:r>
      <w:r w:rsidR="00BA6499" w:rsidRPr="00953692">
        <w:rPr>
          <w:sz w:val="24"/>
          <w:szCs w:val="24"/>
          <w:lang w:val="fr-FR"/>
        </w:rPr>
        <w:t xml:space="preserve">à </w:t>
      </w:r>
      <w:r w:rsidR="007D7040" w:rsidRPr="00953692">
        <w:rPr>
          <w:sz w:val="24"/>
          <w:szCs w:val="24"/>
          <w:lang w:val="fr-FR"/>
        </w:rPr>
        <w:t>l</w:t>
      </w:r>
      <w:r w:rsidR="003E04F2" w:rsidRPr="00953692">
        <w:rPr>
          <w:sz w:val="24"/>
          <w:szCs w:val="24"/>
          <w:lang w:val="fr-FR"/>
        </w:rPr>
        <w:t>a temporalité limitée</w:t>
      </w:r>
      <w:r w:rsidR="007D7040" w:rsidRPr="00953692">
        <w:rPr>
          <w:sz w:val="24"/>
          <w:szCs w:val="24"/>
          <w:lang w:val="fr-FR"/>
        </w:rPr>
        <w:t xml:space="preserve"> de leurs procédures de plus en plus pressante</w:t>
      </w:r>
      <w:r w:rsidR="003E04F2" w:rsidRPr="00953692">
        <w:rPr>
          <w:sz w:val="24"/>
          <w:szCs w:val="24"/>
          <w:lang w:val="fr-FR"/>
        </w:rPr>
        <w:t xml:space="preserve"> (stratégies d’achèvement des travaux)</w:t>
      </w:r>
      <w:r w:rsidR="007D7040" w:rsidRPr="00953692">
        <w:rPr>
          <w:sz w:val="24"/>
          <w:szCs w:val="24"/>
          <w:lang w:val="fr-FR"/>
        </w:rPr>
        <w:t xml:space="preserve">, il va sans dire que </w:t>
      </w:r>
      <w:r w:rsidR="003E04F2" w:rsidRPr="00953692">
        <w:rPr>
          <w:sz w:val="24"/>
          <w:szCs w:val="24"/>
          <w:lang w:val="fr-FR"/>
        </w:rPr>
        <w:t xml:space="preserve">cette </w:t>
      </w:r>
      <w:r w:rsidR="00C146CA" w:rsidRPr="00953692">
        <w:rPr>
          <w:sz w:val="24"/>
          <w:szCs w:val="24"/>
          <w:lang w:val="fr-FR"/>
        </w:rPr>
        <w:t>hésitation stratégique</w:t>
      </w:r>
      <w:r w:rsidR="004536C3" w:rsidRPr="00953692">
        <w:rPr>
          <w:sz w:val="24"/>
          <w:szCs w:val="24"/>
          <w:lang w:val="fr-FR"/>
        </w:rPr>
        <w:t xml:space="preserve"> évidemment de la part des accusés</w:t>
      </w:r>
      <w:r w:rsidR="00C146CA" w:rsidRPr="00953692">
        <w:rPr>
          <w:sz w:val="24"/>
          <w:szCs w:val="24"/>
          <w:lang w:val="fr-FR"/>
        </w:rPr>
        <w:t xml:space="preserve"> fait non seulement perdre du temps</w:t>
      </w:r>
      <w:r w:rsidR="004536C3" w:rsidRPr="00953692">
        <w:rPr>
          <w:sz w:val="24"/>
          <w:szCs w:val="24"/>
          <w:lang w:val="fr-FR"/>
        </w:rPr>
        <w:t xml:space="preserve"> au Tribunal</w:t>
      </w:r>
      <w:r w:rsidR="00C146CA" w:rsidRPr="00953692">
        <w:rPr>
          <w:sz w:val="24"/>
          <w:szCs w:val="24"/>
          <w:lang w:val="fr-FR"/>
        </w:rPr>
        <w:t>, mais dépouille</w:t>
      </w:r>
      <w:r w:rsidR="004536C3" w:rsidRPr="00953692">
        <w:rPr>
          <w:sz w:val="24"/>
          <w:szCs w:val="24"/>
          <w:lang w:val="fr-FR"/>
        </w:rPr>
        <w:t xml:space="preserve"> par ricochet </w:t>
      </w:r>
      <w:r w:rsidR="00C146CA" w:rsidRPr="00953692">
        <w:rPr>
          <w:sz w:val="24"/>
          <w:szCs w:val="24"/>
          <w:lang w:val="fr-FR"/>
        </w:rPr>
        <w:t xml:space="preserve">l’aveu de culpabilité de tout sens </w:t>
      </w:r>
      <w:r w:rsidR="004536C3" w:rsidRPr="00953692">
        <w:rPr>
          <w:sz w:val="24"/>
          <w:szCs w:val="24"/>
          <w:lang w:val="fr-FR"/>
        </w:rPr>
        <w:t>se rapportant tout autant</w:t>
      </w:r>
      <w:r w:rsidR="00C146CA" w:rsidRPr="00953692">
        <w:rPr>
          <w:sz w:val="24"/>
          <w:szCs w:val="24"/>
          <w:lang w:val="fr-FR"/>
        </w:rPr>
        <w:t xml:space="preserve"> à la question du temps.</w:t>
      </w:r>
    </w:p>
    <w:p w14:paraId="2D1B17A0" w14:textId="6FC642D2" w:rsidR="00AB3D3D" w:rsidRPr="00953692" w:rsidRDefault="008A4FE5" w:rsidP="00864BBF">
      <w:pPr>
        <w:spacing w:after="0" w:line="276" w:lineRule="auto"/>
        <w:ind w:firstLine="1134"/>
        <w:jc w:val="both"/>
        <w:rPr>
          <w:sz w:val="24"/>
          <w:szCs w:val="24"/>
          <w:lang w:val="fr-FR"/>
        </w:rPr>
      </w:pPr>
      <w:r w:rsidRPr="00953692">
        <w:rPr>
          <w:b/>
          <w:bCs/>
          <w:sz w:val="24"/>
          <w:szCs w:val="24"/>
          <w:lang w:val="fr-FR"/>
        </w:rPr>
        <w:t>243</w:t>
      </w:r>
      <w:r w:rsidR="00D93BEF" w:rsidRPr="00953692">
        <w:rPr>
          <w:b/>
          <w:bCs/>
          <w:sz w:val="24"/>
          <w:szCs w:val="24"/>
          <w:lang w:val="fr-FR"/>
        </w:rPr>
        <w:t>.</w:t>
      </w:r>
      <w:r w:rsidR="00D93BEF" w:rsidRPr="00953692">
        <w:rPr>
          <w:sz w:val="24"/>
          <w:szCs w:val="24"/>
          <w:lang w:val="fr-FR"/>
        </w:rPr>
        <w:t xml:space="preserve"> </w:t>
      </w:r>
      <w:r w:rsidR="00F43D42" w:rsidRPr="00953692">
        <w:rPr>
          <w:sz w:val="24"/>
          <w:szCs w:val="24"/>
          <w:lang w:val="fr-FR"/>
        </w:rPr>
        <w:t>La pratique de ces TPI montre</w:t>
      </w:r>
      <w:r w:rsidR="003E04F2" w:rsidRPr="00953692">
        <w:rPr>
          <w:sz w:val="24"/>
          <w:szCs w:val="24"/>
          <w:lang w:val="fr-FR"/>
        </w:rPr>
        <w:t xml:space="preserve"> </w:t>
      </w:r>
      <w:r w:rsidR="001466BA" w:rsidRPr="00953692">
        <w:rPr>
          <w:sz w:val="24"/>
          <w:szCs w:val="24"/>
          <w:lang w:val="fr-FR"/>
        </w:rPr>
        <w:t xml:space="preserve">que le plaidoyer de culpabilité n’intervient pas aussi tôt qu’on </w:t>
      </w:r>
      <w:r w:rsidR="00FD2E13" w:rsidRPr="00953692">
        <w:rPr>
          <w:sz w:val="24"/>
          <w:szCs w:val="24"/>
          <w:lang w:val="fr-FR"/>
        </w:rPr>
        <w:t xml:space="preserve">ne </w:t>
      </w:r>
      <w:r w:rsidR="001466BA" w:rsidRPr="00953692">
        <w:rPr>
          <w:sz w:val="24"/>
          <w:szCs w:val="24"/>
          <w:lang w:val="fr-FR"/>
        </w:rPr>
        <w:t>l’aurait souhaité</w:t>
      </w:r>
      <w:r w:rsidR="00B91672" w:rsidRPr="00953692">
        <w:rPr>
          <w:rStyle w:val="Appelnotedebasdep"/>
          <w:sz w:val="24"/>
          <w:szCs w:val="24"/>
          <w:lang w:val="fr-FR"/>
        </w:rPr>
        <w:footnoteReference w:customMarkFollows="1" w:id="189"/>
        <w:t>168</w:t>
      </w:r>
      <w:r w:rsidR="001466BA" w:rsidRPr="00953692">
        <w:rPr>
          <w:sz w:val="24"/>
          <w:szCs w:val="24"/>
          <w:lang w:val="fr-FR"/>
        </w:rPr>
        <w:t xml:space="preserve">. </w:t>
      </w:r>
      <w:r w:rsidR="00F503B0" w:rsidRPr="00953692">
        <w:rPr>
          <w:sz w:val="24"/>
          <w:szCs w:val="24"/>
          <w:lang w:val="fr-FR"/>
        </w:rPr>
        <w:t>Malheureusement</w:t>
      </w:r>
      <w:r w:rsidR="00D93BEF" w:rsidRPr="00953692">
        <w:rPr>
          <w:sz w:val="24"/>
          <w:szCs w:val="24"/>
          <w:lang w:val="fr-FR"/>
        </w:rPr>
        <w:t xml:space="preserve">, </w:t>
      </w:r>
      <w:r w:rsidR="00F503B0" w:rsidRPr="00953692">
        <w:rPr>
          <w:sz w:val="24"/>
          <w:szCs w:val="24"/>
          <w:lang w:val="fr-FR"/>
        </w:rPr>
        <w:t>on</w:t>
      </w:r>
      <w:r w:rsidR="004536C3" w:rsidRPr="00953692">
        <w:rPr>
          <w:sz w:val="24"/>
          <w:szCs w:val="24"/>
          <w:lang w:val="fr-FR"/>
        </w:rPr>
        <w:t xml:space="preserve"> n’en</w:t>
      </w:r>
      <w:r w:rsidR="00F503B0" w:rsidRPr="00953692">
        <w:rPr>
          <w:sz w:val="24"/>
          <w:szCs w:val="24"/>
          <w:lang w:val="fr-FR"/>
        </w:rPr>
        <w:t xml:space="preserve"> peut faire autrement, </w:t>
      </w:r>
      <w:r w:rsidR="00F503B0" w:rsidRPr="00953692">
        <w:rPr>
          <w:sz w:val="24"/>
          <w:szCs w:val="24"/>
          <w:lang w:val="fr-FR"/>
        </w:rPr>
        <w:lastRenderedPageBreak/>
        <w:t xml:space="preserve">car il ne faudra surtout pas soumettre les accusés aux pressions </w:t>
      </w:r>
      <w:r w:rsidR="00FD2E13" w:rsidRPr="00953692">
        <w:rPr>
          <w:sz w:val="24"/>
          <w:szCs w:val="24"/>
          <w:lang w:val="fr-FR"/>
        </w:rPr>
        <w:t>qui les pousseraient</w:t>
      </w:r>
      <w:r w:rsidR="00F503B0" w:rsidRPr="00953692">
        <w:rPr>
          <w:sz w:val="24"/>
          <w:szCs w:val="24"/>
          <w:lang w:val="fr-FR"/>
        </w:rPr>
        <w:t xml:space="preserve"> à avouer les faits </w:t>
      </w:r>
      <w:r w:rsidR="00AB3D3D" w:rsidRPr="00953692">
        <w:rPr>
          <w:sz w:val="24"/>
          <w:szCs w:val="24"/>
          <w:lang w:val="fr-FR"/>
        </w:rPr>
        <w:t xml:space="preserve">mis </w:t>
      </w:r>
      <w:r w:rsidR="003E04F2" w:rsidRPr="00953692">
        <w:rPr>
          <w:sz w:val="24"/>
          <w:szCs w:val="24"/>
          <w:lang w:val="fr-FR"/>
        </w:rPr>
        <w:t xml:space="preserve">respectivement </w:t>
      </w:r>
      <w:r w:rsidR="00AB3D3D" w:rsidRPr="00953692">
        <w:rPr>
          <w:sz w:val="24"/>
          <w:szCs w:val="24"/>
          <w:lang w:val="fr-FR"/>
        </w:rPr>
        <w:t>à leur charge</w:t>
      </w:r>
      <w:r w:rsidR="00943F40" w:rsidRPr="00953692">
        <w:rPr>
          <w:sz w:val="24"/>
          <w:szCs w:val="24"/>
          <w:lang w:val="fr-FR"/>
        </w:rPr>
        <w:t xml:space="preserve"> par le procureur</w:t>
      </w:r>
      <w:r w:rsidR="00AB3D3D" w:rsidRPr="00953692">
        <w:rPr>
          <w:sz w:val="24"/>
          <w:szCs w:val="24"/>
          <w:lang w:val="fr-FR"/>
        </w:rPr>
        <w:t>. La réalité</w:t>
      </w:r>
      <w:r w:rsidR="00943F40" w:rsidRPr="00953692">
        <w:rPr>
          <w:sz w:val="24"/>
          <w:szCs w:val="24"/>
          <w:lang w:val="fr-FR"/>
        </w:rPr>
        <w:t xml:space="preserve"> devant ces tribunaux</w:t>
      </w:r>
      <w:r w:rsidR="00D93BEF" w:rsidRPr="00953692">
        <w:rPr>
          <w:sz w:val="24"/>
          <w:szCs w:val="24"/>
          <w:lang w:val="fr-FR"/>
        </w:rPr>
        <w:t>,</w:t>
      </w:r>
      <w:r w:rsidR="00AB3D3D" w:rsidRPr="00953692">
        <w:rPr>
          <w:sz w:val="24"/>
          <w:szCs w:val="24"/>
          <w:lang w:val="fr-FR"/>
        </w:rPr>
        <w:t xml:space="preserve"> c’est que dans la majorité des cas, cette stratégie des accusés verse l’Accusation dans une forme de marchandage des chefs d’accusations en contrepartie du plaidoyer de culpabilité. On </w:t>
      </w:r>
      <w:r w:rsidR="00E20C28" w:rsidRPr="00953692">
        <w:rPr>
          <w:sz w:val="24"/>
          <w:szCs w:val="24"/>
          <w:lang w:val="fr-FR"/>
        </w:rPr>
        <w:t xml:space="preserve">en </w:t>
      </w:r>
      <w:r w:rsidR="00AB3D3D" w:rsidRPr="00953692">
        <w:rPr>
          <w:sz w:val="24"/>
          <w:szCs w:val="24"/>
          <w:lang w:val="fr-FR"/>
        </w:rPr>
        <w:t>vient clairement à la remarque pertinente d</w:t>
      </w:r>
      <w:r w:rsidR="00D93BEF" w:rsidRPr="00953692">
        <w:rPr>
          <w:sz w:val="24"/>
          <w:szCs w:val="24"/>
          <w:lang w:val="fr-FR"/>
        </w:rPr>
        <w:t>’</w:t>
      </w:r>
      <w:r w:rsidR="00AB3D3D" w:rsidRPr="00953692">
        <w:rPr>
          <w:sz w:val="24"/>
          <w:szCs w:val="24"/>
          <w:lang w:val="fr-FR"/>
        </w:rPr>
        <w:t>Anne-Marie La</w:t>
      </w:r>
      <w:r w:rsidR="003E04F2" w:rsidRPr="00953692">
        <w:rPr>
          <w:sz w:val="24"/>
          <w:szCs w:val="24"/>
          <w:lang w:val="fr-FR"/>
        </w:rPr>
        <w:t xml:space="preserve"> </w:t>
      </w:r>
      <w:r w:rsidR="00AB3D3D" w:rsidRPr="00953692">
        <w:rPr>
          <w:sz w:val="24"/>
          <w:szCs w:val="24"/>
          <w:lang w:val="fr-FR"/>
        </w:rPr>
        <w:t>Rosa qui fustige une telle pratique en ce qui concerne les crimes internationaux</w:t>
      </w:r>
      <w:r w:rsidR="00DE2304" w:rsidRPr="00953692">
        <w:rPr>
          <w:sz w:val="24"/>
          <w:szCs w:val="24"/>
          <w:lang w:val="fr-FR"/>
        </w:rPr>
        <w:t>, même si la lecture de ces décisions montre que</w:t>
      </w:r>
      <w:r w:rsidR="00AB3D3D" w:rsidRPr="00953692">
        <w:rPr>
          <w:sz w:val="24"/>
          <w:szCs w:val="24"/>
          <w:lang w:val="fr-FR"/>
        </w:rPr>
        <w:t>, le</w:t>
      </w:r>
      <w:r w:rsidR="003E04F2" w:rsidRPr="00953692">
        <w:rPr>
          <w:sz w:val="24"/>
          <w:szCs w:val="24"/>
          <w:lang w:val="fr-FR"/>
        </w:rPr>
        <w:t>s</w:t>
      </w:r>
      <w:r w:rsidR="00AB3D3D" w:rsidRPr="00953692">
        <w:rPr>
          <w:sz w:val="24"/>
          <w:szCs w:val="24"/>
          <w:lang w:val="fr-FR"/>
        </w:rPr>
        <w:t xml:space="preserve"> procureur</w:t>
      </w:r>
      <w:r w:rsidR="003E04F2" w:rsidRPr="00953692">
        <w:rPr>
          <w:sz w:val="24"/>
          <w:szCs w:val="24"/>
          <w:lang w:val="fr-FR"/>
        </w:rPr>
        <w:t>s</w:t>
      </w:r>
      <w:r w:rsidR="00AB3D3D" w:rsidRPr="00953692">
        <w:rPr>
          <w:sz w:val="24"/>
          <w:szCs w:val="24"/>
          <w:lang w:val="fr-FR"/>
        </w:rPr>
        <w:t xml:space="preserve"> </w:t>
      </w:r>
      <w:r w:rsidR="003E04F2" w:rsidRPr="00953692">
        <w:rPr>
          <w:sz w:val="24"/>
          <w:szCs w:val="24"/>
          <w:lang w:val="fr-FR"/>
        </w:rPr>
        <w:t>ont</w:t>
      </w:r>
      <w:r w:rsidR="00AB3D3D" w:rsidRPr="00953692">
        <w:rPr>
          <w:sz w:val="24"/>
          <w:szCs w:val="24"/>
          <w:lang w:val="fr-FR"/>
        </w:rPr>
        <w:t xml:space="preserve"> dû veiller à </w:t>
      </w:r>
      <w:r w:rsidR="003E04F2" w:rsidRPr="00953692">
        <w:rPr>
          <w:sz w:val="24"/>
          <w:szCs w:val="24"/>
          <w:lang w:val="fr-FR"/>
        </w:rPr>
        <w:t>ce que les faits ne soient pas</w:t>
      </w:r>
      <w:r w:rsidR="00AB3D3D" w:rsidRPr="00953692">
        <w:rPr>
          <w:sz w:val="24"/>
          <w:szCs w:val="24"/>
          <w:lang w:val="fr-FR"/>
        </w:rPr>
        <w:t xml:space="preserve"> tronqu</w:t>
      </w:r>
      <w:r w:rsidR="003E04F2" w:rsidRPr="00953692">
        <w:rPr>
          <w:sz w:val="24"/>
          <w:szCs w:val="24"/>
          <w:lang w:val="fr-FR"/>
        </w:rPr>
        <w:t>é</w:t>
      </w:r>
      <w:r w:rsidR="00AB3D3D" w:rsidRPr="00953692">
        <w:rPr>
          <w:sz w:val="24"/>
          <w:szCs w:val="24"/>
          <w:lang w:val="fr-FR"/>
        </w:rPr>
        <w:t>s.</w:t>
      </w:r>
    </w:p>
    <w:p w14:paraId="35D9D609" w14:textId="2DF250EC" w:rsidR="00943F40" w:rsidRPr="00953692" w:rsidRDefault="008A4FE5" w:rsidP="00864BBF">
      <w:pPr>
        <w:spacing w:after="0" w:line="276" w:lineRule="auto"/>
        <w:ind w:firstLine="1134"/>
        <w:jc w:val="both"/>
        <w:rPr>
          <w:sz w:val="24"/>
          <w:szCs w:val="24"/>
          <w:lang w:val="fr-FR"/>
        </w:rPr>
      </w:pPr>
      <w:r w:rsidRPr="00953692">
        <w:rPr>
          <w:b/>
          <w:bCs/>
          <w:sz w:val="24"/>
          <w:szCs w:val="24"/>
          <w:lang w:val="fr-FR"/>
        </w:rPr>
        <w:t>244</w:t>
      </w:r>
      <w:r w:rsidR="00D93BEF" w:rsidRPr="00953692">
        <w:rPr>
          <w:b/>
          <w:bCs/>
          <w:sz w:val="24"/>
          <w:szCs w:val="24"/>
          <w:lang w:val="fr-FR"/>
        </w:rPr>
        <w:t>.</w:t>
      </w:r>
      <w:r w:rsidR="00D93BEF" w:rsidRPr="00953692">
        <w:rPr>
          <w:sz w:val="24"/>
          <w:szCs w:val="24"/>
          <w:lang w:val="fr-FR"/>
        </w:rPr>
        <w:t xml:space="preserve"> </w:t>
      </w:r>
      <w:r w:rsidR="00DE2304" w:rsidRPr="00953692">
        <w:rPr>
          <w:sz w:val="24"/>
          <w:szCs w:val="24"/>
          <w:lang w:val="fr-FR"/>
        </w:rPr>
        <w:t>Toutefois</w:t>
      </w:r>
      <w:r w:rsidR="00F56CB5" w:rsidRPr="00953692">
        <w:rPr>
          <w:sz w:val="24"/>
          <w:szCs w:val="24"/>
          <w:lang w:val="fr-FR"/>
        </w:rPr>
        <w:t xml:space="preserve">, </w:t>
      </w:r>
      <w:r w:rsidR="00DE2304" w:rsidRPr="00953692">
        <w:rPr>
          <w:sz w:val="24"/>
          <w:szCs w:val="24"/>
          <w:lang w:val="fr-FR"/>
        </w:rPr>
        <w:t>force est</w:t>
      </w:r>
      <w:r w:rsidR="00F56CB5" w:rsidRPr="00953692">
        <w:rPr>
          <w:sz w:val="24"/>
          <w:szCs w:val="24"/>
          <w:lang w:val="fr-FR"/>
        </w:rPr>
        <w:t xml:space="preserve"> de remarquer que</w:t>
      </w:r>
      <w:r w:rsidR="00DE2304" w:rsidRPr="00953692">
        <w:rPr>
          <w:sz w:val="24"/>
          <w:szCs w:val="24"/>
          <w:lang w:val="fr-FR"/>
        </w:rPr>
        <w:t>,</w:t>
      </w:r>
      <w:r w:rsidR="00AB3D3D" w:rsidRPr="00953692">
        <w:rPr>
          <w:sz w:val="24"/>
          <w:szCs w:val="24"/>
          <w:lang w:val="fr-FR"/>
        </w:rPr>
        <w:t xml:space="preserve"> ces plaidoyers de culpabilité qui interviennent un peu tardivement ou plus tard</w:t>
      </w:r>
      <w:r w:rsidR="00DE2304" w:rsidRPr="00953692">
        <w:rPr>
          <w:sz w:val="24"/>
          <w:szCs w:val="24"/>
          <w:lang w:val="fr-FR"/>
        </w:rPr>
        <w:t>,</w:t>
      </w:r>
      <w:r w:rsidR="00AB3D3D" w:rsidRPr="00953692">
        <w:rPr>
          <w:sz w:val="24"/>
          <w:szCs w:val="24"/>
          <w:lang w:val="fr-FR"/>
        </w:rPr>
        <w:t xml:space="preserve"> en considérant évidemment la date de la comparution initiale, ne constitue</w:t>
      </w:r>
      <w:r w:rsidR="00F56CB5" w:rsidRPr="00953692">
        <w:rPr>
          <w:sz w:val="24"/>
          <w:szCs w:val="24"/>
          <w:lang w:val="fr-FR"/>
        </w:rPr>
        <w:t>nt</w:t>
      </w:r>
      <w:r w:rsidR="00AB3D3D" w:rsidRPr="00953692">
        <w:rPr>
          <w:sz w:val="24"/>
          <w:szCs w:val="24"/>
          <w:lang w:val="fr-FR"/>
        </w:rPr>
        <w:t xml:space="preserve"> pas moins une économie d’un long procès. </w:t>
      </w:r>
      <w:r w:rsidR="00F56CB5" w:rsidRPr="00953692">
        <w:rPr>
          <w:sz w:val="24"/>
          <w:szCs w:val="24"/>
          <w:lang w:val="fr-FR"/>
        </w:rPr>
        <w:t>Car si, pour parvenir à un accord et finalement à une décision de condamnation</w:t>
      </w:r>
      <w:r w:rsidR="00D93BEF" w:rsidRPr="00953692">
        <w:rPr>
          <w:sz w:val="24"/>
          <w:szCs w:val="24"/>
          <w:lang w:val="fr-FR"/>
        </w:rPr>
        <w:t>,</w:t>
      </w:r>
      <w:r w:rsidR="00F56CB5" w:rsidRPr="00953692">
        <w:rPr>
          <w:sz w:val="24"/>
          <w:szCs w:val="24"/>
          <w:lang w:val="fr-FR"/>
        </w:rPr>
        <w:t xml:space="preserve"> le procès dure quelques années, quelle aurait été la durée d’une procédure contradictoire ?</w:t>
      </w:r>
      <w:r w:rsidR="00D7515E" w:rsidRPr="00953692">
        <w:rPr>
          <w:sz w:val="24"/>
          <w:szCs w:val="24"/>
          <w:lang w:val="fr-FR"/>
        </w:rPr>
        <w:t xml:space="preserve"> </w:t>
      </w:r>
      <w:r w:rsidR="00773D3C" w:rsidRPr="00953692">
        <w:rPr>
          <w:sz w:val="24"/>
          <w:szCs w:val="24"/>
          <w:lang w:val="fr-FR"/>
        </w:rPr>
        <w:t>Dans l’affaire Vincent Rutaganira, après que l’accusé a plaidé non coupable, le procureur a envoyé à la défense presque deux ans après sa première comparution, une lettre dans le cadre des négociations sur le déroulement du procès. Lors d’une Conférence de mise en état du 17 septembre 2004, le Procureur affirmait, pour soutenir sa démarche, que « le résultat de ces négociations pourrait permettre à cette Chambre de gagner beaucoup de temps »</w:t>
      </w:r>
      <w:r w:rsidR="00B91672" w:rsidRPr="00953692">
        <w:rPr>
          <w:rStyle w:val="Appelnotedebasdep"/>
          <w:sz w:val="24"/>
          <w:szCs w:val="24"/>
          <w:lang w:val="fr-FR"/>
        </w:rPr>
        <w:footnoteReference w:customMarkFollows="1" w:id="190"/>
        <w:t>169</w:t>
      </w:r>
      <w:r w:rsidR="00773D3C" w:rsidRPr="00953692">
        <w:rPr>
          <w:sz w:val="24"/>
          <w:szCs w:val="24"/>
          <w:lang w:val="fr-FR"/>
        </w:rPr>
        <w:t>.</w:t>
      </w:r>
      <w:r w:rsidR="00DE42D5" w:rsidRPr="00953692">
        <w:rPr>
          <w:sz w:val="24"/>
          <w:szCs w:val="24"/>
          <w:lang w:val="fr-FR"/>
        </w:rPr>
        <w:t xml:space="preserve"> </w:t>
      </w:r>
      <w:r w:rsidR="00DE42D5" w:rsidRPr="00953692">
        <w:rPr>
          <w:sz w:val="24"/>
          <w:szCs w:val="24"/>
          <w:lang w:val="fr-FR"/>
        </w:rPr>
        <w:lastRenderedPageBreak/>
        <w:t>Il appert que l’Accusation cherche, en optant pour une procédure d’aveu de culpabilité, à écourter le temps du procès.</w:t>
      </w:r>
    </w:p>
    <w:p w14:paraId="5C0E5365" w14:textId="1371ED87" w:rsidR="00385557" w:rsidRPr="00953692" w:rsidRDefault="008A4FE5" w:rsidP="00864BBF">
      <w:pPr>
        <w:spacing w:after="0" w:line="276" w:lineRule="auto"/>
        <w:ind w:firstLine="1134"/>
        <w:jc w:val="both"/>
        <w:rPr>
          <w:sz w:val="24"/>
          <w:szCs w:val="24"/>
          <w:lang w:val="fr-FR"/>
        </w:rPr>
      </w:pPr>
      <w:r w:rsidRPr="00953692">
        <w:rPr>
          <w:b/>
          <w:bCs/>
          <w:sz w:val="24"/>
          <w:szCs w:val="24"/>
          <w:lang w:val="fr-FR"/>
        </w:rPr>
        <w:t>245</w:t>
      </w:r>
      <w:r w:rsidR="00DE42D5" w:rsidRPr="00953692">
        <w:rPr>
          <w:b/>
          <w:bCs/>
          <w:sz w:val="24"/>
          <w:szCs w:val="24"/>
          <w:lang w:val="fr-FR"/>
        </w:rPr>
        <w:t>.</w:t>
      </w:r>
      <w:r w:rsidR="00DE42D5" w:rsidRPr="00953692">
        <w:rPr>
          <w:sz w:val="24"/>
          <w:szCs w:val="24"/>
          <w:lang w:val="fr-FR"/>
        </w:rPr>
        <w:t xml:space="preserve"> </w:t>
      </w:r>
      <w:r w:rsidR="00D7515E" w:rsidRPr="00953692">
        <w:rPr>
          <w:sz w:val="24"/>
          <w:szCs w:val="24"/>
          <w:lang w:val="fr-FR"/>
        </w:rPr>
        <w:t xml:space="preserve">Mais cette stratégie n’est pas très reluisante en ce qui concerne cette économie du temps. Nous avons </w:t>
      </w:r>
      <w:r w:rsidR="00DE2304" w:rsidRPr="00953692">
        <w:rPr>
          <w:sz w:val="24"/>
          <w:szCs w:val="24"/>
          <w:lang w:val="fr-FR"/>
        </w:rPr>
        <w:t xml:space="preserve">vu </w:t>
      </w:r>
      <w:r w:rsidR="00D7515E" w:rsidRPr="00953692">
        <w:rPr>
          <w:sz w:val="24"/>
          <w:szCs w:val="24"/>
          <w:lang w:val="fr-FR"/>
        </w:rPr>
        <w:t>plus haut comment dans l’affaire</w:t>
      </w:r>
      <w:r w:rsidR="00D7515E" w:rsidRPr="00953692">
        <w:rPr>
          <w:rFonts w:eastAsia="Times New Roman" w:cs="Times New Roman"/>
          <w:sz w:val="24"/>
          <w:szCs w:val="24"/>
          <w:shd w:val="clear" w:color="auto" w:fill="FFFFFF"/>
          <w:lang w:val="fr-FR"/>
        </w:rPr>
        <w:t xml:space="preserve"> </w:t>
      </w:r>
      <w:r w:rsidR="00D7515E" w:rsidRPr="00953692">
        <w:rPr>
          <w:sz w:val="24"/>
          <w:szCs w:val="24"/>
          <w:lang w:val="fr-FR"/>
        </w:rPr>
        <w:t xml:space="preserve">Todorović la Chambre de première instance </w:t>
      </w:r>
      <w:r w:rsidR="00DE2304" w:rsidRPr="00953692">
        <w:rPr>
          <w:sz w:val="24"/>
          <w:szCs w:val="24"/>
          <w:lang w:val="fr-FR"/>
        </w:rPr>
        <w:t>a</w:t>
      </w:r>
      <w:r w:rsidR="00D7515E" w:rsidRPr="00953692">
        <w:rPr>
          <w:sz w:val="24"/>
          <w:szCs w:val="24"/>
          <w:lang w:val="fr-FR"/>
        </w:rPr>
        <w:t xml:space="preserve"> fait remarquer la question de la tardiveté de cette reconnaissance de culpabilité</w:t>
      </w:r>
      <w:r w:rsidR="00B91672" w:rsidRPr="00953692">
        <w:rPr>
          <w:rStyle w:val="Appelnotedebasdep"/>
          <w:sz w:val="24"/>
          <w:szCs w:val="24"/>
          <w:lang w:val="fr-FR"/>
        </w:rPr>
        <w:footnoteReference w:customMarkFollows="1" w:id="191"/>
        <w:t>170</w:t>
      </w:r>
      <w:r w:rsidR="00D7515E" w:rsidRPr="00953692">
        <w:rPr>
          <w:sz w:val="24"/>
          <w:szCs w:val="24"/>
          <w:lang w:val="fr-FR"/>
        </w:rPr>
        <w:t>. Les accusés prennent parfois beaucoup de temps pour se remettre</w:t>
      </w:r>
      <w:r w:rsidR="00DE2304" w:rsidRPr="00953692">
        <w:rPr>
          <w:sz w:val="24"/>
          <w:szCs w:val="24"/>
          <w:lang w:val="fr-FR"/>
        </w:rPr>
        <w:t xml:space="preserve"> en question</w:t>
      </w:r>
      <w:r w:rsidR="00D7515E" w:rsidRPr="00953692">
        <w:rPr>
          <w:sz w:val="24"/>
          <w:szCs w:val="24"/>
          <w:lang w:val="fr-FR"/>
        </w:rPr>
        <w:t>.</w:t>
      </w:r>
      <w:r w:rsidR="00AF217A" w:rsidRPr="00953692">
        <w:rPr>
          <w:sz w:val="24"/>
          <w:szCs w:val="24"/>
          <w:lang w:val="fr-FR"/>
        </w:rPr>
        <w:t xml:space="preserve"> Une reconnaissance tardive peut s’avérer inopérante, notamment lorsque</w:t>
      </w:r>
      <w:r w:rsidR="00D7515E" w:rsidRPr="00953692">
        <w:rPr>
          <w:sz w:val="24"/>
          <w:szCs w:val="24"/>
          <w:lang w:val="fr-FR"/>
        </w:rPr>
        <w:t xml:space="preserve"> </w:t>
      </w:r>
      <w:r w:rsidR="00AF217A" w:rsidRPr="00953692">
        <w:rPr>
          <w:sz w:val="24"/>
          <w:szCs w:val="24"/>
          <w:lang w:val="fr-FR"/>
        </w:rPr>
        <w:t>l</w:t>
      </w:r>
      <w:r w:rsidR="00AC43DC" w:rsidRPr="00953692">
        <w:rPr>
          <w:sz w:val="24"/>
          <w:szCs w:val="24"/>
          <w:lang w:val="fr-FR"/>
        </w:rPr>
        <w:t xml:space="preserve">e moment choisi </w:t>
      </w:r>
      <w:r w:rsidR="00AF217A" w:rsidRPr="00953692">
        <w:rPr>
          <w:sz w:val="24"/>
          <w:szCs w:val="24"/>
          <w:lang w:val="fr-FR"/>
        </w:rPr>
        <w:t>par l’accusé est à situer dans</w:t>
      </w:r>
      <w:r w:rsidR="00AC43DC" w:rsidRPr="00953692">
        <w:rPr>
          <w:sz w:val="24"/>
          <w:szCs w:val="24"/>
          <w:lang w:val="fr-FR"/>
        </w:rPr>
        <w:t xml:space="preserve"> une phase très avancée de la procédure</w:t>
      </w:r>
      <w:r w:rsidR="00AF217A" w:rsidRPr="00953692">
        <w:rPr>
          <w:sz w:val="24"/>
          <w:szCs w:val="24"/>
          <w:lang w:val="fr-FR"/>
        </w:rPr>
        <w:t>. Il en est le cas, particulièrement</w:t>
      </w:r>
      <w:r w:rsidR="00AC43DC" w:rsidRPr="00953692">
        <w:rPr>
          <w:sz w:val="24"/>
          <w:szCs w:val="24"/>
          <w:lang w:val="fr-FR"/>
        </w:rPr>
        <w:t xml:space="preserve"> </w:t>
      </w:r>
      <w:r w:rsidR="00AF217A" w:rsidRPr="00953692">
        <w:rPr>
          <w:sz w:val="24"/>
          <w:szCs w:val="24"/>
          <w:lang w:val="fr-FR"/>
        </w:rPr>
        <w:t>de</w:t>
      </w:r>
      <w:r w:rsidR="00AC43DC" w:rsidRPr="00953692">
        <w:rPr>
          <w:sz w:val="24"/>
          <w:szCs w:val="24"/>
          <w:lang w:val="fr-FR"/>
        </w:rPr>
        <w:t xml:space="preserve"> l’affaire Milan Simic</w:t>
      </w:r>
      <w:r w:rsidR="004536C3" w:rsidRPr="00953692">
        <w:rPr>
          <w:sz w:val="24"/>
          <w:szCs w:val="24"/>
          <w:lang w:val="fr-FR"/>
        </w:rPr>
        <w:t xml:space="preserve"> devant l</w:t>
      </w:r>
      <w:r w:rsidR="00AF217A" w:rsidRPr="00953692">
        <w:rPr>
          <w:sz w:val="24"/>
          <w:szCs w:val="24"/>
          <w:lang w:val="fr-FR"/>
        </w:rPr>
        <w:t>a Chambre de première instance du</w:t>
      </w:r>
      <w:r w:rsidR="004536C3" w:rsidRPr="00953692">
        <w:rPr>
          <w:sz w:val="24"/>
          <w:szCs w:val="24"/>
          <w:lang w:val="fr-FR"/>
        </w:rPr>
        <w:t xml:space="preserve"> </w:t>
      </w:r>
      <w:r w:rsidR="00AF217A" w:rsidRPr="00953692">
        <w:rPr>
          <w:sz w:val="24"/>
          <w:szCs w:val="24"/>
          <w:lang w:val="fr-FR"/>
        </w:rPr>
        <w:t xml:space="preserve">II </w:t>
      </w:r>
      <w:r w:rsidR="004536C3" w:rsidRPr="00953692">
        <w:rPr>
          <w:sz w:val="24"/>
          <w:szCs w:val="24"/>
          <w:lang w:val="fr-FR"/>
        </w:rPr>
        <w:t>TPIY</w:t>
      </w:r>
      <w:r w:rsidR="007822C8" w:rsidRPr="00953692">
        <w:rPr>
          <w:sz w:val="24"/>
          <w:szCs w:val="24"/>
          <w:lang w:val="fr-FR"/>
        </w:rPr>
        <w:t xml:space="preserve">, </w:t>
      </w:r>
      <w:r w:rsidR="004536C3" w:rsidRPr="00953692">
        <w:rPr>
          <w:sz w:val="24"/>
          <w:szCs w:val="24"/>
          <w:lang w:val="fr-FR"/>
        </w:rPr>
        <w:t>dont l’historique montre que</w:t>
      </w:r>
      <w:r w:rsidR="007822C8" w:rsidRPr="00953692">
        <w:rPr>
          <w:sz w:val="24"/>
          <w:szCs w:val="24"/>
          <w:lang w:val="fr-FR"/>
        </w:rPr>
        <w:t xml:space="preserve"> l’accusé a plaidé coupable longtemps après l’ouverture du procès et plusieurs jours après la présentation du procureur</w:t>
      </w:r>
      <w:r w:rsidR="00AC43DC" w:rsidRPr="00953692">
        <w:rPr>
          <w:sz w:val="24"/>
          <w:szCs w:val="24"/>
          <w:lang w:val="fr-FR"/>
        </w:rPr>
        <w:t xml:space="preserve">. </w:t>
      </w:r>
    </w:p>
    <w:p w14:paraId="3469649E" w14:textId="5332980D" w:rsidR="00DE2304" w:rsidRPr="00953692" w:rsidRDefault="008A4FE5" w:rsidP="00864BBF">
      <w:pPr>
        <w:spacing w:line="276" w:lineRule="auto"/>
        <w:ind w:firstLine="1134"/>
        <w:jc w:val="both"/>
        <w:rPr>
          <w:sz w:val="24"/>
          <w:szCs w:val="24"/>
          <w:lang w:val="fr-FR"/>
        </w:rPr>
      </w:pPr>
      <w:r w:rsidRPr="00953692">
        <w:rPr>
          <w:b/>
          <w:bCs/>
          <w:sz w:val="24"/>
          <w:szCs w:val="24"/>
          <w:lang w:val="fr-FR"/>
        </w:rPr>
        <w:t>246</w:t>
      </w:r>
      <w:r w:rsidR="00065F74" w:rsidRPr="00953692">
        <w:rPr>
          <w:b/>
          <w:bCs/>
          <w:sz w:val="24"/>
          <w:szCs w:val="24"/>
          <w:lang w:val="fr-FR"/>
        </w:rPr>
        <w:t>.</w:t>
      </w:r>
      <w:r w:rsidR="00065F74" w:rsidRPr="00953692">
        <w:rPr>
          <w:sz w:val="24"/>
          <w:szCs w:val="24"/>
          <w:lang w:val="fr-FR"/>
        </w:rPr>
        <w:t xml:space="preserve"> </w:t>
      </w:r>
      <w:r w:rsidR="00C8638B" w:rsidRPr="00953692">
        <w:rPr>
          <w:sz w:val="24"/>
          <w:szCs w:val="24"/>
          <w:lang w:val="fr-FR"/>
        </w:rPr>
        <w:t>Même si la Chambre n’a pas été si rigoureuse</w:t>
      </w:r>
      <w:r w:rsidR="00773A54" w:rsidRPr="00953692">
        <w:rPr>
          <w:sz w:val="24"/>
          <w:szCs w:val="24"/>
          <w:lang w:val="fr-FR"/>
        </w:rPr>
        <w:t xml:space="preserve"> et a tenu compte d’autres facteurs pertinents</w:t>
      </w:r>
      <w:r w:rsidR="00C8638B" w:rsidRPr="00953692">
        <w:rPr>
          <w:sz w:val="24"/>
          <w:szCs w:val="24"/>
          <w:lang w:val="fr-FR"/>
        </w:rPr>
        <w:t>, u</w:t>
      </w:r>
      <w:r w:rsidR="00AC43DC" w:rsidRPr="00953692">
        <w:rPr>
          <w:sz w:val="24"/>
          <w:szCs w:val="24"/>
          <w:lang w:val="fr-FR"/>
        </w:rPr>
        <w:t>ne telle tardiveté n</w:t>
      </w:r>
      <w:r w:rsidR="00385557" w:rsidRPr="00953692">
        <w:rPr>
          <w:sz w:val="24"/>
          <w:szCs w:val="24"/>
          <w:lang w:val="fr-FR"/>
        </w:rPr>
        <w:t>’est</w:t>
      </w:r>
      <w:r w:rsidR="00AC43DC" w:rsidRPr="00953692">
        <w:rPr>
          <w:sz w:val="24"/>
          <w:szCs w:val="24"/>
          <w:lang w:val="fr-FR"/>
        </w:rPr>
        <w:t xml:space="preserve"> donc pas pass</w:t>
      </w:r>
      <w:r w:rsidR="00385557" w:rsidRPr="00953692">
        <w:rPr>
          <w:sz w:val="24"/>
          <w:szCs w:val="24"/>
          <w:lang w:val="fr-FR"/>
        </w:rPr>
        <w:t>é</w:t>
      </w:r>
      <w:r w:rsidR="007003CE" w:rsidRPr="00953692">
        <w:rPr>
          <w:sz w:val="24"/>
          <w:szCs w:val="24"/>
          <w:lang w:val="fr-FR"/>
        </w:rPr>
        <w:t>e</w:t>
      </w:r>
      <w:r w:rsidR="00AC43DC" w:rsidRPr="00953692">
        <w:rPr>
          <w:sz w:val="24"/>
          <w:szCs w:val="24"/>
          <w:lang w:val="fr-FR"/>
        </w:rPr>
        <w:t xml:space="preserve"> inaperçu</w:t>
      </w:r>
      <w:r w:rsidR="00385557" w:rsidRPr="00953692">
        <w:rPr>
          <w:sz w:val="24"/>
          <w:szCs w:val="24"/>
          <w:lang w:val="fr-FR"/>
        </w:rPr>
        <w:t>e</w:t>
      </w:r>
      <w:r w:rsidR="00AC43DC" w:rsidRPr="00953692">
        <w:rPr>
          <w:sz w:val="24"/>
          <w:szCs w:val="24"/>
          <w:lang w:val="fr-FR"/>
        </w:rPr>
        <w:t xml:space="preserve"> dans la perspective d’une réelle économie d’un long procès. </w:t>
      </w:r>
      <w:r w:rsidR="00C8638B" w:rsidRPr="00953692">
        <w:rPr>
          <w:sz w:val="24"/>
          <w:szCs w:val="24"/>
          <w:lang w:val="fr-FR"/>
        </w:rPr>
        <w:t xml:space="preserve">En fait, </w:t>
      </w:r>
      <w:r w:rsidR="00773A54" w:rsidRPr="00953692">
        <w:rPr>
          <w:sz w:val="24"/>
          <w:szCs w:val="24"/>
          <w:lang w:val="fr-FR"/>
        </w:rPr>
        <w:t>la Chambre de première instance a fait remarquer que, l’accusé a plaidé coupable quatre ans après sa comparution initiale</w:t>
      </w:r>
      <w:r w:rsidR="00B644F5" w:rsidRPr="00953692">
        <w:rPr>
          <w:sz w:val="24"/>
          <w:szCs w:val="24"/>
          <w:lang w:val="fr-FR"/>
        </w:rPr>
        <w:t>,</w:t>
      </w:r>
      <w:r w:rsidR="00773A54" w:rsidRPr="00953692">
        <w:rPr>
          <w:sz w:val="24"/>
          <w:szCs w:val="24"/>
          <w:lang w:val="fr-FR"/>
        </w:rPr>
        <w:t xml:space="preserve"> et son procès avait déjà commencé au moment où est intervenu son plaidoyer de culpabilité. La Chambre a soutenu que, compte tenu notamment de cet élément, </w:t>
      </w:r>
      <w:r w:rsidR="00773A54" w:rsidRPr="00953692">
        <w:rPr>
          <w:i/>
          <w:iCs/>
          <w:sz w:val="24"/>
          <w:szCs w:val="24"/>
          <w:lang w:val="fr-FR"/>
        </w:rPr>
        <w:t>le plaidoyer de culpabilité pèsera nécessairement moins dans la sentence que s’il était intervenu plus tôt ou avant l’ouverture du procès</w:t>
      </w:r>
      <w:r w:rsidR="00B91672" w:rsidRPr="00953692">
        <w:rPr>
          <w:rStyle w:val="Appelnotedebasdep"/>
          <w:sz w:val="24"/>
          <w:szCs w:val="24"/>
          <w:lang w:val="fr-FR"/>
        </w:rPr>
        <w:footnoteReference w:customMarkFollows="1" w:id="192"/>
        <w:t>171</w:t>
      </w:r>
      <w:r w:rsidR="00773A54" w:rsidRPr="00953692">
        <w:rPr>
          <w:sz w:val="24"/>
          <w:szCs w:val="24"/>
          <w:lang w:val="fr-FR"/>
        </w:rPr>
        <w:t xml:space="preserve">. </w:t>
      </w:r>
      <w:r w:rsidR="008730F2" w:rsidRPr="00953692">
        <w:rPr>
          <w:sz w:val="24"/>
          <w:szCs w:val="24"/>
          <w:lang w:val="fr-FR"/>
        </w:rPr>
        <w:t xml:space="preserve">On retrouve la même conclusion dans l’affaire </w:t>
      </w:r>
      <w:r w:rsidR="008730F2" w:rsidRPr="00953692">
        <w:rPr>
          <w:i/>
          <w:iCs/>
          <w:sz w:val="24"/>
          <w:szCs w:val="24"/>
          <w:lang w:val="fr-FR"/>
        </w:rPr>
        <w:t xml:space="preserve">Dragan Nikolić, avec beaucoup plus de </w:t>
      </w:r>
      <w:r w:rsidR="004969D1" w:rsidRPr="00953692">
        <w:rPr>
          <w:i/>
          <w:iCs/>
          <w:sz w:val="24"/>
          <w:szCs w:val="24"/>
          <w:lang w:val="fr-FR"/>
        </w:rPr>
        <w:t>sévérité</w:t>
      </w:r>
      <w:r w:rsidR="008730F2" w:rsidRPr="00953692">
        <w:rPr>
          <w:i/>
          <w:iCs/>
          <w:sz w:val="24"/>
          <w:szCs w:val="24"/>
          <w:lang w:val="fr-FR"/>
        </w:rPr>
        <w:t xml:space="preserve"> dans l’appréciation de la peine à infliger à l’accusé</w:t>
      </w:r>
      <w:r w:rsidR="00B644F5" w:rsidRPr="00953692">
        <w:rPr>
          <w:i/>
          <w:iCs/>
          <w:sz w:val="24"/>
          <w:szCs w:val="24"/>
          <w:lang w:val="fr-FR"/>
        </w:rPr>
        <w:t> :</w:t>
      </w:r>
    </w:p>
    <w:p w14:paraId="51915E70" w14:textId="6C676D74" w:rsidR="007D2C6E" w:rsidRPr="00953692" w:rsidRDefault="008730F2" w:rsidP="00864BBF">
      <w:pPr>
        <w:spacing w:line="276" w:lineRule="auto"/>
        <w:ind w:left="1134" w:firstLine="1134"/>
        <w:jc w:val="both"/>
        <w:rPr>
          <w:sz w:val="22"/>
          <w:lang w:val="fr-FR"/>
        </w:rPr>
      </w:pPr>
      <w:r w:rsidRPr="00953692">
        <w:rPr>
          <w:i/>
          <w:iCs/>
          <w:sz w:val="22"/>
          <w:lang w:val="fr-FR"/>
        </w:rPr>
        <w:t>En fait,</w:t>
      </w:r>
      <w:r w:rsidR="001521DF" w:rsidRPr="00953692">
        <w:rPr>
          <w:i/>
          <w:iCs/>
          <w:sz w:val="22"/>
          <w:lang w:val="fr-FR"/>
        </w:rPr>
        <w:t xml:space="preserve"> devant la Chambre de première instance du TPIY</w:t>
      </w:r>
      <w:r w:rsidR="007D2C6E" w:rsidRPr="00953692">
        <w:rPr>
          <w:i/>
          <w:iCs/>
          <w:sz w:val="22"/>
          <w:lang w:val="fr-FR"/>
        </w:rPr>
        <w:t>, après une longue période de recherche de l’accusé depuis le 4 novembre 1994, il a été interpellé en Bosnie-Herzégovine par la Force multinationale de stabilisation (la « SFOR ») le 20 avril 2000 et</w:t>
      </w:r>
      <w:r w:rsidR="002D246E" w:rsidRPr="00953692">
        <w:rPr>
          <w:i/>
          <w:iCs/>
          <w:sz w:val="22"/>
          <w:lang w:val="fr-FR"/>
        </w:rPr>
        <w:t xml:space="preserve"> </w:t>
      </w:r>
      <w:r w:rsidR="007D2C6E" w:rsidRPr="00953692">
        <w:rPr>
          <w:i/>
          <w:iCs/>
          <w:sz w:val="22"/>
          <w:lang w:val="fr-FR"/>
        </w:rPr>
        <w:t>transféré au Tribunal immédiatement après son arrestation, soit le 21 avril 2000. La comparution initiale de l’accusé a eu lieu le 28 avril 2000, date à laquelle il a plaidé non coupable des 80 chefs d’accusation du premier acte d’accusation modifié du 12 février 1999</w:t>
      </w:r>
      <w:r w:rsidR="00E14075" w:rsidRPr="00953692">
        <w:rPr>
          <w:i/>
          <w:iCs/>
          <w:sz w:val="22"/>
          <w:lang w:val="fr-FR"/>
        </w:rPr>
        <w:t xml:space="preserve">. </w:t>
      </w:r>
      <w:r w:rsidR="002D246E" w:rsidRPr="00953692">
        <w:rPr>
          <w:i/>
          <w:iCs/>
          <w:sz w:val="22"/>
          <w:lang w:val="fr-FR"/>
        </w:rPr>
        <w:t>Le 1er septembre</w:t>
      </w:r>
      <w:r w:rsidR="003513FE" w:rsidRPr="00953692">
        <w:rPr>
          <w:i/>
          <w:iCs/>
          <w:sz w:val="22"/>
          <w:lang w:val="fr-FR"/>
        </w:rPr>
        <w:t>,</w:t>
      </w:r>
      <w:r w:rsidR="002D246E" w:rsidRPr="00953692">
        <w:rPr>
          <w:i/>
          <w:iCs/>
          <w:sz w:val="22"/>
          <w:lang w:val="fr-FR"/>
        </w:rPr>
        <w:t xml:space="preserve"> le jour prévu pour l’ouverture du procès, l’Accusation et la Défense ont déposé une requête conjointe demandant à la Chambre de première instance de reporter l’audience consacrée aux dépositions « en raison de la tournure prise par les événements » et « dans l’intérêt de toutes les parties ». Le 2 septembre suivant, les parties déposent leur proposition conjointe d’accord sur le plaidoyer, qui a été accepté durant l’audience du 4 septembre 2003. Le 18 décembre 2003, elle condamne à 23 ans d’emprisonnement</w:t>
      </w:r>
      <w:r w:rsidR="00B91672" w:rsidRPr="00953692">
        <w:rPr>
          <w:rStyle w:val="Appelnotedebasdep"/>
          <w:sz w:val="22"/>
          <w:lang w:val="fr-FR"/>
        </w:rPr>
        <w:footnoteReference w:customMarkFollows="1" w:id="193"/>
        <w:t>172</w:t>
      </w:r>
      <w:r w:rsidR="002D246E" w:rsidRPr="00953692">
        <w:rPr>
          <w:sz w:val="22"/>
          <w:lang w:val="fr-FR"/>
        </w:rPr>
        <w:t>.</w:t>
      </w:r>
    </w:p>
    <w:p w14:paraId="77CDAB06" w14:textId="1EA90CC1" w:rsidR="007822C8" w:rsidRPr="00953692" w:rsidRDefault="008A4FE5" w:rsidP="00864BBF">
      <w:pPr>
        <w:spacing w:after="0" w:line="276" w:lineRule="auto"/>
        <w:ind w:firstLine="1134"/>
        <w:jc w:val="both"/>
        <w:rPr>
          <w:sz w:val="24"/>
          <w:szCs w:val="24"/>
          <w:lang w:val="fr-FR"/>
        </w:rPr>
      </w:pPr>
      <w:r w:rsidRPr="00953692">
        <w:rPr>
          <w:b/>
          <w:bCs/>
          <w:sz w:val="24"/>
          <w:szCs w:val="24"/>
          <w:lang w:val="fr-FR"/>
        </w:rPr>
        <w:lastRenderedPageBreak/>
        <w:t>247</w:t>
      </w:r>
      <w:r w:rsidR="003513FE" w:rsidRPr="00953692">
        <w:rPr>
          <w:b/>
          <w:bCs/>
          <w:sz w:val="24"/>
          <w:szCs w:val="24"/>
          <w:lang w:val="fr-FR"/>
        </w:rPr>
        <w:t>.</w:t>
      </w:r>
      <w:r w:rsidR="003513FE" w:rsidRPr="00953692">
        <w:rPr>
          <w:sz w:val="24"/>
          <w:szCs w:val="24"/>
          <w:lang w:val="fr-FR"/>
        </w:rPr>
        <w:t xml:space="preserve"> </w:t>
      </w:r>
      <w:r w:rsidR="007822C8" w:rsidRPr="00953692">
        <w:rPr>
          <w:sz w:val="24"/>
          <w:szCs w:val="24"/>
          <w:lang w:val="fr-FR"/>
        </w:rPr>
        <w:t>Dans cette affaire, le condamné avait interjeté appel</w:t>
      </w:r>
      <w:r w:rsidR="00E43208" w:rsidRPr="00953692">
        <w:rPr>
          <w:sz w:val="24"/>
          <w:szCs w:val="24"/>
          <w:lang w:val="fr-FR"/>
        </w:rPr>
        <w:t xml:space="preserve"> contre la peine qui lui avait été infligée</w:t>
      </w:r>
      <w:r w:rsidR="007822C8" w:rsidRPr="00953692">
        <w:rPr>
          <w:sz w:val="24"/>
          <w:szCs w:val="24"/>
          <w:lang w:val="fr-FR"/>
        </w:rPr>
        <w:t xml:space="preserve"> au motif, entre autres, que la Chambre de première instance</w:t>
      </w:r>
      <w:r w:rsidR="00E43208" w:rsidRPr="00953692">
        <w:rPr>
          <w:sz w:val="24"/>
          <w:szCs w:val="24"/>
          <w:lang w:val="fr-FR"/>
        </w:rPr>
        <w:t xml:space="preserve"> n’a pas expressément pris en compte le fait que son plaidoyer de culpabilité permettait d’éviter un long procès. Pour rencontrer ce moyen d’appel, la Chambre d’appel du TPIY a relevé que </w:t>
      </w:r>
      <w:r w:rsidR="00E43208" w:rsidRPr="00953692">
        <w:rPr>
          <w:i/>
          <w:iCs/>
          <w:sz w:val="24"/>
          <w:szCs w:val="24"/>
          <w:lang w:val="fr-FR"/>
        </w:rPr>
        <w:t>la Chambre de première instance avait bien pris en compte cet aspect des choses au paragraphe 231 du Jugement portant condamnation, que l’économie faite d’un long procès pouvait constituer un élément permettant de considérer le plaidoyer de culpabilité comme une circonstance atténuante. Cependant, la Chambre de première instance a observé que Dragan Nikolić avait décidé de plaider coupable relativement tard puisqu’il ne l’avait fait qu’au bout de trois ans de détention et juste avant la déposition hors audience de six témoins</w:t>
      </w:r>
      <w:r w:rsidR="00E43208" w:rsidRPr="00953692">
        <w:rPr>
          <w:sz w:val="24"/>
          <w:szCs w:val="24"/>
          <w:lang w:val="fr-FR"/>
        </w:rPr>
        <w:t xml:space="preserve">. </w:t>
      </w:r>
      <w:r w:rsidR="00D90359" w:rsidRPr="00953692">
        <w:rPr>
          <w:sz w:val="24"/>
          <w:szCs w:val="24"/>
          <w:lang w:val="fr-FR"/>
        </w:rPr>
        <w:t>Compte tenu du fait</w:t>
      </w:r>
      <w:r w:rsidR="003513FE" w:rsidRPr="00953692">
        <w:rPr>
          <w:sz w:val="24"/>
          <w:szCs w:val="24"/>
          <w:lang w:val="fr-FR"/>
        </w:rPr>
        <w:t xml:space="preserve"> que,</w:t>
      </w:r>
      <w:r w:rsidR="00D90359" w:rsidRPr="00953692">
        <w:rPr>
          <w:sz w:val="24"/>
          <w:szCs w:val="24"/>
          <w:lang w:val="fr-FR"/>
        </w:rPr>
        <w:t xml:space="preserve"> l’accusé n’est pas tenu de plaider coupable, il n’y a pas lieu de prendre en compte ce caractère tardif pour rejeter ce moyen</w:t>
      </w:r>
      <w:r w:rsidR="00B91672" w:rsidRPr="00953692">
        <w:rPr>
          <w:rStyle w:val="Appelnotedebasdep"/>
          <w:sz w:val="24"/>
          <w:szCs w:val="24"/>
          <w:lang w:val="fr-FR"/>
        </w:rPr>
        <w:footnoteReference w:customMarkFollows="1" w:id="194"/>
        <w:t>173</w:t>
      </w:r>
      <w:r w:rsidR="00D90359" w:rsidRPr="00953692">
        <w:rPr>
          <w:sz w:val="24"/>
          <w:szCs w:val="24"/>
          <w:lang w:val="fr-FR"/>
        </w:rPr>
        <w:t>.</w:t>
      </w:r>
    </w:p>
    <w:p w14:paraId="03C77580" w14:textId="77777777" w:rsidR="00ED789C" w:rsidRDefault="008A4FE5" w:rsidP="00ED789C">
      <w:pPr>
        <w:spacing w:after="0" w:line="276" w:lineRule="auto"/>
        <w:ind w:firstLine="1134"/>
        <w:jc w:val="both"/>
        <w:rPr>
          <w:sz w:val="24"/>
          <w:szCs w:val="24"/>
          <w:lang w:val="fr-FR"/>
        </w:rPr>
      </w:pPr>
      <w:r w:rsidRPr="00953692">
        <w:rPr>
          <w:b/>
          <w:bCs/>
          <w:sz w:val="24"/>
          <w:szCs w:val="24"/>
          <w:lang w:val="fr-FR"/>
        </w:rPr>
        <w:t>248</w:t>
      </w:r>
      <w:r w:rsidR="003513FE" w:rsidRPr="00953692">
        <w:rPr>
          <w:b/>
          <w:bCs/>
          <w:sz w:val="24"/>
          <w:szCs w:val="24"/>
          <w:lang w:val="fr-FR"/>
        </w:rPr>
        <w:t xml:space="preserve">. </w:t>
      </w:r>
      <w:r w:rsidR="00AF217A" w:rsidRPr="00953692">
        <w:rPr>
          <w:sz w:val="24"/>
          <w:szCs w:val="24"/>
          <w:lang w:val="fr-FR"/>
        </w:rPr>
        <w:t>Dans cette discussion qui s’avère intéressante dans le cadre de cette analyse,</w:t>
      </w:r>
      <w:r w:rsidR="00AF217A" w:rsidRPr="00953692">
        <w:rPr>
          <w:b/>
          <w:bCs/>
          <w:sz w:val="24"/>
          <w:szCs w:val="24"/>
          <w:lang w:val="fr-FR"/>
        </w:rPr>
        <w:t xml:space="preserve"> </w:t>
      </w:r>
      <w:r w:rsidR="00AF217A" w:rsidRPr="00953692">
        <w:rPr>
          <w:sz w:val="24"/>
          <w:szCs w:val="24"/>
          <w:lang w:val="fr-FR"/>
        </w:rPr>
        <w:t>l</w:t>
      </w:r>
      <w:r w:rsidR="00D90359" w:rsidRPr="00953692">
        <w:rPr>
          <w:sz w:val="24"/>
          <w:szCs w:val="24"/>
          <w:lang w:val="fr-FR"/>
        </w:rPr>
        <w:t xml:space="preserve">e problème, c’est que l’accusé ne peut pas se prévaloir d’une prétendue économie du temps faite par son plaidoyer de culpabilité </w:t>
      </w:r>
      <w:r w:rsidR="00385557" w:rsidRPr="00953692">
        <w:rPr>
          <w:sz w:val="24"/>
          <w:szCs w:val="24"/>
          <w:lang w:val="fr-FR"/>
        </w:rPr>
        <w:t xml:space="preserve">tardif </w:t>
      </w:r>
      <w:r w:rsidR="00D90359" w:rsidRPr="00953692">
        <w:rPr>
          <w:sz w:val="24"/>
          <w:szCs w:val="24"/>
          <w:lang w:val="fr-FR"/>
        </w:rPr>
        <w:t>pour réclamer les circonstances atténuantes. Le juge reste souverain dans son appréciation en cette matière, et devra aussi prendre en compte l’apport réel d’un plaidoyer de culpabilité tardif sur le temps antérieur et postérieur du procès.</w:t>
      </w:r>
      <w:r w:rsidR="004C6B9E" w:rsidRPr="00953692">
        <w:rPr>
          <w:sz w:val="24"/>
          <w:szCs w:val="24"/>
          <w:lang w:val="fr-FR"/>
        </w:rPr>
        <w:t xml:space="preserve"> </w:t>
      </w:r>
      <w:r w:rsidR="008C2AC8" w:rsidRPr="00953692">
        <w:rPr>
          <w:sz w:val="24"/>
          <w:szCs w:val="24"/>
          <w:lang w:val="fr-FR"/>
        </w:rPr>
        <w:t>L’accusé</w:t>
      </w:r>
      <w:r w:rsidR="004C6B9E" w:rsidRPr="00953692">
        <w:rPr>
          <w:sz w:val="24"/>
          <w:szCs w:val="24"/>
          <w:lang w:val="fr-FR"/>
        </w:rPr>
        <w:t xml:space="preserve"> perd un peu ce</w:t>
      </w:r>
      <w:r w:rsidR="008C2AC8" w:rsidRPr="00953692">
        <w:rPr>
          <w:sz w:val="24"/>
          <w:szCs w:val="24"/>
          <w:lang w:val="fr-FR"/>
        </w:rPr>
        <w:t xml:space="preserve"> possible</w:t>
      </w:r>
      <w:r w:rsidR="004C6B9E" w:rsidRPr="00953692">
        <w:rPr>
          <w:sz w:val="24"/>
          <w:szCs w:val="24"/>
          <w:lang w:val="fr-FR"/>
        </w:rPr>
        <w:t xml:space="preserve"> avantage que lui procur</w:t>
      </w:r>
      <w:r w:rsidR="008C2AC8" w:rsidRPr="00953692">
        <w:rPr>
          <w:sz w:val="24"/>
          <w:szCs w:val="24"/>
          <w:lang w:val="fr-FR"/>
        </w:rPr>
        <w:t>erait</w:t>
      </w:r>
      <w:r w:rsidR="004C6B9E" w:rsidRPr="00953692">
        <w:rPr>
          <w:sz w:val="24"/>
          <w:szCs w:val="24"/>
          <w:lang w:val="fr-FR"/>
        </w:rPr>
        <w:t xml:space="preserve"> le fait d’avouer </w:t>
      </w:r>
      <w:r w:rsidR="00385557" w:rsidRPr="00953692">
        <w:rPr>
          <w:sz w:val="24"/>
          <w:szCs w:val="24"/>
          <w:lang w:val="fr-FR"/>
        </w:rPr>
        <w:t xml:space="preserve">très </w:t>
      </w:r>
      <w:r w:rsidR="00A03FE4" w:rsidRPr="00953692">
        <w:rPr>
          <w:sz w:val="24"/>
          <w:szCs w:val="24"/>
          <w:lang w:val="fr-FR"/>
        </w:rPr>
        <w:t>tôt</w:t>
      </w:r>
      <w:r w:rsidR="00385557" w:rsidRPr="00953692">
        <w:rPr>
          <w:sz w:val="24"/>
          <w:szCs w:val="24"/>
          <w:lang w:val="fr-FR"/>
        </w:rPr>
        <w:t xml:space="preserve"> </w:t>
      </w:r>
      <w:r w:rsidR="004C6B9E" w:rsidRPr="00953692">
        <w:rPr>
          <w:sz w:val="24"/>
          <w:szCs w:val="24"/>
          <w:lang w:val="fr-FR"/>
        </w:rPr>
        <w:t>les faits mis à sa charge. Le fait d</w:t>
      </w:r>
      <w:r w:rsidR="003513FE" w:rsidRPr="00953692">
        <w:rPr>
          <w:sz w:val="24"/>
          <w:szCs w:val="24"/>
          <w:lang w:val="fr-FR"/>
        </w:rPr>
        <w:t>e</w:t>
      </w:r>
      <w:r w:rsidR="004C6B9E" w:rsidRPr="00953692">
        <w:rPr>
          <w:sz w:val="24"/>
          <w:szCs w:val="24"/>
          <w:lang w:val="fr-FR"/>
        </w:rPr>
        <w:t xml:space="preserve"> pass</w:t>
      </w:r>
      <w:r w:rsidR="003513FE" w:rsidRPr="00953692">
        <w:rPr>
          <w:sz w:val="24"/>
          <w:szCs w:val="24"/>
          <w:lang w:val="fr-FR"/>
        </w:rPr>
        <w:t>er</w:t>
      </w:r>
      <w:r w:rsidR="004C6B9E" w:rsidRPr="00953692">
        <w:rPr>
          <w:sz w:val="24"/>
          <w:szCs w:val="24"/>
          <w:lang w:val="fr-FR"/>
        </w:rPr>
        <w:t xml:space="preserve"> trop de temps avant de plaider coupable est donc inhibitif.</w:t>
      </w:r>
      <w:r w:rsidR="00AF217A" w:rsidRPr="00953692">
        <w:rPr>
          <w:sz w:val="24"/>
          <w:szCs w:val="24"/>
          <w:lang w:val="fr-FR"/>
        </w:rPr>
        <w:t xml:space="preserve"> </w:t>
      </w:r>
    </w:p>
    <w:p w14:paraId="28809743" w14:textId="4ACBB40F" w:rsidR="006C41DC" w:rsidRPr="00ED789C" w:rsidRDefault="008A4FE5" w:rsidP="00ED789C">
      <w:pPr>
        <w:spacing w:after="0" w:line="276" w:lineRule="auto"/>
        <w:ind w:firstLine="1134"/>
        <w:jc w:val="both"/>
        <w:rPr>
          <w:sz w:val="24"/>
          <w:szCs w:val="24"/>
          <w:lang w:val="fr-FR"/>
        </w:rPr>
      </w:pPr>
      <w:r w:rsidRPr="00953692">
        <w:rPr>
          <w:b/>
          <w:bCs/>
          <w:sz w:val="24"/>
          <w:szCs w:val="24"/>
          <w:lang w:val="fr-FR"/>
        </w:rPr>
        <w:t>249</w:t>
      </w:r>
      <w:r w:rsidR="00FA0AB1" w:rsidRPr="00953692">
        <w:rPr>
          <w:b/>
          <w:bCs/>
          <w:sz w:val="24"/>
          <w:szCs w:val="24"/>
          <w:lang w:val="fr-FR"/>
        </w:rPr>
        <w:t>.</w:t>
      </w:r>
      <w:r w:rsidR="00FA0AB1" w:rsidRPr="00953692">
        <w:rPr>
          <w:sz w:val="24"/>
          <w:szCs w:val="24"/>
          <w:lang w:val="fr-FR"/>
        </w:rPr>
        <w:t xml:space="preserve"> </w:t>
      </w:r>
      <w:r w:rsidR="005F6B90" w:rsidRPr="00953692">
        <w:rPr>
          <w:sz w:val="24"/>
          <w:szCs w:val="24"/>
          <w:lang w:val="fr-FR"/>
        </w:rPr>
        <w:t>En pratique judiciaire, l</w:t>
      </w:r>
      <w:r w:rsidR="00AF217A" w:rsidRPr="00953692">
        <w:rPr>
          <w:sz w:val="24"/>
          <w:szCs w:val="24"/>
          <w:lang w:val="fr-FR"/>
        </w:rPr>
        <w:t>’économie d’un long procès est avant tout factuelle. En renonçant à la contradiction, l’accusé permet</w:t>
      </w:r>
      <w:r w:rsidR="005F6B90" w:rsidRPr="00953692">
        <w:rPr>
          <w:sz w:val="24"/>
          <w:szCs w:val="24"/>
          <w:lang w:val="fr-FR"/>
        </w:rPr>
        <w:t>,</w:t>
      </w:r>
      <w:r w:rsidR="00AF217A" w:rsidRPr="00953692">
        <w:rPr>
          <w:sz w:val="24"/>
          <w:szCs w:val="24"/>
          <w:lang w:val="fr-FR"/>
        </w:rPr>
        <w:t xml:space="preserve"> sans une autre forme de constatation</w:t>
      </w:r>
      <w:r w:rsidR="005F6B90" w:rsidRPr="00953692">
        <w:rPr>
          <w:sz w:val="24"/>
          <w:szCs w:val="24"/>
          <w:lang w:val="fr-FR"/>
        </w:rPr>
        <w:t>,</w:t>
      </w:r>
      <w:r w:rsidR="00AF217A" w:rsidRPr="00953692">
        <w:rPr>
          <w:sz w:val="24"/>
          <w:szCs w:val="24"/>
          <w:lang w:val="fr-FR"/>
        </w:rPr>
        <w:t xml:space="preserve"> à la procédure de se déroule de façon rapide. </w:t>
      </w:r>
      <w:r w:rsidR="009D41EB" w:rsidRPr="00953692">
        <w:rPr>
          <w:sz w:val="24"/>
          <w:szCs w:val="24"/>
          <w:lang w:val="fr-FR"/>
        </w:rPr>
        <w:t xml:space="preserve">L’avantage qu’il en tire </w:t>
      </w:r>
      <w:r w:rsidR="005F6B90" w:rsidRPr="00953692">
        <w:rPr>
          <w:sz w:val="24"/>
          <w:szCs w:val="24"/>
          <w:lang w:val="fr-FR"/>
        </w:rPr>
        <w:t xml:space="preserve">individuellement </w:t>
      </w:r>
      <w:r w:rsidR="009D41EB" w:rsidRPr="00953692">
        <w:rPr>
          <w:sz w:val="24"/>
          <w:szCs w:val="24"/>
          <w:lang w:val="fr-FR"/>
        </w:rPr>
        <w:t xml:space="preserve">serait </w:t>
      </w:r>
      <w:r w:rsidR="005F6B90" w:rsidRPr="00953692">
        <w:rPr>
          <w:sz w:val="24"/>
          <w:szCs w:val="24"/>
          <w:lang w:val="fr-FR"/>
        </w:rPr>
        <w:t>en revanche</w:t>
      </w:r>
      <w:r w:rsidR="009D41EB" w:rsidRPr="00953692">
        <w:rPr>
          <w:sz w:val="24"/>
          <w:szCs w:val="24"/>
          <w:lang w:val="fr-FR"/>
        </w:rPr>
        <w:t xml:space="preserve"> juridique, dans la mesure où le mécanisme d’aveu de culpabilité permet au juge de remarquer que l’accusé est conscient du mal qu’il a commis à la société</w:t>
      </w:r>
      <w:r w:rsidR="005205DA" w:rsidRPr="00953692">
        <w:rPr>
          <w:sz w:val="24"/>
          <w:szCs w:val="24"/>
          <w:lang w:val="fr-FR"/>
        </w:rPr>
        <w:t xml:space="preserve"> et s’en repent ; permettant </w:t>
      </w:r>
      <w:r w:rsidR="00492409" w:rsidRPr="00953692">
        <w:rPr>
          <w:sz w:val="24"/>
          <w:szCs w:val="24"/>
          <w:lang w:val="fr-FR"/>
        </w:rPr>
        <w:t xml:space="preserve">in fine </w:t>
      </w:r>
      <w:r w:rsidR="005205DA" w:rsidRPr="00953692">
        <w:rPr>
          <w:sz w:val="24"/>
          <w:szCs w:val="24"/>
          <w:lang w:val="fr-FR"/>
        </w:rPr>
        <w:t xml:space="preserve">au tribunal d’économiser à la fois le temps et les ressources destinées à l’enquête </w:t>
      </w:r>
      <w:r w:rsidR="00BC2366" w:rsidRPr="00953692">
        <w:rPr>
          <w:sz w:val="24"/>
          <w:szCs w:val="24"/>
          <w:lang w:val="fr-FR"/>
        </w:rPr>
        <w:t>et</w:t>
      </w:r>
      <w:r w:rsidR="005205DA" w:rsidRPr="00953692">
        <w:rPr>
          <w:sz w:val="24"/>
          <w:szCs w:val="24"/>
          <w:lang w:val="fr-FR"/>
        </w:rPr>
        <w:t xml:space="preserve"> à l’instruction qu’une procédure contradictoire aurait </w:t>
      </w:r>
      <w:r w:rsidRPr="00953692">
        <w:rPr>
          <w:sz w:val="24"/>
          <w:szCs w:val="24"/>
          <w:lang w:val="fr-FR"/>
        </w:rPr>
        <w:t>nécessitées</w:t>
      </w:r>
      <w:r w:rsidR="005205DA" w:rsidRPr="00953692">
        <w:rPr>
          <w:sz w:val="24"/>
          <w:szCs w:val="24"/>
          <w:lang w:val="fr-FR"/>
        </w:rPr>
        <w:t>.</w:t>
      </w:r>
      <w:r w:rsidR="00FA0AB1" w:rsidRPr="00953692">
        <w:rPr>
          <w:sz w:val="24"/>
          <w:szCs w:val="24"/>
          <w:lang w:val="fr-FR"/>
        </w:rPr>
        <w:t xml:space="preserve"> Une telle conscience mérite bien une récompense légitime de la part de la société qui tient à élucider les circonstances du drame dont elle a été victime. C’est en réalité dans cet esprit que les juges pénaux internationaux sont convaincus « qu’un plaidoyer de culpabilité devrait entrainer une réduction de la peine qui aurait autrement été prononcée »</w:t>
      </w:r>
      <w:r w:rsidR="00B91672" w:rsidRPr="00953692">
        <w:rPr>
          <w:rFonts w:cs="Times New Roman"/>
          <w:i/>
          <w:iCs/>
          <w:sz w:val="24"/>
          <w:szCs w:val="24"/>
          <w:lang w:val="fr-FR"/>
        </w:rPr>
        <w:t xml:space="preserve"> (Le procureur c. Stevan Todorović, par. 80)</w:t>
      </w:r>
      <w:r w:rsidR="00FA0AB1" w:rsidRPr="00953692">
        <w:rPr>
          <w:sz w:val="24"/>
          <w:szCs w:val="24"/>
          <w:lang w:val="fr-FR"/>
        </w:rPr>
        <w:t>.</w:t>
      </w:r>
    </w:p>
    <w:p w14:paraId="3FD77181" w14:textId="70425BA6" w:rsidR="00C41A61" w:rsidRPr="00953692" w:rsidRDefault="008A4FE5"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250</w:t>
      </w:r>
      <w:r w:rsidR="00A56CCC" w:rsidRPr="00953692">
        <w:rPr>
          <w:rFonts w:cs="Times New Roman"/>
          <w:b/>
          <w:bCs/>
          <w:sz w:val="24"/>
          <w:szCs w:val="24"/>
          <w:lang w:val="fr-FR"/>
        </w:rPr>
        <w:t>.</w:t>
      </w:r>
      <w:r w:rsidR="00A56CCC" w:rsidRPr="00953692">
        <w:rPr>
          <w:rFonts w:cs="Times New Roman"/>
          <w:sz w:val="24"/>
          <w:szCs w:val="24"/>
          <w:lang w:val="fr-FR"/>
        </w:rPr>
        <w:t xml:space="preserve"> </w:t>
      </w:r>
      <w:r w:rsidR="004C6B9E" w:rsidRPr="00953692">
        <w:rPr>
          <w:rFonts w:cs="Times New Roman"/>
          <w:sz w:val="24"/>
          <w:szCs w:val="24"/>
          <w:lang w:val="fr-FR"/>
        </w:rPr>
        <w:t xml:space="preserve">En somme, </w:t>
      </w:r>
      <w:r w:rsidR="00BE70FB" w:rsidRPr="00953692">
        <w:rPr>
          <w:rFonts w:cs="Times New Roman"/>
          <w:sz w:val="24"/>
          <w:szCs w:val="24"/>
          <w:lang w:val="fr-FR"/>
        </w:rPr>
        <w:t>il sied de remarquer</w:t>
      </w:r>
      <w:r w:rsidR="00A56CCC" w:rsidRPr="00953692">
        <w:rPr>
          <w:rFonts w:cs="Times New Roman"/>
          <w:sz w:val="24"/>
          <w:szCs w:val="24"/>
          <w:lang w:val="fr-FR"/>
        </w:rPr>
        <w:t>,</w:t>
      </w:r>
      <w:r w:rsidR="00BE70FB" w:rsidRPr="00953692">
        <w:rPr>
          <w:rFonts w:cs="Times New Roman"/>
          <w:sz w:val="24"/>
          <w:szCs w:val="24"/>
          <w:lang w:val="fr-FR"/>
        </w:rPr>
        <w:t xml:space="preserve"> d’une part, que de </w:t>
      </w:r>
      <w:r w:rsidR="004C6B9E" w:rsidRPr="00953692">
        <w:rPr>
          <w:rFonts w:cs="Times New Roman"/>
          <w:sz w:val="24"/>
          <w:szCs w:val="24"/>
          <w:lang w:val="fr-FR"/>
        </w:rPr>
        <w:t>l’analyse des affaires susmentionnées</w:t>
      </w:r>
      <w:r w:rsidR="00EC6968" w:rsidRPr="00953692">
        <w:rPr>
          <w:rFonts w:cs="Times New Roman"/>
          <w:sz w:val="24"/>
          <w:szCs w:val="24"/>
          <w:lang w:val="fr-FR"/>
        </w:rPr>
        <w:t>,</w:t>
      </w:r>
      <w:r w:rsidR="004C6B9E" w:rsidRPr="00953692">
        <w:rPr>
          <w:rFonts w:cs="Times New Roman"/>
          <w:sz w:val="24"/>
          <w:szCs w:val="24"/>
          <w:lang w:val="fr-FR"/>
        </w:rPr>
        <w:t xml:space="preserve"> </w:t>
      </w:r>
      <w:r w:rsidR="00BE70FB" w:rsidRPr="00953692">
        <w:rPr>
          <w:rFonts w:cs="Times New Roman"/>
          <w:sz w:val="24"/>
          <w:szCs w:val="24"/>
          <w:lang w:val="fr-FR"/>
        </w:rPr>
        <w:t>découle</w:t>
      </w:r>
      <w:r w:rsidR="004C6B9E" w:rsidRPr="00953692">
        <w:rPr>
          <w:rFonts w:cs="Times New Roman"/>
          <w:sz w:val="24"/>
          <w:szCs w:val="24"/>
          <w:lang w:val="fr-FR"/>
        </w:rPr>
        <w:t xml:space="preserve"> dans tous le</w:t>
      </w:r>
      <w:r w:rsidR="00A56CCC" w:rsidRPr="00953692">
        <w:rPr>
          <w:rFonts w:cs="Times New Roman"/>
          <w:sz w:val="24"/>
          <w:szCs w:val="24"/>
          <w:lang w:val="fr-FR"/>
        </w:rPr>
        <w:t>s</w:t>
      </w:r>
      <w:r w:rsidR="004C6B9E" w:rsidRPr="00953692">
        <w:rPr>
          <w:rFonts w:cs="Times New Roman"/>
          <w:sz w:val="24"/>
          <w:szCs w:val="24"/>
          <w:lang w:val="fr-FR"/>
        </w:rPr>
        <w:t xml:space="preserve"> cas</w:t>
      </w:r>
      <w:r w:rsidR="00BE70FB" w:rsidRPr="00953692">
        <w:rPr>
          <w:rFonts w:cs="Times New Roman"/>
          <w:sz w:val="24"/>
          <w:szCs w:val="24"/>
          <w:lang w:val="fr-FR"/>
        </w:rPr>
        <w:t>,</w:t>
      </w:r>
      <w:r w:rsidR="004C6B9E" w:rsidRPr="00953692">
        <w:rPr>
          <w:rFonts w:cs="Times New Roman"/>
          <w:sz w:val="24"/>
          <w:szCs w:val="24"/>
          <w:lang w:val="fr-FR"/>
        </w:rPr>
        <w:t xml:space="preserve"> l’absence</w:t>
      </w:r>
      <w:r w:rsidR="00EC6B98" w:rsidRPr="00953692">
        <w:rPr>
          <w:rFonts w:cs="Times New Roman"/>
          <w:sz w:val="24"/>
          <w:szCs w:val="24"/>
          <w:lang w:val="fr-FR"/>
        </w:rPr>
        <w:t xml:space="preserve"> de </w:t>
      </w:r>
      <w:r w:rsidR="00BE70FB" w:rsidRPr="00953692">
        <w:rPr>
          <w:rFonts w:cs="Times New Roman"/>
          <w:sz w:val="24"/>
          <w:szCs w:val="24"/>
          <w:lang w:val="fr-FR"/>
        </w:rPr>
        <w:t xml:space="preserve">toute </w:t>
      </w:r>
      <w:r w:rsidR="00EC6B98" w:rsidRPr="00953692">
        <w:rPr>
          <w:rFonts w:cs="Times New Roman"/>
          <w:sz w:val="24"/>
          <w:szCs w:val="24"/>
          <w:lang w:val="fr-FR"/>
        </w:rPr>
        <w:t xml:space="preserve">prétention de l’accusé </w:t>
      </w:r>
      <w:r w:rsidR="00BE70FB" w:rsidRPr="00953692">
        <w:rPr>
          <w:rFonts w:cs="Times New Roman"/>
          <w:sz w:val="24"/>
          <w:szCs w:val="24"/>
          <w:lang w:val="fr-FR"/>
        </w:rPr>
        <w:t xml:space="preserve">qui soit fondée </w:t>
      </w:r>
      <w:r w:rsidR="00EC6B98" w:rsidRPr="00953692">
        <w:rPr>
          <w:rFonts w:cs="Times New Roman"/>
          <w:sz w:val="24"/>
          <w:szCs w:val="24"/>
          <w:lang w:val="fr-FR"/>
        </w:rPr>
        <w:t>sur la violation de son droit d’</w:t>
      </w:r>
      <w:r w:rsidR="005D67DA" w:rsidRPr="00953692">
        <w:rPr>
          <w:rFonts w:cs="Times New Roman"/>
          <w:sz w:val="24"/>
          <w:szCs w:val="24"/>
          <w:lang w:val="fr-FR"/>
        </w:rPr>
        <w:t>être</w:t>
      </w:r>
      <w:r w:rsidR="00EC6B98" w:rsidRPr="00953692">
        <w:rPr>
          <w:rFonts w:cs="Times New Roman"/>
          <w:sz w:val="24"/>
          <w:szCs w:val="24"/>
          <w:lang w:val="fr-FR"/>
        </w:rPr>
        <w:t xml:space="preserve"> jugé sans retard excessif</w:t>
      </w:r>
      <w:r w:rsidR="00BE70FB" w:rsidRPr="00953692">
        <w:rPr>
          <w:rFonts w:cs="Times New Roman"/>
          <w:sz w:val="24"/>
          <w:szCs w:val="24"/>
          <w:lang w:val="fr-FR"/>
        </w:rPr>
        <w:t>.</w:t>
      </w:r>
      <w:r w:rsidR="00EC6B98" w:rsidRPr="00953692">
        <w:rPr>
          <w:rFonts w:cs="Times New Roman"/>
          <w:sz w:val="24"/>
          <w:szCs w:val="24"/>
          <w:lang w:val="fr-FR"/>
        </w:rPr>
        <w:t xml:space="preserve"> </w:t>
      </w:r>
      <w:r w:rsidR="00BE70FB" w:rsidRPr="00953692">
        <w:rPr>
          <w:rFonts w:cs="Times New Roman"/>
          <w:sz w:val="24"/>
          <w:szCs w:val="24"/>
          <w:lang w:val="fr-FR"/>
        </w:rPr>
        <w:t>C</w:t>
      </w:r>
      <w:r w:rsidR="00EC6B98" w:rsidRPr="00953692">
        <w:rPr>
          <w:rFonts w:cs="Times New Roman"/>
          <w:sz w:val="24"/>
          <w:szCs w:val="24"/>
          <w:lang w:val="fr-FR"/>
        </w:rPr>
        <w:t>e qui présuppose que le délai de la procédure</w:t>
      </w:r>
      <w:r w:rsidR="00BE70FB" w:rsidRPr="00953692">
        <w:rPr>
          <w:rFonts w:cs="Times New Roman"/>
          <w:sz w:val="24"/>
          <w:szCs w:val="24"/>
          <w:lang w:val="fr-FR"/>
        </w:rPr>
        <w:t>, respectivement dans</w:t>
      </w:r>
      <w:r w:rsidR="0055473B" w:rsidRPr="00953692">
        <w:rPr>
          <w:rFonts w:cs="Times New Roman"/>
          <w:sz w:val="24"/>
          <w:szCs w:val="24"/>
          <w:lang w:val="fr-FR"/>
        </w:rPr>
        <w:t xml:space="preserve"> chacune de</w:t>
      </w:r>
      <w:r w:rsidR="00BE70FB" w:rsidRPr="00953692">
        <w:rPr>
          <w:rFonts w:cs="Times New Roman"/>
          <w:sz w:val="24"/>
          <w:szCs w:val="24"/>
          <w:lang w:val="fr-FR"/>
        </w:rPr>
        <w:t xml:space="preserve"> ces affaires,</w:t>
      </w:r>
      <w:r w:rsidR="00EC6B98" w:rsidRPr="00953692">
        <w:rPr>
          <w:rFonts w:cs="Times New Roman"/>
          <w:sz w:val="24"/>
          <w:szCs w:val="24"/>
          <w:lang w:val="fr-FR"/>
        </w:rPr>
        <w:t xml:space="preserve"> n’a pas été</w:t>
      </w:r>
      <w:r w:rsidR="0055473B" w:rsidRPr="00953692">
        <w:rPr>
          <w:rFonts w:cs="Times New Roman"/>
          <w:sz w:val="24"/>
          <w:szCs w:val="24"/>
          <w:lang w:val="fr-FR"/>
        </w:rPr>
        <w:t xml:space="preserve"> si</w:t>
      </w:r>
      <w:r w:rsidR="00EC6B98" w:rsidRPr="00953692">
        <w:rPr>
          <w:rFonts w:cs="Times New Roman"/>
          <w:sz w:val="24"/>
          <w:szCs w:val="24"/>
          <w:lang w:val="fr-FR"/>
        </w:rPr>
        <w:t xml:space="preserve"> long, ni </w:t>
      </w:r>
      <w:r w:rsidR="00DA532A" w:rsidRPr="00953692">
        <w:rPr>
          <w:rFonts w:cs="Times New Roman"/>
          <w:sz w:val="24"/>
          <w:szCs w:val="24"/>
          <w:lang w:val="fr-FR"/>
        </w:rPr>
        <w:t xml:space="preserve">n’a </w:t>
      </w:r>
      <w:r w:rsidR="00EC6B98" w:rsidRPr="00953692">
        <w:rPr>
          <w:rFonts w:cs="Times New Roman"/>
          <w:sz w:val="24"/>
          <w:szCs w:val="24"/>
          <w:lang w:val="fr-FR"/>
        </w:rPr>
        <w:t xml:space="preserve">nui au caractère équitable de la procédure </w:t>
      </w:r>
      <w:r w:rsidR="00BE70FB" w:rsidRPr="00953692">
        <w:rPr>
          <w:rFonts w:cs="Times New Roman"/>
          <w:sz w:val="24"/>
          <w:szCs w:val="24"/>
          <w:lang w:val="fr-FR"/>
        </w:rPr>
        <w:t>à l’égard de l’accusé</w:t>
      </w:r>
      <w:r w:rsidR="00EC6B98" w:rsidRPr="00953692">
        <w:rPr>
          <w:rFonts w:cs="Times New Roman"/>
          <w:sz w:val="24"/>
          <w:szCs w:val="24"/>
          <w:lang w:val="fr-FR"/>
        </w:rPr>
        <w:t>.</w:t>
      </w:r>
      <w:r w:rsidR="00DA532A" w:rsidRPr="00953692">
        <w:rPr>
          <w:rFonts w:cs="Times New Roman"/>
          <w:sz w:val="24"/>
          <w:szCs w:val="24"/>
          <w:lang w:val="fr-FR"/>
        </w:rPr>
        <w:t xml:space="preserve"> Il y a </w:t>
      </w:r>
      <w:r w:rsidR="00A56CCC" w:rsidRPr="00953692">
        <w:rPr>
          <w:rFonts w:cs="Times New Roman"/>
          <w:sz w:val="24"/>
          <w:szCs w:val="24"/>
          <w:lang w:val="fr-FR"/>
        </w:rPr>
        <w:t>alors</w:t>
      </w:r>
      <w:r w:rsidR="00DA532A" w:rsidRPr="00953692">
        <w:rPr>
          <w:rFonts w:cs="Times New Roman"/>
          <w:sz w:val="24"/>
          <w:szCs w:val="24"/>
          <w:lang w:val="fr-FR"/>
        </w:rPr>
        <w:t xml:space="preserve"> une forme </w:t>
      </w:r>
      <w:r w:rsidR="00BE70FB" w:rsidRPr="00953692">
        <w:rPr>
          <w:rFonts w:cs="Times New Roman"/>
          <w:sz w:val="24"/>
          <w:szCs w:val="24"/>
          <w:lang w:val="fr-FR"/>
        </w:rPr>
        <w:t>évidemment tacite, inédite</w:t>
      </w:r>
      <w:r w:rsidR="00A56CCC" w:rsidRPr="00953692">
        <w:rPr>
          <w:rFonts w:cs="Times New Roman"/>
          <w:sz w:val="24"/>
          <w:szCs w:val="24"/>
          <w:lang w:val="fr-FR"/>
        </w:rPr>
        <w:t>,</w:t>
      </w:r>
      <w:r w:rsidR="00DA532A" w:rsidRPr="00953692">
        <w:rPr>
          <w:rFonts w:cs="Times New Roman"/>
          <w:sz w:val="24"/>
          <w:szCs w:val="24"/>
          <w:lang w:val="fr-FR"/>
        </w:rPr>
        <w:t xml:space="preserve"> d</w:t>
      </w:r>
      <w:r w:rsidR="00BE70FB" w:rsidRPr="00953692">
        <w:rPr>
          <w:rFonts w:cs="Times New Roman"/>
          <w:sz w:val="24"/>
          <w:szCs w:val="24"/>
          <w:lang w:val="fr-FR"/>
        </w:rPr>
        <w:t>’une</w:t>
      </w:r>
      <w:r w:rsidR="00DA532A" w:rsidRPr="00953692">
        <w:rPr>
          <w:rFonts w:cs="Times New Roman"/>
          <w:sz w:val="24"/>
          <w:szCs w:val="24"/>
          <w:lang w:val="fr-FR"/>
        </w:rPr>
        <w:t xml:space="preserve"> complémentarité entre </w:t>
      </w:r>
      <w:r w:rsidR="00BE70FB" w:rsidRPr="00953692">
        <w:rPr>
          <w:rFonts w:cs="Times New Roman"/>
          <w:sz w:val="24"/>
          <w:szCs w:val="24"/>
          <w:lang w:val="fr-FR"/>
        </w:rPr>
        <w:t xml:space="preserve">cet </w:t>
      </w:r>
      <w:r w:rsidR="00DA532A" w:rsidRPr="00953692">
        <w:rPr>
          <w:rFonts w:cs="Times New Roman"/>
          <w:sz w:val="24"/>
          <w:szCs w:val="24"/>
          <w:lang w:val="fr-FR"/>
        </w:rPr>
        <w:t xml:space="preserve">aveu de </w:t>
      </w:r>
      <w:r w:rsidR="00DA532A" w:rsidRPr="00953692">
        <w:rPr>
          <w:rFonts w:cs="Times New Roman"/>
          <w:sz w:val="24"/>
          <w:szCs w:val="24"/>
          <w:lang w:val="fr-FR"/>
        </w:rPr>
        <w:lastRenderedPageBreak/>
        <w:t>culpabilité et la règle du délai raisonnable</w:t>
      </w:r>
      <w:r w:rsidR="00BE70FB" w:rsidRPr="00953692">
        <w:rPr>
          <w:rFonts w:cs="Times New Roman"/>
          <w:sz w:val="24"/>
          <w:szCs w:val="24"/>
          <w:lang w:val="fr-FR"/>
        </w:rPr>
        <w:t xml:space="preserve">. </w:t>
      </w:r>
      <w:r w:rsidR="00EC6B98" w:rsidRPr="00953692">
        <w:rPr>
          <w:rFonts w:cs="Times New Roman"/>
          <w:sz w:val="24"/>
          <w:szCs w:val="24"/>
          <w:lang w:val="fr-FR"/>
        </w:rPr>
        <w:t xml:space="preserve">D’autre part, </w:t>
      </w:r>
      <w:r w:rsidR="00BE70FB" w:rsidRPr="00953692">
        <w:rPr>
          <w:rFonts w:cs="Times New Roman"/>
          <w:sz w:val="24"/>
          <w:szCs w:val="24"/>
          <w:lang w:val="fr-FR"/>
        </w:rPr>
        <w:t>l’aveu de culpabilité implique</w:t>
      </w:r>
      <w:r w:rsidR="00EC6B98" w:rsidRPr="00953692">
        <w:rPr>
          <w:rFonts w:cs="Times New Roman"/>
          <w:sz w:val="24"/>
          <w:szCs w:val="24"/>
          <w:lang w:val="fr-FR"/>
        </w:rPr>
        <w:t xml:space="preserve"> une réelle participation des accusés même </w:t>
      </w:r>
      <w:r w:rsidR="005D67DA" w:rsidRPr="00953692">
        <w:rPr>
          <w:rFonts w:cs="Times New Roman"/>
          <w:sz w:val="24"/>
          <w:szCs w:val="24"/>
          <w:lang w:val="fr-FR"/>
        </w:rPr>
        <w:t xml:space="preserve">en cas d’une incompréhension possible. </w:t>
      </w:r>
    </w:p>
    <w:p w14:paraId="45D59AAA" w14:textId="0F1338CB" w:rsidR="00AB15F5" w:rsidRPr="00953692" w:rsidRDefault="008A4FE5"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251.</w:t>
      </w:r>
      <w:r w:rsidRPr="00953692">
        <w:rPr>
          <w:rFonts w:cs="Times New Roman"/>
          <w:sz w:val="24"/>
          <w:szCs w:val="24"/>
          <w:lang w:val="fr-FR"/>
        </w:rPr>
        <w:t xml:space="preserve"> </w:t>
      </w:r>
      <w:r w:rsidR="005D67DA" w:rsidRPr="00953692">
        <w:rPr>
          <w:rFonts w:cs="Times New Roman"/>
          <w:sz w:val="24"/>
          <w:szCs w:val="24"/>
          <w:lang w:val="fr-FR"/>
        </w:rPr>
        <w:t>Cette attitude est bien déterminante</w:t>
      </w:r>
      <w:r w:rsidR="00A56CCC" w:rsidRPr="00953692">
        <w:rPr>
          <w:rFonts w:cs="Times New Roman"/>
          <w:sz w:val="24"/>
          <w:szCs w:val="24"/>
          <w:lang w:val="fr-FR"/>
        </w:rPr>
        <w:t>,</w:t>
      </w:r>
      <w:r w:rsidR="005D67DA" w:rsidRPr="00953692">
        <w:rPr>
          <w:rFonts w:cs="Times New Roman"/>
          <w:sz w:val="24"/>
          <w:szCs w:val="24"/>
          <w:lang w:val="fr-FR"/>
        </w:rPr>
        <w:t xml:space="preserve"> car il s’agit de son droit qu’il tente </w:t>
      </w:r>
      <w:r w:rsidR="004969D1" w:rsidRPr="00953692">
        <w:rPr>
          <w:rFonts w:cs="Times New Roman"/>
          <w:sz w:val="24"/>
          <w:szCs w:val="24"/>
          <w:lang w:val="fr-FR"/>
        </w:rPr>
        <w:t>de</w:t>
      </w:r>
      <w:r w:rsidR="005D67DA" w:rsidRPr="00953692">
        <w:rPr>
          <w:rFonts w:cs="Times New Roman"/>
          <w:sz w:val="24"/>
          <w:szCs w:val="24"/>
          <w:lang w:val="fr-FR"/>
        </w:rPr>
        <w:t xml:space="preserve"> mettre en œuvre. </w:t>
      </w:r>
      <w:r w:rsidR="00BE70FB" w:rsidRPr="00953692">
        <w:rPr>
          <w:rFonts w:cs="Times New Roman"/>
          <w:sz w:val="24"/>
          <w:szCs w:val="24"/>
          <w:lang w:val="fr-FR"/>
        </w:rPr>
        <w:t>D’ailleurs</w:t>
      </w:r>
      <w:r w:rsidR="00A56CCC" w:rsidRPr="00953692">
        <w:rPr>
          <w:rFonts w:cs="Times New Roman"/>
          <w:sz w:val="24"/>
          <w:szCs w:val="24"/>
          <w:lang w:val="fr-FR"/>
        </w:rPr>
        <w:t>,</w:t>
      </w:r>
      <w:r w:rsidR="00BE70FB" w:rsidRPr="00953692">
        <w:rPr>
          <w:rFonts w:cs="Times New Roman"/>
          <w:sz w:val="24"/>
          <w:szCs w:val="24"/>
          <w:lang w:val="fr-FR"/>
        </w:rPr>
        <w:t xml:space="preserve"> </w:t>
      </w:r>
      <w:r w:rsidR="005B2E01" w:rsidRPr="00953692">
        <w:rPr>
          <w:rFonts w:cs="Times New Roman"/>
          <w:sz w:val="24"/>
          <w:szCs w:val="24"/>
          <w:lang w:val="fr-FR"/>
        </w:rPr>
        <w:t xml:space="preserve">nous venons de voir que </w:t>
      </w:r>
      <w:r w:rsidR="00BE70FB" w:rsidRPr="00953692">
        <w:rPr>
          <w:rFonts w:cs="Times New Roman"/>
          <w:sz w:val="24"/>
          <w:szCs w:val="24"/>
          <w:lang w:val="fr-FR"/>
        </w:rPr>
        <w:t>les accusés ont parfaitement conscience qu</w:t>
      </w:r>
      <w:r w:rsidR="00554A7D" w:rsidRPr="00953692">
        <w:rPr>
          <w:rFonts w:cs="Times New Roman"/>
          <w:sz w:val="24"/>
          <w:szCs w:val="24"/>
          <w:lang w:val="fr-FR"/>
        </w:rPr>
        <w:t>’en plaidant coupable, ils permettent à la justice de faire une économie du temps et bien plus.</w:t>
      </w:r>
      <w:r w:rsidR="00BE70FB" w:rsidRPr="00953692">
        <w:rPr>
          <w:rFonts w:cs="Times New Roman"/>
          <w:sz w:val="24"/>
          <w:szCs w:val="24"/>
          <w:lang w:val="fr-FR"/>
        </w:rPr>
        <w:t xml:space="preserve"> </w:t>
      </w:r>
      <w:r w:rsidR="005D67DA" w:rsidRPr="00953692">
        <w:rPr>
          <w:rFonts w:cs="Times New Roman"/>
          <w:sz w:val="24"/>
          <w:szCs w:val="24"/>
          <w:lang w:val="fr-FR"/>
        </w:rPr>
        <w:t>En réalité, l’aveu de culpabilité</w:t>
      </w:r>
      <w:r w:rsidR="00554A7D" w:rsidRPr="00953692">
        <w:rPr>
          <w:rFonts w:cs="Times New Roman"/>
          <w:sz w:val="24"/>
          <w:szCs w:val="24"/>
          <w:lang w:val="fr-FR"/>
        </w:rPr>
        <w:t xml:space="preserve"> nous</w:t>
      </w:r>
      <w:r w:rsidR="005D67DA" w:rsidRPr="00953692">
        <w:rPr>
          <w:rFonts w:cs="Times New Roman"/>
          <w:sz w:val="24"/>
          <w:szCs w:val="24"/>
          <w:lang w:val="fr-FR"/>
        </w:rPr>
        <w:t xml:space="preserve"> montre l’une des deux facettes d</w:t>
      </w:r>
      <w:r w:rsidR="005B2E01" w:rsidRPr="00953692">
        <w:rPr>
          <w:rFonts w:cs="Times New Roman"/>
          <w:sz w:val="24"/>
          <w:szCs w:val="24"/>
          <w:lang w:val="fr-FR"/>
        </w:rPr>
        <w:t>’un</w:t>
      </w:r>
      <w:r w:rsidR="005D67DA" w:rsidRPr="00953692">
        <w:rPr>
          <w:rFonts w:cs="Times New Roman"/>
          <w:sz w:val="24"/>
          <w:szCs w:val="24"/>
          <w:lang w:val="fr-FR"/>
        </w:rPr>
        <w:t xml:space="preserve"> droit imprédictible</w:t>
      </w:r>
      <w:r w:rsidR="00A56CCC" w:rsidRPr="00953692">
        <w:rPr>
          <w:rFonts w:cs="Times New Roman"/>
          <w:sz w:val="24"/>
          <w:szCs w:val="24"/>
          <w:lang w:val="fr-FR"/>
        </w:rPr>
        <w:t>,</w:t>
      </w:r>
      <w:r w:rsidR="00554A7D" w:rsidRPr="00953692">
        <w:rPr>
          <w:rFonts w:cs="Times New Roman"/>
          <w:sz w:val="24"/>
          <w:szCs w:val="24"/>
          <w:lang w:val="fr-FR"/>
        </w:rPr>
        <w:t xml:space="preserve"> à savoir</w:t>
      </w:r>
      <w:r w:rsidR="005D67DA" w:rsidRPr="00953692">
        <w:rPr>
          <w:rFonts w:cs="Times New Roman"/>
          <w:sz w:val="24"/>
          <w:szCs w:val="24"/>
          <w:lang w:val="fr-FR"/>
        </w:rPr>
        <w:t xml:space="preserve">, </w:t>
      </w:r>
      <w:r w:rsidR="004969D1" w:rsidRPr="00953692">
        <w:rPr>
          <w:rFonts w:cs="Times New Roman"/>
          <w:sz w:val="24"/>
          <w:szCs w:val="24"/>
          <w:lang w:val="fr-FR"/>
        </w:rPr>
        <w:t xml:space="preserve">celui </w:t>
      </w:r>
      <w:r w:rsidR="005D67DA" w:rsidRPr="00953692">
        <w:rPr>
          <w:rFonts w:cs="Times New Roman"/>
          <w:sz w:val="24"/>
          <w:szCs w:val="24"/>
          <w:lang w:val="fr-FR"/>
        </w:rPr>
        <w:t xml:space="preserve">de participer activement à l’aboutissement </w:t>
      </w:r>
      <w:r w:rsidR="005B2E01" w:rsidRPr="00953692">
        <w:rPr>
          <w:rFonts w:cs="Times New Roman"/>
          <w:sz w:val="24"/>
          <w:szCs w:val="24"/>
          <w:lang w:val="fr-FR"/>
        </w:rPr>
        <w:t xml:space="preserve">rapide </w:t>
      </w:r>
      <w:r w:rsidR="005D67DA" w:rsidRPr="00953692">
        <w:rPr>
          <w:rFonts w:cs="Times New Roman"/>
          <w:sz w:val="24"/>
          <w:szCs w:val="24"/>
          <w:lang w:val="fr-FR"/>
        </w:rPr>
        <w:t xml:space="preserve">de son procès, dont </w:t>
      </w:r>
      <w:r w:rsidR="001E23BF" w:rsidRPr="00953692">
        <w:rPr>
          <w:rFonts w:cs="Times New Roman"/>
          <w:sz w:val="24"/>
          <w:szCs w:val="24"/>
          <w:lang w:val="fr-FR"/>
        </w:rPr>
        <w:t>la seconde facette</w:t>
      </w:r>
      <w:r w:rsidR="005D67DA" w:rsidRPr="00953692">
        <w:rPr>
          <w:rFonts w:cs="Times New Roman"/>
          <w:sz w:val="24"/>
          <w:szCs w:val="24"/>
          <w:lang w:val="fr-FR"/>
        </w:rPr>
        <w:t xml:space="preserve"> se révèle tout autant </w:t>
      </w:r>
      <w:r w:rsidR="00554A7D" w:rsidRPr="00953692">
        <w:rPr>
          <w:rFonts w:cs="Times New Roman"/>
          <w:sz w:val="24"/>
          <w:szCs w:val="24"/>
          <w:lang w:val="fr-FR"/>
        </w:rPr>
        <w:t xml:space="preserve">dans l’hypothèse où il plaide non coupable des faits et </w:t>
      </w:r>
      <w:r w:rsidR="00A56CCC" w:rsidRPr="00953692">
        <w:rPr>
          <w:rFonts w:cs="Times New Roman"/>
          <w:sz w:val="24"/>
          <w:szCs w:val="24"/>
          <w:lang w:val="fr-FR"/>
        </w:rPr>
        <w:t xml:space="preserve">des </w:t>
      </w:r>
      <w:r w:rsidR="00554A7D" w:rsidRPr="00953692">
        <w:rPr>
          <w:rFonts w:cs="Times New Roman"/>
          <w:sz w:val="24"/>
          <w:szCs w:val="24"/>
          <w:lang w:val="fr-FR"/>
        </w:rPr>
        <w:t>accusations portées contre lui.</w:t>
      </w:r>
      <w:bookmarkStart w:id="52" w:name="_Hlk118297265"/>
    </w:p>
    <w:p w14:paraId="35869222" w14:textId="21860D91" w:rsidR="00727256" w:rsidRPr="00953692" w:rsidRDefault="0008463B" w:rsidP="00864BBF">
      <w:pPr>
        <w:spacing w:before="240" w:line="276" w:lineRule="auto"/>
        <w:ind w:left="1134"/>
        <w:jc w:val="both"/>
        <w:rPr>
          <w:rFonts w:cs="Times New Roman"/>
          <w:i/>
          <w:iCs/>
          <w:sz w:val="24"/>
          <w:szCs w:val="24"/>
          <w:lang w:val="fr-FR"/>
        </w:rPr>
      </w:pPr>
      <w:bookmarkStart w:id="53" w:name="_Hlk150629892"/>
      <w:r w:rsidRPr="00953692">
        <w:rPr>
          <w:rFonts w:cs="Times New Roman"/>
          <w:b/>
          <w:bCs/>
          <w:sz w:val="24"/>
          <w:szCs w:val="24"/>
          <w:lang w:val="fr-FR"/>
        </w:rPr>
        <w:t xml:space="preserve">Section 02. Le droit de participer activement à l’aboutissement </w:t>
      </w:r>
      <w:r w:rsidR="00D87964" w:rsidRPr="00953692">
        <w:rPr>
          <w:rFonts w:cs="Times New Roman"/>
          <w:b/>
          <w:bCs/>
          <w:sz w:val="24"/>
          <w:szCs w:val="24"/>
          <w:lang w:val="fr-FR"/>
        </w:rPr>
        <w:t xml:space="preserve">rapide </w:t>
      </w:r>
      <w:r w:rsidRPr="00953692">
        <w:rPr>
          <w:rFonts w:cs="Times New Roman"/>
          <w:b/>
          <w:bCs/>
          <w:sz w:val="24"/>
          <w:szCs w:val="24"/>
          <w:lang w:val="fr-FR"/>
        </w:rPr>
        <w:t>de son procès</w:t>
      </w:r>
      <w:r w:rsidR="005B2E01" w:rsidRPr="00953692">
        <w:rPr>
          <w:rFonts w:cs="Times New Roman"/>
          <w:b/>
          <w:bCs/>
          <w:sz w:val="24"/>
          <w:szCs w:val="24"/>
          <w:lang w:val="fr-FR"/>
        </w:rPr>
        <w:t xml:space="preserve">, </w:t>
      </w:r>
      <w:r w:rsidR="005B2E01" w:rsidRPr="00953692">
        <w:rPr>
          <w:rFonts w:cs="Times New Roman"/>
          <w:i/>
          <w:iCs/>
          <w:sz w:val="24"/>
          <w:szCs w:val="24"/>
          <w:lang w:val="fr-FR"/>
        </w:rPr>
        <w:t>le procès se déroule de façon rapide par l’activisme d’</w:t>
      </w:r>
      <w:r w:rsidR="00D87964" w:rsidRPr="00953692">
        <w:rPr>
          <w:rFonts w:cs="Times New Roman"/>
          <w:i/>
          <w:iCs/>
          <w:sz w:val="24"/>
          <w:szCs w:val="24"/>
          <w:lang w:val="fr-FR"/>
        </w:rPr>
        <w:t xml:space="preserve">un </w:t>
      </w:r>
      <w:r w:rsidR="005B2E01" w:rsidRPr="00953692">
        <w:rPr>
          <w:rFonts w:cs="Times New Roman"/>
          <w:i/>
          <w:iCs/>
          <w:sz w:val="24"/>
          <w:szCs w:val="24"/>
          <w:lang w:val="fr-FR"/>
        </w:rPr>
        <w:t>ac</w:t>
      </w:r>
      <w:r w:rsidR="008F75AF" w:rsidRPr="00953692">
        <w:rPr>
          <w:rFonts w:cs="Times New Roman"/>
          <w:i/>
          <w:iCs/>
          <w:sz w:val="24"/>
          <w:szCs w:val="24"/>
          <w:lang w:val="fr-FR"/>
        </w:rPr>
        <w:t>cusé</w:t>
      </w:r>
      <w:r w:rsidR="00D87964" w:rsidRPr="00953692">
        <w:rPr>
          <w:rFonts w:cs="Times New Roman"/>
          <w:i/>
          <w:iCs/>
          <w:sz w:val="24"/>
          <w:szCs w:val="24"/>
          <w:lang w:val="fr-FR"/>
        </w:rPr>
        <w:t xml:space="preserve"> qui plaide non-coupable</w:t>
      </w:r>
    </w:p>
    <w:bookmarkEnd w:id="52"/>
    <w:bookmarkEnd w:id="53"/>
    <w:p w14:paraId="31E6C9BC" w14:textId="591EE86E" w:rsidR="0028306E" w:rsidRPr="00953692" w:rsidRDefault="008A4FE5" w:rsidP="00864BBF">
      <w:pPr>
        <w:spacing w:before="240" w:line="276" w:lineRule="auto"/>
        <w:ind w:firstLine="1134"/>
        <w:jc w:val="both"/>
        <w:rPr>
          <w:rFonts w:cs="Times New Roman"/>
          <w:sz w:val="24"/>
          <w:szCs w:val="24"/>
          <w:lang w:val="fr-FR"/>
        </w:rPr>
      </w:pPr>
      <w:r w:rsidRPr="00953692">
        <w:rPr>
          <w:rFonts w:cs="Times New Roman"/>
          <w:b/>
          <w:bCs/>
          <w:sz w:val="24"/>
          <w:szCs w:val="24"/>
          <w:lang w:val="fr-FR"/>
        </w:rPr>
        <w:t>252</w:t>
      </w:r>
      <w:r w:rsidR="0097667C" w:rsidRPr="00953692">
        <w:rPr>
          <w:rFonts w:cs="Times New Roman"/>
          <w:b/>
          <w:bCs/>
          <w:sz w:val="24"/>
          <w:szCs w:val="24"/>
          <w:lang w:val="fr-FR"/>
        </w:rPr>
        <w:t>.</w:t>
      </w:r>
      <w:r w:rsidR="0097667C" w:rsidRPr="00953692">
        <w:rPr>
          <w:rFonts w:cs="Times New Roman"/>
          <w:sz w:val="24"/>
          <w:szCs w:val="24"/>
          <w:lang w:val="fr-FR"/>
        </w:rPr>
        <w:t xml:space="preserve"> </w:t>
      </w:r>
      <w:r w:rsidR="00575676" w:rsidRPr="00953692">
        <w:rPr>
          <w:rFonts w:cs="Times New Roman"/>
          <w:sz w:val="24"/>
          <w:szCs w:val="24"/>
          <w:lang w:val="fr-FR"/>
        </w:rPr>
        <w:t xml:space="preserve">Contrairement au droit de plaider coupable qui permet à </w:t>
      </w:r>
      <w:r w:rsidR="0097667C" w:rsidRPr="00953692">
        <w:rPr>
          <w:rFonts w:cs="Times New Roman"/>
          <w:sz w:val="24"/>
          <w:szCs w:val="24"/>
          <w:lang w:val="fr-FR"/>
        </w:rPr>
        <w:t>‘’</w:t>
      </w:r>
      <w:r w:rsidR="00575676" w:rsidRPr="00953692">
        <w:rPr>
          <w:rFonts w:cs="Times New Roman"/>
          <w:sz w:val="24"/>
          <w:szCs w:val="24"/>
          <w:lang w:val="fr-FR"/>
        </w:rPr>
        <w:t>l’accusé de s’a</w:t>
      </w:r>
      <w:r w:rsidR="00FA0AB1" w:rsidRPr="00953692">
        <w:rPr>
          <w:rFonts w:cs="Times New Roman"/>
          <w:sz w:val="24"/>
          <w:szCs w:val="24"/>
          <w:lang w:val="fr-FR"/>
        </w:rPr>
        <w:t>ccepter les accusations portées contre lui</w:t>
      </w:r>
      <w:r w:rsidR="0097667C" w:rsidRPr="00953692">
        <w:rPr>
          <w:rFonts w:cs="Times New Roman"/>
          <w:sz w:val="24"/>
          <w:szCs w:val="24"/>
          <w:lang w:val="fr-FR"/>
        </w:rPr>
        <w:t>’’</w:t>
      </w:r>
      <w:r w:rsidR="00575676" w:rsidRPr="00953692">
        <w:rPr>
          <w:rFonts w:cs="Times New Roman"/>
          <w:sz w:val="24"/>
          <w:szCs w:val="24"/>
          <w:lang w:val="fr-FR"/>
        </w:rPr>
        <w:t xml:space="preserve"> afin de couper court au procès</w:t>
      </w:r>
      <w:r w:rsidR="00FA0AB1" w:rsidRPr="00953692">
        <w:rPr>
          <w:rFonts w:cs="Times New Roman"/>
          <w:sz w:val="24"/>
          <w:szCs w:val="24"/>
          <w:lang w:val="fr-FR"/>
        </w:rPr>
        <w:t xml:space="preserve"> ou d’économiser le temps du tribunal</w:t>
      </w:r>
      <w:r w:rsidR="00575676" w:rsidRPr="00953692">
        <w:rPr>
          <w:rFonts w:cs="Times New Roman"/>
          <w:sz w:val="24"/>
          <w:szCs w:val="24"/>
          <w:lang w:val="fr-FR"/>
        </w:rPr>
        <w:t xml:space="preserve">, le droit de participer activement à </w:t>
      </w:r>
      <w:r w:rsidR="0059599F" w:rsidRPr="00953692">
        <w:rPr>
          <w:rFonts w:cs="Times New Roman"/>
          <w:sz w:val="24"/>
          <w:szCs w:val="24"/>
          <w:lang w:val="fr-FR"/>
        </w:rPr>
        <w:t xml:space="preserve">l’aboutissement rapide de </w:t>
      </w:r>
      <w:r w:rsidR="00575676" w:rsidRPr="00953692">
        <w:rPr>
          <w:rFonts w:cs="Times New Roman"/>
          <w:sz w:val="24"/>
          <w:szCs w:val="24"/>
          <w:lang w:val="fr-FR"/>
        </w:rPr>
        <w:t xml:space="preserve">son procès </w:t>
      </w:r>
      <w:r w:rsidR="0059599F" w:rsidRPr="00953692">
        <w:rPr>
          <w:rFonts w:cs="Times New Roman"/>
          <w:sz w:val="24"/>
          <w:szCs w:val="24"/>
          <w:lang w:val="fr-FR"/>
        </w:rPr>
        <w:t xml:space="preserve">après avoir plaidé non-coupable </w:t>
      </w:r>
      <w:r w:rsidR="00575676" w:rsidRPr="00953692">
        <w:rPr>
          <w:rFonts w:cs="Times New Roman"/>
          <w:sz w:val="24"/>
          <w:szCs w:val="24"/>
          <w:lang w:val="fr-FR"/>
        </w:rPr>
        <w:t>prend plutôt ici tout le</w:t>
      </w:r>
      <w:r w:rsidR="00E534A4" w:rsidRPr="00953692">
        <w:rPr>
          <w:rFonts w:cs="Times New Roman"/>
          <w:sz w:val="24"/>
          <w:szCs w:val="24"/>
          <w:lang w:val="fr-FR"/>
        </w:rPr>
        <w:t xml:space="preserve"> sens</w:t>
      </w:r>
      <w:r w:rsidR="00575676" w:rsidRPr="00953692">
        <w:rPr>
          <w:rFonts w:cs="Times New Roman"/>
          <w:sz w:val="24"/>
          <w:szCs w:val="24"/>
          <w:lang w:val="fr-FR"/>
        </w:rPr>
        <w:t xml:space="preserve"> contraire. L’accusé participe à son procès dans le but d’éviter tout retard venant de ses actions sanctionnables ou non d’une part, mais aussi des autres parties, participants</w:t>
      </w:r>
      <w:r w:rsidR="0097667C" w:rsidRPr="00953692">
        <w:rPr>
          <w:rFonts w:cs="Times New Roman"/>
          <w:sz w:val="24"/>
          <w:szCs w:val="24"/>
          <w:lang w:val="fr-FR"/>
        </w:rPr>
        <w:t>,</w:t>
      </w:r>
      <w:r w:rsidR="00575676" w:rsidRPr="00953692">
        <w:rPr>
          <w:rFonts w:cs="Times New Roman"/>
          <w:sz w:val="24"/>
          <w:szCs w:val="24"/>
          <w:lang w:val="fr-FR"/>
        </w:rPr>
        <w:t xml:space="preserve"> voir</w:t>
      </w:r>
      <w:r w:rsidR="0097667C" w:rsidRPr="00953692">
        <w:rPr>
          <w:rFonts w:cs="Times New Roman"/>
          <w:sz w:val="24"/>
          <w:szCs w:val="24"/>
          <w:lang w:val="fr-FR"/>
        </w:rPr>
        <w:t>e</w:t>
      </w:r>
      <w:r w:rsidR="00575676" w:rsidRPr="00953692">
        <w:rPr>
          <w:rFonts w:cs="Times New Roman"/>
          <w:sz w:val="24"/>
          <w:szCs w:val="24"/>
          <w:lang w:val="fr-FR"/>
        </w:rPr>
        <w:t xml:space="preserve"> du juge d’autre part</w:t>
      </w:r>
      <w:r w:rsidR="00705B7B" w:rsidRPr="00953692">
        <w:rPr>
          <w:rFonts w:cs="Times New Roman"/>
          <w:sz w:val="24"/>
          <w:szCs w:val="24"/>
          <w:lang w:val="fr-FR"/>
        </w:rPr>
        <w:t xml:space="preserve"> en vue de prouver son innocence</w:t>
      </w:r>
      <w:r w:rsidR="00575676" w:rsidRPr="00953692">
        <w:rPr>
          <w:rFonts w:cs="Times New Roman"/>
          <w:sz w:val="24"/>
          <w:szCs w:val="24"/>
          <w:lang w:val="fr-FR"/>
        </w:rPr>
        <w:t>. Mais il s’agit d’un droit que l’on peut qualifier de terne dont la notion (§1.) est basée sur les éléments</w:t>
      </w:r>
      <w:r w:rsidR="00DB79D5" w:rsidRPr="00953692">
        <w:rPr>
          <w:rFonts w:cs="Times New Roman"/>
          <w:sz w:val="24"/>
          <w:szCs w:val="24"/>
          <w:lang w:val="fr-FR"/>
        </w:rPr>
        <w:t xml:space="preserve"> ou</w:t>
      </w:r>
      <w:r w:rsidR="0004699A" w:rsidRPr="00953692">
        <w:rPr>
          <w:rFonts w:cs="Times New Roman"/>
          <w:sz w:val="24"/>
          <w:szCs w:val="24"/>
          <w:lang w:val="fr-FR"/>
        </w:rPr>
        <w:t xml:space="preserve"> données</w:t>
      </w:r>
      <w:r w:rsidR="00575676" w:rsidRPr="00953692">
        <w:rPr>
          <w:rFonts w:cs="Times New Roman"/>
          <w:sz w:val="24"/>
          <w:szCs w:val="24"/>
          <w:lang w:val="fr-FR"/>
        </w:rPr>
        <w:t xml:space="preserve"> épars</w:t>
      </w:r>
      <w:r w:rsidR="00DB79D5" w:rsidRPr="00953692">
        <w:rPr>
          <w:rFonts w:cs="Times New Roman"/>
          <w:sz w:val="24"/>
          <w:szCs w:val="24"/>
          <w:lang w:val="fr-FR"/>
        </w:rPr>
        <w:t>es</w:t>
      </w:r>
      <w:r w:rsidR="0059599F" w:rsidRPr="00953692">
        <w:rPr>
          <w:rFonts w:cs="Times New Roman"/>
          <w:sz w:val="24"/>
          <w:szCs w:val="24"/>
          <w:lang w:val="fr-FR"/>
        </w:rPr>
        <w:t>,</w:t>
      </w:r>
      <w:r w:rsidR="00227601" w:rsidRPr="00953692">
        <w:rPr>
          <w:rFonts w:cs="Times New Roman"/>
          <w:sz w:val="24"/>
          <w:szCs w:val="24"/>
          <w:lang w:val="fr-FR"/>
        </w:rPr>
        <w:t xml:space="preserve"> inhérentes à l’essentialité</w:t>
      </w:r>
      <w:r w:rsidR="0059599F" w:rsidRPr="00953692">
        <w:rPr>
          <w:rFonts w:cs="Times New Roman"/>
          <w:sz w:val="24"/>
          <w:szCs w:val="24"/>
          <w:lang w:val="fr-FR"/>
        </w:rPr>
        <w:t xml:space="preserve"> même</w:t>
      </w:r>
      <w:r w:rsidR="00227601" w:rsidRPr="00953692">
        <w:rPr>
          <w:rFonts w:cs="Times New Roman"/>
          <w:sz w:val="24"/>
          <w:szCs w:val="24"/>
          <w:lang w:val="fr-FR"/>
        </w:rPr>
        <w:t xml:space="preserve"> du procès pénal</w:t>
      </w:r>
      <w:r w:rsidR="0059599F" w:rsidRPr="00953692">
        <w:rPr>
          <w:rFonts w:cs="Times New Roman"/>
          <w:sz w:val="24"/>
          <w:szCs w:val="24"/>
          <w:lang w:val="fr-FR"/>
        </w:rPr>
        <w:t xml:space="preserve"> (international)</w:t>
      </w:r>
      <w:r w:rsidR="00575676" w:rsidRPr="00953692">
        <w:rPr>
          <w:rFonts w:cs="Times New Roman"/>
          <w:sz w:val="24"/>
          <w:szCs w:val="24"/>
          <w:lang w:val="fr-FR"/>
        </w:rPr>
        <w:t>, mais comport</w:t>
      </w:r>
      <w:r w:rsidR="00DB79D5" w:rsidRPr="00953692">
        <w:rPr>
          <w:rFonts w:cs="Times New Roman"/>
          <w:sz w:val="24"/>
          <w:szCs w:val="24"/>
          <w:lang w:val="fr-FR"/>
        </w:rPr>
        <w:t>ant</w:t>
      </w:r>
      <w:r w:rsidR="00575676" w:rsidRPr="00953692">
        <w:rPr>
          <w:rFonts w:cs="Times New Roman"/>
          <w:sz w:val="24"/>
          <w:szCs w:val="24"/>
          <w:lang w:val="fr-FR"/>
        </w:rPr>
        <w:t xml:space="preserve"> sans nul doute d’importantes incidences </w:t>
      </w:r>
      <w:r w:rsidR="0059599F" w:rsidRPr="00953692">
        <w:rPr>
          <w:rFonts w:cs="Times New Roman"/>
          <w:sz w:val="24"/>
          <w:szCs w:val="24"/>
          <w:lang w:val="fr-FR"/>
        </w:rPr>
        <w:t xml:space="preserve">de complémentarité </w:t>
      </w:r>
      <w:r w:rsidR="00575676" w:rsidRPr="00953692">
        <w:rPr>
          <w:rFonts w:cs="Times New Roman"/>
          <w:sz w:val="24"/>
          <w:szCs w:val="24"/>
          <w:lang w:val="fr-FR"/>
        </w:rPr>
        <w:t>sur le droit</w:t>
      </w:r>
      <w:r w:rsidR="0059599F" w:rsidRPr="00953692">
        <w:rPr>
          <w:rFonts w:cs="Times New Roman"/>
          <w:sz w:val="24"/>
          <w:szCs w:val="24"/>
          <w:lang w:val="fr-FR"/>
        </w:rPr>
        <w:t xml:space="preserve"> de l’accusé</w:t>
      </w:r>
      <w:r w:rsidR="00575676" w:rsidRPr="00953692">
        <w:rPr>
          <w:rFonts w:cs="Times New Roman"/>
          <w:sz w:val="24"/>
          <w:szCs w:val="24"/>
          <w:lang w:val="fr-FR"/>
        </w:rPr>
        <w:t xml:space="preserve"> d’être jugé sans retard excessif</w:t>
      </w:r>
      <w:r w:rsidR="00DB79D5" w:rsidRPr="00953692">
        <w:rPr>
          <w:rFonts w:cs="Times New Roman"/>
          <w:sz w:val="24"/>
          <w:szCs w:val="24"/>
          <w:lang w:val="fr-FR"/>
        </w:rPr>
        <w:t xml:space="preserve"> (§2).</w:t>
      </w:r>
    </w:p>
    <w:p w14:paraId="49179653" w14:textId="2D916B91" w:rsidR="00895912" w:rsidRPr="00953692" w:rsidRDefault="00C57B06" w:rsidP="000B0381">
      <w:pPr>
        <w:pStyle w:val="Titre3"/>
        <w:ind w:left="1134"/>
        <w:rPr>
          <w:rFonts w:ascii="Times New Roman" w:hAnsi="Times New Roman"/>
          <w:b w:val="0"/>
          <w:bCs/>
          <w:i/>
          <w:iCs/>
          <w:color w:val="auto"/>
          <w:sz w:val="24"/>
          <w:szCs w:val="24"/>
          <w:lang w:val="fr-FR"/>
        </w:rPr>
      </w:pPr>
      <w:bookmarkStart w:id="54" w:name="_Toc195179429"/>
      <w:bookmarkStart w:id="55" w:name="_Hlk150630208"/>
      <w:r>
        <w:rPr>
          <w:rFonts w:ascii="Times New Roman" w:hAnsi="Times New Roman"/>
          <w:b w:val="0"/>
          <w:bCs/>
          <w:i/>
          <w:iCs/>
          <w:color w:val="auto"/>
          <w:sz w:val="24"/>
          <w:szCs w:val="24"/>
          <w:lang w:val="fr-FR"/>
        </w:rPr>
        <w:t xml:space="preserve">Paragraphe </w:t>
      </w:r>
      <w:r w:rsidR="0008463B" w:rsidRPr="00953692">
        <w:rPr>
          <w:rFonts w:ascii="Times New Roman" w:hAnsi="Times New Roman"/>
          <w:b w:val="0"/>
          <w:bCs/>
          <w:i/>
          <w:iCs/>
          <w:color w:val="auto"/>
          <w:sz w:val="24"/>
          <w:szCs w:val="24"/>
          <w:lang w:val="fr-FR"/>
        </w:rPr>
        <w:t>1. Notion</w:t>
      </w:r>
      <w:r w:rsidR="007927F6" w:rsidRPr="00953692">
        <w:rPr>
          <w:rFonts w:ascii="Times New Roman" w:hAnsi="Times New Roman"/>
          <w:b w:val="0"/>
          <w:bCs/>
          <w:i/>
          <w:iCs/>
          <w:color w:val="auto"/>
          <w:sz w:val="24"/>
          <w:szCs w:val="24"/>
          <w:lang w:val="fr-FR"/>
        </w:rPr>
        <w:t xml:space="preserve">, sources et caractéristiques </w:t>
      </w:r>
      <w:r w:rsidR="00895912" w:rsidRPr="00953692">
        <w:rPr>
          <w:rFonts w:ascii="Times New Roman" w:hAnsi="Times New Roman"/>
          <w:b w:val="0"/>
          <w:bCs/>
          <w:i/>
          <w:iCs/>
          <w:color w:val="auto"/>
          <w:sz w:val="24"/>
          <w:szCs w:val="24"/>
          <w:lang w:val="fr-FR"/>
        </w:rPr>
        <w:t>du droit de participer activement à</w:t>
      </w:r>
      <w:r w:rsidR="007927F6" w:rsidRPr="00953692">
        <w:rPr>
          <w:rFonts w:ascii="Times New Roman" w:hAnsi="Times New Roman"/>
          <w:b w:val="0"/>
          <w:bCs/>
          <w:i/>
          <w:iCs/>
          <w:color w:val="auto"/>
          <w:sz w:val="24"/>
          <w:szCs w:val="24"/>
          <w:lang w:val="fr-FR"/>
        </w:rPr>
        <w:t xml:space="preserve"> l’aboutissement rapide de</w:t>
      </w:r>
      <w:r w:rsidR="00895912" w:rsidRPr="00953692">
        <w:rPr>
          <w:rFonts w:ascii="Times New Roman" w:hAnsi="Times New Roman"/>
          <w:b w:val="0"/>
          <w:bCs/>
          <w:i/>
          <w:iCs/>
          <w:color w:val="auto"/>
          <w:sz w:val="24"/>
          <w:szCs w:val="24"/>
          <w:lang w:val="fr-FR"/>
        </w:rPr>
        <w:t xml:space="preserve"> son procès </w:t>
      </w:r>
      <w:r w:rsidR="004A7A7A" w:rsidRPr="00953692">
        <w:rPr>
          <w:rFonts w:ascii="Times New Roman" w:hAnsi="Times New Roman"/>
          <w:b w:val="0"/>
          <w:bCs/>
          <w:i/>
          <w:iCs/>
          <w:color w:val="auto"/>
          <w:sz w:val="24"/>
          <w:szCs w:val="24"/>
          <w:lang w:val="fr-FR"/>
        </w:rPr>
        <w:t>: est</w:t>
      </w:r>
      <w:r w:rsidR="00895912" w:rsidRPr="00953692">
        <w:rPr>
          <w:rFonts w:ascii="Times New Roman" w:hAnsi="Times New Roman"/>
          <w:b w:val="0"/>
          <w:bCs/>
          <w:i/>
          <w:iCs/>
          <w:color w:val="auto"/>
          <w:sz w:val="24"/>
          <w:szCs w:val="24"/>
          <w:lang w:val="fr-FR"/>
        </w:rPr>
        <w:t>-ce un droit ?</w:t>
      </w:r>
      <w:bookmarkEnd w:id="54"/>
    </w:p>
    <w:bookmarkEnd w:id="55"/>
    <w:p w14:paraId="331FDA45" w14:textId="4945DD14" w:rsidR="007F14D6" w:rsidRPr="00953692" w:rsidRDefault="008A4FE5" w:rsidP="00864BBF">
      <w:pPr>
        <w:spacing w:before="240" w:after="0" w:line="276" w:lineRule="auto"/>
        <w:ind w:firstLine="1134"/>
        <w:jc w:val="both"/>
        <w:rPr>
          <w:rFonts w:cs="Times New Roman"/>
          <w:sz w:val="24"/>
          <w:szCs w:val="24"/>
          <w:lang w:val="fr-FR"/>
        </w:rPr>
      </w:pPr>
      <w:r w:rsidRPr="00953692">
        <w:rPr>
          <w:rFonts w:cs="Times New Roman"/>
          <w:b/>
          <w:bCs/>
          <w:sz w:val="24"/>
          <w:szCs w:val="24"/>
          <w:lang w:val="fr-FR"/>
        </w:rPr>
        <w:t>253</w:t>
      </w:r>
      <w:r w:rsidR="00D04706" w:rsidRPr="00953692">
        <w:rPr>
          <w:rFonts w:cs="Times New Roman"/>
          <w:b/>
          <w:bCs/>
          <w:sz w:val="24"/>
          <w:szCs w:val="24"/>
          <w:lang w:val="fr-FR"/>
        </w:rPr>
        <w:t>.</w:t>
      </w:r>
      <w:r w:rsidR="00D04706" w:rsidRPr="00953692">
        <w:rPr>
          <w:rFonts w:cs="Times New Roman"/>
          <w:sz w:val="24"/>
          <w:szCs w:val="24"/>
          <w:lang w:val="fr-FR"/>
        </w:rPr>
        <w:t xml:space="preserve"> </w:t>
      </w:r>
      <w:r w:rsidR="007927F6" w:rsidRPr="00953692">
        <w:rPr>
          <w:rFonts w:cs="Times New Roman"/>
          <w:sz w:val="24"/>
          <w:szCs w:val="24"/>
          <w:lang w:val="fr-FR"/>
        </w:rPr>
        <w:t>D</w:t>
      </w:r>
      <w:r w:rsidR="009160C4" w:rsidRPr="00953692">
        <w:rPr>
          <w:rFonts w:cs="Times New Roman"/>
          <w:sz w:val="24"/>
          <w:szCs w:val="24"/>
          <w:lang w:val="fr-FR"/>
        </w:rPr>
        <w:t>e prime abord, il sied de mentionner que d</w:t>
      </w:r>
      <w:r w:rsidR="001F131F" w:rsidRPr="00953692">
        <w:rPr>
          <w:rFonts w:cs="Times New Roman"/>
          <w:sz w:val="24"/>
          <w:szCs w:val="24"/>
          <w:lang w:val="fr-FR"/>
        </w:rPr>
        <w:t xml:space="preserve">ans la nomenclature </w:t>
      </w:r>
      <w:r w:rsidR="00E534A4" w:rsidRPr="00953692">
        <w:rPr>
          <w:rFonts w:cs="Times New Roman"/>
          <w:sz w:val="24"/>
          <w:szCs w:val="24"/>
          <w:lang w:val="fr-FR"/>
        </w:rPr>
        <w:t>normative</w:t>
      </w:r>
      <w:r w:rsidR="007927F6" w:rsidRPr="00953692">
        <w:rPr>
          <w:rFonts w:cs="Times New Roman"/>
          <w:sz w:val="24"/>
          <w:szCs w:val="24"/>
          <w:lang w:val="fr-FR"/>
        </w:rPr>
        <w:t xml:space="preserve"> et jurisprudentielle</w:t>
      </w:r>
      <w:r w:rsidR="00D04706" w:rsidRPr="00953692">
        <w:rPr>
          <w:rFonts w:cs="Times New Roman"/>
          <w:sz w:val="24"/>
          <w:szCs w:val="24"/>
          <w:lang w:val="fr-FR"/>
        </w:rPr>
        <w:t>,</w:t>
      </w:r>
      <w:r w:rsidR="00E534A4" w:rsidRPr="00953692">
        <w:rPr>
          <w:rFonts w:cs="Times New Roman"/>
          <w:sz w:val="24"/>
          <w:szCs w:val="24"/>
          <w:lang w:val="fr-FR"/>
        </w:rPr>
        <w:t xml:space="preserve"> voire </w:t>
      </w:r>
      <w:r w:rsidR="00FF7FB5" w:rsidRPr="00953692">
        <w:rPr>
          <w:rFonts w:cs="Times New Roman"/>
          <w:sz w:val="24"/>
          <w:szCs w:val="24"/>
          <w:lang w:val="fr-FR"/>
        </w:rPr>
        <w:t xml:space="preserve">dans les analyses </w:t>
      </w:r>
      <w:r w:rsidR="00E534A4" w:rsidRPr="00953692">
        <w:rPr>
          <w:rFonts w:cs="Times New Roman"/>
          <w:sz w:val="24"/>
          <w:szCs w:val="24"/>
          <w:lang w:val="fr-FR"/>
        </w:rPr>
        <w:t>doctrinale</w:t>
      </w:r>
      <w:r w:rsidR="00FF7FB5" w:rsidRPr="00953692">
        <w:rPr>
          <w:rFonts w:cs="Times New Roman"/>
          <w:sz w:val="24"/>
          <w:szCs w:val="24"/>
          <w:lang w:val="fr-FR"/>
        </w:rPr>
        <w:t>s</w:t>
      </w:r>
      <w:r w:rsidR="00E534A4" w:rsidRPr="00953692">
        <w:rPr>
          <w:rFonts w:cs="Times New Roman"/>
          <w:sz w:val="24"/>
          <w:szCs w:val="24"/>
          <w:lang w:val="fr-FR"/>
        </w:rPr>
        <w:t xml:space="preserve"> </w:t>
      </w:r>
      <w:r w:rsidR="001F131F" w:rsidRPr="00953692">
        <w:rPr>
          <w:rFonts w:cs="Times New Roman"/>
          <w:sz w:val="24"/>
          <w:szCs w:val="24"/>
          <w:lang w:val="fr-FR"/>
        </w:rPr>
        <w:t>des droits de l’accusé ou du suspect</w:t>
      </w:r>
      <w:r w:rsidR="007927F6" w:rsidRPr="00953692">
        <w:rPr>
          <w:rFonts w:cs="Times New Roman"/>
          <w:sz w:val="24"/>
          <w:szCs w:val="24"/>
          <w:lang w:val="fr-FR"/>
        </w:rPr>
        <w:t xml:space="preserve"> en procédure pénale (générale)</w:t>
      </w:r>
      <w:r w:rsidR="001F131F" w:rsidRPr="00953692">
        <w:rPr>
          <w:rFonts w:cs="Times New Roman"/>
          <w:sz w:val="24"/>
          <w:szCs w:val="24"/>
          <w:lang w:val="fr-FR"/>
        </w:rPr>
        <w:t>, il n’existe pas un tel droit. Dès lors, d’aucun</w:t>
      </w:r>
      <w:r w:rsidR="00895912" w:rsidRPr="00953692">
        <w:rPr>
          <w:rFonts w:cs="Times New Roman"/>
          <w:sz w:val="24"/>
          <w:szCs w:val="24"/>
          <w:lang w:val="fr-FR"/>
        </w:rPr>
        <w:t xml:space="preserve">s pourraient se demander </w:t>
      </w:r>
      <w:r w:rsidR="0057708E" w:rsidRPr="00953692">
        <w:rPr>
          <w:rFonts w:cs="Times New Roman"/>
          <w:sz w:val="24"/>
          <w:szCs w:val="24"/>
          <w:lang w:val="fr-FR"/>
        </w:rPr>
        <w:t xml:space="preserve">sans tergiverser </w:t>
      </w:r>
      <w:r w:rsidR="00895912" w:rsidRPr="00953692">
        <w:rPr>
          <w:rFonts w:cs="Times New Roman"/>
          <w:sz w:val="24"/>
          <w:szCs w:val="24"/>
          <w:lang w:val="fr-FR"/>
        </w:rPr>
        <w:t>est-ce un droit</w:t>
      </w:r>
      <w:r w:rsidR="00D04706" w:rsidRPr="00953692">
        <w:rPr>
          <w:rFonts w:cs="Times New Roman"/>
          <w:sz w:val="24"/>
          <w:szCs w:val="24"/>
          <w:lang w:val="fr-FR"/>
        </w:rPr>
        <w:t> ? D</w:t>
      </w:r>
      <w:r w:rsidR="00895912" w:rsidRPr="00953692">
        <w:rPr>
          <w:rFonts w:cs="Times New Roman"/>
          <w:sz w:val="24"/>
          <w:szCs w:val="24"/>
          <w:lang w:val="fr-FR"/>
        </w:rPr>
        <w:t>’où vient-il et quel en est le contenu ?</w:t>
      </w:r>
      <w:r w:rsidR="0057708E" w:rsidRPr="00953692">
        <w:rPr>
          <w:rFonts w:cs="Times New Roman"/>
          <w:sz w:val="24"/>
          <w:szCs w:val="24"/>
          <w:lang w:val="fr-FR"/>
        </w:rPr>
        <w:t xml:space="preserve"> Dans une telle étude visant la réalité d’une procédure pénale complexe, ce droit semble, à première vue, nous balancer dans la concrétude de ce que font les acteurs judiciaires </w:t>
      </w:r>
      <w:r w:rsidR="002D65A6" w:rsidRPr="00953692">
        <w:rPr>
          <w:rFonts w:cs="Times New Roman"/>
          <w:sz w:val="24"/>
          <w:szCs w:val="24"/>
          <w:lang w:val="fr-FR"/>
        </w:rPr>
        <w:t xml:space="preserve">et ce, </w:t>
      </w:r>
      <w:r w:rsidR="0057708E" w:rsidRPr="00953692">
        <w:rPr>
          <w:rFonts w:cs="Times New Roman"/>
          <w:sz w:val="24"/>
          <w:szCs w:val="24"/>
          <w:lang w:val="fr-FR"/>
        </w:rPr>
        <w:t xml:space="preserve">quelle qu’en soit la posture. </w:t>
      </w:r>
      <w:r w:rsidR="002D65A6" w:rsidRPr="00953692">
        <w:rPr>
          <w:rFonts w:cs="Times New Roman"/>
          <w:sz w:val="24"/>
          <w:szCs w:val="24"/>
          <w:lang w:val="fr-FR"/>
        </w:rPr>
        <w:t>Cependant</w:t>
      </w:r>
      <w:r w:rsidR="0057708E" w:rsidRPr="00953692">
        <w:rPr>
          <w:rFonts w:cs="Times New Roman"/>
          <w:sz w:val="24"/>
          <w:szCs w:val="24"/>
          <w:lang w:val="fr-FR"/>
        </w:rPr>
        <w:t>, il s’agit</w:t>
      </w:r>
      <w:r w:rsidR="002D65A6" w:rsidRPr="00953692">
        <w:rPr>
          <w:rFonts w:cs="Times New Roman"/>
          <w:sz w:val="24"/>
          <w:szCs w:val="24"/>
          <w:lang w:val="fr-FR"/>
        </w:rPr>
        <w:t xml:space="preserve"> essentiellement</w:t>
      </w:r>
      <w:r w:rsidR="0057708E" w:rsidRPr="00953692">
        <w:rPr>
          <w:rFonts w:cs="Times New Roman"/>
          <w:sz w:val="24"/>
          <w:szCs w:val="24"/>
          <w:lang w:val="fr-FR"/>
        </w:rPr>
        <w:t xml:space="preserve"> d’un droit de l’accusé,</w:t>
      </w:r>
      <w:r w:rsidR="002D65A6" w:rsidRPr="00953692">
        <w:rPr>
          <w:rFonts w:cs="Times New Roman"/>
          <w:sz w:val="24"/>
          <w:szCs w:val="24"/>
          <w:lang w:val="fr-FR"/>
        </w:rPr>
        <w:t xml:space="preserve"> donc d’un droit subjectif. </w:t>
      </w:r>
    </w:p>
    <w:p w14:paraId="69063313" w14:textId="0EF76204" w:rsidR="008B0FC6" w:rsidRPr="00953692" w:rsidRDefault="008A4FE5"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254</w:t>
      </w:r>
      <w:r w:rsidR="002D65A6" w:rsidRPr="00953692">
        <w:rPr>
          <w:rFonts w:cs="Times New Roman"/>
          <w:b/>
          <w:bCs/>
          <w:sz w:val="24"/>
          <w:szCs w:val="24"/>
          <w:lang w:val="fr-FR"/>
        </w:rPr>
        <w:t>.</w:t>
      </w:r>
      <w:r w:rsidR="002D65A6" w:rsidRPr="00953692">
        <w:rPr>
          <w:rFonts w:cs="Times New Roman"/>
          <w:sz w:val="24"/>
          <w:szCs w:val="24"/>
          <w:lang w:val="fr-FR"/>
        </w:rPr>
        <w:t xml:space="preserve"> </w:t>
      </w:r>
      <w:r w:rsidR="00895912" w:rsidRPr="00953692">
        <w:rPr>
          <w:rFonts w:cs="Times New Roman"/>
          <w:sz w:val="24"/>
          <w:szCs w:val="24"/>
          <w:lang w:val="fr-FR"/>
        </w:rPr>
        <w:t>D’abord le droit</w:t>
      </w:r>
      <w:r w:rsidR="009160C4" w:rsidRPr="00953692">
        <w:rPr>
          <w:rFonts w:cs="Times New Roman"/>
          <w:sz w:val="24"/>
          <w:szCs w:val="24"/>
          <w:lang w:val="fr-FR"/>
        </w:rPr>
        <w:t xml:space="preserve"> (subjectif)</w:t>
      </w:r>
      <w:r w:rsidR="00895912" w:rsidRPr="00953692">
        <w:rPr>
          <w:rFonts w:cs="Times New Roman"/>
          <w:sz w:val="24"/>
          <w:szCs w:val="24"/>
          <w:lang w:val="fr-FR"/>
        </w:rPr>
        <w:t xml:space="preserve">, il est ici pris strictement dans le cadre des droits procéduraux de la personne mise en cause. </w:t>
      </w:r>
      <w:r w:rsidR="00BD61EE" w:rsidRPr="00953692">
        <w:rPr>
          <w:rFonts w:cs="Times New Roman"/>
          <w:sz w:val="24"/>
          <w:szCs w:val="24"/>
          <w:lang w:val="fr-FR"/>
        </w:rPr>
        <w:t xml:space="preserve">Il s’agit d’un ensemble des règles et principes relatifs au fonctionnement de la justice </w:t>
      </w:r>
      <w:r w:rsidR="009A7D46" w:rsidRPr="00953692">
        <w:rPr>
          <w:rFonts w:cs="Times New Roman"/>
          <w:sz w:val="24"/>
          <w:szCs w:val="24"/>
          <w:lang w:val="fr-FR"/>
        </w:rPr>
        <w:t>dont</w:t>
      </w:r>
      <w:r w:rsidR="00AD3C3D" w:rsidRPr="00953692">
        <w:rPr>
          <w:rFonts w:cs="Times New Roman"/>
          <w:sz w:val="24"/>
          <w:szCs w:val="24"/>
          <w:lang w:val="fr-FR"/>
        </w:rPr>
        <w:t xml:space="preserve"> l’accusé ou le suspect </w:t>
      </w:r>
      <w:r w:rsidR="00BD61EE" w:rsidRPr="00953692">
        <w:rPr>
          <w:rFonts w:cs="Times New Roman"/>
          <w:sz w:val="24"/>
          <w:szCs w:val="24"/>
          <w:lang w:val="fr-FR"/>
        </w:rPr>
        <w:t>peut s</w:t>
      </w:r>
      <w:r w:rsidR="00AD3C3D" w:rsidRPr="00953692">
        <w:rPr>
          <w:rFonts w:cs="Times New Roman"/>
          <w:sz w:val="24"/>
          <w:szCs w:val="24"/>
          <w:lang w:val="fr-FR"/>
        </w:rPr>
        <w:t>’</w:t>
      </w:r>
      <w:r w:rsidR="00BD61EE" w:rsidRPr="00953692">
        <w:rPr>
          <w:rFonts w:cs="Times New Roman"/>
          <w:sz w:val="24"/>
          <w:szCs w:val="24"/>
          <w:lang w:val="fr-FR"/>
        </w:rPr>
        <w:t>e</w:t>
      </w:r>
      <w:r w:rsidR="00AD3C3D" w:rsidRPr="00953692">
        <w:rPr>
          <w:rFonts w:cs="Times New Roman"/>
          <w:sz w:val="24"/>
          <w:szCs w:val="24"/>
          <w:lang w:val="fr-FR"/>
        </w:rPr>
        <w:t>n</w:t>
      </w:r>
      <w:r w:rsidR="00BD61EE" w:rsidRPr="00953692">
        <w:rPr>
          <w:rFonts w:cs="Times New Roman"/>
          <w:sz w:val="24"/>
          <w:szCs w:val="24"/>
          <w:lang w:val="fr-FR"/>
        </w:rPr>
        <w:t xml:space="preserve"> prévaloir dans le cadre d’une procédure</w:t>
      </w:r>
      <w:r w:rsidR="00AD3C3D" w:rsidRPr="00953692">
        <w:rPr>
          <w:rFonts w:cs="Times New Roman"/>
          <w:sz w:val="24"/>
          <w:szCs w:val="24"/>
          <w:lang w:val="fr-FR"/>
        </w:rPr>
        <w:t xml:space="preserve"> déclenchée</w:t>
      </w:r>
      <w:r w:rsidR="00BD61EE" w:rsidRPr="00953692">
        <w:rPr>
          <w:rFonts w:cs="Times New Roman"/>
          <w:sz w:val="24"/>
          <w:szCs w:val="24"/>
          <w:lang w:val="fr-FR"/>
        </w:rPr>
        <w:t xml:space="preserve"> à son encontre. </w:t>
      </w:r>
      <w:r w:rsidR="008B0FC6" w:rsidRPr="00953692">
        <w:rPr>
          <w:rFonts w:cs="Times New Roman"/>
          <w:sz w:val="24"/>
          <w:szCs w:val="24"/>
          <w:lang w:val="fr-FR"/>
        </w:rPr>
        <w:t xml:space="preserve">Nous l’avons mentionné à l’introduction, que le procès pénal moderne est marqué par une certaine équité entre les organes judiciaires et l’accusé. Les droits que possède ce dernier lui </w:t>
      </w:r>
      <w:r w:rsidR="008B0FC6" w:rsidRPr="00953692">
        <w:rPr>
          <w:rFonts w:cs="Times New Roman"/>
          <w:sz w:val="24"/>
          <w:szCs w:val="24"/>
          <w:lang w:val="fr-FR"/>
        </w:rPr>
        <w:lastRenderedPageBreak/>
        <w:t>permettent d’éluder à l’arbitraire des organes judiciaires</w:t>
      </w:r>
      <w:r w:rsidR="00B91672" w:rsidRPr="00953692">
        <w:rPr>
          <w:rStyle w:val="Appelnotedebasdep"/>
          <w:rFonts w:cs="Times New Roman"/>
          <w:sz w:val="24"/>
          <w:szCs w:val="24"/>
          <w:lang w:val="fr-FR"/>
        </w:rPr>
        <w:footnoteReference w:customMarkFollows="1" w:id="195"/>
        <w:t>174</w:t>
      </w:r>
      <w:r w:rsidR="008B0FC6" w:rsidRPr="00953692">
        <w:rPr>
          <w:rFonts w:cs="Times New Roman"/>
          <w:sz w:val="24"/>
          <w:szCs w:val="24"/>
          <w:lang w:val="fr-FR"/>
        </w:rPr>
        <w:t>. Ces droits sont</w:t>
      </w:r>
      <w:r w:rsidR="00BD61EE" w:rsidRPr="00953692">
        <w:rPr>
          <w:rFonts w:cs="Times New Roman"/>
          <w:sz w:val="24"/>
          <w:szCs w:val="24"/>
          <w:lang w:val="fr-FR"/>
        </w:rPr>
        <w:t xml:space="preserve"> aussi appelés garanties procédurales</w:t>
      </w:r>
      <w:r w:rsidR="008B0FC6" w:rsidRPr="00953692">
        <w:rPr>
          <w:rFonts w:cs="Times New Roman"/>
          <w:sz w:val="24"/>
          <w:szCs w:val="24"/>
          <w:lang w:val="fr-FR"/>
        </w:rPr>
        <w:t xml:space="preserve"> de la personnes mise en cause ;</w:t>
      </w:r>
      <w:r w:rsidR="00BD61EE" w:rsidRPr="00953692">
        <w:rPr>
          <w:rFonts w:cs="Times New Roman"/>
          <w:sz w:val="24"/>
          <w:szCs w:val="24"/>
          <w:lang w:val="fr-FR"/>
        </w:rPr>
        <w:t xml:space="preserve"> ou de </w:t>
      </w:r>
      <w:r w:rsidR="008B0FC6" w:rsidRPr="00953692">
        <w:rPr>
          <w:rFonts w:cs="Times New Roman"/>
          <w:sz w:val="24"/>
          <w:szCs w:val="24"/>
          <w:lang w:val="fr-FR"/>
        </w:rPr>
        <w:t>manière personnalisée</w:t>
      </w:r>
      <w:r w:rsidR="001410B2" w:rsidRPr="00953692">
        <w:rPr>
          <w:rFonts w:cs="Times New Roman"/>
          <w:sz w:val="24"/>
          <w:szCs w:val="24"/>
          <w:lang w:val="fr-FR"/>
        </w:rPr>
        <w:t>,</w:t>
      </w:r>
      <w:r w:rsidR="008B0FC6" w:rsidRPr="00953692">
        <w:rPr>
          <w:rFonts w:cs="Times New Roman"/>
          <w:sz w:val="24"/>
          <w:szCs w:val="24"/>
          <w:lang w:val="fr-FR"/>
        </w:rPr>
        <w:t xml:space="preserve"> on parlerait des</w:t>
      </w:r>
      <w:r w:rsidR="001410B2" w:rsidRPr="00953692">
        <w:rPr>
          <w:rFonts w:cs="Times New Roman"/>
          <w:sz w:val="24"/>
          <w:szCs w:val="24"/>
          <w:lang w:val="fr-FR"/>
        </w:rPr>
        <w:t xml:space="preserve"> droit</w:t>
      </w:r>
      <w:r w:rsidR="00E534A4" w:rsidRPr="00953692">
        <w:rPr>
          <w:rFonts w:cs="Times New Roman"/>
          <w:sz w:val="24"/>
          <w:szCs w:val="24"/>
          <w:lang w:val="fr-FR"/>
        </w:rPr>
        <w:t>s</w:t>
      </w:r>
      <w:r w:rsidR="001410B2" w:rsidRPr="00953692">
        <w:rPr>
          <w:rFonts w:cs="Times New Roman"/>
          <w:sz w:val="24"/>
          <w:szCs w:val="24"/>
          <w:lang w:val="fr-FR"/>
        </w:rPr>
        <w:t xml:space="preserve"> de l’accusé, droits du suspect,</w:t>
      </w:r>
      <w:r w:rsidR="009160C4" w:rsidRPr="00953692">
        <w:rPr>
          <w:rFonts w:cs="Times New Roman"/>
          <w:sz w:val="24"/>
          <w:szCs w:val="24"/>
          <w:lang w:val="fr-FR"/>
        </w:rPr>
        <w:t xml:space="preserve"> </w:t>
      </w:r>
      <w:r w:rsidR="008B0FC6" w:rsidRPr="00953692">
        <w:rPr>
          <w:rFonts w:cs="Times New Roman"/>
          <w:sz w:val="24"/>
          <w:szCs w:val="24"/>
          <w:lang w:val="fr-FR"/>
        </w:rPr>
        <w:t xml:space="preserve">droits </w:t>
      </w:r>
      <w:r w:rsidR="009160C4" w:rsidRPr="00953692">
        <w:rPr>
          <w:rFonts w:cs="Times New Roman"/>
          <w:sz w:val="24"/>
          <w:szCs w:val="24"/>
          <w:lang w:val="fr-FR"/>
        </w:rPr>
        <w:t>de l’inculpé,</w:t>
      </w:r>
      <w:r w:rsidR="008B0FC6" w:rsidRPr="00953692">
        <w:rPr>
          <w:rFonts w:cs="Times New Roman"/>
          <w:sz w:val="24"/>
          <w:szCs w:val="24"/>
          <w:lang w:val="fr-FR"/>
        </w:rPr>
        <w:t xml:space="preserve"> droits</w:t>
      </w:r>
      <w:r w:rsidR="009160C4" w:rsidRPr="00953692">
        <w:rPr>
          <w:rFonts w:cs="Times New Roman"/>
          <w:sz w:val="24"/>
          <w:szCs w:val="24"/>
          <w:lang w:val="fr-FR"/>
        </w:rPr>
        <w:t xml:space="preserve"> du condamné,</w:t>
      </w:r>
      <w:r w:rsidR="001410B2" w:rsidRPr="00953692">
        <w:rPr>
          <w:rFonts w:cs="Times New Roman"/>
          <w:sz w:val="24"/>
          <w:szCs w:val="24"/>
          <w:lang w:val="fr-FR"/>
        </w:rPr>
        <w:t xml:space="preserve"> etc. </w:t>
      </w:r>
      <w:r w:rsidR="008B0FC6" w:rsidRPr="00953692">
        <w:rPr>
          <w:rFonts w:cs="Times New Roman"/>
          <w:sz w:val="24"/>
          <w:szCs w:val="24"/>
          <w:lang w:val="fr-FR"/>
        </w:rPr>
        <w:t>En tout cas, o</w:t>
      </w:r>
      <w:r w:rsidR="00C279A2" w:rsidRPr="00953692">
        <w:rPr>
          <w:rFonts w:cs="Times New Roman"/>
          <w:sz w:val="24"/>
          <w:szCs w:val="24"/>
          <w:lang w:val="fr-FR"/>
        </w:rPr>
        <w:t>n a bien en vue la notion du procès équitable</w:t>
      </w:r>
      <w:r w:rsidR="00B91672" w:rsidRPr="00953692">
        <w:rPr>
          <w:rStyle w:val="Appelnotedebasdep"/>
          <w:rFonts w:cs="Times New Roman"/>
          <w:sz w:val="24"/>
          <w:szCs w:val="24"/>
          <w:lang w:val="fr-FR"/>
        </w:rPr>
        <w:footnoteReference w:customMarkFollows="1" w:id="196"/>
        <w:t>175</w:t>
      </w:r>
      <w:r w:rsidR="00C279A2" w:rsidRPr="00953692">
        <w:rPr>
          <w:rFonts w:cs="Times New Roman"/>
          <w:sz w:val="24"/>
          <w:szCs w:val="24"/>
          <w:lang w:val="fr-FR"/>
        </w:rPr>
        <w:t xml:space="preserve"> ou encore </w:t>
      </w:r>
      <w:r w:rsidR="008B0FC6" w:rsidRPr="00953692">
        <w:rPr>
          <w:rFonts w:cs="Times New Roman"/>
          <w:sz w:val="24"/>
          <w:szCs w:val="24"/>
          <w:lang w:val="fr-FR"/>
        </w:rPr>
        <w:t>d</w:t>
      </w:r>
      <w:r w:rsidR="00C279A2" w:rsidRPr="00953692">
        <w:rPr>
          <w:rFonts w:cs="Times New Roman"/>
          <w:sz w:val="24"/>
          <w:szCs w:val="24"/>
          <w:lang w:val="fr-FR"/>
        </w:rPr>
        <w:t xml:space="preserve">es droits de la </w:t>
      </w:r>
      <w:r w:rsidR="008B0FC6" w:rsidRPr="00953692">
        <w:rPr>
          <w:rFonts w:cs="Times New Roman"/>
          <w:sz w:val="24"/>
          <w:szCs w:val="24"/>
          <w:lang w:val="fr-FR"/>
        </w:rPr>
        <w:t>D</w:t>
      </w:r>
      <w:r w:rsidR="00C279A2" w:rsidRPr="00953692">
        <w:rPr>
          <w:rFonts w:cs="Times New Roman"/>
          <w:sz w:val="24"/>
          <w:szCs w:val="24"/>
          <w:lang w:val="fr-FR"/>
        </w:rPr>
        <w:t xml:space="preserve">éfense. </w:t>
      </w:r>
      <w:r w:rsidR="008B0FC6" w:rsidRPr="00953692">
        <w:rPr>
          <w:rFonts w:cs="Times New Roman"/>
          <w:sz w:val="24"/>
          <w:szCs w:val="24"/>
          <w:lang w:val="fr-FR"/>
        </w:rPr>
        <w:t>Pour ne pas se perdre, il suffirait de considérer en effet,</w:t>
      </w:r>
      <w:r w:rsidR="00850FCF" w:rsidRPr="00953692">
        <w:rPr>
          <w:rFonts w:cs="Times New Roman"/>
          <w:sz w:val="24"/>
          <w:szCs w:val="24"/>
          <w:lang w:val="fr-FR"/>
        </w:rPr>
        <w:t xml:space="preserve"> tous les droits que nous traitons de manière </w:t>
      </w:r>
      <w:r w:rsidR="0010316B" w:rsidRPr="00953692">
        <w:rPr>
          <w:rFonts w:cs="Times New Roman"/>
          <w:sz w:val="24"/>
          <w:szCs w:val="24"/>
          <w:lang w:val="fr-FR"/>
        </w:rPr>
        <w:t>particulière</w:t>
      </w:r>
      <w:r w:rsidR="00850FCF" w:rsidRPr="00953692">
        <w:rPr>
          <w:rFonts w:cs="Times New Roman"/>
          <w:sz w:val="24"/>
          <w:szCs w:val="24"/>
          <w:lang w:val="fr-FR"/>
        </w:rPr>
        <w:t xml:space="preserve"> dans le cadre de cette étude</w:t>
      </w:r>
      <w:r w:rsidR="008B0FC6" w:rsidRPr="00953692">
        <w:rPr>
          <w:rFonts w:cs="Times New Roman"/>
          <w:sz w:val="24"/>
          <w:szCs w:val="24"/>
          <w:lang w:val="fr-FR"/>
        </w:rPr>
        <w:t>, tels que le droit d’être informé ou le droit de</w:t>
      </w:r>
      <w:r w:rsidR="00AA60F1" w:rsidRPr="00953692">
        <w:rPr>
          <w:rFonts w:cs="Times New Roman"/>
          <w:sz w:val="24"/>
          <w:szCs w:val="24"/>
          <w:lang w:val="fr-FR"/>
        </w:rPr>
        <w:t xml:space="preserve"> disposer d’un temps et des possibilités nécessaires à la</w:t>
      </w:r>
      <w:r w:rsidR="008B0FC6" w:rsidRPr="00953692">
        <w:rPr>
          <w:rFonts w:cs="Times New Roman"/>
          <w:sz w:val="24"/>
          <w:szCs w:val="24"/>
          <w:lang w:val="fr-FR"/>
        </w:rPr>
        <w:t xml:space="preserve"> prépar</w:t>
      </w:r>
      <w:r w:rsidR="00AA60F1" w:rsidRPr="00953692">
        <w:rPr>
          <w:rFonts w:cs="Times New Roman"/>
          <w:sz w:val="24"/>
          <w:szCs w:val="24"/>
          <w:lang w:val="fr-FR"/>
        </w:rPr>
        <w:t>ation</w:t>
      </w:r>
      <w:r w:rsidR="008B0FC6" w:rsidRPr="00953692">
        <w:rPr>
          <w:rFonts w:cs="Times New Roman"/>
          <w:sz w:val="24"/>
          <w:szCs w:val="24"/>
          <w:lang w:val="fr-FR"/>
        </w:rPr>
        <w:t xml:space="preserve"> sa défense</w:t>
      </w:r>
      <w:r w:rsidR="00AA60F1" w:rsidRPr="00953692">
        <w:rPr>
          <w:rFonts w:cs="Times New Roman"/>
          <w:sz w:val="24"/>
          <w:szCs w:val="24"/>
          <w:lang w:val="fr-FR"/>
        </w:rPr>
        <w:t xml:space="preserve"> ou encore le droit de former un recours</w:t>
      </w:r>
      <w:r w:rsidR="00850FCF" w:rsidRPr="00953692">
        <w:rPr>
          <w:rFonts w:cs="Times New Roman"/>
          <w:sz w:val="24"/>
          <w:szCs w:val="24"/>
          <w:lang w:val="fr-FR"/>
        </w:rPr>
        <w:t>.</w:t>
      </w:r>
    </w:p>
    <w:p w14:paraId="1F1E7B03" w14:textId="127F47AE" w:rsidR="00895912" w:rsidRPr="00953692" w:rsidRDefault="008A4FE5"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255</w:t>
      </w:r>
      <w:r w:rsidR="008B0FC6" w:rsidRPr="00953692">
        <w:rPr>
          <w:rFonts w:cs="Times New Roman"/>
          <w:b/>
          <w:bCs/>
          <w:sz w:val="24"/>
          <w:szCs w:val="24"/>
          <w:lang w:val="fr-FR"/>
        </w:rPr>
        <w:t>.</w:t>
      </w:r>
      <w:r w:rsidR="008B0FC6" w:rsidRPr="00953692">
        <w:rPr>
          <w:rFonts w:cs="Times New Roman"/>
          <w:sz w:val="24"/>
          <w:szCs w:val="24"/>
          <w:lang w:val="fr-FR"/>
        </w:rPr>
        <w:t xml:space="preserve"> En effet,</w:t>
      </w:r>
      <w:r w:rsidR="009160C4" w:rsidRPr="00953692">
        <w:rPr>
          <w:rFonts w:cs="Times New Roman"/>
          <w:sz w:val="24"/>
          <w:szCs w:val="24"/>
          <w:lang w:val="fr-FR"/>
        </w:rPr>
        <w:t xml:space="preserve"> tenant compte de l’évolution et de l’état actuel de la procédure pénale</w:t>
      </w:r>
      <w:r w:rsidR="008B0FC6" w:rsidRPr="00953692">
        <w:rPr>
          <w:rFonts w:cs="Times New Roman"/>
          <w:sz w:val="24"/>
          <w:szCs w:val="24"/>
          <w:lang w:val="fr-FR"/>
        </w:rPr>
        <w:t xml:space="preserve"> en général</w:t>
      </w:r>
      <w:r w:rsidR="009160C4" w:rsidRPr="00953692">
        <w:rPr>
          <w:rFonts w:cs="Times New Roman"/>
          <w:sz w:val="24"/>
          <w:szCs w:val="24"/>
          <w:lang w:val="fr-FR"/>
        </w:rPr>
        <w:t>,</w:t>
      </w:r>
      <w:r w:rsidR="008B0FC6" w:rsidRPr="00953692">
        <w:rPr>
          <w:rFonts w:cs="Times New Roman"/>
          <w:sz w:val="24"/>
          <w:szCs w:val="24"/>
          <w:lang w:val="fr-FR"/>
        </w:rPr>
        <w:t xml:space="preserve"> et particulièrement au niveau international,</w:t>
      </w:r>
      <w:r w:rsidR="009160C4" w:rsidRPr="00953692">
        <w:rPr>
          <w:rFonts w:cs="Times New Roman"/>
          <w:sz w:val="24"/>
          <w:szCs w:val="24"/>
          <w:lang w:val="fr-FR"/>
        </w:rPr>
        <w:t xml:space="preserve"> l</w:t>
      </w:r>
      <w:r w:rsidR="00C279A2" w:rsidRPr="00953692">
        <w:rPr>
          <w:rFonts w:cs="Times New Roman"/>
          <w:sz w:val="24"/>
          <w:szCs w:val="24"/>
          <w:lang w:val="fr-FR"/>
        </w:rPr>
        <w:t xml:space="preserve">’objet de tous ces droits </w:t>
      </w:r>
      <w:r w:rsidR="009160C4" w:rsidRPr="00953692">
        <w:rPr>
          <w:rFonts w:cs="Times New Roman"/>
          <w:sz w:val="24"/>
          <w:szCs w:val="24"/>
          <w:lang w:val="fr-FR"/>
        </w:rPr>
        <w:t>dits de la défense, c’</w:t>
      </w:r>
      <w:r w:rsidR="00C279A2" w:rsidRPr="00953692">
        <w:rPr>
          <w:rFonts w:cs="Times New Roman"/>
          <w:sz w:val="24"/>
          <w:szCs w:val="24"/>
          <w:lang w:val="fr-FR"/>
        </w:rPr>
        <w:t>est de permettre à la personne mise en cause de ne pas subir son procès, mais d’y participer en plaid</w:t>
      </w:r>
      <w:r w:rsidR="00E534A4" w:rsidRPr="00953692">
        <w:rPr>
          <w:rFonts w:cs="Times New Roman"/>
          <w:sz w:val="24"/>
          <w:szCs w:val="24"/>
          <w:lang w:val="fr-FR"/>
        </w:rPr>
        <w:t>ant</w:t>
      </w:r>
      <w:r w:rsidR="00C279A2" w:rsidRPr="00953692">
        <w:rPr>
          <w:rFonts w:cs="Times New Roman"/>
          <w:sz w:val="24"/>
          <w:szCs w:val="24"/>
          <w:lang w:val="fr-FR"/>
        </w:rPr>
        <w:t xml:space="preserve"> librement avec les facilités nécessaires la thèse qui lui semble soutenable</w:t>
      </w:r>
      <w:r w:rsidR="009160C4" w:rsidRPr="00953692">
        <w:rPr>
          <w:rFonts w:cs="Times New Roman"/>
          <w:sz w:val="24"/>
          <w:szCs w:val="24"/>
          <w:lang w:val="fr-FR"/>
        </w:rPr>
        <w:t> ; on aurait envie de dire en son âme et conscience</w:t>
      </w:r>
      <w:r w:rsidR="0040538D" w:rsidRPr="00953692">
        <w:rPr>
          <w:rFonts w:cs="Times New Roman"/>
          <w:sz w:val="24"/>
          <w:szCs w:val="24"/>
          <w:lang w:val="fr-FR"/>
        </w:rPr>
        <w:t> ;</w:t>
      </w:r>
      <w:r w:rsidR="00327C4D" w:rsidRPr="00953692">
        <w:rPr>
          <w:rFonts w:cs="Times New Roman"/>
          <w:sz w:val="24"/>
          <w:szCs w:val="24"/>
          <w:lang w:val="fr-FR"/>
        </w:rPr>
        <w:t xml:space="preserve"> car, tout comme celui de la justice, le but </w:t>
      </w:r>
      <w:r w:rsidR="00387C6A" w:rsidRPr="00953692">
        <w:rPr>
          <w:rFonts w:cs="Times New Roman"/>
          <w:sz w:val="24"/>
          <w:szCs w:val="24"/>
          <w:lang w:val="fr-FR"/>
        </w:rPr>
        <w:t xml:space="preserve">pour l’accusé </w:t>
      </w:r>
      <w:r w:rsidR="00327C4D" w:rsidRPr="00953692">
        <w:rPr>
          <w:rFonts w:cs="Times New Roman"/>
          <w:sz w:val="24"/>
          <w:szCs w:val="24"/>
          <w:lang w:val="fr-FR"/>
        </w:rPr>
        <w:t xml:space="preserve">de participer à l’aboutissement </w:t>
      </w:r>
      <w:r w:rsidR="00387C6A" w:rsidRPr="00953692">
        <w:rPr>
          <w:rFonts w:cs="Times New Roman"/>
          <w:sz w:val="24"/>
          <w:szCs w:val="24"/>
          <w:lang w:val="fr-FR"/>
        </w:rPr>
        <w:t xml:space="preserve">rapide </w:t>
      </w:r>
      <w:r w:rsidR="00327C4D" w:rsidRPr="00953692">
        <w:rPr>
          <w:rFonts w:cs="Times New Roman"/>
          <w:sz w:val="24"/>
          <w:szCs w:val="24"/>
          <w:lang w:val="fr-FR"/>
        </w:rPr>
        <w:t>de son procès devrait être évidemment cette manifestation de la vérité. En plaidant coupable ou non-coupable, l’accusé s’emploie tout de même à démontrer soit, la fausseté des accusations soit, leur bien-fondé.</w:t>
      </w:r>
    </w:p>
    <w:p w14:paraId="0576054D" w14:textId="46BFEAD2" w:rsidR="00540D67" w:rsidRPr="00953692" w:rsidRDefault="00CD59A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256</w:t>
      </w:r>
      <w:r w:rsidR="00C0789C" w:rsidRPr="00953692">
        <w:rPr>
          <w:rFonts w:cs="Times New Roman"/>
          <w:b/>
          <w:bCs/>
          <w:sz w:val="24"/>
          <w:szCs w:val="24"/>
          <w:lang w:val="fr-FR"/>
        </w:rPr>
        <w:t>.</w:t>
      </w:r>
      <w:r w:rsidR="00C0789C" w:rsidRPr="00953692">
        <w:rPr>
          <w:rFonts w:cs="Times New Roman"/>
          <w:sz w:val="24"/>
          <w:szCs w:val="24"/>
          <w:lang w:val="fr-FR"/>
        </w:rPr>
        <w:t xml:space="preserve"> </w:t>
      </w:r>
      <w:r w:rsidR="00327C4D" w:rsidRPr="00953692">
        <w:rPr>
          <w:rFonts w:cs="Times New Roman"/>
          <w:sz w:val="24"/>
          <w:szCs w:val="24"/>
          <w:lang w:val="fr-FR"/>
        </w:rPr>
        <w:t>Dans cette logique à la fois réaliste et idéaliste, o</w:t>
      </w:r>
      <w:r w:rsidR="00850FCF" w:rsidRPr="00953692">
        <w:rPr>
          <w:rFonts w:cs="Times New Roman"/>
          <w:sz w:val="24"/>
          <w:szCs w:val="24"/>
          <w:lang w:val="fr-FR"/>
        </w:rPr>
        <w:t xml:space="preserve">n </w:t>
      </w:r>
      <w:r w:rsidR="00327C4D" w:rsidRPr="00953692">
        <w:rPr>
          <w:rFonts w:cs="Times New Roman"/>
          <w:sz w:val="24"/>
          <w:szCs w:val="24"/>
          <w:lang w:val="fr-FR"/>
        </w:rPr>
        <w:t>y entrevoit</w:t>
      </w:r>
      <w:r w:rsidR="00850FCF" w:rsidRPr="00953692">
        <w:rPr>
          <w:rFonts w:cs="Times New Roman"/>
          <w:sz w:val="24"/>
          <w:szCs w:val="24"/>
          <w:lang w:val="fr-FR"/>
        </w:rPr>
        <w:t xml:space="preserve"> donc </w:t>
      </w:r>
      <w:r w:rsidR="001F4F8E" w:rsidRPr="00953692">
        <w:rPr>
          <w:rFonts w:cs="Times New Roman"/>
          <w:sz w:val="24"/>
          <w:szCs w:val="24"/>
          <w:lang w:val="fr-FR"/>
        </w:rPr>
        <w:t xml:space="preserve">les traces inédites </w:t>
      </w:r>
      <w:r w:rsidR="00327C4D" w:rsidRPr="00953692">
        <w:rPr>
          <w:rFonts w:cs="Times New Roman"/>
          <w:sz w:val="24"/>
          <w:szCs w:val="24"/>
          <w:lang w:val="fr-FR"/>
        </w:rPr>
        <w:t>de ce que c’est le</w:t>
      </w:r>
      <w:r w:rsidR="001F4F8E" w:rsidRPr="00953692">
        <w:rPr>
          <w:rFonts w:cs="Times New Roman"/>
          <w:sz w:val="24"/>
          <w:szCs w:val="24"/>
          <w:lang w:val="fr-FR"/>
        </w:rPr>
        <w:t xml:space="preserve"> droit de participer activement</w:t>
      </w:r>
      <w:r w:rsidR="00327C4D" w:rsidRPr="00953692">
        <w:rPr>
          <w:rFonts w:cs="Times New Roman"/>
          <w:sz w:val="24"/>
          <w:szCs w:val="24"/>
          <w:lang w:val="fr-FR"/>
        </w:rPr>
        <w:t xml:space="preserve"> à l’aboutissement de</w:t>
      </w:r>
      <w:r w:rsidR="001F4F8E" w:rsidRPr="00953692">
        <w:rPr>
          <w:rFonts w:cs="Times New Roman"/>
          <w:sz w:val="24"/>
          <w:szCs w:val="24"/>
          <w:lang w:val="fr-FR"/>
        </w:rPr>
        <w:t xml:space="preserve"> son procès. Car les droits procéduraux tels qu’énoncés dans différents textes en ce compris les actes constitutifs des juridictions pénales internationales, sont en pratique une invitation à participer au procès. La procédure est organisée de telle sorte que la personne mise en cause ait la parole</w:t>
      </w:r>
      <w:r w:rsidR="00E534A4" w:rsidRPr="00953692">
        <w:rPr>
          <w:rFonts w:cs="Times New Roman"/>
          <w:sz w:val="24"/>
          <w:szCs w:val="24"/>
          <w:lang w:val="fr-FR"/>
        </w:rPr>
        <w:t>,</w:t>
      </w:r>
      <w:r w:rsidR="001F4F8E" w:rsidRPr="00953692">
        <w:rPr>
          <w:rFonts w:cs="Times New Roman"/>
          <w:sz w:val="24"/>
          <w:szCs w:val="24"/>
          <w:lang w:val="fr-FR"/>
        </w:rPr>
        <w:t xml:space="preserve"> les possibilités</w:t>
      </w:r>
      <w:r w:rsidR="00C0627E" w:rsidRPr="00953692">
        <w:rPr>
          <w:rFonts w:cs="Times New Roman"/>
          <w:sz w:val="24"/>
          <w:szCs w:val="24"/>
          <w:lang w:val="fr-FR"/>
        </w:rPr>
        <w:t xml:space="preserve"> (moyens)</w:t>
      </w:r>
      <w:r w:rsidR="001F4F8E" w:rsidRPr="00953692">
        <w:rPr>
          <w:rFonts w:cs="Times New Roman"/>
          <w:sz w:val="24"/>
          <w:szCs w:val="24"/>
          <w:lang w:val="fr-FR"/>
        </w:rPr>
        <w:t xml:space="preserve"> et l’occasion de </w:t>
      </w:r>
      <w:r w:rsidR="00C0627E" w:rsidRPr="00953692">
        <w:rPr>
          <w:rFonts w:cs="Times New Roman"/>
          <w:sz w:val="24"/>
          <w:szCs w:val="24"/>
          <w:lang w:val="fr-FR"/>
        </w:rPr>
        <w:t>s</w:t>
      </w:r>
      <w:r w:rsidR="001F4F8E" w:rsidRPr="00953692">
        <w:rPr>
          <w:rFonts w:cs="Times New Roman"/>
          <w:sz w:val="24"/>
          <w:szCs w:val="24"/>
          <w:lang w:val="fr-FR"/>
        </w:rPr>
        <w:t xml:space="preserve">’exprimer, et </w:t>
      </w:r>
      <w:r w:rsidR="00930BBF" w:rsidRPr="00953692">
        <w:rPr>
          <w:rFonts w:cs="Times New Roman"/>
          <w:sz w:val="24"/>
          <w:szCs w:val="24"/>
          <w:lang w:val="fr-FR"/>
        </w:rPr>
        <w:t>d’être</w:t>
      </w:r>
      <w:r w:rsidR="001F4F8E" w:rsidRPr="00953692">
        <w:rPr>
          <w:rFonts w:cs="Times New Roman"/>
          <w:sz w:val="24"/>
          <w:szCs w:val="24"/>
          <w:lang w:val="fr-FR"/>
        </w:rPr>
        <w:t xml:space="preserve"> entendue. </w:t>
      </w:r>
      <w:r w:rsidR="00540D67" w:rsidRPr="00953692">
        <w:rPr>
          <w:rFonts w:cs="Times New Roman"/>
          <w:sz w:val="24"/>
          <w:szCs w:val="24"/>
          <w:lang w:val="fr-FR"/>
        </w:rPr>
        <w:t>On part de l’invitation formelle (convocation, citation, mandat</w:t>
      </w:r>
      <w:r w:rsidR="00A86863" w:rsidRPr="00953692">
        <w:rPr>
          <w:rFonts w:cs="Times New Roman"/>
          <w:sz w:val="24"/>
          <w:szCs w:val="24"/>
          <w:lang w:val="fr-FR"/>
        </w:rPr>
        <w:t>, acte d’accusation</w:t>
      </w:r>
      <w:r w:rsidR="00540D67" w:rsidRPr="00953692">
        <w:rPr>
          <w:rFonts w:cs="Times New Roman"/>
          <w:sz w:val="24"/>
          <w:szCs w:val="24"/>
          <w:lang w:val="fr-FR"/>
        </w:rPr>
        <w:t>) qui doit être régulière en passant par le droit à l’information ; le droit à une comparution immédiate ou encore le droit d’être inculpé jusqu’au droit de disposer d’un temps nécessaire à la préparation de sa défense.</w:t>
      </w:r>
      <w:r w:rsidR="0067052D" w:rsidRPr="00953692">
        <w:rPr>
          <w:rFonts w:cs="Times New Roman"/>
          <w:sz w:val="24"/>
          <w:szCs w:val="24"/>
          <w:lang w:val="fr-FR"/>
        </w:rPr>
        <w:t xml:space="preserve"> Le fait de s’arrêter à ce droit est suggestif, car force sera de remarquer que, tout ce qui est fait dès le début est destiné à entendre la version ou les explications de la personne poursuivi</w:t>
      </w:r>
      <w:r w:rsidR="00627AF6" w:rsidRPr="00953692">
        <w:rPr>
          <w:rFonts w:cs="Times New Roman"/>
          <w:sz w:val="24"/>
          <w:szCs w:val="24"/>
          <w:lang w:val="fr-FR"/>
        </w:rPr>
        <w:t>e</w:t>
      </w:r>
      <w:r w:rsidR="0067052D" w:rsidRPr="00953692">
        <w:rPr>
          <w:rFonts w:cs="Times New Roman"/>
          <w:sz w:val="24"/>
          <w:szCs w:val="24"/>
          <w:lang w:val="fr-FR"/>
        </w:rPr>
        <w:t>.</w:t>
      </w:r>
    </w:p>
    <w:p w14:paraId="078E5D38" w14:textId="415B6992" w:rsidR="00850FCF" w:rsidRPr="00953692" w:rsidRDefault="00CD59A2" w:rsidP="00864BBF">
      <w:pPr>
        <w:spacing w:after="0" w:line="276" w:lineRule="auto"/>
        <w:ind w:firstLine="1134"/>
        <w:jc w:val="both"/>
        <w:rPr>
          <w:rFonts w:cs="Times New Roman"/>
          <w:sz w:val="24"/>
          <w:szCs w:val="24"/>
          <w:lang w:val="fr-FR"/>
        </w:rPr>
      </w:pPr>
      <w:r w:rsidRPr="00953692">
        <w:rPr>
          <w:rFonts w:cs="Times New Roman"/>
          <w:sz w:val="24"/>
          <w:szCs w:val="24"/>
          <w:lang w:val="fr-FR"/>
        </w:rPr>
        <w:t>257</w:t>
      </w:r>
      <w:r w:rsidR="0067052D" w:rsidRPr="00953692">
        <w:rPr>
          <w:rFonts w:cs="Times New Roman"/>
          <w:sz w:val="24"/>
          <w:szCs w:val="24"/>
          <w:lang w:val="fr-FR"/>
        </w:rPr>
        <w:t>. A ce titre, o</w:t>
      </w:r>
      <w:r w:rsidR="001F4F8E" w:rsidRPr="00953692">
        <w:rPr>
          <w:rFonts w:cs="Times New Roman"/>
          <w:sz w:val="24"/>
          <w:szCs w:val="24"/>
          <w:lang w:val="fr-FR"/>
        </w:rPr>
        <w:t>n peut</w:t>
      </w:r>
      <w:r w:rsidR="007F14D6" w:rsidRPr="00953692">
        <w:rPr>
          <w:rFonts w:cs="Times New Roman"/>
          <w:sz w:val="24"/>
          <w:szCs w:val="24"/>
          <w:lang w:val="fr-FR"/>
        </w:rPr>
        <w:t xml:space="preserve"> y associer</w:t>
      </w:r>
      <w:r w:rsidR="001F4F8E" w:rsidRPr="00953692">
        <w:rPr>
          <w:rFonts w:cs="Times New Roman"/>
          <w:sz w:val="24"/>
          <w:szCs w:val="24"/>
          <w:lang w:val="fr-FR"/>
        </w:rPr>
        <w:t xml:space="preserve"> </w:t>
      </w:r>
      <w:r w:rsidR="007F14D6" w:rsidRPr="00953692">
        <w:rPr>
          <w:rFonts w:cs="Times New Roman"/>
          <w:sz w:val="24"/>
          <w:szCs w:val="24"/>
          <w:lang w:val="fr-FR"/>
        </w:rPr>
        <w:t xml:space="preserve">le </w:t>
      </w:r>
      <w:r w:rsidR="001F4F8E" w:rsidRPr="00953692">
        <w:rPr>
          <w:rFonts w:cs="Times New Roman"/>
          <w:sz w:val="24"/>
          <w:szCs w:val="24"/>
          <w:lang w:val="fr-FR"/>
        </w:rPr>
        <w:t>droit à la traduction</w:t>
      </w:r>
      <w:r w:rsidR="0067052D" w:rsidRPr="00953692">
        <w:rPr>
          <w:rFonts w:cs="Times New Roman"/>
          <w:sz w:val="24"/>
          <w:szCs w:val="24"/>
          <w:lang w:val="fr-FR"/>
        </w:rPr>
        <w:t xml:space="preserve"> des documents ou de l’interrogatoire</w:t>
      </w:r>
      <w:r w:rsidR="001F4F8E" w:rsidRPr="00953692">
        <w:rPr>
          <w:rFonts w:cs="Times New Roman"/>
          <w:sz w:val="24"/>
          <w:szCs w:val="24"/>
          <w:lang w:val="fr-FR"/>
        </w:rPr>
        <w:t xml:space="preserve">, qui implique que la justice s’organise à comprendre exactement ce que dit l’accusé ou le suspect, mais aussi de lui faire comprendre ce que dit la justice. </w:t>
      </w:r>
      <w:r w:rsidR="00082941" w:rsidRPr="00953692">
        <w:rPr>
          <w:rFonts w:cs="Times New Roman"/>
          <w:sz w:val="24"/>
          <w:szCs w:val="24"/>
          <w:lang w:val="fr-FR"/>
        </w:rPr>
        <w:t>« </w:t>
      </w:r>
      <w:r w:rsidR="00C0789C" w:rsidRPr="00953692">
        <w:rPr>
          <w:rFonts w:cs="Times New Roman"/>
          <w:sz w:val="24"/>
          <w:szCs w:val="24"/>
          <w:lang w:val="fr-FR"/>
        </w:rPr>
        <w:t>Ce droit à la traduction est un droit fondamental dans le cadre d’un procès pénal, car le respect de tous les autres droits en découle</w:t>
      </w:r>
      <w:r w:rsidR="00082941" w:rsidRPr="00953692">
        <w:rPr>
          <w:rFonts w:cs="Times New Roman"/>
          <w:sz w:val="24"/>
          <w:szCs w:val="24"/>
          <w:lang w:val="fr-FR"/>
        </w:rPr>
        <w:t> »</w:t>
      </w:r>
      <w:r w:rsidR="00B91672" w:rsidRPr="00953692">
        <w:rPr>
          <w:rStyle w:val="Appelnotedebasdep"/>
          <w:rFonts w:cs="Times New Roman"/>
          <w:sz w:val="24"/>
          <w:szCs w:val="24"/>
          <w:lang w:val="fr-FR"/>
        </w:rPr>
        <w:footnoteReference w:customMarkFollows="1" w:id="197"/>
        <w:t>176</w:t>
      </w:r>
      <w:r w:rsidR="00C0789C" w:rsidRPr="00953692">
        <w:rPr>
          <w:rFonts w:cs="Times New Roman"/>
          <w:sz w:val="24"/>
          <w:szCs w:val="24"/>
          <w:lang w:val="fr-FR"/>
        </w:rPr>
        <w:t xml:space="preserve">. </w:t>
      </w:r>
      <w:r w:rsidR="007F14D6" w:rsidRPr="00953692">
        <w:rPr>
          <w:rFonts w:cs="Times New Roman"/>
          <w:sz w:val="24"/>
          <w:szCs w:val="24"/>
          <w:lang w:val="fr-FR"/>
        </w:rPr>
        <w:t xml:space="preserve">Le déroulement du procès n’est possible </w:t>
      </w:r>
      <w:r w:rsidR="007F14D6" w:rsidRPr="00953692">
        <w:rPr>
          <w:rFonts w:cs="Times New Roman"/>
          <w:sz w:val="24"/>
          <w:szCs w:val="24"/>
          <w:lang w:val="fr-FR"/>
        </w:rPr>
        <w:lastRenderedPageBreak/>
        <w:t xml:space="preserve">que par la compréhension de part et d’autre de tout ce qui est communicable. </w:t>
      </w:r>
      <w:r w:rsidR="009556C1" w:rsidRPr="00953692">
        <w:rPr>
          <w:rFonts w:cs="Times New Roman"/>
          <w:sz w:val="24"/>
          <w:szCs w:val="24"/>
          <w:lang w:val="fr-FR"/>
        </w:rPr>
        <w:t xml:space="preserve">Ainsi, le droit de participer à son procès n’est rien d’autre que l’expression </w:t>
      </w:r>
      <w:r w:rsidR="00E534A4" w:rsidRPr="00953692">
        <w:rPr>
          <w:rFonts w:cs="Times New Roman"/>
          <w:sz w:val="24"/>
          <w:szCs w:val="24"/>
          <w:lang w:val="fr-FR"/>
        </w:rPr>
        <w:t xml:space="preserve">par lui-même </w:t>
      </w:r>
      <w:r w:rsidR="009556C1" w:rsidRPr="00953692">
        <w:rPr>
          <w:rFonts w:cs="Times New Roman"/>
          <w:sz w:val="24"/>
          <w:szCs w:val="24"/>
          <w:lang w:val="fr-FR"/>
        </w:rPr>
        <w:t xml:space="preserve">de tous </w:t>
      </w:r>
      <w:r w:rsidR="0067052D" w:rsidRPr="00953692">
        <w:rPr>
          <w:rFonts w:cs="Times New Roman"/>
          <w:sz w:val="24"/>
          <w:szCs w:val="24"/>
          <w:lang w:val="fr-FR"/>
        </w:rPr>
        <w:t>c</w:t>
      </w:r>
      <w:r w:rsidR="009556C1" w:rsidRPr="00953692">
        <w:rPr>
          <w:rFonts w:cs="Times New Roman"/>
          <w:sz w:val="24"/>
          <w:szCs w:val="24"/>
          <w:lang w:val="fr-FR"/>
        </w:rPr>
        <w:t>es</w:t>
      </w:r>
      <w:r w:rsidR="0067052D" w:rsidRPr="00953692">
        <w:rPr>
          <w:rFonts w:cs="Times New Roman"/>
          <w:sz w:val="24"/>
          <w:szCs w:val="24"/>
          <w:lang w:val="fr-FR"/>
        </w:rPr>
        <w:t xml:space="preserve"> (ses)</w:t>
      </w:r>
      <w:r w:rsidR="009556C1" w:rsidRPr="00953692">
        <w:rPr>
          <w:rFonts w:cs="Times New Roman"/>
          <w:sz w:val="24"/>
          <w:szCs w:val="24"/>
          <w:lang w:val="fr-FR"/>
        </w:rPr>
        <w:t xml:space="preserve"> droits procéduraux. </w:t>
      </w:r>
      <w:r w:rsidR="0067052D" w:rsidRPr="00953692">
        <w:rPr>
          <w:rFonts w:cs="Times New Roman"/>
          <w:sz w:val="24"/>
          <w:szCs w:val="24"/>
          <w:lang w:val="fr-FR"/>
        </w:rPr>
        <w:t>L’accusé</w:t>
      </w:r>
      <w:r w:rsidR="009556C1" w:rsidRPr="00953692">
        <w:rPr>
          <w:rFonts w:cs="Times New Roman"/>
          <w:sz w:val="24"/>
          <w:szCs w:val="24"/>
          <w:lang w:val="fr-FR"/>
        </w:rPr>
        <w:t xml:space="preserve"> ne peut pas se défendre dans un procès sans y p</w:t>
      </w:r>
      <w:r w:rsidR="00370CA1" w:rsidRPr="00953692">
        <w:rPr>
          <w:rFonts w:cs="Times New Roman"/>
          <w:sz w:val="24"/>
          <w:szCs w:val="24"/>
          <w:lang w:val="fr-FR"/>
        </w:rPr>
        <w:t>rendre part ou</w:t>
      </w:r>
      <w:r w:rsidR="0067052D" w:rsidRPr="00953692">
        <w:rPr>
          <w:rFonts w:cs="Times New Roman"/>
          <w:sz w:val="24"/>
          <w:szCs w:val="24"/>
          <w:lang w:val="fr-FR"/>
        </w:rPr>
        <w:t>/et</w:t>
      </w:r>
      <w:r w:rsidR="00370CA1" w:rsidRPr="00953692">
        <w:rPr>
          <w:rFonts w:cs="Times New Roman"/>
          <w:sz w:val="24"/>
          <w:szCs w:val="24"/>
          <w:lang w:val="fr-FR"/>
        </w:rPr>
        <w:t xml:space="preserve"> exprimer ses vues et préoccupations.</w:t>
      </w:r>
      <w:r w:rsidR="00A15E9B" w:rsidRPr="00953692">
        <w:rPr>
          <w:rFonts w:cs="Times New Roman"/>
          <w:sz w:val="24"/>
          <w:szCs w:val="24"/>
          <w:lang w:val="fr-FR"/>
        </w:rPr>
        <w:t xml:space="preserve"> Et ça, nul n’a le droit de l</w:t>
      </w:r>
      <w:r w:rsidR="00082941" w:rsidRPr="00953692">
        <w:rPr>
          <w:rFonts w:cs="Times New Roman"/>
          <w:sz w:val="24"/>
          <w:szCs w:val="24"/>
          <w:lang w:val="fr-FR"/>
        </w:rPr>
        <w:t>’</w:t>
      </w:r>
      <w:r w:rsidR="00A15E9B" w:rsidRPr="00953692">
        <w:rPr>
          <w:rFonts w:cs="Times New Roman"/>
          <w:sz w:val="24"/>
          <w:szCs w:val="24"/>
          <w:lang w:val="fr-FR"/>
        </w:rPr>
        <w:t>en priver</w:t>
      </w:r>
      <w:r w:rsidR="00082941" w:rsidRPr="00953692">
        <w:rPr>
          <w:rFonts w:cs="Times New Roman"/>
          <w:sz w:val="24"/>
          <w:szCs w:val="24"/>
          <w:lang w:val="fr-FR"/>
        </w:rPr>
        <w:t xml:space="preserve"> la jouissance</w:t>
      </w:r>
      <w:r w:rsidR="00A15E9B" w:rsidRPr="00953692">
        <w:rPr>
          <w:rFonts w:cs="Times New Roman"/>
          <w:sz w:val="24"/>
          <w:szCs w:val="24"/>
          <w:lang w:val="fr-FR"/>
        </w:rPr>
        <w:t xml:space="preserve">. </w:t>
      </w:r>
      <w:r w:rsidR="00205EBA" w:rsidRPr="00953692">
        <w:rPr>
          <w:rFonts w:cs="Times New Roman"/>
          <w:sz w:val="24"/>
          <w:szCs w:val="24"/>
          <w:lang w:val="fr-FR"/>
        </w:rPr>
        <w:t>Si l’accusé ne peut pas participer à son procès</w:t>
      </w:r>
      <w:r w:rsidR="00725466" w:rsidRPr="00953692">
        <w:rPr>
          <w:rFonts w:cs="Times New Roman"/>
          <w:sz w:val="24"/>
          <w:szCs w:val="24"/>
          <w:lang w:val="fr-FR"/>
        </w:rPr>
        <w:t xml:space="preserve"> par la volonté de la justice</w:t>
      </w:r>
      <w:r w:rsidR="00205EBA" w:rsidRPr="00953692">
        <w:rPr>
          <w:rFonts w:cs="Times New Roman"/>
          <w:sz w:val="24"/>
          <w:szCs w:val="24"/>
          <w:lang w:val="fr-FR"/>
        </w:rPr>
        <w:t>, tout s’écroule</w:t>
      </w:r>
      <w:r w:rsidR="007F14D6" w:rsidRPr="00953692">
        <w:rPr>
          <w:rFonts w:cs="Times New Roman"/>
          <w:sz w:val="24"/>
          <w:szCs w:val="24"/>
          <w:lang w:val="fr-FR"/>
        </w:rPr>
        <w:t>, tout doit s’écrouler</w:t>
      </w:r>
      <w:r w:rsidR="00205EBA" w:rsidRPr="00953692">
        <w:rPr>
          <w:rFonts w:cs="Times New Roman"/>
          <w:sz w:val="24"/>
          <w:szCs w:val="24"/>
          <w:lang w:val="fr-FR"/>
        </w:rPr>
        <w:t>.</w:t>
      </w:r>
    </w:p>
    <w:p w14:paraId="5C155E8B" w14:textId="26B07E6F" w:rsidR="00C70799" w:rsidRPr="00953692" w:rsidRDefault="00CD59A2" w:rsidP="00864BBF">
      <w:pPr>
        <w:spacing w:after="0" w:line="276" w:lineRule="auto"/>
        <w:ind w:firstLine="1134"/>
        <w:jc w:val="both"/>
        <w:rPr>
          <w:sz w:val="24"/>
          <w:szCs w:val="24"/>
          <w:lang w:val="fr-FR"/>
        </w:rPr>
      </w:pPr>
      <w:r w:rsidRPr="00953692">
        <w:rPr>
          <w:rFonts w:cs="Times New Roman"/>
          <w:b/>
          <w:bCs/>
          <w:sz w:val="24"/>
          <w:szCs w:val="24"/>
          <w:lang w:val="fr-FR"/>
        </w:rPr>
        <w:t>258</w:t>
      </w:r>
      <w:r w:rsidR="00A86863" w:rsidRPr="00953692">
        <w:rPr>
          <w:rFonts w:cs="Times New Roman"/>
          <w:b/>
          <w:bCs/>
          <w:sz w:val="24"/>
          <w:szCs w:val="24"/>
          <w:lang w:val="fr-FR"/>
        </w:rPr>
        <w:t xml:space="preserve">. </w:t>
      </w:r>
      <w:r w:rsidR="00C70799" w:rsidRPr="00953692">
        <w:rPr>
          <w:rFonts w:cs="Times New Roman"/>
          <w:sz w:val="24"/>
          <w:szCs w:val="24"/>
          <w:lang w:val="fr-FR"/>
        </w:rPr>
        <w:t>Dans le RPP de la CPS centrafricaine, on retrouve l’article 86 intitulé : participation de l’inculpé</w:t>
      </w:r>
      <w:r w:rsidR="00580CCC" w:rsidRPr="00953692">
        <w:rPr>
          <w:rFonts w:cs="Times New Roman"/>
          <w:sz w:val="24"/>
          <w:szCs w:val="24"/>
          <w:lang w:val="fr-FR"/>
        </w:rPr>
        <w:t xml:space="preserve">, posant ainsi les bases d’une participation de l’inculpé à l’instruction de son affaire. </w:t>
      </w:r>
      <w:r w:rsidR="00275EF1" w:rsidRPr="00953692">
        <w:rPr>
          <w:rFonts w:cs="Times New Roman"/>
          <w:sz w:val="24"/>
          <w:szCs w:val="24"/>
          <w:lang w:val="fr-FR"/>
        </w:rPr>
        <w:t xml:space="preserve">En fait, une étape censée être ou demeurer l’apanage </w:t>
      </w:r>
      <w:r w:rsidR="004A2216" w:rsidRPr="00953692">
        <w:rPr>
          <w:rFonts w:cs="Times New Roman"/>
          <w:sz w:val="24"/>
          <w:szCs w:val="24"/>
          <w:lang w:val="fr-FR"/>
        </w:rPr>
        <w:t>du Cabinet d’instruction s’ouvre à l’accusé qui, « </w:t>
      </w:r>
      <w:r w:rsidR="004A2216" w:rsidRPr="00953692">
        <w:rPr>
          <w:sz w:val="24"/>
          <w:szCs w:val="24"/>
          <w:lang w:val="fr-FR"/>
        </w:rPr>
        <w:t>p</w:t>
      </w:r>
      <w:r w:rsidR="00C70799" w:rsidRPr="00953692">
        <w:rPr>
          <w:sz w:val="24"/>
          <w:szCs w:val="24"/>
          <w:lang w:val="fr-FR"/>
        </w:rPr>
        <w:t>ar requête motivée, peut solliciter l’accomplissement de tous les actes d’instruction qu’il juge utiles à la manifestation de la vérité dont des auditions et confrontations, des expertises, des compléments d’expertise ou des contre-expertises</w:t>
      </w:r>
      <w:r w:rsidR="004A2216" w:rsidRPr="00953692">
        <w:rPr>
          <w:sz w:val="24"/>
          <w:szCs w:val="24"/>
          <w:lang w:val="fr-FR"/>
        </w:rPr>
        <w:t> »</w:t>
      </w:r>
      <w:r w:rsidR="00C70799" w:rsidRPr="00953692">
        <w:rPr>
          <w:sz w:val="24"/>
          <w:szCs w:val="24"/>
          <w:lang w:val="fr-FR"/>
        </w:rPr>
        <w:t xml:space="preserve">. </w:t>
      </w:r>
      <w:r w:rsidR="00EC5F37" w:rsidRPr="00953692">
        <w:rPr>
          <w:sz w:val="24"/>
          <w:szCs w:val="24"/>
          <w:lang w:val="fr-FR"/>
        </w:rPr>
        <w:t>Il peut lui-même y prendre part si le Cabinet d’instruction en décide ou à défaut, par l’entremise de son avocat</w:t>
      </w:r>
      <w:r w:rsidR="00B91672" w:rsidRPr="00953692">
        <w:rPr>
          <w:rStyle w:val="Appelnotedebasdep"/>
          <w:sz w:val="24"/>
          <w:szCs w:val="24"/>
          <w:lang w:val="fr-FR"/>
        </w:rPr>
        <w:footnoteReference w:customMarkFollows="1" w:id="198"/>
        <w:t>177</w:t>
      </w:r>
      <w:r w:rsidR="00EC5F37" w:rsidRPr="00953692">
        <w:rPr>
          <w:sz w:val="24"/>
          <w:szCs w:val="24"/>
          <w:lang w:val="fr-FR"/>
        </w:rPr>
        <w:t xml:space="preserve">. A travers cette requête, l’accusé marque sa présence au procès et son intention de faire éclater la vérité. Cette disposition montre donc la nécessité </w:t>
      </w:r>
      <w:r w:rsidR="006410C0" w:rsidRPr="00953692">
        <w:rPr>
          <w:sz w:val="24"/>
          <w:szCs w:val="24"/>
          <w:lang w:val="fr-FR"/>
        </w:rPr>
        <w:t>pour l’accusé de prendre à bras-le-corps l’issue de son procès par sa participation effective et surtout active.</w:t>
      </w:r>
    </w:p>
    <w:p w14:paraId="3478FEE3" w14:textId="58D9F35A" w:rsidR="00BC30CA" w:rsidRPr="00953692" w:rsidRDefault="00CD59A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259</w:t>
      </w:r>
      <w:r w:rsidR="00151A9D" w:rsidRPr="00953692">
        <w:rPr>
          <w:rFonts w:cs="Times New Roman"/>
          <w:b/>
          <w:bCs/>
          <w:sz w:val="24"/>
          <w:szCs w:val="24"/>
          <w:lang w:val="fr-FR"/>
        </w:rPr>
        <w:t>.</w:t>
      </w:r>
      <w:r w:rsidR="00151A9D" w:rsidRPr="00953692">
        <w:rPr>
          <w:rFonts w:cs="Times New Roman"/>
          <w:sz w:val="24"/>
          <w:szCs w:val="24"/>
          <w:lang w:val="fr-FR"/>
        </w:rPr>
        <w:t xml:space="preserve"> </w:t>
      </w:r>
      <w:r w:rsidR="00BC30CA" w:rsidRPr="00953692">
        <w:rPr>
          <w:rFonts w:cs="Times New Roman"/>
          <w:sz w:val="24"/>
          <w:szCs w:val="24"/>
          <w:lang w:val="fr-FR"/>
        </w:rPr>
        <w:t xml:space="preserve">Cependant, participer activement à l’aboutissement rapide de son procès n’est envisageable que dans la mesure où l’accusé devra mettre en œuvre son droit d’être jugé sans retard excessif ou s’en assurer </w:t>
      </w:r>
      <w:r w:rsidR="009B16CB" w:rsidRPr="00953692">
        <w:rPr>
          <w:rFonts w:cs="Times New Roman"/>
          <w:sz w:val="24"/>
          <w:szCs w:val="24"/>
          <w:lang w:val="fr-FR"/>
        </w:rPr>
        <w:t xml:space="preserve">l’application </w:t>
      </w:r>
      <w:r w:rsidR="00BC30CA" w:rsidRPr="00953692">
        <w:rPr>
          <w:rFonts w:cs="Times New Roman"/>
          <w:sz w:val="24"/>
          <w:szCs w:val="24"/>
          <w:lang w:val="fr-FR"/>
        </w:rPr>
        <w:t>au travers son attitude</w:t>
      </w:r>
      <w:r w:rsidR="00725466" w:rsidRPr="00953692">
        <w:rPr>
          <w:rFonts w:cs="Times New Roman"/>
          <w:sz w:val="24"/>
          <w:szCs w:val="24"/>
          <w:lang w:val="fr-FR"/>
        </w:rPr>
        <w:t xml:space="preserve"> active</w:t>
      </w:r>
      <w:r w:rsidR="00BC30CA" w:rsidRPr="00953692">
        <w:rPr>
          <w:rFonts w:cs="Times New Roman"/>
          <w:sz w:val="24"/>
          <w:szCs w:val="24"/>
          <w:lang w:val="fr-FR"/>
        </w:rPr>
        <w:t>.</w:t>
      </w:r>
      <w:r w:rsidR="006410C0" w:rsidRPr="00953692">
        <w:rPr>
          <w:rFonts w:cs="Times New Roman"/>
          <w:sz w:val="24"/>
          <w:szCs w:val="24"/>
          <w:lang w:val="fr-FR"/>
        </w:rPr>
        <w:t xml:space="preserve"> Tel qu’il a été formulé, un aboutissement rapide suppose que l’accusé non seulement y participe, mais souhaite s’en débarrasser au plus vite.</w:t>
      </w:r>
      <w:r w:rsidR="00BC30CA" w:rsidRPr="00953692">
        <w:rPr>
          <w:rFonts w:cs="Times New Roman"/>
          <w:sz w:val="24"/>
          <w:szCs w:val="24"/>
          <w:lang w:val="fr-FR"/>
        </w:rPr>
        <w:t xml:space="preserve"> </w:t>
      </w:r>
      <w:r w:rsidR="00A15E9B" w:rsidRPr="00953692">
        <w:rPr>
          <w:rFonts w:cs="Times New Roman"/>
          <w:sz w:val="24"/>
          <w:szCs w:val="24"/>
          <w:lang w:val="fr-FR"/>
        </w:rPr>
        <w:t xml:space="preserve">Dans ce cas, il s’agira d’un droit inhérent au délai raisonnable du procès ou qui y est simplement inclus. L’accusé ne peut pas envisager un aboutissement rapide de son procès s’il ne songe pas à faire respecter son droit à un délai raisonnable du procès. </w:t>
      </w:r>
      <w:r w:rsidR="00205EBA" w:rsidRPr="00953692">
        <w:rPr>
          <w:rFonts w:cs="Times New Roman"/>
          <w:sz w:val="24"/>
          <w:szCs w:val="24"/>
          <w:lang w:val="fr-FR"/>
        </w:rPr>
        <w:t>C’est d’ailleurs le sens pratique à donner à sa requête pour violation du délai raisonnabl</w:t>
      </w:r>
      <w:r w:rsidR="006410C0" w:rsidRPr="00953692">
        <w:rPr>
          <w:rFonts w:cs="Times New Roman"/>
          <w:sz w:val="24"/>
          <w:szCs w:val="24"/>
          <w:lang w:val="fr-FR"/>
        </w:rPr>
        <w:t>e,</w:t>
      </w:r>
      <w:r w:rsidR="00205EBA" w:rsidRPr="00953692">
        <w:rPr>
          <w:rFonts w:cs="Times New Roman"/>
          <w:sz w:val="24"/>
          <w:szCs w:val="24"/>
          <w:lang w:val="fr-FR"/>
        </w:rPr>
        <w:t xml:space="preserve"> estim</w:t>
      </w:r>
      <w:r w:rsidR="006410C0" w:rsidRPr="00953692">
        <w:rPr>
          <w:rFonts w:cs="Times New Roman"/>
          <w:sz w:val="24"/>
          <w:szCs w:val="24"/>
          <w:lang w:val="fr-FR"/>
        </w:rPr>
        <w:t>ant</w:t>
      </w:r>
      <w:r w:rsidR="00205EBA" w:rsidRPr="00953692">
        <w:rPr>
          <w:rFonts w:cs="Times New Roman"/>
          <w:sz w:val="24"/>
          <w:szCs w:val="24"/>
          <w:lang w:val="fr-FR"/>
        </w:rPr>
        <w:t xml:space="preserve"> donc que le procès a trop duré. Mais, c’est dans le traitement de sa requête que l’on découvre la vraie explication ou les bases théoriques de ce que peut être un droit de participer activement </w:t>
      </w:r>
      <w:r w:rsidR="00926305" w:rsidRPr="00953692">
        <w:rPr>
          <w:rFonts w:cs="Times New Roman"/>
          <w:sz w:val="24"/>
          <w:szCs w:val="24"/>
          <w:lang w:val="fr-FR"/>
        </w:rPr>
        <w:t xml:space="preserve">à </w:t>
      </w:r>
      <w:r w:rsidR="006410C0" w:rsidRPr="00953692">
        <w:rPr>
          <w:rFonts w:cs="Times New Roman"/>
          <w:sz w:val="24"/>
          <w:szCs w:val="24"/>
          <w:lang w:val="fr-FR"/>
        </w:rPr>
        <w:t>l’</w:t>
      </w:r>
      <w:r w:rsidR="00926305" w:rsidRPr="00953692">
        <w:rPr>
          <w:rFonts w:cs="Times New Roman"/>
          <w:sz w:val="24"/>
          <w:szCs w:val="24"/>
          <w:lang w:val="fr-FR"/>
        </w:rPr>
        <w:t>aboutissement rapide</w:t>
      </w:r>
      <w:r w:rsidR="006410C0" w:rsidRPr="00953692">
        <w:rPr>
          <w:rFonts w:cs="Times New Roman"/>
          <w:sz w:val="24"/>
          <w:szCs w:val="24"/>
          <w:lang w:val="fr-FR"/>
        </w:rPr>
        <w:t xml:space="preserve"> de son procès</w:t>
      </w:r>
      <w:r w:rsidR="00205EBA" w:rsidRPr="00953692">
        <w:rPr>
          <w:rFonts w:cs="Times New Roman"/>
          <w:sz w:val="24"/>
          <w:szCs w:val="24"/>
          <w:lang w:val="fr-FR"/>
        </w:rPr>
        <w:t>.</w:t>
      </w:r>
    </w:p>
    <w:p w14:paraId="64B22355" w14:textId="5E74F41C" w:rsidR="00305E5B" w:rsidRPr="00953692" w:rsidRDefault="00CD59A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260</w:t>
      </w:r>
      <w:r w:rsidR="00926305" w:rsidRPr="00953692">
        <w:rPr>
          <w:rFonts w:cs="Times New Roman"/>
          <w:b/>
          <w:bCs/>
          <w:sz w:val="24"/>
          <w:szCs w:val="24"/>
          <w:lang w:val="fr-FR"/>
        </w:rPr>
        <w:t>.</w:t>
      </w:r>
      <w:r w:rsidR="00926305" w:rsidRPr="00953692">
        <w:rPr>
          <w:rFonts w:cs="Times New Roman"/>
          <w:sz w:val="24"/>
          <w:szCs w:val="24"/>
          <w:lang w:val="fr-FR"/>
        </w:rPr>
        <w:t xml:space="preserve"> </w:t>
      </w:r>
      <w:r w:rsidR="00205EBA" w:rsidRPr="00953692">
        <w:rPr>
          <w:rFonts w:cs="Times New Roman"/>
          <w:sz w:val="24"/>
          <w:szCs w:val="24"/>
          <w:lang w:val="fr-FR"/>
        </w:rPr>
        <w:t>En effet, lorsqu’il procède au traitement de la requête ou de la prétention de l’accusé, selon laquelle</w:t>
      </w:r>
      <w:r w:rsidR="00926305" w:rsidRPr="00953692">
        <w:rPr>
          <w:rFonts w:cs="Times New Roman"/>
          <w:sz w:val="24"/>
          <w:szCs w:val="24"/>
          <w:lang w:val="fr-FR"/>
        </w:rPr>
        <w:t>,</w:t>
      </w:r>
      <w:r w:rsidR="00205EBA" w:rsidRPr="00953692">
        <w:rPr>
          <w:rFonts w:cs="Times New Roman"/>
          <w:sz w:val="24"/>
          <w:szCs w:val="24"/>
          <w:lang w:val="fr-FR"/>
        </w:rPr>
        <w:t xml:space="preserve"> son droit d’être jugé sans retard excessif a été violé, le juge confronte la durée de la procédure mise en cause aux critères d’appréciation, dont le comportement de l’accusé lui-même au cours du procès. Du coup, </w:t>
      </w:r>
      <w:r w:rsidR="00E8030D" w:rsidRPr="00953692">
        <w:rPr>
          <w:rFonts w:cs="Times New Roman"/>
          <w:sz w:val="24"/>
          <w:szCs w:val="24"/>
          <w:lang w:val="fr-FR"/>
        </w:rPr>
        <w:t xml:space="preserve">on peut bien remarquer </w:t>
      </w:r>
      <w:r w:rsidR="00E8030D" w:rsidRPr="00953692">
        <w:rPr>
          <w:rFonts w:cs="Times New Roman"/>
          <w:sz w:val="24"/>
          <w:szCs w:val="24"/>
          <w:lang w:val="fr-FR"/>
        </w:rPr>
        <w:lastRenderedPageBreak/>
        <w:t xml:space="preserve">qu’il n’est </w:t>
      </w:r>
      <w:r w:rsidR="00900E84" w:rsidRPr="00953692">
        <w:rPr>
          <w:rFonts w:cs="Times New Roman"/>
          <w:sz w:val="24"/>
          <w:szCs w:val="24"/>
          <w:lang w:val="fr-FR"/>
        </w:rPr>
        <w:t>pas apriori</w:t>
      </w:r>
      <w:r w:rsidR="00E8030D" w:rsidRPr="00953692">
        <w:rPr>
          <w:rFonts w:cs="Times New Roman"/>
          <w:sz w:val="24"/>
          <w:szCs w:val="24"/>
          <w:lang w:val="fr-FR"/>
        </w:rPr>
        <w:t xml:space="preserve"> si exempt du reproche sur la durée mise en cause pouvant découler de l’analyse du juge. </w:t>
      </w:r>
    </w:p>
    <w:p w14:paraId="33714410" w14:textId="7B36C632" w:rsidR="00A84DB5" w:rsidRPr="00953692" w:rsidRDefault="00CD59A2" w:rsidP="00864BBF">
      <w:pPr>
        <w:spacing w:after="0" w:line="276" w:lineRule="auto"/>
        <w:ind w:firstLine="1134"/>
        <w:jc w:val="both"/>
        <w:rPr>
          <w:sz w:val="24"/>
          <w:szCs w:val="24"/>
          <w:lang w:val="fr-FR"/>
        </w:rPr>
      </w:pPr>
      <w:r w:rsidRPr="00953692">
        <w:rPr>
          <w:rFonts w:cs="Times New Roman"/>
          <w:b/>
          <w:bCs/>
          <w:sz w:val="24"/>
          <w:szCs w:val="24"/>
          <w:lang w:val="fr-FR"/>
        </w:rPr>
        <w:t>261.</w:t>
      </w:r>
      <w:r w:rsidRPr="00953692">
        <w:rPr>
          <w:rFonts w:cs="Times New Roman"/>
          <w:sz w:val="24"/>
          <w:szCs w:val="24"/>
          <w:lang w:val="fr-FR"/>
        </w:rPr>
        <w:t xml:space="preserve"> </w:t>
      </w:r>
      <w:r w:rsidR="00900E84" w:rsidRPr="00953692">
        <w:rPr>
          <w:rFonts w:cs="Times New Roman"/>
          <w:sz w:val="24"/>
          <w:szCs w:val="24"/>
          <w:lang w:val="fr-FR"/>
        </w:rPr>
        <w:t>« </w:t>
      </w:r>
      <w:r w:rsidR="00900E84" w:rsidRPr="00953692">
        <w:rPr>
          <w:rFonts w:cs="Times New Roman"/>
          <w:i/>
          <w:iCs/>
          <w:sz w:val="24"/>
          <w:szCs w:val="24"/>
          <w:lang w:val="fr-FR"/>
        </w:rPr>
        <w:t>La Cour</w:t>
      </w:r>
      <w:r w:rsidR="00900E84" w:rsidRPr="00953692">
        <w:rPr>
          <w:i/>
          <w:iCs/>
          <w:sz w:val="24"/>
          <w:szCs w:val="24"/>
          <w:lang w:val="fr-FR"/>
        </w:rPr>
        <w:t xml:space="preserve"> européenne le rappelle de manière régulière : le comportement des requérants constitue un élément objectif, non imputable au défendeur et qui entre en ligne de compte pour déterminer s’il y a eu ou non dépassement du délai raisonnable de l’article 6 paragraphe 1</w:t>
      </w:r>
      <w:r w:rsidR="00900E84" w:rsidRPr="00953692">
        <w:rPr>
          <w:sz w:val="24"/>
          <w:szCs w:val="24"/>
          <w:lang w:val="fr-FR"/>
        </w:rPr>
        <w:t xml:space="preserve"> »</w:t>
      </w:r>
      <w:r w:rsidR="00B91672" w:rsidRPr="00953692">
        <w:rPr>
          <w:rStyle w:val="Appelnotedebasdep"/>
          <w:sz w:val="24"/>
          <w:szCs w:val="24"/>
          <w:lang w:val="fr-FR"/>
        </w:rPr>
        <w:footnoteReference w:customMarkFollows="1" w:id="199"/>
        <w:t>178</w:t>
      </w:r>
      <w:r w:rsidR="00900E84" w:rsidRPr="00953692">
        <w:rPr>
          <w:sz w:val="24"/>
          <w:szCs w:val="24"/>
          <w:lang w:val="fr-FR"/>
        </w:rPr>
        <w:t>.</w:t>
      </w:r>
      <w:r w:rsidR="00D8488F" w:rsidRPr="00953692">
        <w:rPr>
          <w:sz w:val="24"/>
          <w:szCs w:val="24"/>
          <w:lang w:val="fr-FR"/>
        </w:rPr>
        <w:t xml:space="preserve"> Point n’est besoin de rappeler ici que </w:t>
      </w:r>
      <w:r w:rsidR="00926305" w:rsidRPr="00953692">
        <w:rPr>
          <w:sz w:val="24"/>
          <w:szCs w:val="24"/>
          <w:lang w:val="fr-FR"/>
        </w:rPr>
        <w:t>c</w:t>
      </w:r>
      <w:r w:rsidR="00D8488F" w:rsidRPr="00953692">
        <w:rPr>
          <w:sz w:val="24"/>
          <w:szCs w:val="24"/>
          <w:lang w:val="fr-FR"/>
        </w:rPr>
        <w:t>es juridictions internationales appliquent le même raisonnement en matière</w:t>
      </w:r>
      <w:r w:rsidR="00AA60F1" w:rsidRPr="00953692">
        <w:rPr>
          <w:sz w:val="24"/>
          <w:szCs w:val="24"/>
          <w:lang w:val="fr-FR"/>
        </w:rPr>
        <w:t xml:space="preserve"> d’appréciation du droit de l’accusé d’être jugé sans retard excessif</w:t>
      </w:r>
      <w:r w:rsidR="00D8488F" w:rsidRPr="00953692">
        <w:rPr>
          <w:sz w:val="24"/>
          <w:szCs w:val="24"/>
          <w:lang w:val="fr-FR"/>
        </w:rPr>
        <w:t>.</w:t>
      </w:r>
      <w:r w:rsidR="008734D4" w:rsidRPr="00953692">
        <w:rPr>
          <w:sz w:val="24"/>
          <w:szCs w:val="24"/>
          <w:lang w:val="fr-FR"/>
        </w:rPr>
        <w:t xml:space="preserve"> Le comportement insidieux</w:t>
      </w:r>
      <w:r w:rsidR="00AA60F1" w:rsidRPr="00953692">
        <w:rPr>
          <w:sz w:val="24"/>
          <w:szCs w:val="24"/>
          <w:lang w:val="fr-FR"/>
        </w:rPr>
        <w:t xml:space="preserve"> ou reprochable</w:t>
      </w:r>
      <w:r w:rsidR="008734D4" w:rsidRPr="00953692">
        <w:rPr>
          <w:sz w:val="24"/>
          <w:szCs w:val="24"/>
          <w:lang w:val="fr-FR"/>
        </w:rPr>
        <w:t xml:space="preserve"> de l’accusé ne peut </w:t>
      </w:r>
      <w:r w:rsidR="003E6778" w:rsidRPr="00953692">
        <w:rPr>
          <w:sz w:val="24"/>
          <w:szCs w:val="24"/>
          <w:lang w:val="fr-FR"/>
        </w:rPr>
        <w:t>être</w:t>
      </w:r>
      <w:r w:rsidR="008734D4" w:rsidRPr="00953692">
        <w:rPr>
          <w:sz w:val="24"/>
          <w:szCs w:val="24"/>
          <w:lang w:val="fr-FR"/>
        </w:rPr>
        <w:t xml:space="preserve"> imputable ni au Procureur ni </w:t>
      </w:r>
      <w:r w:rsidR="003E6778" w:rsidRPr="00953692">
        <w:rPr>
          <w:sz w:val="24"/>
          <w:szCs w:val="24"/>
          <w:lang w:val="fr-FR"/>
        </w:rPr>
        <w:t>aux autres organes ou participants au procès encore moins aux juges.</w:t>
      </w:r>
    </w:p>
    <w:p w14:paraId="5FD6AAEF" w14:textId="383AED88" w:rsidR="00377D16" w:rsidRPr="00953692" w:rsidRDefault="00CD59A2" w:rsidP="00864BBF">
      <w:pPr>
        <w:spacing w:after="0" w:line="276" w:lineRule="auto"/>
        <w:ind w:firstLine="1134"/>
        <w:jc w:val="both"/>
        <w:rPr>
          <w:sz w:val="24"/>
          <w:szCs w:val="24"/>
          <w:lang w:val="fr-FR"/>
        </w:rPr>
      </w:pPr>
      <w:r w:rsidRPr="00953692">
        <w:rPr>
          <w:b/>
          <w:bCs/>
          <w:sz w:val="24"/>
          <w:szCs w:val="24"/>
          <w:lang w:val="fr-FR"/>
        </w:rPr>
        <w:t>262</w:t>
      </w:r>
      <w:r w:rsidR="00926305" w:rsidRPr="00953692">
        <w:rPr>
          <w:b/>
          <w:bCs/>
          <w:sz w:val="24"/>
          <w:szCs w:val="24"/>
          <w:lang w:val="fr-FR"/>
        </w:rPr>
        <w:t>.</w:t>
      </w:r>
      <w:r w:rsidR="00926305" w:rsidRPr="00953692">
        <w:rPr>
          <w:sz w:val="24"/>
          <w:szCs w:val="24"/>
          <w:lang w:val="fr-FR"/>
        </w:rPr>
        <w:t xml:space="preserve"> </w:t>
      </w:r>
      <w:r w:rsidR="00E536BB" w:rsidRPr="00953692">
        <w:rPr>
          <w:sz w:val="24"/>
          <w:szCs w:val="24"/>
          <w:lang w:val="fr-FR"/>
        </w:rPr>
        <w:t xml:space="preserve">Ainsi, à la lumière de la jurisprudence (générale) en cette matière, le comportement de l’accusé peut être compris comme tout fait ou acte, toute attitude </w:t>
      </w:r>
      <w:r w:rsidR="00B36322" w:rsidRPr="00953692">
        <w:rPr>
          <w:sz w:val="24"/>
          <w:szCs w:val="24"/>
          <w:lang w:val="fr-FR"/>
        </w:rPr>
        <w:t>ou action qui provoque ou a provoqué de manière directe ou indirecte un retard déterminé dans une phase mise en exergue par l’accusé</w:t>
      </w:r>
      <w:r w:rsidR="001B1684" w:rsidRPr="00953692">
        <w:rPr>
          <w:sz w:val="24"/>
          <w:szCs w:val="24"/>
          <w:lang w:val="fr-FR"/>
        </w:rPr>
        <w:t xml:space="preserve"> de tel sorte qu’il lui en soit opposé afin de justifier ou de démontrer l’irresponsabilité des organes judiciaires</w:t>
      </w:r>
      <w:r w:rsidR="00B36322" w:rsidRPr="00953692">
        <w:rPr>
          <w:sz w:val="24"/>
          <w:szCs w:val="24"/>
          <w:lang w:val="fr-FR"/>
        </w:rPr>
        <w:t xml:space="preserve">. </w:t>
      </w:r>
      <w:r w:rsidR="00926305" w:rsidRPr="00953692">
        <w:rPr>
          <w:sz w:val="24"/>
          <w:szCs w:val="24"/>
          <w:lang w:val="fr-FR"/>
        </w:rPr>
        <w:t>En clair,</w:t>
      </w:r>
      <w:r w:rsidR="00B36322" w:rsidRPr="00953692">
        <w:rPr>
          <w:sz w:val="24"/>
          <w:szCs w:val="24"/>
          <w:lang w:val="fr-FR"/>
        </w:rPr>
        <w:t xml:space="preserve"> l’accusé qui </w:t>
      </w:r>
      <w:r w:rsidR="00F57A8E" w:rsidRPr="00953692">
        <w:rPr>
          <w:sz w:val="24"/>
          <w:szCs w:val="24"/>
          <w:lang w:val="fr-FR"/>
        </w:rPr>
        <w:t xml:space="preserve">prétend que son droit à un délai raisonnable du procès a été violé, devra avant tout s’assurer qu’aucune de ses actions ou aucun de ses actes </w:t>
      </w:r>
      <w:r w:rsidR="00377D16" w:rsidRPr="00953692">
        <w:rPr>
          <w:sz w:val="24"/>
          <w:szCs w:val="24"/>
          <w:lang w:val="fr-FR"/>
        </w:rPr>
        <w:t xml:space="preserve">tout au long du procès </w:t>
      </w:r>
      <w:r w:rsidR="00F57A8E" w:rsidRPr="00953692">
        <w:rPr>
          <w:sz w:val="24"/>
          <w:szCs w:val="24"/>
          <w:lang w:val="fr-FR"/>
        </w:rPr>
        <w:t xml:space="preserve">n’a eu une incidence sur la durée </w:t>
      </w:r>
      <w:r w:rsidR="00387C6A" w:rsidRPr="00953692">
        <w:rPr>
          <w:sz w:val="24"/>
          <w:szCs w:val="24"/>
          <w:lang w:val="fr-FR"/>
        </w:rPr>
        <w:t xml:space="preserve">qu’il a lui-même </w:t>
      </w:r>
      <w:r w:rsidR="00F57A8E" w:rsidRPr="00953692">
        <w:rPr>
          <w:sz w:val="24"/>
          <w:szCs w:val="24"/>
          <w:lang w:val="fr-FR"/>
        </w:rPr>
        <w:t xml:space="preserve">mise en cause. </w:t>
      </w:r>
      <w:r w:rsidR="00377D16" w:rsidRPr="00953692">
        <w:rPr>
          <w:sz w:val="24"/>
          <w:szCs w:val="24"/>
          <w:lang w:val="fr-FR"/>
        </w:rPr>
        <w:t>En d’autres termes, l’accusé devra s’en assurer une certaine irréprochabilité</w:t>
      </w:r>
      <w:r w:rsidR="004A3B0D" w:rsidRPr="00953692">
        <w:rPr>
          <w:sz w:val="24"/>
          <w:szCs w:val="24"/>
          <w:lang w:val="fr-FR"/>
        </w:rPr>
        <w:t xml:space="preserve"> dans sa conduite durant le procès auquel il tient ou y est obligé à participer</w:t>
      </w:r>
      <w:r w:rsidR="00377D16" w:rsidRPr="00953692">
        <w:rPr>
          <w:sz w:val="24"/>
          <w:szCs w:val="24"/>
          <w:lang w:val="fr-FR"/>
        </w:rPr>
        <w:t>.</w:t>
      </w:r>
    </w:p>
    <w:p w14:paraId="54E5C15C" w14:textId="677F8968" w:rsidR="00926305" w:rsidRPr="00953692" w:rsidRDefault="00CD59A2" w:rsidP="00864BBF">
      <w:pPr>
        <w:spacing w:after="0" w:line="276" w:lineRule="auto"/>
        <w:ind w:firstLine="1134"/>
        <w:jc w:val="both"/>
        <w:rPr>
          <w:rFonts w:cs="Times New Roman"/>
          <w:sz w:val="24"/>
          <w:szCs w:val="24"/>
          <w:lang w:val="fr-FR"/>
        </w:rPr>
      </w:pPr>
      <w:r w:rsidRPr="00953692">
        <w:rPr>
          <w:b/>
          <w:bCs/>
          <w:sz w:val="24"/>
          <w:szCs w:val="24"/>
          <w:lang w:val="fr-FR"/>
        </w:rPr>
        <w:t>263</w:t>
      </w:r>
      <w:r w:rsidR="00377D16" w:rsidRPr="00953692">
        <w:rPr>
          <w:b/>
          <w:bCs/>
          <w:sz w:val="24"/>
          <w:szCs w:val="24"/>
          <w:lang w:val="fr-FR"/>
        </w:rPr>
        <w:t>.</w:t>
      </w:r>
      <w:r w:rsidR="00377D16" w:rsidRPr="00953692">
        <w:rPr>
          <w:sz w:val="24"/>
          <w:szCs w:val="24"/>
          <w:lang w:val="fr-FR"/>
        </w:rPr>
        <w:t xml:space="preserve"> </w:t>
      </w:r>
      <w:r w:rsidR="00C16EB3" w:rsidRPr="00953692">
        <w:rPr>
          <w:sz w:val="24"/>
          <w:szCs w:val="24"/>
          <w:lang w:val="fr-FR"/>
        </w:rPr>
        <w:t>Le problème, c’est qu’i</w:t>
      </w:r>
      <w:r w:rsidR="00F57A8E" w:rsidRPr="00953692">
        <w:rPr>
          <w:sz w:val="24"/>
          <w:szCs w:val="24"/>
          <w:lang w:val="fr-FR"/>
        </w:rPr>
        <w:t xml:space="preserve">l peut s’agir de l’exercice de ses </w:t>
      </w:r>
      <w:r w:rsidR="00C16EB3" w:rsidRPr="00953692">
        <w:rPr>
          <w:sz w:val="24"/>
          <w:szCs w:val="24"/>
          <w:lang w:val="fr-FR"/>
        </w:rPr>
        <w:t xml:space="preserve">propres </w:t>
      </w:r>
      <w:r w:rsidR="00F57A8E" w:rsidRPr="00953692">
        <w:rPr>
          <w:sz w:val="24"/>
          <w:szCs w:val="24"/>
          <w:lang w:val="fr-FR"/>
        </w:rPr>
        <w:t xml:space="preserve">droits procéduraux, notamment le droit </w:t>
      </w:r>
      <w:r w:rsidR="00C16EB3" w:rsidRPr="00953692">
        <w:rPr>
          <w:sz w:val="24"/>
          <w:szCs w:val="24"/>
          <w:lang w:val="fr-FR"/>
        </w:rPr>
        <w:t>de disposer du</w:t>
      </w:r>
      <w:r w:rsidR="00F57A8E" w:rsidRPr="00953692">
        <w:rPr>
          <w:sz w:val="24"/>
          <w:szCs w:val="24"/>
          <w:lang w:val="fr-FR"/>
        </w:rPr>
        <w:t xml:space="preserve"> temps nécessaire à la préparation de sa défense </w:t>
      </w:r>
      <w:r w:rsidR="00C131A7" w:rsidRPr="00953692">
        <w:rPr>
          <w:sz w:val="24"/>
          <w:szCs w:val="24"/>
          <w:lang w:val="fr-FR"/>
        </w:rPr>
        <w:t>ou le droit de former un recours incident, lequel peut bien avoir un effet suspensif sur le procès</w:t>
      </w:r>
      <w:r w:rsidR="00F57A8E" w:rsidRPr="00953692">
        <w:rPr>
          <w:sz w:val="24"/>
          <w:szCs w:val="24"/>
          <w:lang w:val="fr-FR"/>
        </w:rPr>
        <w:t xml:space="preserve">, ou encore le droit d’interroger ou contre-interroger les témoins. </w:t>
      </w:r>
      <w:r w:rsidR="00C16EB3" w:rsidRPr="00953692">
        <w:rPr>
          <w:sz w:val="24"/>
          <w:szCs w:val="24"/>
          <w:lang w:val="fr-FR"/>
        </w:rPr>
        <w:t xml:space="preserve">On est ici dans une forme de positif qu’on puisse adresser à l’accusé par rapport à son activité, qui n’en reste pas moins répercussive sur la durée ou le délai raisonnable de la procédure. </w:t>
      </w:r>
      <w:r w:rsidR="00F57A8E" w:rsidRPr="00953692">
        <w:rPr>
          <w:sz w:val="24"/>
          <w:szCs w:val="24"/>
          <w:lang w:val="fr-FR"/>
        </w:rPr>
        <w:t xml:space="preserve">Mais </w:t>
      </w:r>
      <w:r w:rsidR="0003249B" w:rsidRPr="00953692">
        <w:rPr>
          <w:sz w:val="24"/>
          <w:szCs w:val="24"/>
          <w:lang w:val="fr-FR"/>
        </w:rPr>
        <w:t xml:space="preserve">il peut aussi s’agir d’une attitude beaucoup plus passive qui refuse toute collaboration avec la justice. Auquel cas, la machine peut sembler s’arrêter </w:t>
      </w:r>
      <w:r w:rsidR="006E3FA6" w:rsidRPr="00953692">
        <w:rPr>
          <w:sz w:val="24"/>
          <w:szCs w:val="24"/>
          <w:lang w:val="fr-FR"/>
        </w:rPr>
        <w:t>un moment</w:t>
      </w:r>
      <w:r w:rsidR="0003249B" w:rsidRPr="00953692">
        <w:rPr>
          <w:sz w:val="24"/>
          <w:szCs w:val="24"/>
          <w:lang w:val="fr-FR"/>
        </w:rPr>
        <w:t xml:space="preserve"> avant de reprendre plus tard.</w:t>
      </w:r>
      <w:r w:rsidR="00C16EB3" w:rsidRPr="00953692">
        <w:rPr>
          <w:sz w:val="24"/>
          <w:szCs w:val="24"/>
          <w:lang w:val="fr-FR"/>
        </w:rPr>
        <w:t xml:space="preserve"> Dans ce cas, le reproche sera beaucoup plus </w:t>
      </w:r>
      <w:r w:rsidR="0040538D" w:rsidRPr="00953692">
        <w:rPr>
          <w:sz w:val="24"/>
          <w:szCs w:val="24"/>
          <w:lang w:val="fr-FR"/>
        </w:rPr>
        <w:t>négatif</w:t>
      </w:r>
      <w:r w:rsidR="00C16EB3" w:rsidRPr="00953692">
        <w:rPr>
          <w:sz w:val="24"/>
          <w:szCs w:val="24"/>
          <w:lang w:val="fr-FR"/>
        </w:rPr>
        <w:t xml:space="preserve"> compte tenu de l’inactivité de l’accusé.</w:t>
      </w:r>
      <w:r w:rsidR="002D6169" w:rsidRPr="00953692">
        <w:rPr>
          <w:sz w:val="24"/>
          <w:szCs w:val="24"/>
          <w:lang w:val="fr-FR"/>
        </w:rPr>
        <w:t xml:space="preserve"> </w:t>
      </w:r>
      <w:r w:rsidR="0003249B" w:rsidRPr="00953692">
        <w:rPr>
          <w:rFonts w:cs="Times New Roman"/>
          <w:sz w:val="24"/>
          <w:szCs w:val="24"/>
          <w:lang w:val="fr-FR"/>
        </w:rPr>
        <w:t>Dans tous les cas, le juge mesure le degré d’implication de l’accusé</w:t>
      </w:r>
      <w:r w:rsidR="002D6169" w:rsidRPr="00953692">
        <w:rPr>
          <w:rFonts w:cs="Times New Roman"/>
          <w:sz w:val="24"/>
          <w:szCs w:val="24"/>
          <w:lang w:val="fr-FR"/>
        </w:rPr>
        <w:t xml:space="preserve"> et ses conséquences sur la durée du procès.</w:t>
      </w:r>
    </w:p>
    <w:p w14:paraId="737A3A56" w14:textId="0EB6DF76" w:rsidR="00305E5B" w:rsidRPr="00953692" w:rsidRDefault="00CD59A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264</w:t>
      </w:r>
      <w:r w:rsidR="00926305" w:rsidRPr="00953692">
        <w:rPr>
          <w:rFonts w:cs="Times New Roman"/>
          <w:b/>
          <w:bCs/>
          <w:sz w:val="24"/>
          <w:szCs w:val="24"/>
          <w:lang w:val="fr-FR"/>
        </w:rPr>
        <w:t>.</w:t>
      </w:r>
      <w:r w:rsidR="00926305" w:rsidRPr="00953692">
        <w:rPr>
          <w:rFonts w:cs="Times New Roman"/>
          <w:sz w:val="24"/>
          <w:szCs w:val="24"/>
          <w:lang w:val="fr-FR"/>
        </w:rPr>
        <w:t xml:space="preserve"> </w:t>
      </w:r>
      <w:r w:rsidR="00FF6759" w:rsidRPr="00953692">
        <w:rPr>
          <w:rFonts w:cs="Times New Roman"/>
          <w:sz w:val="24"/>
          <w:szCs w:val="24"/>
          <w:lang w:val="fr-FR"/>
        </w:rPr>
        <w:t>Il est à remarquer que l’accusé qui souhaite être jugé sans retard excessif devra veiller à ce qu’il agisse</w:t>
      </w:r>
      <w:r w:rsidR="00926305" w:rsidRPr="00953692">
        <w:rPr>
          <w:rFonts w:cs="Times New Roman"/>
          <w:sz w:val="24"/>
          <w:szCs w:val="24"/>
          <w:lang w:val="fr-FR"/>
        </w:rPr>
        <w:t xml:space="preserve"> lui aussi</w:t>
      </w:r>
      <w:r w:rsidR="00FF6759" w:rsidRPr="00953692">
        <w:rPr>
          <w:rFonts w:cs="Times New Roman"/>
          <w:sz w:val="24"/>
          <w:szCs w:val="24"/>
          <w:lang w:val="fr-FR"/>
        </w:rPr>
        <w:t xml:space="preserve"> avec diligence. Ses actions et actes devront prendre également la mesure de cette exigence afin de se mettre à l’abri d’une procédure longue ou d’une récrimination au cas où il aura soulevé la violation de son droit</w:t>
      </w:r>
      <w:r w:rsidR="00A03FE4" w:rsidRPr="00953692">
        <w:rPr>
          <w:rFonts w:cs="Times New Roman"/>
          <w:sz w:val="24"/>
          <w:szCs w:val="24"/>
          <w:lang w:val="fr-FR"/>
        </w:rPr>
        <w:t xml:space="preserve"> d’être jugé sans retard excessif</w:t>
      </w:r>
      <w:r w:rsidR="00FF6759" w:rsidRPr="00953692">
        <w:rPr>
          <w:rFonts w:cs="Times New Roman"/>
          <w:sz w:val="24"/>
          <w:szCs w:val="24"/>
          <w:lang w:val="fr-FR"/>
        </w:rPr>
        <w:t xml:space="preserve"> en pointant du doigt le comportement des organes judiciaires. C’est ainsi que le droit de participer activement à l’aboutissement </w:t>
      </w:r>
      <w:r w:rsidR="006E3FA6" w:rsidRPr="00953692">
        <w:rPr>
          <w:rFonts w:cs="Times New Roman"/>
          <w:sz w:val="24"/>
          <w:szCs w:val="24"/>
          <w:lang w:val="fr-FR"/>
        </w:rPr>
        <w:t xml:space="preserve">rapide </w:t>
      </w:r>
      <w:r w:rsidR="00FF6759" w:rsidRPr="00953692">
        <w:rPr>
          <w:rFonts w:cs="Times New Roman"/>
          <w:sz w:val="24"/>
          <w:szCs w:val="24"/>
          <w:lang w:val="fr-FR"/>
        </w:rPr>
        <w:t xml:space="preserve">de son procès, se rattachant au droit </w:t>
      </w:r>
      <w:r w:rsidR="00AF2667" w:rsidRPr="00953692">
        <w:rPr>
          <w:rFonts w:cs="Times New Roman"/>
          <w:sz w:val="24"/>
          <w:szCs w:val="24"/>
          <w:lang w:val="fr-FR"/>
        </w:rPr>
        <w:t>d’être jugé sans retard excessif</w:t>
      </w:r>
      <w:r w:rsidR="00926305" w:rsidRPr="00953692">
        <w:rPr>
          <w:rFonts w:cs="Times New Roman"/>
          <w:sz w:val="24"/>
          <w:szCs w:val="24"/>
          <w:lang w:val="fr-FR"/>
        </w:rPr>
        <w:t>,</w:t>
      </w:r>
      <w:r w:rsidR="00AF2667" w:rsidRPr="00953692">
        <w:rPr>
          <w:rFonts w:cs="Times New Roman"/>
          <w:sz w:val="24"/>
          <w:szCs w:val="24"/>
          <w:lang w:val="fr-FR"/>
        </w:rPr>
        <w:t xml:space="preserve"> peut trouver un contenu</w:t>
      </w:r>
      <w:r w:rsidR="006C1A87" w:rsidRPr="00953692">
        <w:rPr>
          <w:rFonts w:cs="Times New Roman"/>
          <w:sz w:val="24"/>
          <w:szCs w:val="24"/>
          <w:lang w:val="fr-FR"/>
        </w:rPr>
        <w:t xml:space="preserve"> scientifique</w:t>
      </w:r>
      <w:r w:rsidR="00AF2667" w:rsidRPr="00953692">
        <w:rPr>
          <w:rFonts w:cs="Times New Roman"/>
          <w:sz w:val="24"/>
          <w:szCs w:val="24"/>
          <w:lang w:val="fr-FR"/>
        </w:rPr>
        <w:t xml:space="preserve">. </w:t>
      </w:r>
    </w:p>
    <w:p w14:paraId="583C6B53" w14:textId="1391D97E" w:rsidR="002D6169" w:rsidRPr="00953692" w:rsidRDefault="00CD59A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lastRenderedPageBreak/>
        <w:t>265.</w:t>
      </w:r>
      <w:r w:rsidRPr="00953692">
        <w:rPr>
          <w:rFonts w:cs="Times New Roman"/>
          <w:sz w:val="24"/>
          <w:szCs w:val="24"/>
          <w:lang w:val="fr-FR"/>
        </w:rPr>
        <w:t xml:space="preserve"> </w:t>
      </w:r>
      <w:r w:rsidR="001C142A" w:rsidRPr="00953692">
        <w:rPr>
          <w:rFonts w:cs="Times New Roman"/>
          <w:sz w:val="24"/>
          <w:szCs w:val="24"/>
          <w:lang w:val="fr-FR"/>
        </w:rPr>
        <w:t xml:space="preserve">Il a donc pour objet d’en servir d’armure dans une complémentarité qui prend la forme d’un continuum. </w:t>
      </w:r>
      <w:r w:rsidR="00343E56" w:rsidRPr="00953692">
        <w:rPr>
          <w:rFonts w:cs="Times New Roman"/>
          <w:sz w:val="24"/>
          <w:szCs w:val="24"/>
          <w:lang w:val="fr-FR"/>
        </w:rPr>
        <w:t>Car dans tous les cas, c’est l’accusé qui en sort bénéficiaire, soit par un résultat escompté, c’est-à-dire</w:t>
      </w:r>
      <w:r w:rsidR="00604556" w:rsidRPr="00953692">
        <w:rPr>
          <w:rFonts w:cs="Times New Roman"/>
          <w:sz w:val="24"/>
          <w:szCs w:val="24"/>
          <w:lang w:val="fr-FR"/>
        </w:rPr>
        <w:t xml:space="preserve"> avoir bénéficié</w:t>
      </w:r>
      <w:r w:rsidR="00343E56" w:rsidRPr="00953692">
        <w:rPr>
          <w:rFonts w:cs="Times New Roman"/>
          <w:sz w:val="24"/>
          <w:szCs w:val="24"/>
          <w:lang w:val="fr-FR"/>
        </w:rPr>
        <w:t xml:space="preserve"> </w:t>
      </w:r>
      <w:r w:rsidR="00604556" w:rsidRPr="00953692">
        <w:rPr>
          <w:rFonts w:cs="Times New Roman"/>
          <w:sz w:val="24"/>
          <w:szCs w:val="24"/>
          <w:lang w:val="fr-FR"/>
        </w:rPr>
        <w:t>d’</w:t>
      </w:r>
      <w:r w:rsidR="00343E56" w:rsidRPr="00953692">
        <w:rPr>
          <w:rFonts w:cs="Times New Roman"/>
          <w:sz w:val="24"/>
          <w:szCs w:val="24"/>
          <w:lang w:val="fr-FR"/>
        </w:rPr>
        <w:t>un procès rapide, soit par l’établissement de la violation de son droit lorsque notamment</w:t>
      </w:r>
      <w:r w:rsidR="00926305" w:rsidRPr="00953692">
        <w:rPr>
          <w:rFonts w:cs="Times New Roman"/>
          <w:sz w:val="24"/>
          <w:szCs w:val="24"/>
          <w:lang w:val="fr-FR"/>
        </w:rPr>
        <w:t>,</w:t>
      </w:r>
      <w:r w:rsidR="00343E56" w:rsidRPr="00953692">
        <w:rPr>
          <w:rFonts w:cs="Times New Roman"/>
          <w:sz w:val="24"/>
          <w:szCs w:val="24"/>
          <w:lang w:val="fr-FR"/>
        </w:rPr>
        <w:t xml:space="preserve"> la justice ne trouve rien à lui reprocher personnellement.</w:t>
      </w:r>
      <w:r w:rsidR="00836C30" w:rsidRPr="00953692">
        <w:rPr>
          <w:rFonts w:cs="Times New Roman"/>
          <w:sz w:val="24"/>
          <w:szCs w:val="24"/>
          <w:lang w:val="fr-FR"/>
        </w:rPr>
        <w:t xml:space="preserve"> Du moins, son comportement comme critère d’appréciation du délai raisonnable n’aura pas servi de base</w:t>
      </w:r>
      <w:r w:rsidR="00D3065F" w:rsidRPr="00953692">
        <w:rPr>
          <w:rFonts w:cs="Times New Roman"/>
          <w:sz w:val="24"/>
          <w:szCs w:val="24"/>
          <w:lang w:val="fr-FR"/>
        </w:rPr>
        <w:t xml:space="preserve"> d</w:t>
      </w:r>
      <w:r w:rsidR="001D7E00" w:rsidRPr="00953692">
        <w:rPr>
          <w:rFonts w:cs="Times New Roman"/>
          <w:sz w:val="24"/>
          <w:szCs w:val="24"/>
          <w:lang w:val="fr-FR"/>
        </w:rPr>
        <w:t>’une</w:t>
      </w:r>
      <w:r w:rsidR="00D3065F" w:rsidRPr="00953692">
        <w:rPr>
          <w:rFonts w:cs="Times New Roman"/>
          <w:sz w:val="24"/>
          <w:szCs w:val="24"/>
          <w:lang w:val="fr-FR"/>
        </w:rPr>
        <w:t xml:space="preserve"> justification susceptible (très souvent)</w:t>
      </w:r>
      <w:r w:rsidR="00836C30" w:rsidRPr="00953692">
        <w:rPr>
          <w:rFonts w:cs="Times New Roman"/>
          <w:sz w:val="24"/>
          <w:szCs w:val="24"/>
          <w:lang w:val="fr-FR"/>
        </w:rPr>
        <w:t xml:space="preserve"> </w:t>
      </w:r>
      <w:r w:rsidR="00D3065F" w:rsidRPr="00953692">
        <w:rPr>
          <w:rFonts w:cs="Times New Roman"/>
          <w:sz w:val="24"/>
          <w:szCs w:val="24"/>
          <w:lang w:val="fr-FR"/>
        </w:rPr>
        <w:t>d</w:t>
      </w:r>
      <w:r w:rsidR="006E3FA6" w:rsidRPr="00953692">
        <w:rPr>
          <w:rFonts w:cs="Times New Roman"/>
          <w:sz w:val="24"/>
          <w:szCs w:val="24"/>
          <w:lang w:val="fr-FR"/>
        </w:rPr>
        <w:t>’entrainer</w:t>
      </w:r>
      <w:r w:rsidR="00D3065F" w:rsidRPr="00953692">
        <w:rPr>
          <w:rFonts w:cs="Times New Roman"/>
          <w:sz w:val="24"/>
          <w:szCs w:val="24"/>
          <w:lang w:val="fr-FR"/>
        </w:rPr>
        <w:t xml:space="preserve"> </w:t>
      </w:r>
      <w:r w:rsidR="006E3FA6" w:rsidRPr="00953692">
        <w:rPr>
          <w:rFonts w:cs="Times New Roman"/>
          <w:sz w:val="24"/>
          <w:szCs w:val="24"/>
          <w:lang w:val="fr-FR"/>
        </w:rPr>
        <w:t>le</w:t>
      </w:r>
      <w:r w:rsidR="00836C30" w:rsidRPr="00953692">
        <w:rPr>
          <w:rFonts w:cs="Times New Roman"/>
          <w:sz w:val="24"/>
          <w:szCs w:val="24"/>
          <w:lang w:val="fr-FR"/>
        </w:rPr>
        <w:t xml:space="preserve"> rejet de sa requête.</w:t>
      </w:r>
    </w:p>
    <w:p w14:paraId="4F4A9415" w14:textId="600D2330" w:rsidR="00FD7677" w:rsidRPr="00953692" w:rsidRDefault="00CD59A2" w:rsidP="00864BBF">
      <w:pPr>
        <w:spacing w:line="276" w:lineRule="auto"/>
        <w:ind w:firstLine="1134"/>
        <w:jc w:val="both"/>
        <w:rPr>
          <w:rFonts w:cs="Times New Roman"/>
          <w:sz w:val="24"/>
          <w:szCs w:val="24"/>
          <w:lang w:val="fr-FR"/>
        </w:rPr>
      </w:pPr>
      <w:r w:rsidRPr="00953692">
        <w:rPr>
          <w:rFonts w:cs="Times New Roman"/>
          <w:b/>
          <w:bCs/>
          <w:sz w:val="24"/>
          <w:szCs w:val="24"/>
          <w:lang w:val="fr-FR"/>
        </w:rPr>
        <w:t>266</w:t>
      </w:r>
      <w:r w:rsidR="00D3065F" w:rsidRPr="00953692">
        <w:rPr>
          <w:rFonts w:cs="Times New Roman"/>
          <w:b/>
          <w:bCs/>
          <w:sz w:val="24"/>
          <w:szCs w:val="24"/>
          <w:lang w:val="fr-FR"/>
        </w:rPr>
        <w:t>.</w:t>
      </w:r>
      <w:r w:rsidR="00D3065F" w:rsidRPr="00953692">
        <w:rPr>
          <w:rFonts w:cs="Times New Roman"/>
          <w:sz w:val="24"/>
          <w:szCs w:val="24"/>
          <w:lang w:val="fr-FR"/>
        </w:rPr>
        <w:t xml:space="preserve"> Enfin</w:t>
      </w:r>
      <w:r w:rsidR="00E82585" w:rsidRPr="00953692">
        <w:rPr>
          <w:rFonts w:cs="Times New Roman"/>
          <w:sz w:val="24"/>
          <w:szCs w:val="24"/>
          <w:lang w:val="fr-FR"/>
        </w:rPr>
        <w:t xml:space="preserve">, </w:t>
      </w:r>
      <w:r w:rsidR="00BA384B" w:rsidRPr="00953692">
        <w:rPr>
          <w:rFonts w:cs="Times New Roman"/>
          <w:sz w:val="24"/>
          <w:szCs w:val="24"/>
          <w:lang w:val="fr-FR"/>
        </w:rPr>
        <w:t>c</w:t>
      </w:r>
      <w:r w:rsidR="00E82585" w:rsidRPr="00953692">
        <w:rPr>
          <w:rFonts w:cs="Times New Roman"/>
          <w:sz w:val="24"/>
          <w:szCs w:val="24"/>
          <w:lang w:val="fr-FR"/>
        </w:rPr>
        <w:t xml:space="preserve">e droit </w:t>
      </w:r>
      <w:r w:rsidR="00C17A74" w:rsidRPr="00953692">
        <w:rPr>
          <w:rFonts w:cs="Times New Roman"/>
          <w:sz w:val="24"/>
          <w:szCs w:val="24"/>
          <w:lang w:val="fr-FR"/>
        </w:rPr>
        <w:t xml:space="preserve">demeure purement subjectif et relève du choix de l’accusé. Il est vrai que le juge peut sanctionner les actions dilatoires </w:t>
      </w:r>
      <w:r w:rsidR="00B3454B" w:rsidRPr="00953692">
        <w:rPr>
          <w:rFonts w:cs="Times New Roman"/>
          <w:sz w:val="24"/>
          <w:szCs w:val="24"/>
          <w:lang w:val="fr-FR"/>
        </w:rPr>
        <w:t>d’un accusé</w:t>
      </w:r>
      <w:r w:rsidR="00D3065F" w:rsidRPr="00953692">
        <w:rPr>
          <w:rFonts w:cs="Times New Roman"/>
          <w:sz w:val="24"/>
          <w:szCs w:val="24"/>
          <w:lang w:val="fr-FR"/>
        </w:rPr>
        <w:t xml:space="preserve"> comme le prévoient les actes constitutifs de ces juridictions </w:t>
      </w:r>
      <w:r w:rsidR="00BA384B" w:rsidRPr="00953692">
        <w:rPr>
          <w:rFonts w:cs="Times New Roman"/>
          <w:sz w:val="24"/>
          <w:szCs w:val="24"/>
          <w:lang w:val="fr-FR"/>
        </w:rPr>
        <w:t>pénales internationales</w:t>
      </w:r>
      <w:r w:rsidR="00B3454B" w:rsidRPr="00953692">
        <w:rPr>
          <w:rFonts w:cs="Times New Roman"/>
          <w:sz w:val="24"/>
          <w:szCs w:val="24"/>
          <w:lang w:val="fr-FR"/>
        </w:rPr>
        <w:t xml:space="preserve">, mais il ne peut l’obliger d’être actif. </w:t>
      </w:r>
      <w:r w:rsidR="00540F31" w:rsidRPr="00953692">
        <w:rPr>
          <w:rFonts w:cs="Times New Roman"/>
          <w:sz w:val="24"/>
          <w:szCs w:val="24"/>
          <w:lang w:val="fr-FR"/>
        </w:rPr>
        <w:t>En vertu de son droit à la présomption d’innocence, i</w:t>
      </w:r>
      <w:r w:rsidR="00B3454B" w:rsidRPr="00953692">
        <w:rPr>
          <w:rFonts w:cs="Times New Roman"/>
          <w:sz w:val="24"/>
          <w:szCs w:val="24"/>
          <w:lang w:val="fr-FR"/>
        </w:rPr>
        <w:t xml:space="preserve">l n’est pas </w:t>
      </w:r>
      <w:r w:rsidR="00BA384B" w:rsidRPr="00953692">
        <w:rPr>
          <w:rFonts w:cs="Times New Roman"/>
          <w:sz w:val="24"/>
          <w:szCs w:val="24"/>
          <w:lang w:val="fr-FR"/>
        </w:rPr>
        <w:t xml:space="preserve">non plus </w:t>
      </w:r>
      <w:r w:rsidR="00E56151" w:rsidRPr="00953692">
        <w:rPr>
          <w:rFonts w:cs="Times New Roman"/>
          <w:sz w:val="24"/>
          <w:szCs w:val="24"/>
          <w:lang w:val="fr-FR"/>
        </w:rPr>
        <w:t>obligé</w:t>
      </w:r>
      <w:r w:rsidR="00B3454B" w:rsidRPr="00953692">
        <w:rPr>
          <w:rFonts w:cs="Times New Roman"/>
          <w:sz w:val="24"/>
          <w:szCs w:val="24"/>
          <w:lang w:val="fr-FR"/>
        </w:rPr>
        <w:t xml:space="preserve"> de coopérer avec la justice dans l’établissement de sa responsabilité pénale. </w:t>
      </w:r>
      <w:r w:rsidR="00E56151" w:rsidRPr="00953692">
        <w:rPr>
          <w:rFonts w:cs="Times New Roman"/>
          <w:sz w:val="24"/>
          <w:szCs w:val="24"/>
          <w:lang w:val="fr-FR"/>
        </w:rPr>
        <w:t xml:space="preserve">Dès le moment où il plaide non coupable, l’établissement de sa responsabilité constitue exclusivement la </w:t>
      </w:r>
      <w:r w:rsidR="006F6DDC" w:rsidRPr="00953692">
        <w:rPr>
          <w:rFonts w:cs="Times New Roman"/>
          <w:sz w:val="24"/>
          <w:szCs w:val="24"/>
          <w:lang w:val="fr-FR"/>
        </w:rPr>
        <w:t>tâche</w:t>
      </w:r>
      <w:r w:rsidR="00E56151" w:rsidRPr="00953692">
        <w:rPr>
          <w:rFonts w:cs="Times New Roman"/>
          <w:sz w:val="24"/>
          <w:szCs w:val="24"/>
          <w:lang w:val="fr-FR"/>
        </w:rPr>
        <w:t xml:space="preserve"> de la justice, qui en assure l’exécution. </w:t>
      </w:r>
      <w:r w:rsidR="00ED4520" w:rsidRPr="00953692">
        <w:rPr>
          <w:rFonts w:cs="Times New Roman"/>
          <w:sz w:val="24"/>
          <w:szCs w:val="24"/>
          <w:lang w:val="fr-FR"/>
        </w:rPr>
        <w:t>Dans cette même optique, l’accusé a</w:t>
      </w:r>
      <w:r w:rsidR="00D3065F" w:rsidRPr="00953692">
        <w:rPr>
          <w:rFonts w:cs="Times New Roman"/>
          <w:sz w:val="24"/>
          <w:szCs w:val="24"/>
          <w:lang w:val="fr-FR"/>
        </w:rPr>
        <w:t>, en conséquence,</w:t>
      </w:r>
      <w:r w:rsidR="00ED4520" w:rsidRPr="00953692">
        <w:rPr>
          <w:rFonts w:cs="Times New Roman"/>
          <w:sz w:val="24"/>
          <w:szCs w:val="24"/>
          <w:lang w:val="fr-FR"/>
        </w:rPr>
        <w:t xml:space="preserve"> le droit de « …</w:t>
      </w:r>
      <w:r w:rsidR="00ED4520" w:rsidRPr="00953692">
        <w:rPr>
          <w:i/>
          <w:iCs/>
          <w:sz w:val="24"/>
          <w:szCs w:val="24"/>
          <w:lang w:val="fr-FR"/>
        </w:rPr>
        <w:t>ne pas être forcé de témoigner contre lui-même ou de s'avouer coupable, et garder le silence sans que ce silence soit pris en considération pour déterminer sa culpabilité ou son innocence</w:t>
      </w:r>
      <w:r w:rsidR="00ED4520" w:rsidRPr="00953692">
        <w:rPr>
          <w:sz w:val="24"/>
          <w:szCs w:val="24"/>
          <w:lang w:val="fr-FR"/>
        </w:rPr>
        <w:t>… »</w:t>
      </w:r>
      <w:r w:rsidR="00B91672" w:rsidRPr="00953692">
        <w:rPr>
          <w:rStyle w:val="Appelnotedebasdep"/>
          <w:sz w:val="24"/>
          <w:szCs w:val="24"/>
          <w:lang w:val="fr-FR"/>
        </w:rPr>
        <w:footnoteReference w:customMarkFollows="1" w:id="200"/>
        <w:t>178</w:t>
      </w:r>
      <w:r w:rsidR="00D3065F" w:rsidRPr="00953692">
        <w:rPr>
          <w:sz w:val="24"/>
          <w:szCs w:val="24"/>
          <w:lang w:val="fr-FR"/>
        </w:rPr>
        <w:t>. On en vient décidément au fait que,</w:t>
      </w:r>
      <w:r w:rsidR="00156439" w:rsidRPr="00953692">
        <w:rPr>
          <w:rFonts w:cs="Times New Roman"/>
          <w:sz w:val="24"/>
          <w:szCs w:val="24"/>
          <w:lang w:val="fr-FR"/>
        </w:rPr>
        <w:t xml:space="preserve"> la participation active à l’aboutissement </w:t>
      </w:r>
      <w:r w:rsidR="00D3065F" w:rsidRPr="00953692">
        <w:rPr>
          <w:rFonts w:cs="Times New Roman"/>
          <w:sz w:val="24"/>
          <w:szCs w:val="24"/>
          <w:lang w:val="fr-FR"/>
        </w:rPr>
        <w:t xml:space="preserve">rapide </w:t>
      </w:r>
      <w:r w:rsidR="00156439" w:rsidRPr="00953692">
        <w:rPr>
          <w:rFonts w:cs="Times New Roman"/>
          <w:sz w:val="24"/>
          <w:szCs w:val="24"/>
          <w:lang w:val="fr-FR"/>
        </w:rPr>
        <w:t>de son procès</w:t>
      </w:r>
      <w:r w:rsidR="00E84E6D" w:rsidRPr="00953692">
        <w:rPr>
          <w:rFonts w:cs="Times New Roman"/>
          <w:sz w:val="24"/>
          <w:szCs w:val="24"/>
          <w:lang w:val="fr-FR"/>
        </w:rPr>
        <w:t xml:space="preserve"> est une forme d’expression plus ou moins volontaire d’être jugé </w:t>
      </w:r>
      <w:r w:rsidR="00BA384B" w:rsidRPr="00953692">
        <w:rPr>
          <w:rFonts w:cs="Times New Roman"/>
          <w:sz w:val="24"/>
          <w:szCs w:val="24"/>
          <w:lang w:val="fr-FR"/>
        </w:rPr>
        <w:t>s</w:t>
      </w:r>
      <w:r w:rsidR="00E84E6D" w:rsidRPr="00953692">
        <w:rPr>
          <w:rFonts w:cs="Times New Roman"/>
          <w:sz w:val="24"/>
          <w:szCs w:val="24"/>
          <w:lang w:val="fr-FR"/>
        </w:rPr>
        <w:t xml:space="preserve">ans retard excessif. </w:t>
      </w:r>
      <w:r w:rsidR="00715F6B" w:rsidRPr="00953692">
        <w:rPr>
          <w:rFonts w:cs="Times New Roman"/>
          <w:sz w:val="24"/>
          <w:szCs w:val="24"/>
          <w:lang w:val="fr-FR"/>
        </w:rPr>
        <w:t>Sa particularité, c’est qu’il produit des conséquences</w:t>
      </w:r>
      <w:r w:rsidR="005270CC" w:rsidRPr="00953692">
        <w:rPr>
          <w:rFonts w:cs="Times New Roman"/>
          <w:sz w:val="24"/>
          <w:szCs w:val="24"/>
          <w:lang w:val="fr-FR"/>
        </w:rPr>
        <w:t xml:space="preserve"> différentes</w:t>
      </w:r>
      <w:r w:rsidR="00715F6B" w:rsidRPr="00953692">
        <w:rPr>
          <w:rFonts w:cs="Times New Roman"/>
          <w:sz w:val="24"/>
          <w:szCs w:val="24"/>
          <w:lang w:val="fr-FR"/>
        </w:rPr>
        <w:t xml:space="preserve"> dans tous les deux cas, y compris en cas d’une passivité.</w:t>
      </w:r>
    </w:p>
    <w:p w14:paraId="0B97804D" w14:textId="00303BC1" w:rsidR="00FD7677" w:rsidRPr="00953692" w:rsidRDefault="00C57B06" w:rsidP="000B0381">
      <w:pPr>
        <w:pStyle w:val="Titre3"/>
        <w:ind w:left="1134"/>
        <w:rPr>
          <w:rFonts w:ascii="Times New Roman" w:hAnsi="Times New Roman"/>
          <w:b w:val="0"/>
          <w:bCs/>
          <w:i/>
          <w:iCs/>
          <w:color w:val="auto"/>
          <w:sz w:val="24"/>
          <w:szCs w:val="24"/>
          <w:lang w:val="fr-FR"/>
        </w:rPr>
      </w:pPr>
      <w:bookmarkStart w:id="56" w:name="_Toc195179430"/>
      <w:bookmarkStart w:id="57" w:name="_Hlk150638252"/>
      <w:r>
        <w:rPr>
          <w:rFonts w:ascii="Times New Roman" w:hAnsi="Times New Roman"/>
          <w:b w:val="0"/>
          <w:bCs/>
          <w:i/>
          <w:iCs/>
          <w:color w:val="auto"/>
          <w:sz w:val="24"/>
          <w:szCs w:val="24"/>
          <w:lang w:val="fr-FR"/>
        </w:rPr>
        <w:t xml:space="preserve">Paragraphe </w:t>
      </w:r>
      <w:r w:rsidR="0008463B" w:rsidRPr="00953692">
        <w:rPr>
          <w:rFonts w:ascii="Times New Roman" w:hAnsi="Times New Roman"/>
          <w:b w:val="0"/>
          <w:bCs/>
          <w:i/>
          <w:iCs/>
          <w:color w:val="auto"/>
          <w:sz w:val="24"/>
          <w:szCs w:val="24"/>
          <w:lang w:val="fr-FR"/>
        </w:rPr>
        <w:t xml:space="preserve">2. </w:t>
      </w:r>
      <w:r w:rsidR="00A76771" w:rsidRPr="00953692">
        <w:rPr>
          <w:rFonts w:ascii="Times New Roman" w:hAnsi="Times New Roman"/>
          <w:b w:val="0"/>
          <w:bCs/>
          <w:i/>
          <w:iCs/>
          <w:color w:val="auto"/>
          <w:sz w:val="24"/>
          <w:szCs w:val="24"/>
          <w:lang w:val="fr-FR"/>
        </w:rPr>
        <w:t>Incidences</w:t>
      </w:r>
      <w:r w:rsidR="0008463B" w:rsidRPr="00953692">
        <w:rPr>
          <w:rFonts w:ascii="Times New Roman" w:hAnsi="Times New Roman"/>
          <w:b w:val="0"/>
          <w:bCs/>
          <w:i/>
          <w:iCs/>
          <w:color w:val="auto"/>
          <w:sz w:val="24"/>
          <w:szCs w:val="24"/>
          <w:lang w:val="fr-FR"/>
        </w:rPr>
        <w:t xml:space="preserve"> de participer à l’aboutissement rapide de son procès</w:t>
      </w:r>
      <w:r w:rsidR="0064728A" w:rsidRPr="00953692">
        <w:rPr>
          <w:rFonts w:ascii="Times New Roman" w:hAnsi="Times New Roman"/>
          <w:b w:val="0"/>
          <w:bCs/>
          <w:i/>
          <w:iCs/>
          <w:color w:val="auto"/>
          <w:sz w:val="24"/>
          <w:szCs w:val="24"/>
          <w:lang w:val="fr-FR"/>
        </w:rPr>
        <w:t xml:space="preserve"> à la lumière de la pratique des juridictions pénales internationales</w:t>
      </w:r>
      <w:bookmarkEnd w:id="56"/>
    </w:p>
    <w:bookmarkEnd w:id="57"/>
    <w:p w14:paraId="6FC9C982" w14:textId="76304D37" w:rsidR="00B214D8" w:rsidRPr="00953692" w:rsidRDefault="00CD59A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267</w:t>
      </w:r>
      <w:r w:rsidR="002C1227" w:rsidRPr="00953692">
        <w:rPr>
          <w:rFonts w:cs="Times New Roman"/>
          <w:b/>
          <w:bCs/>
          <w:sz w:val="24"/>
          <w:szCs w:val="24"/>
          <w:lang w:val="fr-FR"/>
        </w:rPr>
        <w:t>.</w:t>
      </w:r>
      <w:r w:rsidR="002C1227" w:rsidRPr="00953692">
        <w:rPr>
          <w:rFonts w:cs="Times New Roman"/>
          <w:sz w:val="24"/>
          <w:szCs w:val="24"/>
          <w:lang w:val="fr-FR"/>
        </w:rPr>
        <w:t xml:space="preserve"> </w:t>
      </w:r>
      <w:r w:rsidR="00C243DB" w:rsidRPr="00953692">
        <w:rPr>
          <w:rFonts w:cs="Times New Roman"/>
          <w:sz w:val="24"/>
          <w:szCs w:val="24"/>
          <w:lang w:val="fr-FR"/>
        </w:rPr>
        <w:t xml:space="preserve">Comme il a été souligné précédemment, </w:t>
      </w:r>
      <w:r w:rsidR="0088520C" w:rsidRPr="00953692">
        <w:rPr>
          <w:rFonts w:cs="Times New Roman"/>
          <w:sz w:val="24"/>
          <w:szCs w:val="24"/>
          <w:lang w:val="fr-FR"/>
        </w:rPr>
        <w:t xml:space="preserve">ce droit dans la logique de complémentarité produit d’effets positifs. Il évite à l’accusé une attitude désavantageuse ou nuisible </w:t>
      </w:r>
      <w:r w:rsidR="009B23FE" w:rsidRPr="00953692">
        <w:rPr>
          <w:rFonts w:cs="Times New Roman"/>
          <w:sz w:val="24"/>
          <w:szCs w:val="24"/>
          <w:lang w:val="fr-FR"/>
        </w:rPr>
        <w:t>face aux procédures longues des juridictions pénales internationales</w:t>
      </w:r>
      <w:r w:rsidR="0088520C" w:rsidRPr="00953692">
        <w:rPr>
          <w:rFonts w:cs="Times New Roman"/>
          <w:sz w:val="24"/>
          <w:szCs w:val="24"/>
          <w:lang w:val="fr-FR"/>
        </w:rPr>
        <w:t xml:space="preserve">. </w:t>
      </w:r>
      <w:r w:rsidR="0037224B" w:rsidRPr="00953692">
        <w:rPr>
          <w:rFonts w:cs="Times New Roman"/>
          <w:sz w:val="24"/>
          <w:szCs w:val="24"/>
          <w:lang w:val="fr-FR"/>
        </w:rPr>
        <w:t xml:space="preserve">Il pourra alors agir avec diligence et cherchera à imposer en quelque sorte un tel rythme aux autres parties et participants au procès, voire au juge. </w:t>
      </w:r>
      <w:r w:rsidR="00B659F8" w:rsidRPr="00953692">
        <w:rPr>
          <w:rFonts w:cs="Times New Roman"/>
          <w:sz w:val="24"/>
          <w:szCs w:val="24"/>
          <w:lang w:val="fr-FR"/>
        </w:rPr>
        <w:t>C</w:t>
      </w:r>
      <w:r w:rsidR="00D6447D" w:rsidRPr="00953692">
        <w:rPr>
          <w:rFonts w:cs="Times New Roman"/>
          <w:sz w:val="24"/>
          <w:szCs w:val="24"/>
          <w:lang w:val="fr-FR"/>
        </w:rPr>
        <w:t>e</w:t>
      </w:r>
      <w:r w:rsidR="00B659F8" w:rsidRPr="00953692">
        <w:rPr>
          <w:rFonts w:cs="Times New Roman"/>
          <w:sz w:val="24"/>
          <w:szCs w:val="24"/>
          <w:lang w:val="fr-FR"/>
        </w:rPr>
        <w:t xml:space="preserve"> droit commence par le courage de l’accusé ou du suspect d’affronter la justice. </w:t>
      </w:r>
      <w:r w:rsidR="00366258" w:rsidRPr="00953692">
        <w:rPr>
          <w:rFonts w:cs="Times New Roman"/>
          <w:sz w:val="24"/>
          <w:szCs w:val="24"/>
          <w:lang w:val="fr-FR"/>
        </w:rPr>
        <w:t>Nombre de personnes ont préféré de s’y soustraire pendant des longues années, ce qui a cré</w:t>
      </w:r>
      <w:r w:rsidR="009B23FE" w:rsidRPr="00953692">
        <w:rPr>
          <w:rFonts w:cs="Times New Roman"/>
          <w:sz w:val="24"/>
          <w:szCs w:val="24"/>
          <w:lang w:val="fr-FR"/>
        </w:rPr>
        <w:t>é</w:t>
      </w:r>
      <w:r w:rsidR="00366258" w:rsidRPr="00953692">
        <w:rPr>
          <w:rFonts w:cs="Times New Roman"/>
          <w:sz w:val="24"/>
          <w:szCs w:val="24"/>
          <w:lang w:val="fr-FR"/>
        </w:rPr>
        <w:t xml:space="preserve"> un écart considérable entre le moment de la confirmation de l’acte d’accusation ou de l</w:t>
      </w:r>
      <w:r w:rsidR="001A534E" w:rsidRPr="00953692">
        <w:rPr>
          <w:rFonts w:cs="Times New Roman"/>
          <w:sz w:val="24"/>
          <w:szCs w:val="24"/>
          <w:lang w:val="fr-FR"/>
        </w:rPr>
        <w:t>’exécution</w:t>
      </w:r>
      <w:r w:rsidR="00366258" w:rsidRPr="00953692">
        <w:rPr>
          <w:rFonts w:cs="Times New Roman"/>
          <w:sz w:val="24"/>
          <w:szCs w:val="24"/>
          <w:lang w:val="fr-FR"/>
        </w:rPr>
        <w:t xml:space="preserve"> d’un mandat d’arrêt et </w:t>
      </w:r>
      <w:r w:rsidR="006A033F" w:rsidRPr="00953692">
        <w:rPr>
          <w:rFonts w:cs="Times New Roman"/>
          <w:sz w:val="24"/>
          <w:szCs w:val="24"/>
          <w:lang w:val="fr-FR"/>
        </w:rPr>
        <w:t>le prononcé du jugement.</w:t>
      </w:r>
      <w:r w:rsidR="002A659E" w:rsidRPr="00953692">
        <w:rPr>
          <w:rFonts w:cs="Times New Roman"/>
          <w:sz w:val="24"/>
          <w:szCs w:val="24"/>
          <w:lang w:val="fr-FR"/>
        </w:rPr>
        <w:t xml:space="preserve"> </w:t>
      </w:r>
    </w:p>
    <w:p w14:paraId="60416883" w14:textId="2A5A052C" w:rsidR="004A3B0D" w:rsidRPr="00953692" w:rsidRDefault="00CD59A2" w:rsidP="00864BBF">
      <w:pPr>
        <w:spacing w:after="0" w:line="276" w:lineRule="auto"/>
        <w:ind w:firstLine="1134"/>
        <w:jc w:val="both"/>
        <w:rPr>
          <w:sz w:val="24"/>
          <w:szCs w:val="24"/>
          <w:lang w:val="fr-FR"/>
        </w:rPr>
      </w:pPr>
      <w:r w:rsidRPr="00953692">
        <w:rPr>
          <w:rFonts w:cs="Times New Roman"/>
          <w:b/>
          <w:bCs/>
          <w:sz w:val="24"/>
          <w:szCs w:val="24"/>
          <w:lang w:val="fr-FR"/>
        </w:rPr>
        <w:t>268.</w:t>
      </w:r>
      <w:r w:rsidRPr="00953692">
        <w:rPr>
          <w:rFonts w:cs="Times New Roman"/>
          <w:sz w:val="24"/>
          <w:szCs w:val="24"/>
          <w:lang w:val="fr-FR"/>
        </w:rPr>
        <w:t xml:space="preserve"> </w:t>
      </w:r>
      <w:r w:rsidR="00554E32" w:rsidRPr="00953692">
        <w:rPr>
          <w:rFonts w:cs="Times New Roman"/>
          <w:sz w:val="24"/>
          <w:szCs w:val="24"/>
          <w:lang w:val="fr-FR"/>
        </w:rPr>
        <w:t>En effet</w:t>
      </w:r>
      <w:r w:rsidR="0078228E" w:rsidRPr="00953692">
        <w:rPr>
          <w:rFonts w:cs="Times New Roman"/>
          <w:sz w:val="24"/>
          <w:szCs w:val="24"/>
          <w:lang w:val="fr-FR"/>
        </w:rPr>
        <w:t>,</w:t>
      </w:r>
      <w:r w:rsidR="00CC37B9" w:rsidRPr="00953692">
        <w:rPr>
          <w:rFonts w:cs="Times New Roman"/>
          <w:sz w:val="24"/>
          <w:szCs w:val="24"/>
          <w:lang w:val="fr-FR"/>
        </w:rPr>
        <w:t xml:space="preserve"> en matière du délai raisonnable</w:t>
      </w:r>
      <w:r w:rsidR="002C1227" w:rsidRPr="00953692">
        <w:rPr>
          <w:rFonts w:cs="Times New Roman"/>
          <w:sz w:val="24"/>
          <w:szCs w:val="24"/>
          <w:lang w:val="fr-FR"/>
        </w:rPr>
        <w:t xml:space="preserve">, </w:t>
      </w:r>
      <w:r w:rsidR="00CC37B9" w:rsidRPr="00953692">
        <w:rPr>
          <w:rFonts w:cs="Times New Roman"/>
          <w:i/>
          <w:iCs/>
          <w:sz w:val="24"/>
          <w:szCs w:val="24"/>
          <w:lang w:val="fr-FR"/>
        </w:rPr>
        <w:t>« </w:t>
      </w:r>
      <w:r w:rsidR="00CC37B9" w:rsidRPr="00953692">
        <w:rPr>
          <w:i/>
          <w:iCs/>
          <w:sz w:val="24"/>
          <w:szCs w:val="24"/>
          <w:lang w:val="fr-FR"/>
        </w:rPr>
        <w:t>le dies a quo</w:t>
      </w:r>
      <w:r w:rsidR="002C1227" w:rsidRPr="00953692">
        <w:rPr>
          <w:sz w:val="24"/>
          <w:szCs w:val="24"/>
          <w:lang w:val="fr-FR"/>
        </w:rPr>
        <w:t xml:space="preserve"> de</w:t>
      </w:r>
      <w:r w:rsidR="00CC37B9" w:rsidRPr="00953692">
        <w:rPr>
          <w:sz w:val="24"/>
          <w:szCs w:val="24"/>
          <w:lang w:val="fr-FR"/>
        </w:rPr>
        <w:t xml:space="preserve"> la procédure </w:t>
      </w:r>
      <w:r w:rsidR="0078228E" w:rsidRPr="00953692">
        <w:rPr>
          <w:sz w:val="24"/>
          <w:szCs w:val="24"/>
          <w:lang w:val="fr-FR"/>
        </w:rPr>
        <w:t>est à situer,</w:t>
      </w:r>
      <w:r w:rsidR="00CC37B9" w:rsidRPr="00953692">
        <w:rPr>
          <w:sz w:val="24"/>
          <w:szCs w:val="24"/>
          <w:lang w:val="fr-FR"/>
        </w:rPr>
        <w:t xml:space="preserve"> en principe</w:t>
      </w:r>
      <w:r w:rsidR="0078228E" w:rsidRPr="00953692">
        <w:rPr>
          <w:sz w:val="24"/>
          <w:szCs w:val="24"/>
          <w:lang w:val="fr-FR"/>
        </w:rPr>
        <w:t>,</w:t>
      </w:r>
      <w:r w:rsidR="00CC37B9" w:rsidRPr="00953692">
        <w:rPr>
          <w:sz w:val="24"/>
          <w:szCs w:val="24"/>
          <w:lang w:val="fr-FR"/>
        </w:rPr>
        <w:t xml:space="preserve"> </w:t>
      </w:r>
      <w:r w:rsidR="0078228E" w:rsidRPr="00953692">
        <w:rPr>
          <w:sz w:val="24"/>
          <w:szCs w:val="24"/>
          <w:lang w:val="fr-FR"/>
        </w:rPr>
        <w:t>à</w:t>
      </w:r>
      <w:r w:rsidR="00CC37B9" w:rsidRPr="00953692">
        <w:rPr>
          <w:sz w:val="24"/>
          <w:szCs w:val="24"/>
          <w:lang w:val="fr-FR"/>
        </w:rPr>
        <w:t xml:space="preserve"> la mise en accusation de l’individu, définie comme le moment où il y a des « répercussions importantes sur la situation du suspect »</w:t>
      </w:r>
      <w:r w:rsidR="00554E32" w:rsidRPr="00953692">
        <w:rPr>
          <w:sz w:val="24"/>
          <w:szCs w:val="24"/>
          <w:lang w:val="fr-FR"/>
        </w:rPr>
        <w:t>, telle que la mise en cause ou l’inculpation de la personne arrêtée »</w:t>
      </w:r>
      <w:r w:rsidR="00B91672" w:rsidRPr="00953692">
        <w:rPr>
          <w:rStyle w:val="Appelnotedebasdep"/>
          <w:sz w:val="24"/>
          <w:szCs w:val="24"/>
          <w:lang w:val="fr-FR"/>
        </w:rPr>
        <w:footnoteReference w:customMarkFollows="1" w:id="201"/>
        <w:t>179</w:t>
      </w:r>
      <w:r w:rsidR="00354F1E" w:rsidRPr="00953692">
        <w:rPr>
          <w:sz w:val="24"/>
          <w:szCs w:val="24"/>
          <w:lang w:val="fr-FR"/>
        </w:rPr>
        <w:t>.</w:t>
      </w:r>
      <w:r w:rsidR="00554E32" w:rsidRPr="00953692">
        <w:rPr>
          <w:sz w:val="24"/>
          <w:szCs w:val="24"/>
          <w:lang w:val="fr-FR"/>
        </w:rPr>
        <w:t xml:space="preserve"> </w:t>
      </w:r>
      <w:r w:rsidR="005325D6" w:rsidRPr="00953692">
        <w:rPr>
          <w:sz w:val="24"/>
          <w:szCs w:val="24"/>
          <w:lang w:val="fr-FR"/>
        </w:rPr>
        <w:t>A partir du moment où la personne est, par exemple, sous mandat d’arrêt en qualité d’accusé</w:t>
      </w:r>
      <w:r w:rsidR="004A3B0D" w:rsidRPr="00953692">
        <w:rPr>
          <w:sz w:val="24"/>
          <w:szCs w:val="24"/>
          <w:lang w:val="fr-FR"/>
        </w:rPr>
        <w:t xml:space="preserve"> (d’une façon plus large, on peut </w:t>
      </w:r>
      <w:r w:rsidR="004A3B0D" w:rsidRPr="00953692">
        <w:rPr>
          <w:sz w:val="24"/>
          <w:szCs w:val="24"/>
          <w:lang w:val="fr-FR"/>
        </w:rPr>
        <w:lastRenderedPageBreak/>
        <w:t>inclure la qualité de suspect)</w:t>
      </w:r>
      <w:r w:rsidR="005325D6" w:rsidRPr="00953692">
        <w:rPr>
          <w:sz w:val="24"/>
          <w:szCs w:val="24"/>
          <w:lang w:val="fr-FR"/>
        </w:rPr>
        <w:t>, elle bénéficie</w:t>
      </w:r>
      <w:r w:rsidR="004A3B0D" w:rsidRPr="00953692">
        <w:rPr>
          <w:sz w:val="24"/>
          <w:szCs w:val="24"/>
          <w:lang w:val="fr-FR"/>
        </w:rPr>
        <w:t xml:space="preserve"> évidemment</w:t>
      </w:r>
      <w:r w:rsidR="005325D6" w:rsidRPr="00953692">
        <w:rPr>
          <w:sz w:val="24"/>
          <w:szCs w:val="24"/>
          <w:lang w:val="fr-FR"/>
        </w:rPr>
        <w:t xml:space="preserve"> du droit d’être jugé sans retard excessif.</w:t>
      </w:r>
    </w:p>
    <w:p w14:paraId="29AFB8FB" w14:textId="0191FA83" w:rsidR="00CD59A2" w:rsidRPr="00953692" w:rsidRDefault="00CD59A2" w:rsidP="00864BBF">
      <w:pPr>
        <w:spacing w:after="0" w:line="276" w:lineRule="auto"/>
        <w:ind w:firstLine="1134"/>
        <w:jc w:val="both"/>
        <w:rPr>
          <w:rFonts w:cs="Times New Roman"/>
          <w:sz w:val="24"/>
          <w:szCs w:val="24"/>
          <w:lang w:val="fr-FR"/>
        </w:rPr>
      </w:pPr>
      <w:r w:rsidRPr="00953692">
        <w:rPr>
          <w:b/>
          <w:bCs/>
          <w:sz w:val="24"/>
          <w:szCs w:val="24"/>
          <w:lang w:val="fr-FR"/>
        </w:rPr>
        <w:t>269</w:t>
      </w:r>
      <w:r w:rsidR="006D1006" w:rsidRPr="00953692">
        <w:rPr>
          <w:b/>
          <w:bCs/>
          <w:sz w:val="24"/>
          <w:szCs w:val="24"/>
          <w:lang w:val="fr-FR"/>
        </w:rPr>
        <w:t>.</w:t>
      </w:r>
      <w:r w:rsidR="006D1006" w:rsidRPr="00953692">
        <w:rPr>
          <w:sz w:val="24"/>
          <w:szCs w:val="24"/>
          <w:lang w:val="fr-FR"/>
        </w:rPr>
        <w:t xml:space="preserve"> </w:t>
      </w:r>
      <w:r w:rsidR="00554E32" w:rsidRPr="00953692">
        <w:rPr>
          <w:sz w:val="24"/>
          <w:szCs w:val="24"/>
          <w:lang w:val="fr-FR"/>
        </w:rPr>
        <w:t>Dans ce cas, la période de cavale de la personne mise en cause ne s</w:t>
      </w:r>
      <w:r w:rsidR="00C92BFE" w:rsidRPr="00953692">
        <w:rPr>
          <w:sz w:val="24"/>
          <w:szCs w:val="24"/>
          <w:lang w:val="fr-FR"/>
        </w:rPr>
        <w:t>aurait</w:t>
      </w:r>
      <w:r w:rsidR="00554E32" w:rsidRPr="00953692">
        <w:rPr>
          <w:sz w:val="24"/>
          <w:szCs w:val="24"/>
          <w:lang w:val="fr-FR"/>
        </w:rPr>
        <w:t xml:space="preserve"> donc pas</w:t>
      </w:r>
      <w:r w:rsidR="00C92BFE" w:rsidRPr="00953692">
        <w:rPr>
          <w:sz w:val="24"/>
          <w:szCs w:val="24"/>
          <w:lang w:val="fr-FR"/>
        </w:rPr>
        <w:t xml:space="preserve"> être indifférente</w:t>
      </w:r>
      <w:r w:rsidR="00554E32" w:rsidRPr="00953692">
        <w:rPr>
          <w:sz w:val="24"/>
          <w:szCs w:val="24"/>
          <w:lang w:val="fr-FR"/>
        </w:rPr>
        <w:t xml:space="preserve"> à l’appréciation du délai raisonnable</w:t>
      </w:r>
      <w:r w:rsidR="00C92BFE" w:rsidRPr="00953692">
        <w:rPr>
          <w:sz w:val="24"/>
          <w:szCs w:val="24"/>
          <w:lang w:val="fr-FR"/>
        </w:rPr>
        <w:t xml:space="preserve"> par le juge</w:t>
      </w:r>
      <w:r w:rsidR="005325D6" w:rsidRPr="00953692">
        <w:rPr>
          <w:sz w:val="24"/>
          <w:szCs w:val="24"/>
          <w:lang w:val="fr-FR"/>
        </w:rPr>
        <w:t>,</w:t>
      </w:r>
      <w:r w:rsidR="00C92BFE" w:rsidRPr="00953692">
        <w:rPr>
          <w:sz w:val="24"/>
          <w:szCs w:val="24"/>
          <w:lang w:val="fr-FR"/>
        </w:rPr>
        <w:t xml:space="preserve"> qui scrutera évidemment le comportement de l’accusé durant chaque période concernée. </w:t>
      </w:r>
      <w:r w:rsidR="00554E32" w:rsidRPr="00953692">
        <w:rPr>
          <w:sz w:val="24"/>
          <w:szCs w:val="24"/>
          <w:lang w:val="fr-FR"/>
        </w:rPr>
        <w:t xml:space="preserve"> </w:t>
      </w:r>
      <w:r w:rsidR="00C92BFE" w:rsidRPr="00953692">
        <w:rPr>
          <w:sz w:val="24"/>
          <w:szCs w:val="24"/>
          <w:lang w:val="fr-FR"/>
        </w:rPr>
        <w:t>E</w:t>
      </w:r>
      <w:r w:rsidR="00554E32" w:rsidRPr="00953692">
        <w:rPr>
          <w:sz w:val="24"/>
          <w:szCs w:val="24"/>
          <w:lang w:val="fr-FR"/>
        </w:rPr>
        <w:t>t à ce sujet</w:t>
      </w:r>
      <w:r w:rsidR="001A534E" w:rsidRPr="00953692">
        <w:rPr>
          <w:sz w:val="24"/>
          <w:szCs w:val="24"/>
          <w:lang w:val="fr-FR"/>
        </w:rPr>
        <w:t>,</w:t>
      </w:r>
      <w:r w:rsidR="00554E32" w:rsidRPr="00953692">
        <w:rPr>
          <w:rFonts w:eastAsia="Times New Roman" w:cs="Times New Roman"/>
          <w:sz w:val="24"/>
          <w:szCs w:val="24"/>
          <w:shd w:val="clear" w:color="auto" w:fill="FFFFFF"/>
          <w:lang w:val="fr-FR"/>
        </w:rPr>
        <w:t xml:space="preserve"> la CEDH a tranché que l’accusé ne peut en aucun cas invoquer la période de sa cavale à moins qu’il présente les motifs suffisants pour renverser cette présomption</w:t>
      </w:r>
      <w:r w:rsidR="00B91672" w:rsidRPr="00953692">
        <w:rPr>
          <w:rStyle w:val="Appelnotedebasdep"/>
          <w:rFonts w:eastAsia="Times New Roman" w:cs="Times New Roman"/>
          <w:sz w:val="24"/>
          <w:szCs w:val="24"/>
          <w:shd w:val="clear" w:color="auto" w:fill="FFFFFF"/>
          <w:lang w:val="fr-FR"/>
        </w:rPr>
        <w:footnoteReference w:customMarkFollows="1" w:id="202"/>
        <w:t>180</w:t>
      </w:r>
      <w:r w:rsidR="00554E32" w:rsidRPr="00953692">
        <w:rPr>
          <w:rFonts w:eastAsia="Times New Roman" w:cs="Times New Roman"/>
          <w:sz w:val="24"/>
          <w:szCs w:val="24"/>
          <w:shd w:val="clear" w:color="auto" w:fill="FFFFFF"/>
          <w:lang w:val="fr-FR"/>
        </w:rPr>
        <w:t>.</w:t>
      </w:r>
      <w:r w:rsidR="00CE6690" w:rsidRPr="00953692">
        <w:rPr>
          <w:rFonts w:eastAsia="Times New Roman" w:cs="Times New Roman"/>
          <w:sz w:val="24"/>
          <w:szCs w:val="24"/>
          <w:shd w:val="clear" w:color="auto" w:fill="FFFFFF"/>
          <w:lang w:val="fr-FR"/>
        </w:rPr>
        <w:t xml:space="preserve"> </w:t>
      </w:r>
      <w:r w:rsidR="00C92BFE" w:rsidRPr="00953692">
        <w:rPr>
          <w:rFonts w:eastAsia="Times New Roman" w:cs="Times New Roman"/>
          <w:sz w:val="24"/>
          <w:szCs w:val="24"/>
          <w:shd w:val="clear" w:color="auto" w:fill="FFFFFF"/>
          <w:lang w:val="fr-FR"/>
        </w:rPr>
        <w:t>Les juridictions pénales internationales aussi appliquent cette règle.</w:t>
      </w:r>
    </w:p>
    <w:p w14:paraId="7BE9D31B" w14:textId="44895C98" w:rsidR="0058694F" w:rsidRPr="00953692" w:rsidRDefault="00CD59A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270.</w:t>
      </w:r>
      <w:r w:rsidRPr="00953692">
        <w:rPr>
          <w:rFonts w:cs="Times New Roman"/>
          <w:sz w:val="24"/>
          <w:szCs w:val="24"/>
          <w:lang w:val="fr-FR"/>
        </w:rPr>
        <w:t xml:space="preserve"> </w:t>
      </w:r>
      <w:r w:rsidR="00D90F75" w:rsidRPr="00953692">
        <w:rPr>
          <w:rFonts w:cs="Times New Roman"/>
          <w:sz w:val="24"/>
          <w:szCs w:val="24"/>
          <w:lang w:val="fr-FR"/>
        </w:rPr>
        <w:t>Dans l’affaire Gatete devant la Chambre de première instance du TPIR, il a été soulevé par le Procureur, en réponse à la prétention de l’accusé relative à la violation de son droit d’être jugé sans retard excessif, que ce dernier s’est longtemps dérobé à toute tentative d’arrestation, contribuant ainsi au retard enregistré au début de la procédure</w:t>
      </w:r>
      <w:r w:rsidR="008B1083" w:rsidRPr="00953692">
        <w:rPr>
          <w:rStyle w:val="Appelnotedebasdep"/>
          <w:rFonts w:cs="Times New Roman"/>
          <w:sz w:val="24"/>
          <w:szCs w:val="24"/>
          <w:lang w:val="fr-FR"/>
        </w:rPr>
        <w:footnoteReference w:customMarkFollows="1" w:id="203"/>
        <w:t>182</w:t>
      </w:r>
      <w:r w:rsidR="00D90F75" w:rsidRPr="00953692">
        <w:rPr>
          <w:rFonts w:cs="Times New Roman"/>
          <w:sz w:val="24"/>
          <w:szCs w:val="24"/>
          <w:lang w:val="fr-FR"/>
        </w:rPr>
        <w:t>.</w:t>
      </w:r>
      <w:r w:rsidR="006D1006" w:rsidRPr="00953692">
        <w:rPr>
          <w:rFonts w:cs="Times New Roman"/>
          <w:sz w:val="24"/>
          <w:szCs w:val="24"/>
          <w:lang w:val="fr-FR"/>
        </w:rPr>
        <w:t xml:space="preserve"> </w:t>
      </w:r>
      <w:r w:rsidR="00CE6690" w:rsidRPr="00953692">
        <w:rPr>
          <w:rFonts w:eastAsia="Times New Roman" w:cs="Times New Roman"/>
          <w:sz w:val="24"/>
          <w:szCs w:val="24"/>
          <w:shd w:val="clear" w:color="auto" w:fill="FFFFFF"/>
          <w:lang w:val="fr-FR"/>
        </w:rPr>
        <w:t>On peut donc arriver à la conclusion selon laquelle, n</w:t>
      </w:r>
      <w:r w:rsidR="0058694F" w:rsidRPr="00953692">
        <w:rPr>
          <w:rFonts w:eastAsia="Times New Roman" w:cs="Times New Roman"/>
          <w:sz w:val="24"/>
          <w:szCs w:val="24"/>
          <w:shd w:val="clear" w:color="auto" w:fill="FFFFFF"/>
          <w:lang w:val="fr-FR"/>
        </w:rPr>
        <w:t xml:space="preserve">e pas se mettre à la disposition de la justice </w:t>
      </w:r>
      <w:r w:rsidR="00CE6690" w:rsidRPr="00953692">
        <w:rPr>
          <w:rFonts w:eastAsia="Times New Roman" w:cs="Times New Roman"/>
          <w:sz w:val="24"/>
          <w:szCs w:val="24"/>
          <w:shd w:val="clear" w:color="auto" w:fill="FFFFFF"/>
          <w:lang w:val="fr-FR"/>
        </w:rPr>
        <w:t xml:space="preserve">constitue </w:t>
      </w:r>
      <w:r w:rsidR="0058694F" w:rsidRPr="00953692">
        <w:rPr>
          <w:rFonts w:eastAsia="Times New Roman" w:cs="Times New Roman"/>
          <w:sz w:val="24"/>
          <w:szCs w:val="24"/>
          <w:shd w:val="clear" w:color="auto" w:fill="FFFFFF"/>
          <w:lang w:val="fr-FR"/>
        </w:rPr>
        <w:t>une forme de refus de participer à l’aboutissement rapide de son procès</w:t>
      </w:r>
      <w:r w:rsidR="00CE6690" w:rsidRPr="00953692">
        <w:rPr>
          <w:rFonts w:eastAsia="Times New Roman" w:cs="Times New Roman"/>
          <w:sz w:val="24"/>
          <w:szCs w:val="24"/>
          <w:shd w:val="clear" w:color="auto" w:fill="FFFFFF"/>
          <w:lang w:val="fr-FR"/>
        </w:rPr>
        <w:t xml:space="preserve">, puisque l’accusé ne pourra prendre en compte le moment où il se soustrayait à la justice y compris toutes les conséquences qui pourraient en découler, et ce, </w:t>
      </w:r>
      <w:r w:rsidR="00CE6690" w:rsidRPr="00953692">
        <w:rPr>
          <w:rFonts w:eastAsia="Times New Roman" w:cs="Times New Roman"/>
          <w:i/>
          <w:iCs/>
          <w:sz w:val="24"/>
          <w:szCs w:val="24"/>
          <w:shd w:val="clear" w:color="auto" w:fill="FFFFFF"/>
          <w:lang w:val="fr-FR"/>
        </w:rPr>
        <w:t>mutatis mutandis</w:t>
      </w:r>
      <w:r w:rsidR="00CE6690" w:rsidRPr="00953692">
        <w:rPr>
          <w:rFonts w:eastAsia="Times New Roman" w:cs="Times New Roman"/>
          <w:sz w:val="24"/>
          <w:szCs w:val="24"/>
          <w:shd w:val="clear" w:color="auto" w:fill="FFFFFF"/>
          <w:lang w:val="fr-FR"/>
        </w:rPr>
        <w:t>.</w:t>
      </w:r>
    </w:p>
    <w:p w14:paraId="29452F61" w14:textId="6E7E0F86" w:rsidR="0058694F" w:rsidRPr="00953692" w:rsidRDefault="00CD59A2" w:rsidP="00864BBF">
      <w:pPr>
        <w:spacing w:after="0" w:line="276" w:lineRule="auto"/>
        <w:ind w:firstLine="1134"/>
        <w:jc w:val="both"/>
        <w:rPr>
          <w:rFonts w:eastAsia="Times New Roman" w:cs="Times New Roman"/>
          <w:sz w:val="24"/>
          <w:szCs w:val="24"/>
          <w:shd w:val="clear" w:color="auto" w:fill="FFFFFF"/>
          <w:lang w:val="fr-FR"/>
        </w:rPr>
      </w:pPr>
      <w:bookmarkStart w:id="58" w:name="_Hlk116077615"/>
      <w:r w:rsidRPr="00953692">
        <w:rPr>
          <w:rFonts w:eastAsia="Times New Roman" w:cs="Times New Roman"/>
          <w:b/>
          <w:bCs/>
          <w:sz w:val="24"/>
          <w:szCs w:val="24"/>
          <w:shd w:val="clear" w:color="auto" w:fill="FFFFFF"/>
          <w:lang w:val="fr-FR"/>
        </w:rPr>
        <w:t>271</w:t>
      </w:r>
      <w:r w:rsidR="006D1006" w:rsidRPr="00953692">
        <w:rPr>
          <w:rFonts w:eastAsia="Times New Roman" w:cs="Times New Roman"/>
          <w:b/>
          <w:bCs/>
          <w:sz w:val="24"/>
          <w:szCs w:val="24"/>
          <w:shd w:val="clear" w:color="auto" w:fill="FFFFFF"/>
          <w:lang w:val="fr-FR"/>
        </w:rPr>
        <w:t>.</w:t>
      </w:r>
      <w:r w:rsidR="006D1006" w:rsidRPr="00953692">
        <w:rPr>
          <w:rFonts w:eastAsia="Times New Roman" w:cs="Times New Roman"/>
          <w:sz w:val="24"/>
          <w:szCs w:val="24"/>
          <w:shd w:val="clear" w:color="auto" w:fill="FFFFFF"/>
          <w:lang w:val="fr-FR"/>
        </w:rPr>
        <w:t xml:space="preserve"> </w:t>
      </w:r>
      <w:r w:rsidR="006D12CF" w:rsidRPr="00953692">
        <w:rPr>
          <w:rFonts w:eastAsia="Times New Roman" w:cs="Times New Roman"/>
          <w:sz w:val="24"/>
          <w:szCs w:val="24"/>
          <w:shd w:val="clear" w:color="auto" w:fill="FFFFFF"/>
          <w:lang w:val="fr-FR"/>
        </w:rPr>
        <w:t xml:space="preserve">La participation à l’aboutissement rapide de son procès </w:t>
      </w:r>
      <w:bookmarkEnd w:id="58"/>
      <w:r w:rsidR="006D12CF" w:rsidRPr="00953692">
        <w:rPr>
          <w:rFonts w:eastAsia="Times New Roman" w:cs="Times New Roman"/>
          <w:sz w:val="24"/>
          <w:szCs w:val="24"/>
          <w:shd w:val="clear" w:color="auto" w:fill="FFFFFF"/>
          <w:lang w:val="fr-FR"/>
        </w:rPr>
        <w:t>implique aussi un évitement des actions dilatoires</w:t>
      </w:r>
      <w:r w:rsidR="00971C03" w:rsidRPr="00953692">
        <w:rPr>
          <w:rFonts w:eastAsia="Times New Roman" w:cs="Times New Roman"/>
          <w:sz w:val="24"/>
          <w:szCs w:val="24"/>
          <w:shd w:val="clear" w:color="auto" w:fill="FFFFFF"/>
          <w:lang w:val="fr-FR"/>
        </w:rPr>
        <w:t xml:space="preserve">. </w:t>
      </w:r>
      <w:r w:rsidR="001A534E" w:rsidRPr="00953692">
        <w:rPr>
          <w:rFonts w:eastAsia="Times New Roman" w:cs="Times New Roman"/>
          <w:sz w:val="24"/>
          <w:szCs w:val="24"/>
          <w:shd w:val="clear" w:color="auto" w:fill="FFFFFF"/>
          <w:lang w:val="fr-FR"/>
        </w:rPr>
        <w:t>Il est évident que l</w:t>
      </w:r>
      <w:r w:rsidR="00971C03" w:rsidRPr="00953692">
        <w:rPr>
          <w:rFonts w:eastAsia="Times New Roman" w:cs="Times New Roman"/>
          <w:sz w:val="24"/>
          <w:szCs w:val="24"/>
          <w:shd w:val="clear" w:color="auto" w:fill="FFFFFF"/>
          <w:lang w:val="fr-FR"/>
        </w:rPr>
        <w:t xml:space="preserve">’accusé ne </w:t>
      </w:r>
      <w:r w:rsidR="001A534E" w:rsidRPr="00953692">
        <w:rPr>
          <w:rFonts w:eastAsia="Times New Roman" w:cs="Times New Roman"/>
          <w:sz w:val="24"/>
          <w:szCs w:val="24"/>
          <w:shd w:val="clear" w:color="auto" w:fill="FFFFFF"/>
          <w:lang w:val="fr-FR"/>
        </w:rPr>
        <w:t>saurait</w:t>
      </w:r>
      <w:r w:rsidR="00971C03" w:rsidRPr="00953692">
        <w:rPr>
          <w:rFonts w:eastAsia="Times New Roman" w:cs="Times New Roman"/>
          <w:sz w:val="24"/>
          <w:szCs w:val="24"/>
          <w:shd w:val="clear" w:color="auto" w:fill="FFFFFF"/>
          <w:lang w:val="fr-FR"/>
        </w:rPr>
        <w:t xml:space="preserve"> se priver </w:t>
      </w:r>
      <w:r w:rsidR="001A534E" w:rsidRPr="00953692">
        <w:rPr>
          <w:rFonts w:eastAsia="Times New Roman" w:cs="Times New Roman"/>
          <w:sz w:val="24"/>
          <w:szCs w:val="24"/>
          <w:shd w:val="clear" w:color="auto" w:fill="FFFFFF"/>
          <w:lang w:val="fr-FR"/>
        </w:rPr>
        <w:t>du</w:t>
      </w:r>
      <w:r w:rsidR="00971C03" w:rsidRPr="00953692">
        <w:rPr>
          <w:rFonts w:eastAsia="Times New Roman" w:cs="Times New Roman"/>
          <w:sz w:val="24"/>
          <w:szCs w:val="24"/>
          <w:shd w:val="clear" w:color="auto" w:fill="FFFFFF"/>
          <w:lang w:val="fr-FR"/>
        </w:rPr>
        <w:t xml:space="preserve"> droit de </w:t>
      </w:r>
      <w:r w:rsidR="00C92BFE" w:rsidRPr="00953692">
        <w:rPr>
          <w:rFonts w:eastAsia="Times New Roman" w:cs="Times New Roman"/>
          <w:sz w:val="24"/>
          <w:szCs w:val="24"/>
          <w:shd w:val="clear" w:color="auto" w:fill="FFFFFF"/>
          <w:lang w:val="fr-FR"/>
        </w:rPr>
        <w:t xml:space="preserve">s’exprimer </w:t>
      </w:r>
      <w:r w:rsidR="001A534E" w:rsidRPr="00953692">
        <w:rPr>
          <w:rFonts w:eastAsia="Times New Roman" w:cs="Times New Roman"/>
          <w:sz w:val="24"/>
          <w:szCs w:val="24"/>
          <w:shd w:val="clear" w:color="auto" w:fill="FFFFFF"/>
          <w:lang w:val="fr-FR"/>
        </w:rPr>
        <w:t xml:space="preserve">(former un recours) </w:t>
      </w:r>
      <w:r w:rsidR="00C92BFE" w:rsidRPr="00953692">
        <w:rPr>
          <w:rFonts w:eastAsia="Times New Roman" w:cs="Times New Roman"/>
          <w:sz w:val="24"/>
          <w:szCs w:val="24"/>
          <w:shd w:val="clear" w:color="auto" w:fill="FFFFFF"/>
          <w:lang w:val="fr-FR"/>
        </w:rPr>
        <w:t>dans le but de privilégier une procédure rapide, mais devra par contre veiller à ce que la mise en œuvre de s</w:t>
      </w:r>
      <w:r w:rsidR="001A534E" w:rsidRPr="00953692">
        <w:rPr>
          <w:rFonts w:eastAsia="Times New Roman" w:cs="Times New Roman"/>
          <w:sz w:val="24"/>
          <w:szCs w:val="24"/>
          <w:shd w:val="clear" w:color="auto" w:fill="FFFFFF"/>
          <w:lang w:val="fr-FR"/>
        </w:rPr>
        <w:t>es</w:t>
      </w:r>
      <w:r w:rsidR="00C92BFE" w:rsidRPr="00953692">
        <w:rPr>
          <w:rFonts w:eastAsia="Times New Roman" w:cs="Times New Roman"/>
          <w:sz w:val="24"/>
          <w:szCs w:val="24"/>
          <w:shd w:val="clear" w:color="auto" w:fill="FFFFFF"/>
          <w:lang w:val="fr-FR"/>
        </w:rPr>
        <w:t xml:space="preserve"> droit</w:t>
      </w:r>
      <w:r w:rsidR="001A534E" w:rsidRPr="00953692">
        <w:rPr>
          <w:rFonts w:eastAsia="Times New Roman" w:cs="Times New Roman"/>
          <w:sz w:val="24"/>
          <w:szCs w:val="24"/>
          <w:shd w:val="clear" w:color="auto" w:fill="FFFFFF"/>
          <w:lang w:val="fr-FR"/>
        </w:rPr>
        <w:t>s</w:t>
      </w:r>
      <w:r w:rsidR="00C92BFE" w:rsidRPr="00953692">
        <w:rPr>
          <w:rFonts w:eastAsia="Times New Roman" w:cs="Times New Roman"/>
          <w:sz w:val="24"/>
          <w:szCs w:val="24"/>
          <w:shd w:val="clear" w:color="auto" w:fill="FFFFFF"/>
          <w:lang w:val="fr-FR"/>
        </w:rPr>
        <w:t xml:space="preserve"> ne lui soit pas contreproducti</w:t>
      </w:r>
      <w:r w:rsidR="00492C6D" w:rsidRPr="00953692">
        <w:rPr>
          <w:rFonts w:eastAsia="Times New Roman" w:cs="Times New Roman"/>
          <w:sz w:val="24"/>
          <w:szCs w:val="24"/>
          <w:shd w:val="clear" w:color="auto" w:fill="FFFFFF"/>
          <w:lang w:val="fr-FR"/>
        </w:rPr>
        <w:t>ve</w:t>
      </w:r>
      <w:r w:rsidR="00C92BFE" w:rsidRPr="00953692">
        <w:rPr>
          <w:rFonts w:eastAsia="Times New Roman" w:cs="Times New Roman"/>
          <w:sz w:val="24"/>
          <w:szCs w:val="24"/>
          <w:shd w:val="clear" w:color="auto" w:fill="FFFFFF"/>
          <w:lang w:val="fr-FR"/>
        </w:rPr>
        <w:t>. Il en est typiquement de l’hypothèse d’une multiplication de</w:t>
      </w:r>
      <w:r w:rsidR="006D1006" w:rsidRPr="00953692">
        <w:rPr>
          <w:rFonts w:eastAsia="Times New Roman" w:cs="Times New Roman"/>
          <w:sz w:val="24"/>
          <w:szCs w:val="24"/>
          <w:shd w:val="clear" w:color="auto" w:fill="FFFFFF"/>
          <w:lang w:val="fr-FR"/>
        </w:rPr>
        <w:t>s</w:t>
      </w:r>
      <w:r w:rsidR="00C92BFE" w:rsidRPr="00953692">
        <w:rPr>
          <w:rFonts w:eastAsia="Times New Roman" w:cs="Times New Roman"/>
          <w:sz w:val="24"/>
          <w:szCs w:val="24"/>
          <w:shd w:val="clear" w:color="auto" w:fill="FFFFFF"/>
          <w:lang w:val="fr-FR"/>
        </w:rPr>
        <w:t xml:space="preserve"> requêtes, qui peut constituer un abus sanctionnable comme on le verra plus loin, mais aussi de celle des demandes de suspensions d’instances pour des motifs moins objectifs. </w:t>
      </w:r>
      <w:r w:rsidR="00AC5356" w:rsidRPr="00953692">
        <w:rPr>
          <w:rFonts w:eastAsia="Times New Roman" w:cs="Times New Roman"/>
          <w:sz w:val="24"/>
          <w:szCs w:val="24"/>
          <w:shd w:val="clear" w:color="auto" w:fill="FFFFFF"/>
          <w:lang w:val="fr-FR"/>
        </w:rPr>
        <w:t>Dans l’affaire, Laurent Gbagbo devant la CPI, après plusieurs demandes d’ajournement d’audiences, l’inquiétude des victimes a été clairement exprimée</w:t>
      </w:r>
      <w:r w:rsidR="001A534E" w:rsidRPr="00953692">
        <w:rPr>
          <w:rFonts w:eastAsia="Times New Roman" w:cs="Times New Roman"/>
          <w:sz w:val="24"/>
          <w:szCs w:val="24"/>
          <w:shd w:val="clear" w:color="auto" w:fill="FFFFFF"/>
          <w:lang w:val="fr-FR"/>
        </w:rPr>
        <w:t> ;</w:t>
      </w:r>
      <w:r w:rsidR="00AC5356" w:rsidRPr="00953692">
        <w:rPr>
          <w:rFonts w:eastAsia="Times New Roman" w:cs="Times New Roman"/>
          <w:sz w:val="24"/>
          <w:szCs w:val="24"/>
          <w:shd w:val="clear" w:color="auto" w:fill="FFFFFF"/>
          <w:lang w:val="fr-FR"/>
        </w:rPr>
        <w:t xml:space="preserve"> critiquant la stratégie</w:t>
      </w:r>
      <w:r w:rsidR="00913678" w:rsidRPr="00953692">
        <w:rPr>
          <w:rFonts w:eastAsia="Times New Roman" w:cs="Times New Roman"/>
          <w:sz w:val="24"/>
          <w:szCs w:val="24"/>
          <w:shd w:val="clear" w:color="auto" w:fill="FFFFFF"/>
          <w:lang w:val="fr-FR"/>
        </w:rPr>
        <w:t xml:space="preserve"> jugée</w:t>
      </w:r>
      <w:r w:rsidR="00AC5356" w:rsidRPr="00953692">
        <w:rPr>
          <w:rFonts w:eastAsia="Times New Roman" w:cs="Times New Roman"/>
          <w:sz w:val="24"/>
          <w:szCs w:val="24"/>
          <w:shd w:val="clear" w:color="auto" w:fill="FFFFFF"/>
          <w:lang w:val="fr-FR"/>
        </w:rPr>
        <w:t xml:space="preserve"> </w:t>
      </w:r>
      <w:r w:rsidR="00913678" w:rsidRPr="00953692">
        <w:rPr>
          <w:rFonts w:eastAsia="Times New Roman" w:cs="Times New Roman"/>
          <w:sz w:val="24"/>
          <w:szCs w:val="24"/>
          <w:shd w:val="clear" w:color="auto" w:fill="FFFFFF"/>
          <w:lang w:val="fr-FR"/>
        </w:rPr>
        <w:t xml:space="preserve">paradoxale </w:t>
      </w:r>
      <w:r w:rsidR="00AC5356" w:rsidRPr="00953692">
        <w:rPr>
          <w:rFonts w:eastAsia="Times New Roman" w:cs="Times New Roman"/>
          <w:sz w:val="24"/>
          <w:szCs w:val="24"/>
          <w:shd w:val="clear" w:color="auto" w:fill="FFFFFF"/>
          <w:lang w:val="fr-FR"/>
        </w:rPr>
        <w:t>de Laurent Gbagbo qui ne semblait pas tenir compte, au travers ses demandes répétées, de son propre droi</w:t>
      </w:r>
      <w:r w:rsidR="005F5FE4" w:rsidRPr="00953692">
        <w:rPr>
          <w:rFonts w:eastAsia="Times New Roman" w:cs="Times New Roman"/>
          <w:sz w:val="24"/>
          <w:szCs w:val="24"/>
          <w:shd w:val="clear" w:color="auto" w:fill="FFFFFF"/>
          <w:lang w:val="fr-FR"/>
        </w:rPr>
        <w:t>t</w:t>
      </w:r>
      <w:r w:rsidR="00AC5356" w:rsidRPr="00953692">
        <w:rPr>
          <w:rFonts w:eastAsia="Times New Roman" w:cs="Times New Roman"/>
          <w:sz w:val="24"/>
          <w:szCs w:val="24"/>
          <w:shd w:val="clear" w:color="auto" w:fill="FFFFFF"/>
          <w:lang w:val="fr-FR"/>
        </w:rPr>
        <w:t xml:space="preserve"> d’être jugé sans retard excessif</w:t>
      </w:r>
      <w:r w:rsidR="008B1083" w:rsidRPr="00953692">
        <w:rPr>
          <w:rStyle w:val="Appelnotedebasdep"/>
          <w:rFonts w:eastAsia="Times New Roman" w:cs="Times New Roman"/>
          <w:sz w:val="24"/>
          <w:szCs w:val="24"/>
          <w:shd w:val="clear" w:color="auto" w:fill="FFFFFF"/>
          <w:lang w:val="fr-FR"/>
        </w:rPr>
        <w:footnoteReference w:customMarkFollows="1" w:id="204"/>
        <w:t>183</w:t>
      </w:r>
      <w:r w:rsidR="00AC5356" w:rsidRPr="00953692">
        <w:rPr>
          <w:rFonts w:eastAsia="Times New Roman" w:cs="Times New Roman"/>
          <w:sz w:val="24"/>
          <w:szCs w:val="24"/>
          <w:shd w:val="clear" w:color="auto" w:fill="FFFFFF"/>
          <w:lang w:val="fr-FR"/>
        </w:rPr>
        <w:t>.</w:t>
      </w:r>
      <w:r w:rsidR="000769C8" w:rsidRPr="00953692">
        <w:rPr>
          <w:rFonts w:eastAsia="Times New Roman" w:cs="Times New Roman"/>
          <w:sz w:val="24"/>
          <w:szCs w:val="24"/>
          <w:shd w:val="clear" w:color="auto" w:fill="FFFFFF"/>
          <w:lang w:val="fr-FR"/>
        </w:rPr>
        <w:t xml:space="preserve"> Cette remarque pertinente </w:t>
      </w:r>
      <w:r w:rsidR="000769C8" w:rsidRPr="00953692">
        <w:rPr>
          <w:rFonts w:eastAsia="Times New Roman" w:cs="Times New Roman"/>
          <w:sz w:val="24"/>
          <w:szCs w:val="24"/>
          <w:shd w:val="clear" w:color="auto" w:fill="FFFFFF"/>
          <w:lang w:val="fr-FR"/>
        </w:rPr>
        <w:lastRenderedPageBreak/>
        <w:t>montre que l’accusé devra éviter des actions susceptibles de constituer un retard, dont</w:t>
      </w:r>
      <w:r w:rsidR="00A3274A" w:rsidRPr="00953692">
        <w:rPr>
          <w:rFonts w:eastAsia="Times New Roman" w:cs="Times New Roman"/>
          <w:sz w:val="24"/>
          <w:szCs w:val="24"/>
          <w:shd w:val="clear" w:color="auto" w:fill="FFFFFF"/>
          <w:lang w:val="fr-FR"/>
        </w:rPr>
        <w:t xml:space="preserve"> il s</w:t>
      </w:r>
      <w:r w:rsidR="001A534E" w:rsidRPr="00953692">
        <w:rPr>
          <w:rFonts w:eastAsia="Times New Roman" w:cs="Times New Roman"/>
          <w:sz w:val="24"/>
          <w:szCs w:val="24"/>
          <w:shd w:val="clear" w:color="auto" w:fill="FFFFFF"/>
          <w:lang w:val="fr-FR"/>
        </w:rPr>
        <w:t>’en</w:t>
      </w:r>
      <w:r w:rsidR="00A3274A" w:rsidRPr="00953692">
        <w:rPr>
          <w:rFonts w:eastAsia="Times New Roman" w:cs="Times New Roman"/>
          <w:sz w:val="24"/>
          <w:szCs w:val="24"/>
          <w:shd w:val="clear" w:color="auto" w:fill="FFFFFF"/>
          <w:lang w:val="fr-FR"/>
        </w:rPr>
        <w:t xml:space="preserve"> plaindra </w:t>
      </w:r>
      <w:r w:rsidR="001A534E" w:rsidRPr="00953692">
        <w:rPr>
          <w:rFonts w:eastAsia="Times New Roman" w:cs="Times New Roman"/>
          <w:sz w:val="24"/>
          <w:szCs w:val="24"/>
          <w:shd w:val="clear" w:color="auto" w:fill="FFFFFF"/>
          <w:lang w:val="fr-FR"/>
        </w:rPr>
        <w:t xml:space="preserve">éventuellement </w:t>
      </w:r>
      <w:r w:rsidR="00A3274A" w:rsidRPr="00953692">
        <w:rPr>
          <w:rFonts w:eastAsia="Times New Roman" w:cs="Times New Roman"/>
          <w:sz w:val="24"/>
          <w:szCs w:val="24"/>
          <w:shd w:val="clear" w:color="auto" w:fill="FFFFFF"/>
          <w:lang w:val="fr-FR"/>
        </w:rPr>
        <w:t>par la suite</w:t>
      </w:r>
      <w:r w:rsidR="000769C8" w:rsidRPr="00953692">
        <w:rPr>
          <w:rFonts w:eastAsia="Times New Roman" w:cs="Times New Roman"/>
          <w:sz w:val="24"/>
          <w:szCs w:val="24"/>
          <w:shd w:val="clear" w:color="auto" w:fill="FFFFFF"/>
          <w:lang w:val="fr-FR"/>
        </w:rPr>
        <w:t>.</w:t>
      </w:r>
    </w:p>
    <w:p w14:paraId="5B88DEF5" w14:textId="3E7847D8" w:rsidR="00387C6A" w:rsidRPr="00953692" w:rsidRDefault="00CD59A2" w:rsidP="00864BBF">
      <w:pPr>
        <w:spacing w:after="0" w:line="276" w:lineRule="auto"/>
        <w:ind w:firstLine="1134"/>
        <w:jc w:val="both"/>
        <w:rPr>
          <w:rFonts w:cs="Times New Roman"/>
          <w:sz w:val="24"/>
          <w:szCs w:val="24"/>
          <w:lang w:val="fr-FR"/>
        </w:rPr>
      </w:pPr>
      <w:r w:rsidRPr="00953692">
        <w:rPr>
          <w:rFonts w:eastAsia="Times New Roman" w:cs="Times New Roman"/>
          <w:b/>
          <w:bCs/>
          <w:sz w:val="24"/>
          <w:szCs w:val="24"/>
          <w:shd w:val="clear" w:color="auto" w:fill="FFFFFF"/>
          <w:lang w:val="fr-FR"/>
        </w:rPr>
        <w:t>272</w:t>
      </w:r>
      <w:r w:rsidR="00A3274A" w:rsidRPr="00953692">
        <w:rPr>
          <w:rFonts w:eastAsia="Times New Roman" w:cs="Times New Roman"/>
          <w:b/>
          <w:bCs/>
          <w:sz w:val="24"/>
          <w:szCs w:val="24"/>
          <w:shd w:val="clear" w:color="auto" w:fill="FFFFFF"/>
          <w:lang w:val="fr-FR"/>
        </w:rPr>
        <w:t>.</w:t>
      </w:r>
      <w:r w:rsidR="00A3274A" w:rsidRPr="00953692">
        <w:rPr>
          <w:rFonts w:eastAsia="Times New Roman" w:cs="Times New Roman"/>
          <w:sz w:val="24"/>
          <w:szCs w:val="24"/>
          <w:shd w:val="clear" w:color="auto" w:fill="FFFFFF"/>
          <w:lang w:val="fr-FR"/>
        </w:rPr>
        <w:t xml:space="preserve"> </w:t>
      </w:r>
      <w:r w:rsidR="00A67B95" w:rsidRPr="00953692">
        <w:rPr>
          <w:rFonts w:eastAsia="Times New Roman" w:cs="Times New Roman"/>
          <w:sz w:val="24"/>
          <w:szCs w:val="24"/>
          <w:shd w:val="clear" w:color="auto" w:fill="FFFFFF"/>
          <w:lang w:val="fr-FR"/>
        </w:rPr>
        <w:t xml:space="preserve">La participation à l’aboutissement rapide de son procès exige </w:t>
      </w:r>
      <w:r w:rsidR="00A3274A" w:rsidRPr="00953692">
        <w:rPr>
          <w:rFonts w:eastAsia="Times New Roman" w:cs="Times New Roman"/>
          <w:sz w:val="24"/>
          <w:szCs w:val="24"/>
          <w:shd w:val="clear" w:color="auto" w:fill="FFFFFF"/>
          <w:lang w:val="fr-FR"/>
        </w:rPr>
        <w:t>en outre</w:t>
      </w:r>
      <w:r w:rsidR="00A67B95" w:rsidRPr="00953692">
        <w:rPr>
          <w:rFonts w:eastAsia="Times New Roman" w:cs="Times New Roman"/>
          <w:sz w:val="24"/>
          <w:szCs w:val="24"/>
          <w:shd w:val="clear" w:color="auto" w:fill="FFFFFF"/>
          <w:lang w:val="fr-FR"/>
        </w:rPr>
        <w:t xml:space="preserve"> </w:t>
      </w:r>
      <w:r w:rsidR="0064249A" w:rsidRPr="00953692">
        <w:rPr>
          <w:rFonts w:eastAsia="Times New Roman" w:cs="Times New Roman"/>
          <w:sz w:val="24"/>
          <w:szCs w:val="24"/>
          <w:shd w:val="clear" w:color="auto" w:fill="FFFFFF"/>
          <w:lang w:val="fr-FR"/>
        </w:rPr>
        <w:t>de</w:t>
      </w:r>
      <w:r w:rsidR="00A67B95" w:rsidRPr="00953692">
        <w:rPr>
          <w:rFonts w:eastAsia="Times New Roman" w:cs="Times New Roman"/>
          <w:sz w:val="24"/>
          <w:szCs w:val="24"/>
          <w:shd w:val="clear" w:color="auto" w:fill="FFFFFF"/>
          <w:lang w:val="fr-FR"/>
        </w:rPr>
        <w:t xml:space="preserve"> l’accusé une certaine réactivité face aux actions d</w:t>
      </w:r>
      <w:r w:rsidR="00A3274A" w:rsidRPr="00953692">
        <w:rPr>
          <w:rFonts w:eastAsia="Times New Roman" w:cs="Times New Roman"/>
          <w:sz w:val="24"/>
          <w:szCs w:val="24"/>
          <w:shd w:val="clear" w:color="auto" w:fill="FFFFFF"/>
          <w:lang w:val="fr-FR"/>
        </w:rPr>
        <w:t xml:space="preserve">es </w:t>
      </w:r>
      <w:r w:rsidR="00A67B95" w:rsidRPr="00953692">
        <w:rPr>
          <w:rFonts w:eastAsia="Times New Roman" w:cs="Times New Roman"/>
          <w:sz w:val="24"/>
          <w:szCs w:val="24"/>
          <w:shd w:val="clear" w:color="auto" w:fill="FFFFFF"/>
          <w:lang w:val="fr-FR"/>
        </w:rPr>
        <w:t>autres parties</w:t>
      </w:r>
      <w:r w:rsidR="00C17CC0" w:rsidRPr="00953692">
        <w:rPr>
          <w:rFonts w:eastAsia="Times New Roman" w:cs="Times New Roman"/>
          <w:sz w:val="24"/>
          <w:szCs w:val="24"/>
          <w:shd w:val="clear" w:color="auto" w:fill="FFFFFF"/>
          <w:lang w:val="fr-FR"/>
        </w:rPr>
        <w:t xml:space="preserve">, </w:t>
      </w:r>
      <w:r w:rsidR="00A3274A" w:rsidRPr="00953692">
        <w:rPr>
          <w:rFonts w:eastAsia="Times New Roman" w:cs="Times New Roman"/>
          <w:sz w:val="24"/>
          <w:szCs w:val="24"/>
          <w:shd w:val="clear" w:color="auto" w:fill="FFFFFF"/>
          <w:lang w:val="fr-FR"/>
        </w:rPr>
        <w:t>notamment</w:t>
      </w:r>
      <w:r w:rsidR="00C17CC0" w:rsidRPr="00953692">
        <w:rPr>
          <w:rFonts w:eastAsia="Times New Roman" w:cs="Times New Roman"/>
          <w:sz w:val="24"/>
          <w:szCs w:val="24"/>
          <w:shd w:val="clear" w:color="auto" w:fill="FFFFFF"/>
          <w:lang w:val="fr-FR"/>
        </w:rPr>
        <w:t xml:space="preserve"> le procureur.</w:t>
      </w:r>
      <w:r w:rsidR="002460BB" w:rsidRPr="00953692">
        <w:rPr>
          <w:rFonts w:eastAsia="Times New Roman" w:cs="Times New Roman"/>
          <w:sz w:val="24"/>
          <w:szCs w:val="24"/>
          <w:shd w:val="clear" w:color="auto" w:fill="FFFFFF"/>
          <w:lang w:val="fr-FR"/>
        </w:rPr>
        <w:t xml:space="preserve"> Il devra veiller à ce qu’aucune de leurs actions quoique légales ne soit de nature dilatoire ou entrainerait des retards préjudiciables.</w:t>
      </w:r>
      <w:r w:rsidR="00C17CC0" w:rsidRPr="00953692">
        <w:rPr>
          <w:rFonts w:eastAsia="Times New Roman" w:cs="Times New Roman"/>
          <w:sz w:val="24"/>
          <w:szCs w:val="24"/>
          <w:shd w:val="clear" w:color="auto" w:fill="FFFFFF"/>
          <w:lang w:val="fr-FR"/>
        </w:rPr>
        <w:t xml:space="preserve"> </w:t>
      </w:r>
      <w:r w:rsidR="00913678" w:rsidRPr="00953692">
        <w:rPr>
          <w:rFonts w:cs="Times New Roman"/>
          <w:sz w:val="24"/>
          <w:szCs w:val="24"/>
          <w:lang w:val="fr-FR"/>
        </w:rPr>
        <w:t>Le revers de la médaille, c’est qu’une attitude de passivité peut lui couter très</w:t>
      </w:r>
      <w:r w:rsidR="001A534E" w:rsidRPr="00953692">
        <w:rPr>
          <w:rFonts w:cs="Times New Roman"/>
          <w:sz w:val="24"/>
          <w:szCs w:val="24"/>
          <w:lang w:val="fr-FR"/>
        </w:rPr>
        <w:t xml:space="preserve"> cher</w:t>
      </w:r>
      <w:r w:rsidR="00913678" w:rsidRPr="00953692">
        <w:rPr>
          <w:rFonts w:cs="Times New Roman"/>
          <w:sz w:val="24"/>
          <w:szCs w:val="24"/>
          <w:lang w:val="fr-FR"/>
        </w:rPr>
        <w:t>, allant jusqu’à le confronter avec sa propre ‘’turpitude’’. C’est-à-dire qu’en refusant d’être actif ou réactif, il peut subir un procès plus long et se voir récriminer du fait qu’il n’ait pas agi activement à l’aboutissement rapide de son procès.</w:t>
      </w:r>
      <w:r w:rsidR="0064249A" w:rsidRPr="00953692">
        <w:rPr>
          <w:rFonts w:cs="Times New Roman"/>
          <w:sz w:val="24"/>
          <w:szCs w:val="24"/>
          <w:lang w:val="fr-FR"/>
        </w:rPr>
        <w:t xml:space="preserve"> </w:t>
      </w:r>
    </w:p>
    <w:p w14:paraId="6BDCE0E5" w14:textId="6DFD40EE" w:rsidR="0064249A" w:rsidRPr="00953692" w:rsidRDefault="00CD59A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273</w:t>
      </w:r>
      <w:r w:rsidR="00387C6A" w:rsidRPr="00953692">
        <w:rPr>
          <w:rFonts w:cs="Times New Roman"/>
          <w:b/>
          <w:bCs/>
          <w:sz w:val="24"/>
          <w:szCs w:val="24"/>
          <w:lang w:val="fr-FR"/>
        </w:rPr>
        <w:t>.</w:t>
      </w:r>
      <w:r w:rsidR="00387C6A" w:rsidRPr="00953692">
        <w:rPr>
          <w:rFonts w:cs="Times New Roman"/>
          <w:sz w:val="24"/>
          <w:szCs w:val="24"/>
          <w:lang w:val="fr-FR"/>
        </w:rPr>
        <w:t xml:space="preserve"> </w:t>
      </w:r>
      <w:r w:rsidR="0064249A" w:rsidRPr="00953692">
        <w:rPr>
          <w:rFonts w:cs="Times New Roman"/>
          <w:sz w:val="24"/>
          <w:szCs w:val="24"/>
          <w:lang w:val="fr-FR"/>
        </w:rPr>
        <w:t xml:space="preserve">Devant le TPIY, dans l’affaire le Procureur contre Vojislav Seselj, ce dernier s’était plaint de la longue durée de son procès qui, au moment de sa requête, durait déjà huit ans sans qu’un jugement au fond ou une décision sur la durée du procès (et de la détention) n’ait été prononcée. Dans sa requête fondée sur </w:t>
      </w:r>
      <w:r w:rsidR="0064249A" w:rsidRPr="00953692">
        <w:rPr>
          <w:rFonts w:cs="Times New Roman"/>
          <w:i/>
          <w:iCs/>
          <w:sz w:val="24"/>
          <w:szCs w:val="24"/>
          <w:lang w:val="fr-FR"/>
        </w:rPr>
        <w:t>l’abus de procédure</w:t>
      </w:r>
      <w:r w:rsidR="0064249A" w:rsidRPr="00953692">
        <w:rPr>
          <w:rFonts w:cs="Times New Roman"/>
          <w:sz w:val="24"/>
          <w:szCs w:val="24"/>
          <w:lang w:val="fr-FR"/>
        </w:rPr>
        <w:t>, il exigeait à ce que soit mis fin aux poursuites pour violation du délai raisonnable</w:t>
      </w:r>
      <w:r w:rsidR="008B1083" w:rsidRPr="00953692">
        <w:rPr>
          <w:rStyle w:val="Appelnotedebasdep"/>
          <w:rFonts w:cs="Times New Roman"/>
          <w:sz w:val="24"/>
          <w:szCs w:val="24"/>
          <w:lang w:val="fr-FR"/>
        </w:rPr>
        <w:footnoteReference w:customMarkFollows="1" w:id="205"/>
        <w:t>183</w:t>
      </w:r>
      <w:r w:rsidR="0064249A" w:rsidRPr="00953692">
        <w:rPr>
          <w:rFonts w:cs="Times New Roman"/>
          <w:sz w:val="24"/>
          <w:szCs w:val="24"/>
          <w:lang w:val="fr-FR"/>
        </w:rPr>
        <w:t>. La Chambre de première instance n’a pas accédé à cette demande principalement au motif que la procédure n’avait connue aucun retard particulier</w:t>
      </w:r>
      <w:r w:rsidR="008B1083" w:rsidRPr="00953692">
        <w:rPr>
          <w:rStyle w:val="Appelnotedebasdep"/>
          <w:rFonts w:cs="Times New Roman"/>
          <w:sz w:val="24"/>
          <w:szCs w:val="24"/>
          <w:lang w:val="fr-FR"/>
        </w:rPr>
        <w:footnoteReference w:customMarkFollows="1" w:id="206"/>
        <w:t>184</w:t>
      </w:r>
      <w:r w:rsidR="0064249A" w:rsidRPr="00953692">
        <w:rPr>
          <w:rFonts w:cs="Times New Roman"/>
          <w:sz w:val="24"/>
          <w:szCs w:val="24"/>
          <w:lang w:val="fr-FR"/>
        </w:rPr>
        <w:t xml:space="preserve">. Ce qui </w:t>
      </w:r>
      <w:r w:rsidR="00A3274A" w:rsidRPr="00953692">
        <w:rPr>
          <w:rFonts w:cs="Times New Roman"/>
          <w:sz w:val="24"/>
          <w:szCs w:val="24"/>
          <w:lang w:val="fr-FR"/>
        </w:rPr>
        <w:t xml:space="preserve">est </w:t>
      </w:r>
      <w:r w:rsidR="0064249A" w:rsidRPr="00953692">
        <w:rPr>
          <w:rFonts w:cs="Times New Roman"/>
          <w:sz w:val="24"/>
          <w:szCs w:val="24"/>
          <w:lang w:val="fr-FR"/>
        </w:rPr>
        <w:t>intéress</w:t>
      </w:r>
      <w:r w:rsidR="00A3274A" w:rsidRPr="00953692">
        <w:rPr>
          <w:rFonts w:cs="Times New Roman"/>
          <w:sz w:val="24"/>
          <w:szCs w:val="24"/>
          <w:lang w:val="fr-FR"/>
        </w:rPr>
        <w:t>ant</w:t>
      </w:r>
      <w:r w:rsidR="0064249A" w:rsidRPr="00953692">
        <w:rPr>
          <w:rFonts w:cs="Times New Roman"/>
          <w:sz w:val="24"/>
          <w:szCs w:val="24"/>
          <w:lang w:val="fr-FR"/>
        </w:rPr>
        <w:t xml:space="preserve"> ici, c’est le reproche que la Chambre de première instance et le Juge Antonetti ont adressé à l’accusé</w:t>
      </w:r>
      <w:r w:rsidR="001A534E" w:rsidRPr="00953692">
        <w:rPr>
          <w:rFonts w:cs="Times New Roman"/>
          <w:sz w:val="24"/>
          <w:szCs w:val="24"/>
          <w:lang w:val="fr-FR"/>
        </w:rPr>
        <w:t>,</w:t>
      </w:r>
      <w:r w:rsidR="0064249A" w:rsidRPr="00953692">
        <w:rPr>
          <w:rFonts w:cs="Times New Roman"/>
          <w:sz w:val="24"/>
          <w:szCs w:val="24"/>
          <w:lang w:val="fr-FR"/>
        </w:rPr>
        <w:t xml:space="preserve"> respectivement à travers la décision ‘’collégiale’’ et l’opinion individuelle jointe à ladite décision. </w:t>
      </w:r>
    </w:p>
    <w:p w14:paraId="13AC95AC" w14:textId="22C34D80" w:rsidR="0064249A" w:rsidRPr="00953692" w:rsidRDefault="00CD59A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274</w:t>
      </w:r>
      <w:r w:rsidR="000464F4" w:rsidRPr="00953692">
        <w:rPr>
          <w:rFonts w:cs="Times New Roman"/>
          <w:b/>
          <w:bCs/>
          <w:sz w:val="24"/>
          <w:szCs w:val="24"/>
          <w:lang w:val="fr-FR"/>
        </w:rPr>
        <w:t>.</w:t>
      </w:r>
      <w:r w:rsidR="000464F4" w:rsidRPr="00953692">
        <w:rPr>
          <w:rFonts w:cs="Times New Roman"/>
          <w:sz w:val="24"/>
          <w:szCs w:val="24"/>
          <w:lang w:val="fr-FR"/>
        </w:rPr>
        <w:t xml:space="preserve"> </w:t>
      </w:r>
      <w:r w:rsidR="0064249A" w:rsidRPr="00953692">
        <w:rPr>
          <w:rFonts w:cs="Times New Roman"/>
          <w:sz w:val="24"/>
          <w:szCs w:val="24"/>
          <w:lang w:val="fr-FR"/>
        </w:rPr>
        <w:t xml:space="preserve">En fait, à la requête de l’accusation, la Chambre de première instance avait suspendu l’instance par une décision du 11 février 2009. Dans une opinion dissidente jointe à cette décision, le Juge Antonetti critiquait déjà l’attitude du tribunal à travers cette décision en ce qu’il ne prenait pas en compte l’obligation de conduire le procès équitablement et rapidement, </w:t>
      </w:r>
      <w:r w:rsidR="00665AE0" w:rsidRPr="00953692">
        <w:rPr>
          <w:rFonts w:cs="Times New Roman"/>
          <w:sz w:val="24"/>
          <w:szCs w:val="24"/>
          <w:lang w:val="fr-FR"/>
        </w:rPr>
        <w:t>ni</w:t>
      </w:r>
      <w:r w:rsidR="0064249A" w:rsidRPr="00953692">
        <w:rPr>
          <w:rFonts w:cs="Times New Roman"/>
          <w:sz w:val="24"/>
          <w:szCs w:val="24"/>
          <w:lang w:val="fr-FR"/>
        </w:rPr>
        <w:t xml:space="preserve"> l’obligation de respecter le droit de l’accusé d’être jugé dans un délai raisonnable. A la suite de cette critique sur la gestion du temps du procès par le tribunal, le juge dissident avait clairement invité l’accusé d’appeler cette décision de sorte que l’instance ne soit pas suspendue</w:t>
      </w:r>
      <w:r w:rsidR="008B1083" w:rsidRPr="00953692">
        <w:rPr>
          <w:rStyle w:val="Appelnotedebasdep"/>
          <w:rFonts w:cs="Times New Roman"/>
          <w:sz w:val="24"/>
          <w:szCs w:val="24"/>
          <w:lang w:val="fr-FR"/>
        </w:rPr>
        <w:footnoteReference w:customMarkFollows="1" w:id="207"/>
        <w:t>185</w:t>
      </w:r>
      <w:r w:rsidR="0064249A" w:rsidRPr="00953692">
        <w:rPr>
          <w:rFonts w:cs="Times New Roman"/>
          <w:sz w:val="24"/>
          <w:szCs w:val="24"/>
          <w:lang w:val="fr-FR"/>
        </w:rPr>
        <w:t xml:space="preserve">. Malheureusement cet éveil n’avait pas suffi pour que l’accusé prenne </w:t>
      </w:r>
      <w:r w:rsidR="00665AE0" w:rsidRPr="00953692">
        <w:rPr>
          <w:rFonts w:cs="Times New Roman"/>
          <w:sz w:val="24"/>
          <w:szCs w:val="24"/>
          <w:lang w:val="fr-FR"/>
        </w:rPr>
        <w:t>conscience de l’enjeu, donc de</w:t>
      </w:r>
      <w:r w:rsidR="0064249A" w:rsidRPr="00953692">
        <w:rPr>
          <w:rFonts w:cs="Times New Roman"/>
          <w:sz w:val="24"/>
          <w:szCs w:val="24"/>
          <w:lang w:val="fr-FR"/>
        </w:rPr>
        <w:t xml:space="preserve"> cette menace contre le délai raisonnable afin de participer activement à un aboutissement rapide de son procès</w:t>
      </w:r>
      <w:r w:rsidR="004A3B0D" w:rsidRPr="00953692">
        <w:rPr>
          <w:rFonts w:cs="Times New Roman"/>
          <w:sz w:val="24"/>
          <w:szCs w:val="24"/>
          <w:lang w:val="fr-FR"/>
        </w:rPr>
        <w:t>, en s’opposant précisément à la suspension de la procédure par voie d’un appel interlocutoire.</w:t>
      </w:r>
    </w:p>
    <w:p w14:paraId="5EF6B14A" w14:textId="26DD0A02" w:rsidR="0064249A" w:rsidRPr="00953692" w:rsidRDefault="00CD59A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lastRenderedPageBreak/>
        <w:t>275</w:t>
      </w:r>
      <w:r w:rsidR="000464F4" w:rsidRPr="00953692">
        <w:rPr>
          <w:rFonts w:cs="Times New Roman"/>
          <w:b/>
          <w:bCs/>
          <w:sz w:val="24"/>
          <w:szCs w:val="24"/>
          <w:lang w:val="fr-FR"/>
        </w:rPr>
        <w:t>.</w:t>
      </w:r>
      <w:r w:rsidR="000464F4" w:rsidRPr="00953692">
        <w:rPr>
          <w:rFonts w:cs="Times New Roman"/>
          <w:sz w:val="24"/>
          <w:szCs w:val="24"/>
          <w:lang w:val="fr-FR"/>
        </w:rPr>
        <w:t xml:space="preserve"> </w:t>
      </w:r>
      <w:r w:rsidR="0064249A" w:rsidRPr="00953692">
        <w:rPr>
          <w:rFonts w:cs="Times New Roman"/>
          <w:sz w:val="24"/>
          <w:szCs w:val="24"/>
          <w:lang w:val="fr-FR"/>
        </w:rPr>
        <w:t xml:space="preserve">Le problème, c’est que presque deux ans après, il a estimé que le procès durait sans s’arrêter et que par voie de conséquence, son droit à un délai raisonnable du procès avait été violé. Une passivité qui lui a valu une récrimination, de la part du juge Antonetti dans son opinion individuelle, fondée essentiellement sur son attitude peu active durant le procès.  En réalité, s’il avait exercé son droit à un recours en demandant une certification d’appel afin d’appeler la décision du 11 février 2009, comme il lui avait été suggéré, son attitude active lui aurait évité soit, tant soit peu une procédure longue soit, ce reproche lui adressé, l’accusant indirectement d’avoir œuvré contre un procès rapide. En termes clairs, l’accusé </w:t>
      </w:r>
      <w:r w:rsidR="00AF6DB6" w:rsidRPr="00953692">
        <w:rPr>
          <w:rFonts w:cs="Times New Roman"/>
          <w:sz w:val="24"/>
          <w:szCs w:val="24"/>
          <w:lang w:val="fr-FR"/>
        </w:rPr>
        <w:t xml:space="preserve">a le droit de s’opposer à toute action pouvant contribuer à une procédure possiblement longue. </w:t>
      </w:r>
    </w:p>
    <w:p w14:paraId="690E1B4A" w14:textId="7CA1CE54" w:rsidR="00CF3D6A" w:rsidRPr="00953692" w:rsidRDefault="00CD59A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276</w:t>
      </w:r>
      <w:r w:rsidR="000464F4" w:rsidRPr="00953692">
        <w:rPr>
          <w:rFonts w:cs="Times New Roman"/>
          <w:b/>
          <w:bCs/>
          <w:sz w:val="24"/>
          <w:szCs w:val="24"/>
          <w:lang w:val="fr-FR"/>
        </w:rPr>
        <w:t>.</w:t>
      </w:r>
      <w:r w:rsidR="000464F4" w:rsidRPr="00953692">
        <w:rPr>
          <w:rFonts w:cs="Times New Roman"/>
          <w:sz w:val="24"/>
          <w:szCs w:val="24"/>
          <w:lang w:val="fr-FR"/>
        </w:rPr>
        <w:t xml:space="preserve"> </w:t>
      </w:r>
      <w:r w:rsidR="00AF6DB6" w:rsidRPr="00953692">
        <w:rPr>
          <w:rFonts w:cs="Times New Roman"/>
          <w:sz w:val="24"/>
          <w:szCs w:val="24"/>
          <w:lang w:val="fr-FR"/>
        </w:rPr>
        <w:t xml:space="preserve">Dans cet aspect des choses, le droit de participer à l’aboutissement rapide de son procès est donc préventif. Par son implication au procès, l’accusé cherche à limiter la durée de son procès ou à en assurer une certaine raisonnabilité. </w:t>
      </w:r>
      <w:r w:rsidR="00836C30" w:rsidRPr="00953692">
        <w:rPr>
          <w:rFonts w:cs="Times New Roman"/>
          <w:sz w:val="24"/>
          <w:szCs w:val="24"/>
          <w:lang w:val="fr-FR"/>
        </w:rPr>
        <w:t>Dans ce même ordre d’idées, on peut évoquer également le droit de s’opposer à une jonction d’instances qui augmentera le volume d’éléments de preuves, la durée des discussions et dont la conséquence serait</w:t>
      </w:r>
      <w:r w:rsidR="000464F4" w:rsidRPr="00953692">
        <w:rPr>
          <w:rFonts w:cs="Times New Roman"/>
          <w:sz w:val="24"/>
          <w:szCs w:val="24"/>
          <w:lang w:val="fr-FR"/>
        </w:rPr>
        <w:t>,</w:t>
      </w:r>
      <w:r w:rsidR="00836C30" w:rsidRPr="00953692">
        <w:rPr>
          <w:rFonts w:cs="Times New Roman"/>
          <w:sz w:val="24"/>
          <w:szCs w:val="24"/>
          <w:lang w:val="fr-FR"/>
        </w:rPr>
        <w:t xml:space="preserve"> sans nul doute</w:t>
      </w:r>
      <w:r w:rsidR="000464F4" w:rsidRPr="00953692">
        <w:rPr>
          <w:rFonts w:cs="Times New Roman"/>
          <w:sz w:val="24"/>
          <w:szCs w:val="24"/>
          <w:lang w:val="fr-FR"/>
        </w:rPr>
        <w:t>,</w:t>
      </w:r>
      <w:r w:rsidR="00836C30" w:rsidRPr="00953692">
        <w:rPr>
          <w:rFonts w:cs="Times New Roman"/>
          <w:sz w:val="24"/>
          <w:szCs w:val="24"/>
          <w:lang w:val="fr-FR"/>
        </w:rPr>
        <w:t xml:space="preserve"> le prolongement d’une procédure qui aurait pu se terminer beaucoup plus tôt.</w:t>
      </w:r>
      <w:r w:rsidR="00AF6DB6" w:rsidRPr="00953692">
        <w:rPr>
          <w:rFonts w:cs="Times New Roman"/>
          <w:sz w:val="24"/>
          <w:szCs w:val="24"/>
          <w:lang w:val="fr-FR"/>
        </w:rPr>
        <w:t xml:space="preserve"> En fait, dans l’appréciation du délai raisonnable, </w:t>
      </w:r>
      <w:r w:rsidR="001B3537" w:rsidRPr="00953692">
        <w:rPr>
          <w:rFonts w:cs="Times New Roman"/>
          <w:sz w:val="24"/>
          <w:szCs w:val="24"/>
          <w:lang w:val="fr-FR"/>
        </w:rPr>
        <w:t>l</w:t>
      </w:r>
      <w:r w:rsidR="00AF6DB6" w:rsidRPr="00953692">
        <w:rPr>
          <w:rFonts w:cs="Times New Roman"/>
          <w:sz w:val="24"/>
          <w:szCs w:val="24"/>
          <w:lang w:val="fr-FR"/>
        </w:rPr>
        <w:t>a jonction d’instance pose également un sérieux problème devant les juridictions pénales internationales</w:t>
      </w:r>
      <w:r w:rsidR="00CF3D6A" w:rsidRPr="00953692">
        <w:rPr>
          <w:rFonts w:cs="Times New Roman"/>
          <w:sz w:val="24"/>
          <w:szCs w:val="24"/>
          <w:lang w:val="fr-FR"/>
        </w:rPr>
        <w:t>, étant donné que les crimes internationaux sont aussi dans la plupart des cas commis en participation (criminelle)</w:t>
      </w:r>
      <w:r w:rsidR="00AF6DB6" w:rsidRPr="00953692">
        <w:rPr>
          <w:rFonts w:cs="Times New Roman"/>
          <w:sz w:val="24"/>
          <w:szCs w:val="24"/>
          <w:lang w:val="fr-FR"/>
        </w:rPr>
        <w:t>.</w:t>
      </w:r>
    </w:p>
    <w:p w14:paraId="242FC6E8" w14:textId="5FF2E193" w:rsidR="0037530A" w:rsidRPr="00953692" w:rsidRDefault="00CD59A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277</w:t>
      </w:r>
      <w:r w:rsidR="00CF3D6A" w:rsidRPr="00953692">
        <w:rPr>
          <w:rFonts w:cs="Times New Roman"/>
          <w:b/>
          <w:bCs/>
          <w:sz w:val="24"/>
          <w:szCs w:val="24"/>
          <w:lang w:val="fr-FR"/>
        </w:rPr>
        <w:t>.</w:t>
      </w:r>
      <w:r w:rsidR="00CF3D6A" w:rsidRPr="00953692">
        <w:rPr>
          <w:rFonts w:cs="Times New Roman"/>
          <w:sz w:val="24"/>
          <w:szCs w:val="24"/>
          <w:lang w:val="fr-FR"/>
        </w:rPr>
        <w:t xml:space="preserve"> En effet, dans la recherche de solutions à ce problème que pose la jonction d’instance, l</w:t>
      </w:r>
      <w:r w:rsidR="002D7A99" w:rsidRPr="00953692">
        <w:rPr>
          <w:rFonts w:cs="Times New Roman"/>
          <w:sz w:val="24"/>
          <w:szCs w:val="24"/>
          <w:lang w:val="fr-FR"/>
        </w:rPr>
        <w:t>es juges font simplement diluer ce droit dans la nécessité de</w:t>
      </w:r>
      <w:r w:rsidR="00B03340" w:rsidRPr="00953692">
        <w:rPr>
          <w:rFonts w:cs="Times New Roman"/>
          <w:sz w:val="24"/>
          <w:szCs w:val="24"/>
          <w:lang w:val="fr-FR"/>
        </w:rPr>
        <w:t xml:space="preserve"> juger ensemble des affaires présentant des éléments de connexité, sans </w:t>
      </w:r>
      <w:r w:rsidR="007D5043" w:rsidRPr="00953692">
        <w:rPr>
          <w:rFonts w:cs="Times New Roman"/>
          <w:sz w:val="24"/>
          <w:szCs w:val="24"/>
          <w:lang w:val="fr-FR"/>
        </w:rPr>
        <w:t xml:space="preserve">prendre en compte l’individualité </w:t>
      </w:r>
      <w:r w:rsidR="000464F4" w:rsidRPr="00953692">
        <w:rPr>
          <w:rFonts w:cs="Times New Roman"/>
          <w:sz w:val="24"/>
          <w:szCs w:val="24"/>
          <w:lang w:val="fr-FR"/>
        </w:rPr>
        <w:t xml:space="preserve">résultant </w:t>
      </w:r>
      <w:r w:rsidR="007D5043" w:rsidRPr="00953692">
        <w:rPr>
          <w:rFonts w:cs="Times New Roman"/>
          <w:sz w:val="24"/>
          <w:szCs w:val="24"/>
          <w:lang w:val="fr-FR"/>
        </w:rPr>
        <w:t xml:space="preserve">du droit d’être jugé sans retard excessif. </w:t>
      </w:r>
      <w:r w:rsidR="0037530A" w:rsidRPr="00953692">
        <w:rPr>
          <w:rFonts w:cs="Times New Roman"/>
          <w:sz w:val="24"/>
          <w:szCs w:val="24"/>
          <w:lang w:val="fr-FR"/>
        </w:rPr>
        <w:t>Ce conflit d’intérêts peut être réglé autrement que de la manière dont il en a été notamment dans l’affaire Bagosora</w:t>
      </w:r>
      <w:r w:rsidR="008B1083" w:rsidRPr="00953692">
        <w:rPr>
          <w:rStyle w:val="Appelnotedebasdep"/>
          <w:rFonts w:cs="Times New Roman"/>
          <w:sz w:val="24"/>
          <w:szCs w:val="24"/>
          <w:lang w:val="fr-FR"/>
        </w:rPr>
        <w:footnoteReference w:customMarkFollows="1" w:id="208"/>
        <w:t>186</w:t>
      </w:r>
      <w:r w:rsidR="0037530A" w:rsidRPr="00953692">
        <w:rPr>
          <w:rFonts w:cs="Times New Roman"/>
          <w:sz w:val="24"/>
          <w:szCs w:val="24"/>
          <w:lang w:val="fr-FR"/>
        </w:rPr>
        <w:t>, car quoi qu’il s’agisse d’une notion bien connue en procédure</w:t>
      </w:r>
      <w:r w:rsidR="00433DBF" w:rsidRPr="00953692">
        <w:rPr>
          <w:rFonts w:cs="Times New Roman"/>
          <w:sz w:val="24"/>
          <w:szCs w:val="24"/>
          <w:lang w:val="fr-FR"/>
        </w:rPr>
        <w:t xml:space="preserve"> pénale (internationale)</w:t>
      </w:r>
      <w:r w:rsidR="0037530A" w:rsidRPr="00953692">
        <w:rPr>
          <w:rFonts w:cs="Times New Roman"/>
          <w:sz w:val="24"/>
          <w:szCs w:val="24"/>
          <w:lang w:val="fr-FR"/>
        </w:rPr>
        <w:t xml:space="preserve"> et qui fait l’objet d’aucune remise en cause, l’accusé a droit de s’y opposer en prévention de son droit d’être jugé sans retard</w:t>
      </w:r>
      <w:r w:rsidR="001B3537" w:rsidRPr="00953692">
        <w:rPr>
          <w:rFonts w:cs="Times New Roman"/>
          <w:sz w:val="24"/>
          <w:szCs w:val="24"/>
          <w:lang w:val="fr-FR"/>
        </w:rPr>
        <w:t xml:space="preserve"> excessif</w:t>
      </w:r>
      <w:r w:rsidR="00A96F76" w:rsidRPr="00953692">
        <w:rPr>
          <w:rFonts w:cs="Times New Roman"/>
          <w:sz w:val="24"/>
          <w:szCs w:val="24"/>
          <w:lang w:val="fr-FR"/>
        </w:rPr>
        <w:t>.</w:t>
      </w:r>
    </w:p>
    <w:p w14:paraId="343D9BE4" w14:textId="63E273DF" w:rsidR="001A05A3" w:rsidRPr="00953692" w:rsidRDefault="00CD59A2" w:rsidP="00864BBF">
      <w:pPr>
        <w:spacing w:after="0" w:line="276" w:lineRule="auto"/>
        <w:ind w:firstLine="1134"/>
        <w:jc w:val="both"/>
        <w:rPr>
          <w:rFonts w:eastAsia="Times New Roman" w:cs="Times New Roman"/>
          <w:sz w:val="24"/>
          <w:szCs w:val="24"/>
          <w:shd w:val="clear" w:color="auto" w:fill="FFFFFF"/>
          <w:lang w:val="fr-FR"/>
        </w:rPr>
      </w:pPr>
      <w:r w:rsidRPr="00953692">
        <w:rPr>
          <w:rFonts w:cs="Times New Roman"/>
          <w:b/>
          <w:bCs/>
          <w:sz w:val="24"/>
          <w:szCs w:val="24"/>
          <w:lang w:val="fr-FR"/>
        </w:rPr>
        <w:t>278</w:t>
      </w:r>
      <w:r w:rsidR="000464F4" w:rsidRPr="00953692">
        <w:rPr>
          <w:rFonts w:cs="Times New Roman"/>
          <w:b/>
          <w:bCs/>
          <w:sz w:val="24"/>
          <w:szCs w:val="24"/>
          <w:lang w:val="fr-FR"/>
        </w:rPr>
        <w:t>.</w:t>
      </w:r>
      <w:r w:rsidR="000464F4" w:rsidRPr="00953692">
        <w:rPr>
          <w:rFonts w:cs="Times New Roman"/>
          <w:sz w:val="24"/>
          <w:szCs w:val="24"/>
          <w:lang w:val="fr-FR"/>
        </w:rPr>
        <w:t xml:space="preserve"> </w:t>
      </w:r>
      <w:r w:rsidR="00865841" w:rsidRPr="00953692">
        <w:rPr>
          <w:rFonts w:cs="Times New Roman"/>
          <w:sz w:val="24"/>
          <w:szCs w:val="24"/>
          <w:lang w:val="fr-FR"/>
        </w:rPr>
        <w:t xml:space="preserve">Pour revenir à nos moutons, ce caractère préventif fustige également toute attitude passive de l’accusé, qui aura plutôt tendance dans la plupart des cas à évoquer la question du délai raisonnable qu’à la fin de la procédure. </w:t>
      </w:r>
      <w:r w:rsidR="00322675" w:rsidRPr="00953692">
        <w:rPr>
          <w:rFonts w:eastAsia="Times New Roman" w:cs="Times New Roman"/>
          <w:sz w:val="24"/>
          <w:szCs w:val="24"/>
          <w:shd w:val="clear" w:color="auto" w:fill="FFFFFF"/>
          <w:lang w:val="fr-FR"/>
        </w:rPr>
        <w:t xml:space="preserve">Devant la CPI dans l’affaire le procureur contre J-P Bemba, ce dernier a déposé en vertu de l’article 85 du </w:t>
      </w:r>
      <w:r w:rsidR="00322675" w:rsidRPr="00953692">
        <w:rPr>
          <w:rFonts w:eastAsia="Times New Roman" w:cs="Times New Roman"/>
          <w:sz w:val="24"/>
          <w:szCs w:val="24"/>
          <w:shd w:val="clear" w:color="auto" w:fill="FFFFFF"/>
          <w:lang w:val="fr-FR"/>
        </w:rPr>
        <w:lastRenderedPageBreak/>
        <w:t>statut une requête en indemnisation, arguant notamment que le procès n'aurait pas dû durer plus de dix ans. Le requérant évoque le nombre excessif des jours séparant les différentes étapes de la procédure avant de lier ces délais, qu'il qualifie évidemment d'excessifs, à sa détention</w:t>
      </w:r>
      <w:r w:rsidR="008B1083" w:rsidRPr="00953692">
        <w:rPr>
          <w:rStyle w:val="Appelnotedebasdep"/>
          <w:rFonts w:eastAsia="Times New Roman" w:cs="Times New Roman"/>
          <w:sz w:val="24"/>
          <w:szCs w:val="24"/>
          <w:shd w:val="clear" w:color="auto" w:fill="FFFFFF"/>
          <w:lang w:val="fr-FR"/>
        </w:rPr>
        <w:footnoteReference w:customMarkFollows="1" w:id="209"/>
        <w:t>187</w:t>
      </w:r>
      <w:r w:rsidR="00322675" w:rsidRPr="00953692">
        <w:rPr>
          <w:rFonts w:eastAsia="Times New Roman" w:cs="Times New Roman"/>
          <w:sz w:val="24"/>
          <w:szCs w:val="24"/>
          <w:shd w:val="clear" w:color="auto" w:fill="FFFFFF"/>
          <w:lang w:val="fr-FR"/>
        </w:rPr>
        <w:t xml:space="preserve">. </w:t>
      </w:r>
      <w:bookmarkStart w:id="59" w:name="_Hlk128419301"/>
    </w:p>
    <w:p w14:paraId="072DF02A" w14:textId="0B86EAF1" w:rsidR="00A03D2D" w:rsidRPr="00953692" w:rsidRDefault="00CD59A2" w:rsidP="00864BBF">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279</w:t>
      </w:r>
      <w:r w:rsidR="001A05A3" w:rsidRPr="00953692">
        <w:rPr>
          <w:rFonts w:eastAsia="Times New Roman" w:cs="Times New Roman"/>
          <w:b/>
          <w:bCs/>
          <w:sz w:val="24"/>
          <w:szCs w:val="24"/>
          <w:shd w:val="clear" w:color="auto" w:fill="FFFFFF"/>
          <w:lang w:val="fr-FR"/>
        </w:rPr>
        <w:t>.</w:t>
      </w:r>
      <w:r w:rsidR="001A05A3" w:rsidRPr="00953692">
        <w:rPr>
          <w:rFonts w:eastAsia="Times New Roman" w:cs="Times New Roman"/>
          <w:sz w:val="24"/>
          <w:szCs w:val="24"/>
          <w:shd w:val="clear" w:color="auto" w:fill="FFFFFF"/>
          <w:lang w:val="fr-FR"/>
        </w:rPr>
        <w:t xml:space="preserve"> </w:t>
      </w:r>
      <w:r w:rsidR="00A03D2D" w:rsidRPr="00953692">
        <w:rPr>
          <w:rFonts w:eastAsia="Times New Roman" w:cs="Times New Roman"/>
          <w:sz w:val="24"/>
          <w:szCs w:val="24"/>
          <w:shd w:val="clear" w:color="auto" w:fill="FFFFFF"/>
          <w:lang w:val="fr-FR"/>
        </w:rPr>
        <w:t>Considérant ce délai de dix ans de procédure, le requérant a allégué que son droit à un procès rapide a été violé</w:t>
      </w:r>
      <w:r w:rsidR="008B1083" w:rsidRPr="00953692">
        <w:rPr>
          <w:rStyle w:val="Appelnotedebasdep"/>
          <w:rFonts w:eastAsia="Times New Roman" w:cs="Times New Roman"/>
          <w:sz w:val="24"/>
          <w:szCs w:val="24"/>
          <w:shd w:val="clear" w:color="auto" w:fill="FFFFFF"/>
          <w:lang w:val="fr-FR"/>
        </w:rPr>
        <w:footnoteReference w:customMarkFollows="1" w:id="210"/>
        <w:t>188</w:t>
      </w:r>
      <w:r w:rsidR="00A03D2D" w:rsidRPr="00953692">
        <w:rPr>
          <w:rFonts w:eastAsia="Times New Roman" w:cs="Times New Roman"/>
          <w:sz w:val="24"/>
          <w:szCs w:val="24"/>
          <w:shd w:val="clear" w:color="auto" w:fill="FFFFFF"/>
          <w:lang w:val="fr-FR"/>
        </w:rPr>
        <w:t xml:space="preserve">. </w:t>
      </w:r>
      <w:r w:rsidR="00543651" w:rsidRPr="00953692">
        <w:rPr>
          <w:rFonts w:eastAsia="Times New Roman" w:cs="Times New Roman"/>
          <w:sz w:val="24"/>
          <w:szCs w:val="24"/>
          <w:shd w:val="clear" w:color="auto" w:fill="FFFFFF"/>
          <w:lang w:val="fr-FR"/>
        </w:rPr>
        <w:t>Ce à quoi la Cour a dans sa décision du 18 mai 2020 répondu avec inquiétude manifeste</w:t>
      </w:r>
      <w:r w:rsidR="001B3537" w:rsidRPr="00953692">
        <w:rPr>
          <w:rFonts w:eastAsia="Times New Roman" w:cs="Times New Roman"/>
          <w:sz w:val="24"/>
          <w:szCs w:val="24"/>
          <w:shd w:val="clear" w:color="auto" w:fill="FFFFFF"/>
          <w:lang w:val="fr-FR"/>
        </w:rPr>
        <w:t xml:space="preserve"> mais insuffisante pour lui donner gain de cause, étant donné que</w:t>
      </w:r>
      <w:r w:rsidR="00543651" w:rsidRPr="00953692">
        <w:rPr>
          <w:rFonts w:eastAsia="Times New Roman" w:cs="Times New Roman"/>
          <w:sz w:val="24"/>
          <w:szCs w:val="24"/>
          <w:shd w:val="clear" w:color="auto" w:fill="FFFFFF"/>
          <w:lang w:val="fr-FR"/>
        </w:rPr>
        <w:t xml:space="preserve"> l’interprétation restrictive </w:t>
      </w:r>
      <w:r w:rsidR="001B3537" w:rsidRPr="00953692">
        <w:rPr>
          <w:rFonts w:eastAsia="Times New Roman" w:cs="Times New Roman"/>
          <w:sz w:val="24"/>
          <w:szCs w:val="24"/>
          <w:shd w:val="clear" w:color="auto" w:fill="FFFFFF"/>
          <w:lang w:val="fr-FR"/>
        </w:rPr>
        <w:t xml:space="preserve">(littérale) </w:t>
      </w:r>
      <w:r w:rsidR="00543651" w:rsidRPr="00953692">
        <w:rPr>
          <w:rFonts w:eastAsia="Times New Roman" w:cs="Times New Roman"/>
          <w:sz w:val="24"/>
          <w:szCs w:val="24"/>
          <w:shd w:val="clear" w:color="auto" w:fill="FFFFFF"/>
          <w:lang w:val="fr-FR"/>
        </w:rPr>
        <w:t xml:space="preserve">de l’article 85 du statut de Rome, limite </w:t>
      </w:r>
      <w:r w:rsidR="001B3537" w:rsidRPr="00953692">
        <w:rPr>
          <w:rFonts w:eastAsia="Times New Roman" w:cs="Times New Roman"/>
          <w:sz w:val="24"/>
          <w:szCs w:val="24"/>
          <w:shd w:val="clear" w:color="auto" w:fill="FFFFFF"/>
          <w:lang w:val="fr-FR"/>
        </w:rPr>
        <w:t xml:space="preserve">expressis verbis </w:t>
      </w:r>
      <w:r w:rsidR="00543651" w:rsidRPr="00953692">
        <w:rPr>
          <w:rFonts w:eastAsia="Times New Roman" w:cs="Times New Roman"/>
          <w:sz w:val="24"/>
          <w:szCs w:val="24"/>
          <w:shd w:val="clear" w:color="auto" w:fill="FFFFFF"/>
          <w:lang w:val="fr-FR"/>
        </w:rPr>
        <w:t xml:space="preserve">la possibilité d’indemnisation </w:t>
      </w:r>
      <w:r w:rsidR="00433DBF" w:rsidRPr="00953692">
        <w:rPr>
          <w:rFonts w:eastAsia="Times New Roman" w:cs="Times New Roman"/>
          <w:sz w:val="24"/>
          <w:szCs w:val="24"/>
          <w:shd w:val="clear" w:color="auto" w:fill="FFFFFF"/>
          <w:lang w:val="fr-FR"/>
        </w:rPr>
        <w:t>qu’</w:t>
      </w:r>
      <w:r w:rsidR="00543651" w:rsidRPr="00953692">
        <w:rPr>
          <w:rFonts w:eastAsia="Times New Roman" w:cs="Times New Roman"/>
          <w:sz w:val="24"/>
          <w:szCs w:val="24"/>
          <w:shd w:val="clear" w:color="auto" w:fill="FFFFFF"/>
          <w:lang w:val="fr-FR"/>
        </w:rPr>
        <w:t>à la victime d’une arrestation ou d’une mise en détention illégales</w:t>
      </w:r>
      <w:r w:rsidR="008B1083" w:rsidRPr="00953692">
        <w:rPr>
          <w:rStyle w:val="Appelnotedebasdep"/>
          <w:rFonts w:eastAsia="Times New Roman" w:cs="Times New Roman"/>
          <w:sz w:val="24"/>
          <w:szCs w:val="24"/>
          <w:shd w:val="clear" w:color="auto" w:fill="FFFFFF"/>
          <w:lang w:val="fr-FR"/>
        </w:rPr>
        <w:footnoteReference w:customMarkFollows="1" w:id="211"/>
        <w:t>189</w:t>
      </w:r>
      <w:r w:rsidR="001B3537" w:rsidRPr="00953692">
        <w:rPr>
          <w:rFonts w:eastAsia="Times New Roman" w:cs="Times New Roman"/>
          <w:sz w:val="24"/>
          <w:szCs w:val="24"/>
          <w:shd w:val="clear" w:color="auto" w:fill="FFFFFF"/>
          <w:lang w:val="fr-FR"/>
        </w:rPr>
        <w:t xml:space="preserve">, et ce, sans ouvrir une </w:t>
      </w:r>
      <w:r w:rsidR="00030194" w:rsidRPr="00953692">
        <w:rPr>
          <w:rFonts w:eastAsia="Times New Roman" w:cs="Times New Roman"/>
          <w:sz w:val="24"/>
          <w:szCs w:val="24"/>
          <w:shd w:val="clear" w:color="auto" w:fill="FFFFFF"/>
          <w:lang w:val="fr-FR"/>
        </w:rPr>
        <w:t xml:space="preserve">quelconque </w:t>
      </w:r>
      <w:r w:rsidR="001B3537" w:rsidRPr="00953692">
        <w:rPr>
          <w:rFonts w:eastAsia="Times New Roman" w:cs="Times New Roman"/>
          <w:sz w:val="24"/>
          <w:szCs w:val="24"/>
          <w:shd w:val="clear" w:color="auto" w:fill="FFFFFF"/>
          <w:lang w:val="fr-FR"/>
        </w:rPr>
        <w:t>brèche que ce soit</w:t>
      </w:r>
      <w:r w:rsidR="00433DBF" w:rsidRPr="00953692">
        <w:rPr>
          <w:rFonts w:eastAsia="Times New Roman" w:cs="Times New Roman"/>
          <w:sz w:val="24"/>
          <w:szCs w:val="24"/>
          <w:shd w:val="clear" w:color="auto" w:fill="FFFFFF"/>
          <w:lang w:val="fr-FR"/>
        </w:rPr>
        <w:t xml:space="preserve"> susceptible d’intéresser les victimes des procès interminables.</w:t>
      </w:r>
      <w:r w:rsidR="001A05A3" w:rsidRPr="00953692">
        <w:rPr>
          <w:rFonts w:eastAsia="Times New Roman" w:cs="Times New Roman"/>
          <w:sz w:val="24"/>
          <w:szCs w:val="24"/>
          <w:shd w:val="clear" w:color="auto" w:fill="FFFFFF"/>
          <w:lang w:val="fr-FR"/>
        </w:rPr>
        <w:t xml:space="preserve"> En d’autres termes, la clarté de cet article ne prête à aucune confusion sur le fait qu’il ne s’applique pas en cas de violation du délai raisonnable tel que l’a évoqué et allégué Jean Pierre Bemba dans sa requête.</w:t>
      </w:r>
    </w:p>
    <w:bookmarkEnd w:id="59"/>
    <w:p w14:paraId="769DB429" w14:textId="6B094D68" w:rsidR="000F577F" w:rsidRPr="00953692" w:rsidRDefault="00CD59A2" w:rsidP="00864BBF">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280</w:t>
      </w:r>
      <w:r w:rsidR="00686C81" w:rsidRPr="00953692">
        <w:rPr>
          <w:rFonts w:eastAsia="Times New Roman" w:cs="Times New Roman"/>
          <w:b/>
          <w:bCs/>
          <w:sz w:val="24"/>
          <w:szCs w:val="24"/>
          <w:shd w:val="clear" w:color="auto" w:fill="FFFFFF"/>
          <w:lang w:val="fr-FR"/>
        </w:rPr>
        <w:t>.</w:t>
      </w:r>
      <w:r w:rsidR="00686C81" w:rsidRPr="00953692">
        <w:rPr>
          <w:rFonts w:eastAsia="Times New Roman" w:cs="Times New Roman"/>
          <w:sz w:val="24"/>
          <w:szCs w:val="24"/>
          <w:shd w:val="clear" w:color="auto" w:fill="FFFFFF"/>
          <w:lang w:val="fr-FR"/>
        </w:rPr>
        <w:t xml:space="preserve"> </w:t>
      </w:r>
      <w:r w:rsidR="00322675" w:rsidRPr="00953692">
        <w:rPr>
          <w:rFonts w:eastAsia="Times New Roman" w:cs="Times New Roman"/>
          <w:sz w:val="24"/>
          <w:szCs w:val="24"/>
          <w:shd w:val="clear" w:color="auto" w:fill="FFFFFF"/>
          <w:lang w:val="fr-FR"/>
        </w:rPr>
        <w:t>En effet, l’accusé s’est plutôt lancé dans une comptabilisation des retards qu’il a soit</w:t>
      </w:r>
      <w:r w:rsidR="00686C81" w:rsidRPr="00953692">
        <w:rPr>
          <w:rFonts w:eastAsia="Times New Roman" w:cs="Times New Roman"/>
          <w:sz w:val="24"/>
          <w:szCs w:val="24"/>
          <w:shd w:val="clear" w:color="auto" w:fill="FFFFFF"/>
          <w:lang w:val="fr-FR"/>
        </w:rPr>
        <w:t>,</w:t>
      </w:r>
      <w:r w:rsidR="00322675" w:rsidRPr="00953692">
        <w:rPr>
          <w:rFonts w:eastAsia="Times New Roman" w:cs="Times New Roman"/>
          <w:sz w:val="24"/>
          <w:szCs w:val="24"/>
          <w:shd w:val="clear" w:color="auto" w:fill="FFFFFF"/>
          <w:lang w:val="fr-FR"/>
        </w:rPr>
        <w:t xml:space="preserve"> ignorés soit, laissés passer par un manque de vigilance tout au long du procès</w:t>
      </w:r>
      <w:r w:rsidR="004A3B0D" w:rsidRPr="00953692">
        <w:rPr>
          <w:rFonts w:eastAsia="Times New Roman" w:cs="Times New Roman"/>
          <w:sz w:val="24"/>
          <w:szCs w:val="24"/>
          <w:shd w:val="clear" w:color="auto" w:fill="FFFFFF"/>
          <w:lang w:val="fr-FR"/>
        </w:rPr>
        <w:t xml:space="preserve"> ou par une ignorance de ce que leur somme aurait eu comme conséquence à la fin dudit procès</w:t>
      </w:r>
      <w:r w:rsidR="00DF7416" w:rsidRPr="00953692">
        <w:rPr>
          <w:rFonts w:eastAsia="Times New Roman" w:cs="Times New Roman"/>
          <w:sz w:val="24"/>
          <w:szCs w:val="24"/>
          <w:shd w:val="clear" w:color="auto" w:fill="FFFFFF"/>
          <w:lang w:val="fr-FR"/>
        </w:rPr>
        <w:t xml:space="preserve"> (c’est-à-dire, la violation de son droit d’être jugé sans retard excessif)</w:t>
      </w:r>
      <w:r w:rsidR="00322675" w:rsidRPr="00953692">
        <w:rPr>
          <w:rFonts w:eastAsia="Times New Roman" w:cs="Times New Roman"/>
          <w:sz w:val="24"/>
          <w:szCs w:val="24"/>
          <w:shd w:val="clear" w:color="auto" w:fill="FFFFFF"/>
          <w:lang w:val="fr-FR"/>
        </w:rPr>
        <w:t xml:space="preserve">. </w:t>
      </w:r>
      <w:r w:rsidR="00DF7416" w:rsidRPr="00953692">
        <w:rPr>
          <w:rFonts w:eastAsia="Times New Roman" w:cs="Times New Roman"/>
          <w:sz w:val="24"/>
          <w:szCs w:val="24"/>
          <w:shd w:val="clear" w:color="auto" w:fill="FFFFFF"/>
          <w:lang w:val="fr-FR"/>
        </w:rPr>
        <w:t>En réalité, l</w:t>
      </w:r>
      <w:r w:rsidR="00322675" w:rsidRPr="00953692">
        <w:rPr>
          <w:rFonts w:eastAsia="Times New Roman" w:cs="Times New Roman"/>
          <w:sz w:val="24"/>
          <w:szCs w:val="24"/>
          <w:shd w:val="clear" w:color="auto" w:fill="FFFFFF"/>
          <w:lang w:val="fr-FR"/>
        </w:rPr>
        <w:t xml:space="preserve">e postulat que pose la notion du délai raisonnable n’est pas celui d’une sommation de la durée, mais d’une limitation de celle-ci. </w:t>
      </w:r>
      <w:r w:rsidR="00DF7416" w:rsidRPr="00953692">
        <w:rPr>
          <w:rFonts w:eastAsia="Times New Roman" w:cs="Times New Roman"/>
          <w:sz w:val="24"/>
          <w:szCs w:val="24"/>
          <w:shd w:val="clear" w:color="auto" w:fill="FFFFFF"/>
          <w:lang w:val="fr-FR"/>
        </w:rPr>
        <w:t>Le délai raisonnable vise à prévenir contre les procès interminables ; la sanction en droit n’est qu’un aspect pathologique, qui montre que quelque chose n’a pas marché comme on l’aurait bien voulu. C’est ainsi que l</w:t>
      </w:r>
      <w:r w:rsidR="00322675" w:rsidRPr="00953692">
        <w:rPr>
          <w:rFonts w:eastAsia="Times New Roman" w:cs="Times New Roman"/>
          <w:sz w:val="24"/>
          <w:szCs w:val="24"/>
          <w:shd w:val="clear" w:color="auto" w:fill="FFFFFF"/>
          <w:lang w:val="fr-FR"/>
        </w:rPr>
        <w:t>’accusé devra donc agir afin de bénéficier d’un délai raisonnable et non d</w:t>
      </w:r>
      <w:r w:rsidR="00686C81" w:rsidRPr="00953692">
        <w:rPr>
          <w:rFonts w:eastAsia="Times New Roman" w:cs="Times New Roman"/>
          <w:sz w:val="24"/>
          <w:szCs w:val="24"/>
          <w:shd w:val="clear" w:color="auto" w:fill="FFFFFF"/>
          <w:lang w:val="fr-FR"/>
        </w:rPr>
        <w:t>e n</w:t>
      </w:r>
      <w:r w:rsidR="00322675" w:rsidRPr="00953692">
        <w:rPr>
          <w:rFonts w:eastAsia="Times New Roman" w:cs="Times New Roman"/>
          <w:sz w:val="24"/>
          <w:szCs w:val="24"/>
          <w:shd w:val="clear" w:color="auto" w:fill="FFFFFF"/>
          <w:lang w:val="fr-FR"/>
        </w:rPr>
        <w:t xml:space="preserve">’en sanctionner que la violation </w:t>
      </w:r>
      <w:r w:rsidR="00322675" w:rsidRPr="00953692">
        <w:rPr>
          <w:rFonts w:eastAsia="Times New Roman" w:cs="Times New Roman"/>
          <w:i/>
          <w:iCs/>
          <w:sz w:val="24"/>
          <w:szCs w:val="24"/>
          <w:shd w:val="clear" w:color="auto" w:fill="FFFFFF"/>
          <w:lang w:val="fr-FR"/>
        </w:rPr>
        <w:t>in fine</w:t>
      </w:r>
      <w:r w:rsidR="000F577F" w:rsidRPr="00953692">
        <w:rPr>
          <w:rFonts w:eastAsia="Times New Roman" w:cs="Times New Roman"/>
          <w:i/>
          <w:iCs/>
          <w:sz w:val="24"/>
          <w:szCs w:val="24"/>
          <w:shd w:val="clear" w:color="auto" w:fill="FFFFFF"/>
          <w:lang w:val="fr-FR"/>
        </w:rPr>
        <w:t xml:space="preserve"> </w:t>
      </w:r>
      <w:r w:rsidR="000F577F" w:rsidRPr="00953692">
        <w:rPr>
          <w:rFonts w:eastAsia="Times New Roman" w:cs="Times New Roman"/>
          <w:sz w:val="24"/>
          <w:szCs w:val="24"/>
          <w:shd w:val="clear" w:color="auto" w:fill="FFFFFF"/>
          <w:lang w:val="fr-FR"/>
        </w:rPr>
        <w:t>ou plus tard, désespérément, lors de la procédure d’indemnisation comme il en a été le cas dans cette affaire</w:t>
      </w:r>
      <w:r w:rsidR="00322675" w:rsidRPr="00953692">
        <w:rPr>
          <w:rFonts w:eastAsia="Times New Roman" w:cs="Times New Roman"/>
          <w:sz w:val="24"/>
          <w:szCs w:val="24"/>
          <w:shd w:val="clear" w:color="auto" w:fill="FFFFFF"/>
          <w:lang w:val="fr-FR"/>
        </w:rPr>
        <w:t>.</w:t>
      </w:r>
      <w:r w:rsidR="000F577F" w:rsidRPr="00953692">
        <w:rPr>
          <w:rFonts w:eastAsia="Times New Roman" w:cs="Times New Roman"/>
          <w:sz w:val="24"/>
          <w:szCs w:val="24"/>
          <w:shd w:val="clear" w:color="auto" w:fill="FFFFFF"/>
          <w:lang w:val="fr-FR"/>
        </w:rPr>
        <w:t xml:space="preserve"> </w:t>
      </w:r>
      <w:r w:rsidR="001A05A3" w:rsidRPr="00953692">
        <w:rPr>
          <w:rFonts w:eastAsia="Times New Roman" w:cs="Times New Roman"/>
          <w:sz w:val="24"/>
          <w:szCs w:val="24"/>
          <w:shd w:val="clear" w:color="auto" w:fill="FFFFFF"/>
          <w:lang w:val="fr-FR"/>
        </w:rPr>
        <w:t>L’accusé d’alors a donc eu tort de n’avoir pas milité pour limiter la durée de son procès.</w:t>
      </w:r>
    </w:p>
    <w:p w14:paraId="49446D42" w14:textId="469B65A0" w:rsidR="000F577F" w:rsidRPr="00953692" w:rsidRDefault="00CD59A2" w:rsidP="00864BBF">
      <w:pPr>
        <w:spacing w:after="0" w:line="276" w:lineRule="auto"/>
        <w:ind w:firstLine="1134"/>
        <w:jc w:val="both"/>
        <w:rPr>
          <w:rFonts w:eastAsia="Times New Roman" w:cs="Times New Roman"/>
          <w:sz w:val="24"/>
          <w:szCs w:val="24"/>
          <w:shd w:val="clear" w:color="auto" w:fill="FFFFFF"/>
          <w:lang w:val="fr-FR"/>
        </w:rPr>
      </w:pPr>
      <w:r w:rsidRPr="00953692">
        <w:rPr>
          <w:rFonts w:eastAsia="Times New Roman" w:cs="Times New Roman"/>
          <w:b/>
          <w:bCs/>
          <w:sz w:val="24"/>
          <w:szCs w:val="24"/>
          <w:shd w:val="clear" w:color="auto" w:fill="FFFFFF"/>
          <w:lang w:val="fr-FR"/>
        </w:rPr>
        <w:t>281</w:t>
      </w:r>
      <w:r w:rsidR="00686C81" w:rsidRPr="00953692">
        <w:rPr>
          <w:rFonts w:eastAsia="Times New Roman" w:cs="Times New Roman"/>
          <w:b/>
          <w:bCs/>
          <w:sz w:val="24"/>
          <w:szCs w:val="24"/>
          <w:shd w:val="clear" w:color="auto" w:fill="FFFFFF"/>
          <w:lang w:val="fr-FR"/>
        </w:rPr>
        <w:t>.</w:t>
      </w:r>
      <w:r w:rsidR="00686C81" w:rsidRPr="00953692">
        <w:rPr>
          <w:rFonts w:eastAsia="Times New Roman" w:cs="Times New Roman"/>
          <w:sz w:val="24"/>
          <w:szCs w:val="24"/>
          <w:shd w:val="clear" w:color="auto" w:fill="FFFFFF"/>
          <w:lang w:val="fr-FR"/>
        </w:rPr>
        <w:t xml:space="preserve"> </w:t>
      </w:r>
      <w:r w:rsidR="000F577F" w:rsidRPr="00953692">
        <w:rPr>
          <w:rFonts w:eastAsia="Times New Roman" w:cs="Times New Roman"/>
          <w:sz w:val="24"/>
          <w:szCs w:val="24"/>
          <w:shd w:val="clear" w:color="auto" w:fill="FFFFFF"/>
          <w:lang w:val="fr-FR"/>
        </w:rPr>
        <w:t xml:space="preserve">Devant Chambre de première instance du TPIR dans l’affaire Gatete, l’accusé s’est plaint </w:t>
      </w:r>
      <w:r w:rsidR="000F577F" w:rsidRPr="00953692">
        <w:rPr>
          <w:rFonts w:eastAsia="Times New Roman" w:cs="Times New Roman"/>
          <w:i/>
          <w:iCs/>
          <w:sz w:val="24"/>
          <w:szCs w:val="24"/>
          <w:shd w:val="clear" w:color="auto" w:fill="FFFFFF"/>
          <w:lang w:val="fr-FR"/>
        </w:rPr>
        <w:t>in fine</w:t>
      </w:r>
      <w:r w:rsidR="000F577F" w:rsidRPr="00953692">
        <w:rPr>
          <w:rFonts w:eastAsia="Times New Roman" w:cs="Times New Roman"/>
          <w:sz w:val="24"/>
          <w:szCs w:val="24"/>
          <w:shd w:val="clear" w:color="auto" w:fill="FFFFFF"/>
          <w:lang w:val="fr-FR"/>
        </w:rPr>
        <w:t xml:space="preserve"> des retards accumulés dans la phase préalable du procès, alors </w:t>
      </w:r>
      <w:r w:rsidR="00686C81" w:rsidRPr="00953692">
        <w:rPr>
          <w:rFonts w:eastAsia="Times New Roman" w:cs="Times New Roman"/>
          <w:sz w:val="24"/>
          <w:szCs w:val="24"/>
          <w:shd w:val="clear" w:color="auto" w:fill="FFFFFF"/>
          <w:lang w:val="fr-FR"/>
        </w:rPr>
        <w:t>qu’il ne les avait</w:t>
      </w:r>
      <w:r w:rsidR="000F577F" w:rsidRPr="00953692">
        <w:rPr>
          <w:rFonts w:eastAsia="Times New Roman" w:cs="Times New Roman"/>
          <w:sz w:val="24"/>
          <w:szCs w:val="24"/>
          <w:shd w:val="clear" w:color="auto" w:fill="FFFFFF"/>
          <w:lang w:val="fr-FR"/>
        </w:rPr>
        <w:t xml:space="preserve"> nullement soulevés précisément à ce moment-là. Pour rejeter sa prétention, la Chambre</w:t>
      </w:r>
      <w:r w:rsidR="00442473" w:rsidRPr="00953692">
        <w:rPr>
          <w:rFonts w:eastAsia="Times New Roman" w:cs="Times New Roman"/>
          <w:sz w:val="24"/>
          <w:szCs w:val="24"/>
          <w:shd w:val="clear" w:color="auto" w:fill="FFFFFF"/>
          <w:lang w:val="fr-FR"/>
        </w:rPr>
        <w:t xml:space="preserve"> de première instance</w:t>
      </w:r>
      <w:r w:rsidR="000F577F" w:rsidRPr="00953692">
        <w:rPr>
          <w:rFonts w:eastAsia="Times New Roman" w:cs="Times New Roman"/>
          <w:sz w:val="24"/>
          <w:szCs w:val="24"/>
          <w:shd w:val="clear" w:color="auto" w:fill="FFFFFF"/>
          <w:lang w:val="fr-FR"/>
        </w:rPr>
        <w:t xml:space="preserve"> a reproché à l’accusé le fait de ne pas signaler que ces retards lui </w:t>
      </w:r>
      <w:r w:rsidR="00686C81" w:rsidRPr="00953692">
        <w:rPr>
          <w:rFonts w:eastAsia="Times New Roman" w:cs="Times New Roman"/>
          <w:sz w:val="24"/>
          <w:szCs w:val="24"/>
          <w:shd w:val="clear" w:color="auto" w:fill="FFFFFF"/>
          <w:lang w:val="fr-FR"/>
        </w:rPr>
        <w:t>ont</w:t>
      </w:r>
      <w:r w:rsidR="000F577F" w:rsidRPr="00953692">
        <w:rPr>
          <w:rFonts w:eastAsia="Times New Roman" w:cs="Times New Roman"/>
          <w:sz w:val="24"/>
          <w:szCs w:val="24"/>
          <w:shd w:val="clear" w:color="auto" w:fill="FFFFFF"/>
          <w:lang w:val="fr-FR"/>
        </w:rPr>
        <w:t xml:space="preserve"> causé préjudice dans la préparation de sa défense</w:t>
      </w:r>
      <w:r w:rsidR="00442473" w:rsidRPr="00953692">
        <w:rPr>
          <w:rFonts w:eastAsia="Times New Roman" w:cs="Times New Roman"/>
          <w:sz w:val="24"/>
          <w:szCs w:val="24"/>
          <w:shd w:val="clear" w:color="auto" w:fill="FFFFFF"/>
          <w:lang w:val="fr-FR"/>
        </w:rPr>
        <w:t xml:space="preserve"> au moment où ils se sont produits</w:t>
      </w:r>
      <w:r w:rsidR="000F577F" w:rsidRPr="00953692">
        <w:rPr>
          <w:rFonts w:eastAsia="Times New Roman" w:cs="Times New Roman"/>
          <w:sz w:val="24"/>
          <w:szCs w:val="24"/>
          <w:shd w:val="clear" w:color="auto" w:fill="FFFFFF"/>
          <w:lang w:val="fr-FR"/>
        </w:rPr>
        <w:t xml:space="preserve">. Ce reproche permet à la Chambre de déduire que </w:t>
      </w:r>
      <w:r w:rsidR="00442473" w:rsidRPr="00953692">
        <w:rPr>
          <w:rFonts w:eastAsia="Times New Roman" w:cs="Times New Roman"/>
          <w:sz w:val="24"/>
          <w:szCs w:val="24"/>
          <w:shd w:val="clear" w:color="auto" w:fill="FFFFFF"/>
          <w:lang w:val="fr-FR"/>
        </w:rPr>
        <w:t>« </w:t>
      </w:r>
      <w:r w:rsidR="000F577F" w:rsidRPr="00953692">
        <w:rPr>
          <w:rFonts w:eastAsia="Times New Roman" w:cs="Times New Roman"/>
          <w:sz w:val="24"/>
          <w:szCs w:val="24"/>
          <w:shd w:val="clear" w:color="auto" w:fill="FFFFFF"/>
          <w:lang w:val="fr-FR"/>
        </w:rPr>
        <w:t xml:space="preserve">pareils retards, qu’elle </w:t>
      </w:r>
      <w:r w:rsidR="006522F4" w:rsidRPr="00953692">
        <w:rPr>
          <w:rFonts w:eastAsia="Times New Roman" w:cs="Times New Roman"/>
          <w:sz w:val="24"/>
          <w:szCs w:val="24"/>
          <w:shd w:val="clear" w:color="auto" w:fill="FFFFFF"/>
          <w:lang w:val="fr-FR"/>
        </w:rPr>
        <w:t>a</w:t>
      </w:r>
      <w:r w:rsidR="000F577F" w:rsidRPr="00953692">
        <w:rPr>
          <w:rFonts w:eastAsia="Times New Roman" w:cs="Times New Roman"/>
          <w:sz w:val="24"/>
          <w:szCs w:val="24"/>
          <w:shd w:val="clear" w:color="auto" w:fill="FFFFFF"/>
          <w:lang w:val="fr-FR"/>
        </w:rPr>
        <w:t xml:space="preserve"> elle-même attestés</w:t>
      </w:r>
      <w:r w:rsidR="006522F4" w:rsidRPr="00953692">
        <w:rPr>
          <w:rFonts w:eastAsia="Times New Roman" w:cs="Times New Roman"/>
          <w:sz w:val="24"/>
          <w:szCs w:val="24"/>
          <w:shd w:val="clear" w:color="auto" w:fill="FFFFFF"/>
          <w:lang w:val="fr-FR"/>
        </w:rPr>
        <w:t xml:space="preserve"> au demeurant,</w:t>
      </w:r>
      <w:r w:rsidR="000F577F" w:rsidRPr="00953692">
        <w:rPr>
          <w:rFonts w:eastAsia="Times New Roman" w:cs="Times New Roman"/>
          <w:sz w:val="24"/>
          <w:szCs w:val="24"/>
          <w:shd w:val="clear" w:color="auto" w:fill="FFFFFF"/>
          <w:lang w:val="fr-FR"/>
        </w:rPr>
        <w:t xml:space="preserve"> n</w:t>
      </w:r>
      <w:r w:rsidR="00686C81" w:rsidRPr="00953692">
        <w:rPr>
          <w:rFonts w:eastAsia="Times New Roman" w:cs="Times New Roman"/>
          <w:sz w:val="24"/>
          <w:szCs w:val="24"/>
          <w:shd w:val="clear" w:color="auto" w:fill="FFFFFF"/>
          <w:lang w:val="fr-FR"/>
        </w:rPr>
        <w:t>’ont</w:t>
      </w:r>
      <w:r w:rsidR="000F577F" w:rsidRPr="00953692">
        <w:rPr>
          <w:rFonts w:eastAsia="Times New Roman" w:cs="Times New Roman"/>
          <w:sz w:val="24"/>
          <w:szCs w:val="24"/>
          <w:shd w:val="clear" w:color="auto" w:fill="FFFFFF"/>
          <w:lang w:val="fr-FR"/>
        </w:rPr>
        <w:t xml:space="preserve"> port</w:t>
      </w:r>
      <w:r w:rsidR="00686C81" w:rsidRPr="00953692">
        <w:rPr>
          <w:rFonts w:eastAsia="Times New Roman" w:cs="Times New Roman"/>
          <w:sz w:val="24"/>
          <w:szCs w:val="24"/>
          <w:shd w:val="clear" w:color="auto" w:fill="FFFFFF"/>
          <w:lang w:val="fr-FR"/>
        </w:rPr>
        <w:t>é</w:t>
      </w:r>
      <w:r w:rsidR="000F577F" w:rsidRPr="00953692">
        <w:rPr>
          <w:rFonts w:eastAsia="Times New Roman" w:cs="Times New Roman"/>
          <w:sz w:val="24"/>
          <w:szCs w:val="24"/>
          <w:shd w:val="clear" w:color="auto" w:fill="FFFFFF"/>
          <w:lang w:val="fr-FR"/>
        </w:rPr>
        <w:t xml:space="preserve"> aucun préjudice à l’accusé, et </w:t>
      </w:r>
      <w:r w:rsidR="006522F4" w:rsidRPr="00953692">
        <w:rPr>
          <w:rFonts w:eastAsia="Times New Roman" w:cs="Times New Roman"/>
          <w:sz w:val="24"/>
          <w:szCs w:val="24"/>
          <w:shd w:val="clear" w:color="auto" w:fill="FFFFFF"/>
          <w:lang w:val="fr-FR"/>
        </w:rPr>
        <w:t>qu’ils n’en découlaient</w:t>
      </w:r>
      <w:r w:rsidR="000F577F" w:rsidRPr="00953692">
        <w:rPr>
          <w:rFonts w:eastAsia="Times New Roman" w:cs="Times New Roman"/>
          <w:sz w:val="24"/>
          <w:szCs w:val="24"/>
          <w:shd w:val="clear" w:color="auto" w:fill="FFFFFF"/>
          <w:lang w:val="fr-FR"/>
        </w:rPr>
        <w:t xml:space="preserve"> pas</w:t>
      </w:r>
      <w:r w:rsidR="00686C81" w:rsidRPr="00953692">
        <w:rPr>
          <w:rFonts w:eastAsia="Times New Roman" w:cs="Times New Roman"/>
          <w:sz w:val="24"/>
          <w:szCs w:val="24"/>
          <w:shd w:val="clear" w:color="auto" w:fill="FFFFFF"/>
          <w:lang w:val="fr-FR"/>
        </w:rPr>
        <w:t>,</w:t>
      </w:r>
      <w:r w:rsidR="000F577F" w:rsidRPr="00953692">
        <w:rPr>
          <w:rFonts w:eastAsia="Times New Roman" w:cs="Times New Roman"/>
          <w:sz w:val="24"/>
          <w:szCs w:val="24"/>
          <w:shd w:val="clear" w:color="auto" w:fill="FFFFFF"/>
          <w:lang w:val="fr-FR"/>
        </w:rPr>
        <w:t xml:space="preserve"> par voie de conséquence</w:t>
      </w:r>
      <w:r w:rsidR="00686C81" w:rsidRPr="00953692">
        <w:rPr>
          <w:rFonts w:eastAsia="Times New Roman" w:cs="Times New Roman"/>
          <w:sz w:val="24"/>
          <w:szCs w:val="24"/>
          <w:shd w:val="clear" w:color="auto" w:fill="FFFFFF"/>
          <w:lang w:val="fr-FR"/>
        </w:rPr>
        <w:t>,</w:t>
      </w:r>
      <w:r w:rsidR="000F577F" w:rsidRPr="00953692">
        <w:rPr>
          <w:rFonts w:eastAsia="Times New Roman" w:cs="Times New Roman"/>
          <w:sz w:val="24"/>
          <w:szCs w:val="24"/>
          <w:shd w:val="clear" w:color="auto" w:fill="FFFFFF"/>
          <w:lang w:val="fr-FR"/>
        </w:rPr>
        <w:t xml:space="preserve"> des mesures de réparation</w:t>
      </w:r>
      <w:r w:rsidR="00442473" w:rsidRPr="00953692">
        <w:rPr>
          <w:rFonts w:eastAsia="Times New Roman" w:cs="Times New Roman"/>
          <w:sz w:val="24"/>
          <w:szCs w:val="24"/>
          <w:shd w:val="clear" w:color="auto" w:fill="FFFFFF"/>
          <w:lang w:val="fr-FR"/>
        </w:rPr>
        <w:t> »</w:t>
      </w:r>
      <w:r w:rsidR="008B1083" w:rsidRPr="00953692">
        <w:rPr>
          <w:rStyle w:val="Appelnotedebasdep"/>
          <w:rFonts w:eastAsia="Times New Roman" w:cs="Times New Roman"/>
          <w:sz w:val="24"/>
          <w:szCs w:val="24"/>
          <w:shd w:val="clear" w:color="auto" w:fill="FFFFFF"/>
          <w:lang w:val="fr-FR"/>
        </w:rPr>
        <w:footnoteReference w:customMarkFollows="1" w:id="212"/>
        <w:t>190</w:t>
      </w:r>
      <w:r w:rsidR="000F577F" w:rsidRPr="00953692">
        <w:rPr>
          <w:rFonts w:eastAsia="Times New Roman" w:cs="Times New Roman"/>
          <w:sz w:val="24"/>
          <w:szCs w:val="24"/>
          <w:shd w:val="clear" w:color="auto" w:fill="FFFFFF"/>
          <w:lang w:val="fr-FR"/>
        </w:rPr>
        <w:t>. A travers ce raisonnement, on</w:t>
      </w:r>
      <w:r w:rsidR="00686C81" w:rsidRPr="00953692">
        <w:rPr>
          <w:rFonts w:eastAsia="Times New Roman" w:cs="Times New Roman"/>
          <w:sz w:val="24"/>
          <w:szCs w:val="24"/>
          <w:shd w:val="clear" w:color="auto" w:fill="FFFFFF"/>
          <w:lang w:val="fr-FR"/>
        </w:rPr>
        <w:t xml:space="preserve"> comprend mieux </w:t>
      </w:r>
      <w:r w:rsidR="000F577F" w:rsidRPr="00953692">
        <w:rPr>
          <w:rFonts w:eastAsia="Times New Roman" w:cs="Times New Roman"/>
          <w:sz w:val="24"/>
          <w:szCs w:val="24"/>
          <w:shd w:val="clear" w:color="auto" w:fill="FFFFFF"/>
          <w:lang w:val="fr-FR"/>
        </w:rPr>
        <w:t>l’idée selon laquelle</w:t>
      </w:r>
      <w:r w:rsidR="00686C81" w:rsidRPr="00953692">
        <w:rPr>
          <w:rFonts w:eastAsia="Times New Roman" w:cs="Times New Roman"/>
          <w:sz w:val="24"/>
          <w:szCs w:val="24"/>
          <w:shd w:val="clear" w:color="auto" w:fill="FFFFFF"/>
          <w:lang w:val="fr-FR"/>
        </w:rPr>
        <w:t>,</w:t>
      </w:r>
      <w:r w:rsidR="000F577F" w:rsidRPr="00953692">
        <w:rPr>
          <w:rFonts w:eastAsia="Times New Roman" w:cs="Times New Roman"/>
          <w:sz w:val="24"/>
          <w:szCs w:val="24"/>
          <w:shd w:val="clear" w:color="auto" w:fill="FFFFFF"/>
          <w:lang w:val="fr-FR"/>
        </w:rPr>
        <w:t xml:space="preserve"> l’accusé doit viser plutôt la </w:t>
      </w:r>
      <w:r w:rsidR="000F577F" w:rsidRPr="00953692">
        <w:rPr>
          <w:rFonts w:eastAsia="Times New Roman" w:cs="Times New Roman"/>
          <w:sz w:val="24"/>
          <w:szCs w:val="24"/>
          <w:shd w:val="clear" w:color="auto" w:fill="FFFFFF"/>
          <w:lang w:val="fr-FR"/>
        </w:rPr>
        <w:lastRenderedPageBreak/>
        <w:t>limitation de la durée du procès</w:t>
      </w:r>
      <w:r w:rsidR="006522F4" w:rsidRPr="00953692">
        <w:rPr>
          <w:rFonts w:eastAsia="Times New Roman" w:cs="Times New Roman"/>
          <w:sz w:val="24"/>
          <w:szCs w:val="24"/>
          <w:shd w:val="clear" w:color="auto" w:fill="FFFFFF"/>
          <w:lang w:val="fr-FR"/>
        </w:rPr>
        <w:t xml:space="preserve"> par sa réactivité durant le procès</w:t>
      </w:r>
      <w:r w:rsidR="000F577F" w:rsidRPr="00953692">
        <w:rPr>
          <w:rFonts w:eastAsia="Times New Roman" w:cs="Times New Roman"/>
          <w:sz w:val="24"/>
          <w:szCs w:val="24"/>
          <w:shd w:val="clear" w:color="auto" w:fill="FFFFFF"/>
          <w:lang w:val="fr-FR"/>
        </w:rPr>
        <w:t xml:space="preserve"> que la réparation</w:t>
      </w:r>
      <w:r w:rsidR="006522F4" w:rsidRPr="00953692">
        <w:rPr>
          <w:rFonts w:eastAsia="Times New Roman" w:cs="Times New Roman"/>
          <w:sz w:val="24"/>
          <w:szCs w:val="24"/>
          <w:shd w:val="clear" w:color="auto" w:fill="FFFFFF"/>
          <w:lang w:val="fr-FR"/>
        </w:rPr>
        <w:t xml:space="preserve"> comme une sanction finale</w:t>
      </w:r>
      <w:r w:rsidR="000F577F" w:rsidRPr="00953692">
        <w:rPr>
          <w:rFonts w:eastAsia="Times New Roman" w:cs="Times New Roman"/>
          <w:sz w:val="24"/>
          <w:szCs w:val="24"/>
          <w:shd w:val="clear" w:color="auto" w:fill="FFFFFF"/>
          <w:lang w:val="fr-FR"/>
        </w:rPr>
        <w:t>.</w:t>
      </w:r>
    </w:p>
    <w:p w14:paraId="3F60911F" w14:textId="4802AC5E" w:rsidR="001A6A0D" w:rsidRPr="00953692" w:rsidRDefault="00CD59A2" w:rsidP="00864BBF">
      <w:pPr>
        <w:spacing w:line="276" w:lineRule="auto"/>
        <w:ind w:firstLine="1134"/>
        <w:jc w:val="both"/>
        <w:rPr>
          <w:rFonts w:cs="Times New Roman"/>
          <w:sz w:val="24"/>
          <w:szCs w:val="24"/>
          <w:lang w:val="fr-FR"/>
        </w:rPr>
      </w:pPr>
      <w:r w:rsidRPr="00953692">
        <w:rPr>
          <w:rFonts w:eastAsia="Times New Roman" w:cs="Times New Roman"/>
          <w:b/>
          <w:bCs/>
          <w:sz w:val="24"/>
          <w:szCs w:val="24"/>
          <w:shd w:val="clear" w:color="auto" w:fill="FFFFFF"/>
          <w:lang w:val="fr-FR"/>
        </w:rPr>
        <w:t>282</w:t>
      </w:r>
      <w:r w:rsidR="00686C81" w:rsidRPr="00953692">
        <w:rPr>
          <w:rFonts w:eastAsia="Times New Roman" w:cs="Times New Roman"/>
          <w:b/>
          <w:bCs/>
          <w:sz w:val="24"/>
          <w:szCs w:val="24"/>
          <w:shd w:val="clear" w:color="auto" w:fill="FFFFFF"/>
          <w:lang w:val="fr-FR"/>
        </w:rPr>
        <w:t>.</w:t>
      </w:r>
      <w:r w:rsidR="00686C81" w:rsidRPr="00953692">
        <w:rPr>
          <w:rFonts w:eastAsia="Times New Roman" w:cs="Times New Roman"/>
          <w:sz w:val="24"/>
          <w:szCs w:val="24"/>
          <w:shd w:val="clear" w:color="auto" w:fill="FFFFFF"/>
          <w:lang w:val="fr-FR"/>
        </w:rPr>
        <w:t xml:space="preserve"> </w:t>
      </w:r>
      <w:r w:rsidR="00CA3E2A" w:rsidRPr="00953692">
        <w:rPr>
          <w:rFonts w:eastAsia="Times New Roman" w:cs="Times New Roman"/>
          <w:sz w:val="24"/>
          <w:szCs w:val="24"/>
          <w:shd w:val="clear" w:color="auto" w:fill="FFFFFF"/>
          <w:lang w:val="fr-FR"/>
        </w:rPr>
        <w:t>On en vient au fait que l</w:t>
      </w:r>
      <w:r w:rsidR="000F5BD8" w:rsidRPr="00953692">
        <w:rPr>
          <w:rFonts w:eastAsia="Times New Roman" w:cs="Times New Roman"/>
          <w:sz w:val="24"/>
          <w:szCs w:val="24"/>
          <w:shd w:val="clear" w:color="auto" w:fill="FFFFFF"/>
          <w:lang w:val="fr-FR"/>
        </w:rPr>
        <w:t xml:space="preserve">e droit de participer activement à l’aboutissement </w:t>
      </w:r>
      <w:r w:rsidR="00CA3E2A" w:rsidRPr="00953692">
        <w:rPr>
          <w:rFonts w:eastAsia="Times New Roman" w:cs="Times New Roman"/>
          <w:sz w:val="24"/>
          <w:szCs w:val="24"/>
          <w:shd w:val="clear" w:color="auto" w:fill="FFFFFF"/>
          <w:lang w:val="fr-FR"/>
        </w:rPr>
        <w:t xml:space="preserve">rapide </w:t>
      </w:r>
      <w:r w:rsidR="000F5BD8" w:rsidRPr="00953692">
        <w:rPr>
          <w:rFonts w:eastAsia="Times New Roman" w:cs="Times New Roman"/>
          <w:sz w:val="24"/>
          <w:szCs w:val="24"/>
          <w:shd w:val="clear" w:color="auto" w:fill="FFFFFF"/>
          <w:lang w:val="fr-FR"/>
        </w:rPr>
        <w:t xml:space="preserve">de son procès </w:t>
      </w:r>
      <w:r w:rsidR="005603DF" w:rsidRPr="00953692">
        <w:rPr>
          <w:rFonts w:eastAsia="Times New Roman" w:cs="Times New Roman"/>
          <w:sz w:val="24"/>
          <w:szCs w:val="24"/>
          <w:shd w:val="clear" w:color="auto" w:fill="FFFFFF"/>
          <w:lang w:val="fr-FR"/>
        </w:rPr>
        <w:t>mise</w:t>
      </w:r>
      <w:r w:rsidRPr="00953692">
        <w:rPr>
          <w:rFonts w:eastAsia="Times New Roman" w:cs="Times New Roman"/>
          <w:sz w:val="24"/>
          <w:szCs w:val="24"/>
          <w:shd w:val="clear" w:color="auto" w:fill="FFFFFF"/>
          <w:lang w:val="fr-FR"/>
        </w:rPr>
        <w:t xml:space="preserve"> également</w:t>
      </w:r>
      <w:r w:rsidR="005603DF" w:rsidRPr="00953692">
        <w:rPr>
          <w:rFonts w:eastAsia="Times New Roman" w:cs="Times New Roman"/>
          <w:sz w:val="24"/>
          <w:szCs w:val="24"/>
          <w:shd w:val="clear" w:color="auto" w:fill="FFFFFF"/>
          <w:lang w:val="fr-FR"/>
        </w:rPr>
        <w:t xml:space="preserve"> sur la vivacité de l’accusé</w:t>
      </w:r>
      <w:r w:rsidRPr="00953692">
        <w:rPr>
          <w:rFonts w:eastAsia="Times New Roman" w:cs="Times New Roman"/>
          <w:sz w:val="24"/>
          <w:szCs w:val="24"/>
          <w:shd w:val="clear" w:color="auto" w:fill="FFFFFF"/>
          <w:lang w:val="fr-FR"/>
        </w:rPr>
        <w:t xml:space="preserve"> tout au long du procès</w:t>
      </w:r>
      <w:r w:rsidR="005603DF" w:rsidRPr="00953692">
        <w:rPr>
          <w:rFonts w:eastAsia="Times New Roman" w:cs="Times New Roman"/>
          <w:sz w:val="24"/>
          <w:szCs w:val="24"/>
          <w:shd w:val="clear" w:color="auto" w:fill="FFFFFF"/>
          <w:lang w:val="fr-FR"/>
        </w:rPr>
        <w:t>. L’idée est de mettre en garde contre une passivité ou plutôt une inactivité manifeste</w:t>
      </w:r>
      <w:r w:rsidR="001B3537" w:rsidRPr="00953692">
        <w:rPr>
          <w:rFonts w:eastAsia="Times New Roman" w:cs="Times New Roman"/>
          <w:sz w:val="24"/>
          <w:szCs w:val="24"/>
          <w:shd w:val="clear" w:color="auto" w:fill="FFFFFF"/>
          <w:lang w:val="fr-FR"/>
        </w:rPr>
        <w:t>, quand bien même qu’une suractivité peut aussi produire d</w:t>
      </w:r>
      <w:r w:rsidR="00CA3E2A" w:rsidRPr="00953692">
        <w:rPr>
          <w:rFonts w:eastAsia="Times New Roman" w:cs="Times New Roman"/>
          <w:sz w:val="24"/>
          <w:szCs w:val="24"/>
          <w:shd w:val="clear" w:color="auto" w:fill="FFFFFF"/>
          <w:lang w:val="fr-FR"/>
        </w:rPr>
        <w:t xml:space="preserve">es </w:t>
      </w:r>
      <w:r w:rsidR="001B3537" w:rsidRPr="00953692">
        <w:rPr>
          <w:rFonts w:eastAsia="Times New Roman" w:cs="Times New Roman"/>
          <w:sz w:val="24"/>
          <w:szCs w:val="24"/>
          <w:shd w:val="clear" w:color="auto" w:fill="FFFFFF"/>
          <w:lang w:val="fr-FR"/>
        </w:rPr>
        <w:t>effets suspensifs</w:t>
      </w:r>
      <w:r w:rsidR="004A7A7A" w:rsidRPr="00953692">
        <w:rPr>
          <w:rFonts w:eastAsia="Times New Roman" w:cs="Times New Roman"/>
          <w:sz w:val="24"/>
          <w:szCs w:val="24"/>
          <w:shd w:val="clear" w:color="auto" w:fill="FFFFFF"/>
          <w:lang w:val="fr-FR"/>
        </w:rPr>
        <w:t>,</w:t>
      </w:r>
      <w:r w:rsidR="001B3537" w:rsidRPr="00953692">
        <w:rPr>
          <w:rFonts w:eastAsia="Times New Roman" w:cs="Times New Roman"/>
          <w:sz w:val="24"/>
          <w:szCs w:val="24"/>
          <w:shd w:val="clear" w:color="auto" w:fill="FFFFFF"/>
          <w:lang w:val="fr-FR"/>
        </w:rPr>
        <w:t xml:space="preserve"> contreproductif</w:t>
      </w:r>
      <w:r w:rsidR="00000D83" w:rsidRPr="00953692">
        <w:rPr>
          <w:rFonts w:eastAsia="Times New Roman" w:cs="Times New Roman"/>
          <w:sz w:val="24"/>
          <w:szCs w:val="24"/>
          <w:shd w:val="clear" w:color="auto" w:fill="FFFFFF"/>
          <w:lang w:val="fr-FR"/>
        </w:rPr>
        <w:t>s</w:t>
      </w:r>
      <w:r w:rsidR="001B3537" w:rsidRPr="00953692">
        <w:rPr>
          <w:rFonts w:eastAsia="Times New Roman" w:cs="Times New Roman"/>
          <w:sz w:val="24"/>
          <w:szCs w:val="24"/>
          <w:shd w:val="clear" w:color="auto" w:fill="FFFFFF"/>
          <w:lang w:val="fr-FR"/>
        </w:rPr>
        <w:t xml:space="preserve"> à l’idée d’une procédure rapide. Cependant, s</w:t>
      </w:r>
      <w:r w:rsidR="006E3380" w:rsidRPr="00953692">
        <w:rPr>
          <w:rFonts w:eastAsia="Times New Roman" w:cs="Times New Roman"/>
          <w:sz w:val="24"/>
          <w:szCs w:val="24"/>
          <w:shd w:val="clear" w:color="auto" w:fill="FFFFFF"/>
          <w:lang w:val="fr-FR"/>
        </w:rPr>
        <w:t>’il n’est pas obligé de s’y mettre, l’accusé n’a pas non plus le droit de critiquer la durée de la procédure, notamment lorsqu’il est resté à un moment donné inactif. On peut penser à la grève de faim ou à tout refus catégorique de communiquer avec l’accusation ou la Cour</w:t>
      </w:r>
      <w:r w:rsidR="00CA3E2A" w:rsidRPr="00953692">
        <w:rPr>
          <w:rFonts w:eastAsia="Times New Roman" w:cs="Times New Roman"/>
          <w:sz w:val="24"/>
          <w:szCs w:val="24"/>
          <w:shd w:val="clear" w:color="auto" w:fill="FFFFFF"/>
          <w:lang w:val="fr-FR"/>
        </w:rPr>
        <w:t>, en protestation de son autorité, par exemple</w:t>
      </w:r>
      <w:r w:rsidR="006E3380" w:rsidRPr="00953692">
        <w:rPr>
          <w:rFonts w:eastAsia="Times New Roman" w:cs="Times New Roman"/>
          <w:sz w:val="24"/>
          <w:szCs w:val="24"/>
          <w:shd w:val="clear" w:color="auto" w:fill="FFFFFF"/>
          <w:lang w:val="fr-FR"/>
        </w:rPr>
        <w:t xml:space="preserve">. </w:t>
      </w:r>
      <w:r w:rsidR="00CA3E2A" w:rsidRPr="00953692">
        <w:rPr>
          <w:rFonts w:eastAsia="Times New Roman" w:cs="Times New Roman"/>
          <w:sz w:val="24"/>
          <w:szCs w:val="24"/>
          <w:shd w:val="clear" w:color="auto" w:fill="FFFFFF"/>
          <w:lang w:val="fr-FR"/>
        </w:rPr>
        <w:t>Il y a</w:t>
      </w:r>
      <w:r w:rsidR="006E3380" w:rsidRPr="00953692">
        <w:rPr>
          <w:rFonts w:eastAsia="Times New Roman" w:cs="Times New Roman"/>
          <w:sz w:val="24"/>
          <w:szCs w:val="24"/>
          <w:shd w:val="clear" w:color="auto" w:fill="FFFFFF"/>
          <w:lang w:val="fr-FR"/>
        </w:rPr>
        <w:t xml:space="preserve"> aussi le fait de s’occuper </w:t>
      </w:r>
      <w:r w:rsidR="00673F96" w:rsidRPr="00953692">
        <w:rPr>
          <w:rFonts w:eastAsia="Times New Roman" w:cs="Times New Roman"/>
          <w:sz w:val="24"/>
          <w:szCs w:val="24"/>
          <w:shd w:val="clear" w:color="auto" w:fill="FFFFFF"/>
          <w:lang w:val="fr-FR"/>
        </w:rPr>
        <w:t>d’</w:t>
      </w:r>
      <w:r w:rsidR="006E3380" w:rsidRPr="00953692">
        <w:rPr>
          <w:rFonts w:eastAsia="Times New Roman" w:cs="Times New Roman"/>
          <w:sz w:val="24"/>
          <w:szCs w:val="24"/>
          <w:shd w:val="clear" w:color="auto" w:fill="FFFFFF"/>
          <w:lang w:val="fr-FR"/>
        </w:rPr>
        <w:t>autre</w:t>
      </w:r>
      <w:r w:rsidR="00673F96" w:rsidRPr="00953692">
        <w:rPr>
          <w:rFonts w:eastAsia="Times New Roman" w:cs="Times New Roman"/>
          <w:sz w:val="24"/>
          <w:szCs w:val="24"/>
          <w:shd w:val="clear" w:color="auto" w:fill="FFFFFF"/>
          <w:lang w:val="fr-FR"/>
        </w:rPr>
        <w:t>s</w:t>
      </w:r>
      <w:r w:rsidR="006E3380" w:rsidRPr="00953692">
        <w:rPr>
          <w:rFonts w:eastAsia="Times New Roman" w:cs="Times New Roman"/>
          <w:sz w:val="24"/>
          <w:szCs w:val="24"/>
          <w:shd w:val="clear" w:color="auto" w:fill="FFFFFF"/>
          <w:lang w:val="fr-FR"/>
        </w:rPr>
        <w:t xml:space="preserve"> chose</w:t>
      </w:r>
      <w:r w:rsidR="00673F96" w:rsidRPr="00953692">
        <w:rPr>
          <w:rFonts w:eastAsia="Times New Roman" w:cs="Times New Roman"/>
          <w:sz w:val="24"/>
          <w:szCs w:val="24"/>
          <w:shd w:val="clear" w:color="auto" w:fill="FFFFFF"/>
          <w:lang w:val="fr-FR"/>
        </w:rPr>
        <w:t>s</w:t>
      </w:r>
      <w:r w:rsidR="006E3380" w:rsidRPr="00953692">
        <w:rPr>
          <w:rFonts w:eastAsia="Times New Roman" w:cs="Times New Roman"/>
          <w:sz w:val="24"/>
          <w:szCs w:val="24"/>
          <w:shd w:val="clear" w:color="auto" w:fill="FFFFFF"/>
          <w:lang w:val="fr-FR"/>
        </w:rPr>
        <w:t xml:space="preserve"> que de s’investir dans son procès</w:t>
      </w:r>
      <w:r w:rsidR="00492BA7" w:rsidRPr="00953692">
        <w:rPr>
          <w:rFonts w:eastAsia="Times New Roman" w:cs="Times New Roman"/>
          <w:sz w:val="24"/>
          <w:szCs w:val="24"/>
          <w:shd w:val="clear" w:color="auto" w:fill="FFFFFF"/>
          <w:lang w:val="fr-FR"/>
        </w:rPr>
        <w:t xml:space="preserve"> comme il en a été le cas</w:t>
      </w:r>
      <w:r w:rsidR="006E3380" w:rsidRPr="00953692">
        <w:rPr>
          <w:rFonts w:eastAsia="Times New Roman" w:cs="Times New Roman"/>
          <w:sz w:val="24"/>
          <w:szCs w:val="24"/>
          <w:shd w:val="clear" w:color="auto" w:fill="FFFFFF"/>
          <w:lang w:val="fr-FR"/>
        </w:rPr>
        <w:t xml:space="preserve"> </w:t>
      </w:r>
      <w:r w:rsidR="00492BA7" w:rsidRPr="00953692">
        <w:rPr>
          <w:rFonts w:eastAsia="Times New Roman" w:cs="Times New Roman"/>
          <w:sz w:val="24"/>
          <w:szCs w:val="24"/>
          <w:shd w:val="clear" w:color="auto" w:fill="FFFFFF"/>
          <w:lang w:val="fr-FR"/>
        </w:rPr>
        <w:t>d</w:t>
      </w:r>
      <w:r w:rsidR="006E3380" w:rsidRPr="00953692">
        <w:rPr>
          <w:rFonts w:eastAsia="Times New Roman" w:cs="Times New Roman"/>
          <w:sz w:val="24"/>
          <w:szCs w:val="24"/>
          <w:shd w:val="clear" w:color="auto" w:fill="FFFFFF"/>
          <w:lang w:val="fr-FR"/>
        </w:rPr>
        <w:t>ans l’affaire Vojislav Seselj</w:t>
      </w:r>
      <w:r w:rsidR="00492BA7" w:rsidRPr="00953692">
        <w:rPr>
          <w:rFonts w:eastAsia="Times New Roman" w:cs="Times New Roman"/>
          <w:sz w:val="24"/>
          <w:szCs w:val="24"/>
          <w:shd w:val="clear" w:color="auto" w:fill="FFFFFF"/>
          <w:lang w:val="fr-FR"/>
        </w:rPr>
        <w:t>. Dans cette affaire</w:t>
      </w:r>
      <w:r w:rsidR="00A50405" w:rsidRPr="00953692">
        <w:rPr>
          <w:rFonts w:eastAsia="Times New Roman" w:cs="Times New Roman"/>
          <w:sz w:val="24"/>
          <w:szCs w:val="24"/>
          <w:shd w:val="clear" w:color="auto" w:fill="FFFFFF"/>
          <w:lang w:val="fr-FR"/>
        </w:rPr>
        <w:t xml:space="preserve"> que nous avons largement exploité dans le cadre de cette étude</w:t>
      </w:r>
      <w:r w:rsidR="00492BA7" w:rsidRPr="00953692">
        <w:rPr>
          <w:rFonts w:eastAsia="Times New Roman" w:cs="Times New Roman"/>
          <w:sz w:val="24"/>
          <w:szCs w:val="24"/>
          <w:shd w:val="clear" w:color="auto" w:fill="FFFFFF"/>
          <w:lang w:val="fr-FR"/>
        </w:rPr>
        <w:t>,</w:t>
      </w:r>
      <w:r w:rsidR="00A50405" w:rsidRPr="00953692">
        <w:rPr>
          <w:rFonts w:eastAsia="Times New Roman" w:cs="Times New Roman"/>
          <w:sz w:val="24"/>
          <w:szCs w:val="24"/>
          <w:shd w:val="clear" w:color="auto" w:fill="FFFFFF"/>
          <w:lang w:val="fr-FR"/>
        </w:rPr>
        <w:t xml:space="preserve"> force est de constater que</w:t>
      </w:r>
      <w:r w:rsidR="001A6A0D" w:rsidRPr="00953692">
        <w:rPr>
          <w:rFonts w:cs="Times New Roman"/>
          <w:sz w:val="24"/>
          <w:szCs w:val="24"/>
          <w:lang w:val="fr-FR"/>
        </w:rPr>
        <w:t xml:space="preserve"> le Juge Antonetti a</w:t>
      </w:r>
      <w:r w:rsidR="00A50405" w:rsidRPr="00953692">
        <w:rPr>
          <w:rFonts w:cs="Times New Roman"/>
          <w:sz w:val="24"/>
          <w:szCs w:val="24"/>
          <w:lang w:val="fr-FR"/>
        </w:rPr>
        <w:t>vait</w:t>
      </w:r>
      <w:r w:rsidR="001A6A0D" w:rsidRPr="00953692">
        <w:rPr>
          <w:rFonts w:cs="Times New Roman"/>
          <w:sz w:val="24"/>
          <w:szCs w:val="24"/>
          <w:lang w:val="fr-FR"/>
        </w:rPr>
        <w:t xml:space="preserve"> également reproché </w:t>
      </w:r>
      <w:r w:rsidR="00256846" w:rsidRPr="00953692">
        <w:rPr>
          <w:rFonts w:cs="Times New Roman"/>
          <w:sz w:val="24"/>
          <w:szCs w:val="24"/>
          <w:lang w:val="fr-FR"/>
        </w:rPr>
        <w:t xml:space="preserve">à l’accusé cette attitude </w:t>
      </w:r>
      <w:r w:rsidR="001A6A0D" w:rsidRPr="00953692">
        <w:rPr>
          <w:rFonts w:cs="Times New Roman"/>
          <w:sz w:val="24"/>
          <w:szCs w:val="24"/>
          <w:lang w:val="fr-FR"/>
        </w:rPr>
        <w:t>en ces termes :</w:t>
      </w:r>
    </w:p>
    <w:p w14:paraId="1AD8C9EB" w14:textId="50916C82" w:rsidR="00322675" w:rsidRPr="00953692" w:rsidRDefault="001A6A0D" w:rsidP="00864BBF">
      <w:pPr>
        <w:spacing w:line="276" w:lineRule="auto"/>
        <w:ind w:left="1134" w:firstLine="1134"/>
        <w:jc w:val="both"/>
        <w:rPr>
          <w:rFonts w:cs="Times New Roman"/>
          <w:sz w:val="22"/>
          <w:lang w:val="fr-FR"/>
        </w:rPr>
      </w:pPr>
      <w:r w:rsidRPr="00953692">
        <w:rPr>
          <w:rFonts w:cs="Times New Roman"/>
          <w:sz w:val="22"/>
          <w:lang w:val="fr-FR"/>
        </w:rPr>
        <w:t xml:space="preserve"> « …</w:t>
      </w:r>
      <w:r w:rsidRPr="00953692">
        <w:rPr>
          <w:rFonts w:cs="Times New Roman"/>
          <w:i/>
          <w:iCs/>
          <w:sz w:val="22"/>
          <w:lang w:val="fr-FR"/>
        </w:rPr>
        <w:t>il a dilapidé son temps soit en continuant d'exercer une activité politique au sein de son pays, soit en étant l'auteur de plus d'une centaine d'ouvrages faisant plus de 100 000 pages. A mon sens, si le temps consacré à ces deux activités avait été consacré à 100% à son procès, il est quasiment certain que nous aurions déjà terminé celui-ci depuis longtemps. Il conclut en disant que « si ce temps avait été consacré à la préparation du procès, ceci aurait pris fin plus tôt</w:t>
      </w:r>
      <w:r w:rsidRPr="00953692">
        <w:rPr>
          <w:rFonts w:cs="Times New Roman"/>
          <w:sz w:val="22"/>
          <w:lang w:val="fr-FR"/>
        </w:rPr>
        <w:t> »</w:t>
      </w:r>
      <w:r w:rsidR="008B1083" w:rsidRPr="00953692">
        <w:rPr>
          <w:rStyle w:val="Appelnotedebasdep"/>
          <w:rFonts w:cs="Times New Roman"/>
          <w:sz w:val="22"/>
          <w:lang w:val="fr-FR"/>
        </w:rPr>
        <w:footnoteReference w:customMarkFollows="1" w:id="213"/>
        <w:t>191</w:t>
      </w:r>
      <w:r w:rsidRPr="00953692">
        <w:rPr>
          <w:rFonts w:cs="Times New Roman"/>
          <w:sz w:val="22"/>
          <w:lang w:val="fr-FR"/>
        </w:rPr>
        <w:t xml:space="preserve">. </w:t>
      </w:r>
    </w:p>
    <w:p w14:paraId="04F454CB" w14:textId="3DAF5A82" w:rsidR="004F1678" w:rsidRPr="00953692" w:rsidRDefault="00CD59A2" w:rsidP="00864BBF">
      <w:pPr>
        <w:spacing w:after="0" w:line="276" w:lineRule="auto"/>
        <w:ind w:firstLine="1134"/>
        <w:jc w:val="both"/>
        <w:rPr>
          <w:rStyle w:val="misspelling"/>
          <w:rFonts w:cs="Times New Roman"/>
          <w:sz w:val="24"/>
          <w:szCs w:val="24"/>
          <w:lang w:val="fr-FR"/>
        </w:rPr>
      </w:pPr>
      <w:r w:rsidRPr="00953692">
        <w:rPr>
          <w:rFonts w:cs="Times New Roman"/>
          <w:b/>
          <w:bCs/>
          <w:sz w:val="24"/>
          <w:szCs w:val="24"/>
          <w:lang w:val="fr-FR"/>
        </w:rPr>
        <w:t>283</w:t>
      </w:r>
      <w:r w:rsidR="00686C81" w:rsidRPr="00953692">
        <w:rPr>
          <w:rFonts w:cs="Times New Roman"/>
          <w:b/>
          <w:bCs/>
          <w:sz w:val="24"/>
          <w:szCs w:val="24"/>
          <w:lang w:val="fr-FR"/>
        </w:rPr>
        <w:t>.</w:t>
      </w:r>
      <w:r w:rsidR="00686C81" w:rsidRPr="00953692">
        <w:rPr>
          <w:rFonts w:cs="Times New Roman"/>
          <w:sz w:val="24"/>
          <w:szCs w:val="24"/>
          <w:lang w:val="fr-FR"/>
        </w:rPr>
        <w:t xml:space="preserve"> </w:t>
      </w:r>
      <w:r w:rsidR="006D79B3" w:rsidRPr="00953692">
        <w:rPr>
          <w:rFonts w:cs="Times New Roman"/>
          <w:sz w:val="24"/>
          <w:szCs w:val="24"/>
          <w:lang w:val="fr-FR"/>
        </w:rPr>
        <w:t xml:space="preserve">A travers une telle remarque si pertinente, </w:t>
      </w:r>
      <w:r w:rsidR="00926810" w:rsidRPr="00953692">
        <w:rPr>
          <w:rFonts w:cs="Times New Roman"/>
          <w:sz w:val="24"/>
          <w:szCs w:val="24"/>
          <w:lang w:val="fr-FR"/>
        </w:rPr>
        <w:t>on peut donc conclure</w:t>
      </w:r>
      <w:r w:rsidR="006D79B3" w:rsidRPr="00953692">
        <w:rPr>
          <w:rFonts w:cs="Times New Roman"/>
          <w:sz w:val="24"/>
          <w:szCs w:val="24"/>
          <w:lang w:val="fr-FR"/>
        </w:rPr>
        <w:t xml:space="preserve"> que la participation active à l’aboutissement</w:t>
      </w:r>
      <w:r w:rsidR="00BD40CF" w:rsidRPr="00953692">
        <w:rPr>
          <w:rFonts w:cs="Times New Roman"/>
          <w:sz w:val="24"/>
          <w:szCs w:val="24"/>
          <w:lang w:val="fr-FR"/>
        </w:rPr>
        <w:t xml:space="preserve"> rapide</w:t>
      </w:r>
      <w:r w:rsidR="006D79B3" w:rsidRPr="00953692">
        <w:rPr>
          <w:rFonts w:cs="Times New Roman"/>
          <w:sz w:val="24"/>
          <w:szCs w:val="24"/>
          <w:lang w:val="fr-FR"/>
        </w:rPr>
        <w:t xml:space="preserve"> de son procès </w:t>
      </w:r>
      <w:r w:rsidR="00E27A88" w:rsidRPr="00953692">
        <w:rPr>
          <w:rFonts w:cs="Times New Roman"/>
          <w:sz w:val="24"/>
          <w:szCs w:val="24"/>
          <w:lang w:val="fr-FR"/>
        </w:rPr>
        <w:t xml:space="preserve">est </w:t>
      </w:r>
      <w:r w:rsidR="006D79B3" w:rsidRPr="00953692">
        <w:rPr>
          <w:rFonts w:cs="Times New Roman"/>
          <w:sz w:val="24"/>
          <w:szCs w:val="24"/>
          <w:lang w:val="fr-FR"/>
        </w:rPr>
        <w:t>intimément liée au délai raisonnable, et permet d’en assurer l’applica</w:t>
      </w:r>
      <w:r w:rsidR="003E6778" w:rsidRPr="00953692">
        <w:rPr>
          <w:rFonts w:cs="Times New Roman"/>
          <w:sz w:val="24"/>
          <w:szCs w:val="24"/>
          <w:lang w:val="fr-FR"/>
        </w:rPr>
        <w:t>bilité</w:t>
      </w:r>
      <w:r w:rsidR="006D79B3" w:rsidRPr="00953692">
        <w:rPr>
          <w:rFonts w:cs="Times New Roman"/>
          <w:sz w:val="24"/>
          <w:szCs w:val="24"/>
          <w:lang w:val="fr-FR"/>
        </w:rPr>
        <w:t>. Elle vivifie cette règle qui semble être absorbée par la complexité de cette procédure</w:t>
      </w:r>
      <w:r w:rsidR="00E27A88" w:rsidRPr="00953692">
        <w:rPr>
          <w:rFonts w:cs="Times New Roman"/>
          <w:sz w:val="24"/>
          <w:szCs w:val="24"/>
          <w:lang w:val="fr-FR"/>
        </w:rPr>
        <w:t xml:space="preserve"> pénale internationale</w:t>
      </w:r>
      <w:r w:rsidR="006D79B3" w:rsidRPr="00953692">
        <w:rPr>
          <w:rFonts w:cs="Times New Roman"/>
          <w:sz w:val="24"/>
          <w:szCs w:val="24"/>
          <w:lang w:val="fr-FR"/>
        </w:rPr>
        <w:t>, en ce qu’en</w:t>
      </w:r>
      <w:r w:rsidR="00E27A88" w:rsidRPr="00953692">
        <w:rPr>
          <w:rFonts w:cs="Times New Roman"/>
          <w:sz w:val="24"/>
          <w:szCs w:val="24"/>
          <w:lang w:val="fr-FR"/>
        </w:rPr>
        <w:t xml:space="preserve"> s’investissant dans son procès</w:t>
      </w:r>
      <w:r w:rsidR="006D79B3" w:rsidRPr="00953692">
        <w:rPr>
          <w:rFonts w:cs="Times New Roman"/>
          <w:sz w:val="24"/>
          <w:szCs w:val="24"/>
          <w:lang w:val="fr-FR"/>
        </w:rPr>
        <w:t>,</w:t>
      </w:r>
      <w:r w:rsidR="00E27A88" w:rsidRPr="00953692">
        <w:rPr>
          <w:rFonts w:cs="Times New Roman"/>
          <w:sz w:val="24"/>
          <w:szCs w:val="24"/>
          <w:lang w:val="fr-FR"/>
        </w:rPr>
        <w:t xml:space="preserve"> l’accusé</w:t>
      </w:r>
      <w:r w:rsidR="006D79B3" w:rsidRPr="00953692">
        <w:rPr>
          <w:rFonts w:cs="Times New Roman"/>
          <w:sz w:val="24"/>
          <w:szCs w:val="24"/>
          <w:lang w:val="fr-FR"/>
        </w:rPr>
        <w:t xml:space="preserve"> permet d’atteindre </w:t>
      </w:r>
      <w:r w:rsidR="00CE239F" w:rsidRPr="00953692">
        <w:rPr>
          <w:rFonts w:cs="Times New Roman"/>
          <w:sz w:val="24"/>
          <w:szCs w:val="24"/>
          <w:lang w:val="fr-FR"/>
        </w:rPr>
        <w:t>l’</w:t>
      </w:r>
      <w:r w:rsidR="006D79B3" w:rsidRPr="00953692">
        <w:rPr>
          <w:rFonts w:cs="Times New Roman"/>
          <w:sz w:val="24"/>
          <w:szCs w:val="24"/>
          <w:lang w:val="fr-FR"/>
        </w:rPr>
        <w:t>objectif</w:t>
      </w:r>
      <w:r w:rsidR="00CE239F" w:rsidRPr="00953692">
        <w:rPr>
          <w:rFonts w:cs="Times New Roman"/>
          <w:sz w:val="24"/>
          <w:szCs w:val="24"/>
          <w:lang w:val="fr-FR"/>
        </w:rPr>
        <w:t xml:space="preserve"> de cette norme</w:t>
      </w:r>
      <w:r w:rsidR="006D79B3" w:rsidRPr="00953692">
        <w:rPr>
          <w:rFonts w:cs="Times New Roman"/>
          <w:sz w:val="24"/>
          <w:szCs w:val="24"/>
          <w:lang w:val="fr-FR"/>
        </w:rPr>
        <w:t xml:space="preserve"> qui est </w:t>
      </w:r>
      <w:r w:rsidR="00CE239F" w:rsidRPr="00953692">
        <w:rPr>
          <w:rFonts w:cs="Times New Roman"/>
          <w:sz w:val="24"/>
          <w:szCs w:val="24"/>
          <w:lang w:val="fr-FR"/>
        </w:rPr>
        <w:t xml:space="preserve">évidemment </w:t>
      </w:r>
      <w:r w:rsidR="006D79B3" w:rsidRPr="00953692">
        <w:rPr>
          <w:rFonts w:cs="Times New Roman"/>
          <w:sz w:val="24"/>
          <w:szCs w:val="24"/>
          <w:lang w:val="fr-FR"/>
        </w:rPr>
        <w:t>celui de limiter la durée d’un procès</w:t>
      </w:r>
      <w:r w:rsidR="00E27A88" w:rsidRPr="00953692">
        <w:rPr>
          <w:rFonts w:cs="Times New Roman"/>
          <w:sz w:val="24"/>
          <w:szCs w:val="24"/>
          <w:lang w:val="fr-FR"/>
        </w:rPr>
        <w:t xml:space="preserve"> ou d’</w:t>
      </w:r>
      <w:r w:rsidR="003E6778" w:rsidRPr="00953692">
        <w:rPr>
          <w:rFonts w:cs="Times New Roman"/>
          <w:sz w:val="24"/>
          <w:szCs w:val="24"/>
          <w:lang w:val="fr-FR"/>
        </w:rPr>
        <w:t>éviter l’excessivité d’un possible</w:t>
      </w:r>
      <w:r w:rsidR="00E27A88" w:rsidRPr="00953692">
        <w:rPr>
          <w:rFonts w:cs="Times New Roman"/>
          <w:sz w:val="24"/>
          <w:szCs w:val="24"/>
          <w:lang w:val="fr-FR"/>
        </w:rPr>
        <w:t xml:space="preserve"> retard</w:t>
      </w:r>
      <w:r w:rsidR="006D79B3" w:rsidRPr="00953692">
        <w:rPr>
          <w:rFonts w:cs="Times New Roman"/>
          <w:sz w:val="24"/>
          <w:szCs w:val="24"/>
          <w:lang w:val="fr-FR"/>
        </w:rPr>
        <w:t xml:space="preserve">. </w:t>
      </w:r>
      <w:r w:rsidR="00E27A88" w:rsidRPr="00953692">
        <w:rPr>
          <w:rFonts w:cs="Times New Roman"/>
          <w:sz w:val="24"/>
          <w:szCs w:val="24"/>
          <w:lang w:val="fr-FR"/>
        </w:rPr>
        <w:t xml:space="preserve">On voit que le </w:t>
      </w:r>
      <w:r w:rsidR="00926810" w:rsidRPr="00953692">
        <w:rPr>
          <w:rFonts w:cs="Times New Roman"/>
          <w:sz w:val="24"/>
          <w:szCs w:val="24"/>
          <w:lang w:val="fr-FR"/>
        </w:rPr>
        <w:t>rôle</w:t>
      </w:r>
      <w:r w:rsidR="00E27A88" w:rsidRPr="00953692">
        <w:rPr>
          <w:rFonts w:cs="Times New Roman"/>
          <w:sz w:val="24"/>
          <w:szCs w:val="24"/>
          <w:lang w:val="fr-FR"/>
        </w:rPr>
        <w:t xml:space="preserve"> de l’accusé n’est pas négligeable en cette matière d’autant plus </w:t>
      </w:r>
      <w:r w:rsidR="00686C81" w:rsidRPr="00953692">
        <w:rPr>
          <w:rFonts w:cs="Times New Roman"/>
          <w:sz w:val="24"/>
          <w:szCs w:val="24"/>
          <w:lang w:val="fr-FR"/>
        </w:rPr>
        <w:t>qu’</w:t>
      </w:r>
      <w:r w:rsidR="00E27A88" w:rsidRPr="00953692">
        <w:rPr>
          <w:rFonts w:cs="Times New Roman"/>
          <w:sz w:val="24"/>
          <w:szCs w:val="24"/>
          <w:lang w:val="fr-FR"/>
        </w:rPr>
        <w:t>en procédure pénale internationale, il s’agit de son droit exclusif</w:t>
      </w:r>
      <w:r w:rsidR="003E6778" w:rsidRPr="00953692">
        <w:rPr>
          <w:rFonts w:cs="Times New Roman"/>
          <w:sz w:val="24"/>
          <w:szCs w:val="24"/>
          <w:lang w:val="fr-FR"/>
        </w:rPr>
        <w:t xml:space="preserve">, et à en croire les rédacteurs de tous </w:t>
      </w:r>
      <w:r w:rsidR="00E34C6D" w:rsidRPr="00953692">
        <w:rPr>
          <w:rFonts w:cs="Times New Roman"/>
          <w:sz w:val="24"/>
          <w:szCs w:val="24"/>
          <w:lang w:val="fr-FR"/>
        </w:rPr>
        <w:t xml:space="preserve">ces </w:t>
      </w:r>
      <w:r w:rsidR="003E6778" w:rsidRPr="00953692">
        <w:rPr>
          <w:rFonts w:cs="Times New Roman"/>
          <w:sz w:val="24"/>
          <w:szCs w:val="24"/>
          <w:lang w:val="fr-FR"/>
        </w:rPr>
        <w:t xml:space="preserve">actes constitutifs des juridictions pénales internationales, </w:t>
      </w:r>
      <w:r w:rsidR="00E27A88" w:rsidRPr="00953692">
        <w:rPr>
          <w:rFonts w:cs="Times New Roman"/>
          <w:sz w:val="24"/>
          <w:szCs w:val="24"/>
          <w:lang w:val="fr-FR"/>
        </w:rPr>
        <w:t xml:space="preserve">lui seul peut s’en préoccuper </w:t>
      </w:r>
      <w:r w:rsidR="00926810" w:rsidRPr="00953692">
        <w:rPr>
          <w:rFonts w:cs="Times New Roman"/>
          <w:sz w:val="24"/>
          <w:szCs w:val="24"/>
          <w:lang w:val="fr-FR"/>
        </w:rPr>
        <w:t>autant que personne d’autre n’en soit</w:t>
      </w:r>
      <w:r w:rsidR="003E6778" w:rsidRPr="00953692">
        <w:rPr>
          <w:rFonts w:cs="Times New Roman"/>
          <w:sz w:val="24"/>
          <w:szCs w:val="24"/>
          <w:lang w:val="fr-FR"/>
        </w:rPr>
        <w:t xml:space="preserve"> </w:t>
      </w:r>
      <w:r w:rsidR="00926810" w:rsidRPr="00953692">
        <w:rPr>
          <w:rFonts w:cs="Times New Roman"/>
          <w:sz w:val="24"/>
          <w:szCs w:val="24"/>
          <w:lang w:val="fr-FR"/>
        </w:rPr>
        <w:t xml:space="preserve">capable. Ainsi, l’accusé doit être actif </w:t>
      </w:r>
      <w:r w:rsidR="00276F46" w:rsidRPr="00953692">
        <w:rPr>
          <w:rFonts w:cs="Times New Roman"/>
          <w:sz w:val="24"/>
          <w:szCs w:val="24"/>
          <w:lang w:val="fr-FR"/>
        </w:rPr>
        <w:t>pour espérer à ce que son procès ne dure pas</w:t>
      </w:r>
      <w:r w:rsidR="00F53F61" w:rsidRPr="00953692">
        <w:rPr>
          <w:rFonts w:cs="Times New Roman"/>
          <w:sz w:val="24"/>
          <w:szCs w:val="24"/>
          <w:lang w:val="fr-FR"/>
        </w:rPr>
        <w:t xml:space="preserve"> trop</w:t>
      </w:r>
      <w:r w:rsidR="00DF7416" w:rsidRPr="00953692">
        <w:rPr>
          <w:rFonts w:cs="Times New Roman"/>
          <w:sz w:val="24"/>
          <w:szCs w:val="24"/>
          <w:lang w:val="fr-FR"/>
        </w:rPr>
        <w:t xml:space="preserve"> ; </w:t>
      </w:r>
      <w:r w:rsidR="00276F46" w:rsidRPr="00953692">
        <w:rPr>
          <w:rFonts w:cs="Times New Roman"/>
          <w:sz w:val="24"/>
          <w:szCs w:val="24"/>
          <w:lang w:val="fr-FR"/>
        </w:rPr>
        <w:t>c’est du moins sa part de responsabilité</w:t>
      </w:r>
      <w:r w:rsidR="00B203C0" w:rsidRPr="00953692">
        <w:rPr>
          <w:rFonts w:cs="Times New Roman"/>
          <w:sz w:val="24"/>
          <w:szCs w:val="24"/>
          <w:lang w:val="fr-FR"/>
        </w:rPr>
        <w:t xml:space="preserve"> dans le cadre d’un déroulement rapide du procès.</w:t>
      </w:r>
      <w:r w:rsidR="00276F46" w:rsidRPr="00953692">
        <w:rPr>
          <w:rFonts w:cs="Times New Roman"/>
          <w:sz w:val="24"/>
          <w:szCs w:val="24"/>
          <w:lang w:val="fr-FR"/>
        </w:rPr>
        <w:t xml:space="preserve"> A ce titre, </w:t>
      </w:r>
      <w:r w:rsidR="00543906" w:rsidRPr="00953692">
        <w:rPr>
          <w:rFonts w:cs="Times New Roman"/>
          <w:sz w:val="24"/>
          <w:szCs w:val="24"/>
          <w:lang w:val="fr-FR"/>
        </w:rPr>
        <w:t xml:space="preserve">il se sert de tous ses droits procéduraux, </w:t>
      </w:r>
      <w:r w:rsidR="002D3932" w:rsidRPr="00953692">
        <w:rPr>
          <w:rFonts w:cs="Times New Roman"/>
          <w:sz w:val="24"/>
          <w:szCs w:val="24"/>
          <w:lang w:val="fr-FR"/>
        </w:rPr>
        <w:t xml:space="preserve">avec </w:t>
      </w:r>
      <w:r w:rsidR="00657529" w:rsidRPr="00953692">
        <w:rPr>
          <w:rFonts w:cs="Times New Roman"/>
          <w:sz w:val="24"/>
          <w:szCs w:val="24"/>
          <w:lang w:val="fr-FR"/>
        </w:rPr>
        <w:t xml:space="preserve">soin et </w:t>
      </w:r>
      <w:r w:rsidR="002D3932" w:rsidRPr="00953692">
        <w:rPr>
          <w:rFonts w:cs="Times New Roman"/>
          <w:sz w:val="24"/>
          <w:szCs w:val="24"/>
          <w:lang w:val="fr-FR"/>
        </w:rPr>
        <w:t>une vision prospective</w:t>
      </w:r>
      <w:r w:rsidR="005842B4" w:rsidRPr="00953692">
        <w:rPr>
          <w:rFonts w:cs="Times New Roman"/>
          <w:sz w:val="24"/>
          <w:szCs w:val="24"/>
          <w:lang w:val="fr-FR"/>
        </w:rPr>
        <w:t xml:space="preserve">, car certains de ses </w:t>
      </w:r>
      <w:r w:rsidR="00CE239F" w:rsidRPr="00953692">
        <w:rPr>
          <w:rFonts w:cs="Times New Roman"/>
          <w:sz w:val="24"/>
          <w:szCs w:val="24"/>
          <w:lang w:val="fr-FR"/>
        </w:rPr>
        <w:t xml:space="preserve">(ces) </w:t>
      </w:r>
      <w:r w:rsidR="005842B4" w:rsidRPr="00953692">
        <w:rPr>
          <w:rFonts w:cs="Times New Roman"/>
          <w:sz w:val="24"/>
          <w:szCs w:val="24"/>
          <w:lang w:val="fr-FR"/>
        </w:rPr>
        <w:t>droits qu’il aura exercés</w:t>
      </w:r>
      <w:r w:rsidR="000E1B24" w:rsidRPr="00953692">
        <w:rPr>
          <w:rFonts w:cs="Times New Roman"/>
          <w:sz w:val="24"/>
          <w:szCs w:val="24"/>
          <w:lang w:val="fr-FR"/>
        </w:rPr>
        <w:t>,</w:t>
      </w:r>
      <w:r w:rsidR="005842B4" w:rsidRPr="00953692">
        <w:rPr>
          <w:rFonts w:cs="Times New Roman"/>
          <w:sz w:val="24"/>
          <w:szCs w:val="24"/>
          <w:lang w:val="fr-FR"/>
        </w:rPr>
        <w:t xml:space="preserve"> entreront </w:t>
      </w:r>
      <w:r w:rsidR="00CE239F" w:rsidRPr="00953692">
        <w:rPr>
          <w:rFonts w:cs="Times New Roman"/>
          <w:sz w:val="24"/>
          <w:szCs w:val="24"/>
          <w:lang w:val="fr-FR"/>
        </w:rPr>
        <w:t>également</w:t>
      </w:r>
      <w:r w:rsidR="005842B4" w:rsidRPr="00953692">
        <w:rPr>
          <w:rFonts w:cs="Times New Roman"/>
          <w:sz w:val="24"/>
          <w:szCs w:val="24"/>
          <w:lang w:val="fr-FR"/>
        </w:rPr>
        <w:t xml:space="preserve"> en conflit direct avec son droit d’</w:t>
      </w:r>
      <w:r w:rsidR="001932E9" w:rsidRPr="00953692">
        <w:rPr>
          <w:rFonts w:cs="Times New Roman"/>
          <w:sz w:val="24"/>
          <w:szCs w:val="24"/>
          <w:lang w:val="fr-FR"/>
        </w:rPr>
        <w:t>être</w:t>
      </w:r>
      <w:r w:rsidR="005842B4" w:rsidRPr="00953692">
        <w:rPr>
          <w:rFonts w:cs="Times New Roman"/>
          <w:sz w:val="24"/>
          <w:szCs w:val="24"/>
          <w:lang w:val="fr-FR"/>
        </w:rPr>
        <w:t xml:space="preserve"> jugé sans retard excessif</w:t>
      </w:r>
      <w:r w:rsidR="000A1707" w:rsidRPr="00953692">
        <w:rPr>
          <w:rFonts w:cs="Times New Roman"/>
          <w:sz w:val="24"/>
          <w:szCs w:val="24"/>
          <w:lang w:val="fr-FR"/>
        </w:rPr>
        <w:t>.</w:t>
      </w:r>
      <w:bookmarkStart w:id="60" w:name="_Hlk118297334"/>
      <w:bookmarkStart w:id="61" w:name="_Hlk150648324"/>
    </w:p>
    <w:p w14:paraId="51D9A8FA" w14:textId="77777777" w:rsidR="00BD1930" w:rsidRPr="00953692" w:rsidRDefault="00BD1930" w:rsidP="00BD1930">
      <w:pPr>
        <w:spacing w:after="0" w:line="276" w:lineRule="auto"/>
        <w:rPr>
          <w:rStyle w:val="misspelling"/>
          <w:rFonts w:cs="Times New Roman"/>
          <w:b/>
          <w:bCs/>
          <w:sz w:val="36"/>
          <w:szCs w:val="36"/>
          <w:lang w:val="fr-FR"/>
        </w:rPr>
      </w:pPr>
    </w:p>
    <w:p w14:paraId="5B7EBB61" w14:textId="77777777" w:rsidR="00B12A33" w:rsidRPr="00953692" w:rsidRDefault="00B12A33" w:rsidP="00BD1930">
      <w:pPr>
        <w:spacing w:after="0" w:line="276" w:lineRule="auto"/>
        <w:rPr>
          <w:rStyle w:val="misspelling"/>
          <w:rFonts w:cs="Times New Roman"/>
          <w:b/>
          <w:bCs/>
          <w:sz w:val="36"/>
          <w:szCs w:val="36"/>
          <w:lang w:val="fr-FR"/>
        </w:rPr>
      </w:pPr>
    </w:p>
    <w:p w14:paraId="33FC2C45" w14:textId="4CBB0B34" w:rsidR="004969D1" w:rsidRPr="00953692" w:rsidRDefault="00EE2675" w:rsidP="00864BBF">
      <w:pPr>
        <w:spacing w:after="0" w:line="276" w:lineRule="auto"/>
        <w:jc w:val="center"/>
        <w:rPr>
          <w:rFonts w:cs="Times New Roman"/>
          <w:b/>
          <w:bCs/>
          <w:sz w:val="36"/>
          <w:szCs w:val="36"/>
          <w:shd w:val="clear" w:color="auto" w:fill="FFFFFF"/>
          <w:lang w:val="fr-FR"/>
        </w:rPr>
      </w:pPr>
      <w:r w:rsidRPr="00953692">
        <w:rPr>
          <w:rStyle w:val="misspelling"/>
          <w:rFonts w:cs="Times New Roman"/>
          <w:b/>
          <w:bCs/>
          <w:sz w:val="36"/>
          <w:szCs w:val="36"/>
          <w:lang w:val="fr-FR"/>
        </w:rPr>
        <w:lastRenderedPageBreak/>
        <w:t>Deuxième</w:t>
      </w:r>
      <w:r w:rsidRPr="00953692">
        <w:rPr>
          <w:rFonts w:cs="Times New Roman"/>
          <w:b/>
          <w:bCs/>
          <w:sz w:val="36"/>
          <w:szCs w:val="36"/>
          <w:shd w:val="clear" w:color="auto" w:fill="FFFFFF"/>
          <w:lang w:val="fr-FR"/>
        </w:rPr>
        <w:t xml:space="preserve"> partie </w:t>
      </w:r>
      <w:r w:rsidR="005405FF" w:rsidRPr="00953692">
        <w:rPr>
          <w:rFonts w:cs="Times New Roman"/>
          <w:b/>
          <w:bCs/>
          <w:sz w:val="36"/>
          <w:szCs w:val="36"/>
          <w:shd w:val="clear" w:color="auto" w:fill="FFFFFF"/>
          <w:lang w:val="fr-FR"/>
        </w:rPr>
        <w:t xml:space="preserve"> </w:t>
      </w:r>
    </w:p>
    <w:p w14:paraId="0B2FFBD4" w14:textId="4AE32775" w:rsidR="008F7B7A" w:rsidRPr="00953692" w:rsidRDefault="00EE2675" w:rsidP="00864BBF">
      <w:pPr>
        <w:spacing w:after="0" w:line="276" w:lineRule="auto"/>
        <w:jc w:val="center"/>
        <w:rPr>
          <w:rFonts w:cs="Times New Roman"/>
          <w:b/>
          <w:bCs/>
          <w:sz w:val="36"/>
          <w:szCs w:val="36"/>
          <w:shd w:val="clear" w:color="auto" w:fill="FFFFFF"/>
          <w:lang w:val="fr-FR"/>
        </w:rPr>
      </w:pPr>
      <w:r w:rsidRPr="00953692">
        <w:rPr>
          <w:rFonts w:cs="Times New Roman"/>
          <w:b/>
          <w:bCs/>
          <w:sz w:val="36"/>
          <w:szCs w:val="36"/>
          <w:shd w:val="clear" w:color="auto" w:fill="FFFFFF"/>
          <w:lang w:val="fr-FR"/>
        </w:rPr>
        <w:t>De</w:t>
      </w:r>
      <w:r w:rsidR="008B1083" w:rsidRPr="00953692">
        <w:rPr>
          <w:rFonts w:cs="Times New Roman"/>
          <w:b/>
          <w:bCs/>
          <w:sz w:val="36"/>
          <w:szCs w:val="36"/>
          <w:shd w:val="clear" w:color="auto" w:fill="FFFFFF"/>
          <w:lang w:val="fr-FR"/>
        </w:rPr>
        <w:t>s</w:t>
      </w:r>
      <w:r w:rsidRPr="00953692">
        <w:rPr>
          <w:rFonts w:cs="Times New Roman"/>
          <w:b/>
          <w:bCs/>
          <w:sz w:val="36"/>
          <w:szCs w:val="36"/>
          <w:shd w:val="clear" w:color="auto" w:fill="FFFFFF"/>
          <w:lang w:val="fr-FR"/>
        </w:rPr>
        <w:t xml:space="preserve"> rapports de </w:t>
      </w:r>
      <w:r w:rsidRPr="00953692">
        <w:rPr>
          <w:rStyle w:val="misspelling"/>
          <w:rFonts w:cs="Times New Roman"/>
          <w:b/>
          <w:bCs/>
          <w:sz w:val="36"/>
          <w:szCs w:val="36"/>
          <w:lang w:val="fr-FR"/>
        </w:rPr>
        <w:t>conflictualité</w:t>
      </w:r>
      <w:r w:rsidR="00611DA2" w:rsidRPr="00953692">
        <w:rPr>
          <w:rFonts w:cs="Times New Roman"/>
          <w:b/>
          <w:bCs/>
          <w:sz w:val="36"/>
          <w:szCs w:val="36"/>
          <w:shd w:val="clear" w:color="auto" w:fill="FFFFFF"/>
          <w:lang w:val="fr-FR"/>
        </w:rPr>
        <w:t xml:space="preserve"> : </w:t>
      </w:r>
    </w:p>
    <w:p w14:paraId="29A14CB5" w14:textId="3E42627F" w:rsidR="000B0381" w:rsidRPr="00953692" w:rsidRDefault="00D94FA9" w:rsidP="00B12A33">
      <w:pPr>
        <w:spacing w:line="276" w:lineRule="auto"/>
        <w:jc w:val="center"/>
        <w:rPr>
          <w:rFonts w:cs="Times New Roman"/>
          <w:b/>
          <w:bCs/>
          <w:sz w:val="24"/>
          <w:szCs w:val="24"/>
          <w:shd w:val="clear" w:color="auto" w:fill="FFFFFF"/>
          <w:lang w:val="fr-FR"/>
        </w:rPr>
      </w:pPr>
      <w:r w:rsidRPr="00953692">
        <w:rPr>
          <w:rFonts w:cs="Times New Roman"/>
          <w:i/>
          <w:iCs/>
          <w:sz w:val="24"/>
          <w:szCs w:val="24"/>
          <w:lang w:val="fr-FR"/>
        </w:rPr>
        <w:t>Le délai raisonnable apriori affaibli</w:t>
      </w:r>
    </w:p>
    <w:bookmarkEnd w:id="60"/>
    <w:bookmarkEnd w:id="61"/>
    <w:p w14:paraId="43EEA884" w14:textId="5FEB9ED2" w:rsidR="008F7B7A" w:rsidRPr="00953692" w:rsidRDefault="005173FA"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284</w:t>
      </w:r>
      <w:r w:rsidR="00436179" w:rsidRPr="00953692">
        <w:rPr>
          <w:rFonts w:cs="Times New Roman"/>
          <w:b/>
          <w:bCs/>
          <w:sz w:val="24"/>
          <w:szCs w:val="24"/>
          <w:lang w:val="fr-FR"/>
        </w:rPr>
        <w:t>.</w:t>
      </w:r>
      <w:r w:rsidR="00436179" w:rsidRPr="00953692">
        <w:rPr>
          <w:rFonts w:cs="Times New Roman"/>
          <w:sz w:val="24"/>
          <w:szCs w:val="24"/>
          <w:lang w:val="fr-FR"/>
        </w:rPr>
        <w:t xml:space="preserve"> </w:t>
      </w:r>
      <w:r w:rsidR="00495378" w:rsidRPr="00953692">
        <w:rPr>
          <w:rFonts w:cs="Times New Roman"/>
          <w:sz w:val="24"/>
          <w:szCs w:val="24"/>
          <w:lang w:val="fr-FR"/>
        </w:rPr>
        <w:t>Les procès pénaux internationaux sont connus pour leur grande complexité</w:t>
      </w:r>
      <w:r w:rsidR="00A5376B" w:rsidRPr="00953692">
        <w:rPr>
          <w:rStyle w:val="Appelnotedebasdep"/>
          <w:rFonts w:cs="Times New Roman"/>
          <w:sz w:val="24"/>
          <w:szCs w:val="24"/>
          <w:lang w:val="fr-FR"/>
        </w:rPr>
        <w:footnoteReference w:customMarkFollows="1" w:id="214"/>
        <w:t>192</w:t>
      </w:r>
      <w:r w:rsidR="00EC103C" w:rsidRPr="00953692">
        <w:rPr>
          <w:rFonts w:cs="Times New Roman"/>
          <w:sz w:val="24"/>
          <w:szCs w:val="24"/>
          <w:lang w:val="fr-FR"/>
        </w:rPr>
        <w:t>, qui</w:t>
      </w:r>
      <w:r w:rsidR="00E9412C" w:rsidRPr="00953692">
        <w:rPr>
          <w:rFonts w:cs="Times New Roman"/>
          <w:sz w:val="24"/>
          <w:szCs w:val="24"/>
          <w:lang w:val="fr-FR"/>
        </w:rPr>
        <w:t xml:space="preserve"> </w:t>
      </w:r>
      <w:r w:rsidR="00880236" w:rsidRPr="00953692">
        <w:rPr>
          <w:rFonts w:cs="Times New Roman"/>
          <w:sz w:val="24"/>
          <w:szCs w:val="24"/>
          <w:lang w:val="fr-FR"/>
        </w:rPr>
        <w:t>entraine</w:t>
      </w:r>
      <w:r w:rsidR="00E9412C" w:rsidRPr="00953692">
        <w:rPr>
          <w:rFonts w:cs="Times New Roman"/>
          <w:sz w:val="24"/>
          <w:szCs w:val="24"/>
          <w:lang w:val="fr-FR"/>
        </w:rPr>
        <w:t xml:space="preserve"> évidemment aussi des sérieuses implications sur l’ensemble de la stratégie de la Défense</w:t>
      </w:r>
      <w:r w:rsidR="00A5376B" w:rsidRPr="00953692">
        <w:rPr>
          <w:rStyle w:val="Appelnotedebasdep"/>
          <w:rFonts w:cs="Times New Roman"/>
          <w:sz w:val="24"/>
          <w:szCs w:val="24"/>
          <w:lang w:val="fr-FR"/>
        </w:rPr>
        <w:footnoteReference w:customMarkFollows="1" w:id="215"/>
        <w:t>193</w:t>
      </w:r>
      <w:r w:rsidR="00880236" w:rsidRPr="00953692">
        <w:rPr>
          <w:rFonts w:cs="Times New Roman"/>
          <w:sz w:val="24"/>
          <w:szCs w:val="24"/>
          <w:lang w:val="fr-FR"/>
        </w:rPr>
        <w:t>. Celle-ci,</w:t>
      </w:r>
      <w:r w:rsidR="00E9412C" w:rsidRPr="00953692">
        <w:rPr>
          <w:rFonts w:cs="Times New Roman"/>
          <w:sz w:val="24"/>
          <w:szCs w:val="24"/>
          <w:lang w:val="fr-FR"/>
        </w:rPr>
        <w:t xml:space="preserve"> dans un temps très court</w:t>
      </w:r>
      <w:r w:rsidR="00485946" w:rsidRPr="00953692">
        <w:rPr>
          <w:rFonts w:cs="Times New Roman"/>
          <w:sz w:val="24"/>
          <w:szCs w:val="24"/>
          <w:lang w:val="fr-FR"/>
        </w:rPr>
        <w:t xml:space="preserve"> et limité</w:t>
      </w:r>
      <w:r w:rsidR="00E9412C" w:rsidRPr="00953692">
        <w:rPr>
          <w:rFonts w:cs="Times New Roman"/>
          <w:sz w:val="24"/>
          <w:szCs w:val="24"/>
          <w:lang w:val="fr-FR"/>
        </w:rPr>
        <w:t xml:space="preserve">, comparativement au procureur, </w:t>
      </w:r>
      <w:r w:rsidR="00880236" w:rsidRPr="00953692">
        <w:rPr>
          <w:rFonts w:cs="Times New Roman"/>
          <w:sz w:val="24"/>
          <w:szCs w:val="24"/>
          <w:lang w:val="fr-FR"/>
        </w:rPr>
        <w:t xml:space="preserve">doit </w:t>
      </w:r>
      <w:r w:rsidR="00E9412C" w:rsidRPr="00953692">
        <w:rPr>
          <w:rFonts w:cs="Times New Roman"/>
          <w:sz w:val="24"/>
          <w:szCs w:val="24"/>
          <w:lang w:val="fr-FR"/>
        </w:rPr>
        <w:t>apporter des preuves susceptibles de contredire les a</w:t>
      </w:r>
      <w:r w:rsidR="000F2086" w:rsidRPr="00953692">
        <w:rPr>
          <w:rFonts w:cs="Times New Roman"/>
          <w:sz w:val="24"/>
          <w:szCs w:val="24"/>
          <w:lang w:val="fr-FR"/>
        </w:rPr>
        <w:t>ccusations</w:t>
      </w:r>
      <w:r w:rsidR="00485946" w:rsidRPr="00953692">
        <w:rPr>
          <w:rFonts w:cs="Times New Roman"/>
          <w:sz w:val="24"/>
          <w:szCs w:val="24"/>
          <w:lang w:val="fr-FR"/>
        </w:rPr>
        <w:t xml:space="preserve"> </w:t>
      </w:r>
      <w:r w:rsidR="00880236" w:rsidRPr="00953692">
        <w:rPr>
          <w:rFonts w:cs="Times New Roman"/>
          <w:sz w:val="24"/>
          <w:szCs w:val="24"/>
          <w:lang w:val="fr-FR"/>
        </w:rPr>
        <w:t xml:space="preserve">formelles et soutenues que l’Accusation </w:t>
      </w:r>
      <w:r w:rsidR="00485946" w:rsidRPr="00953692">
        <w:rPr>
          <w:rFonts w:cs="Times New Roman"/>
          <w:sz w:val="24"/>
          <w:szCs w:val="24"/>
          <w:lang w:val="fr-FR"/>
        </w:rPr>
        <w:t>port</w:t>
      </w:r>
      <w:r w:rsidR="00880236" w:rsidRPr="00953692">
        <w:rPr>
          <w:rFonts w:cs="Times New Roman"/>
          <w:sz w:val="24"/>
          <w:szCs w:val="24"/>
          <w:lang w:val="fr-FR"/>
        </w:rPr>
        <w:t>e</w:t>
      </w:r>
      <w:r w:rsidR="00485946" w:rsidRPr="00953692">
        <w:rPr>
          <w:rFonts w:cs="Times New Roman"/>
          <w:sz w:val="24"/>
          <w:szCs w:val="24"/>
          <w:lang w:val="fr-FR"/>
        </w:rPr>
        <w:t xml:space="preserve"> contre </w:t>
      </w:r>
      <w:r w:rsidR="005405FF" w:rsidRPr="00953692">
        <w:rPr>
          <w:rFonts w:cs="Times New Roman"/>
          <w:sz w:val="24"/>
          <w:szCs w:val="24"/>
          <w:lang w:val="fr-FR"/>
        </w:rPr>
        <w:t>elle</w:t>
      </w:r>
      <w:r w:rsidR="00E9412C" w:rsidRPr="00953692">
        <w:rPr>
          <w:rFonts w:cs="Times New Roman"/>
          <w:sz w:val="24"/>
          <w:szCs w:val="24"/>
          <w:lang w:val="fr-FR"/>
        </w:rPr>
        <w:t>. En d’autres termes, face à cette complexité</w:t>
      </w:r>
      <w:r w:rsidR="004C5447" w:rsidRPr="00953692">
        <w:rPr>
          <w:rFonts w:cs="Times New Roman"/>
          <w:sz w:val="24"/>
          <w:szCs w:val="24"/>
          <w:lang w:val="fr-FR"/>
        </w:rPr>
        <w:t xml:space="preserve"> de la procédure</w:t>
      </w:r>
      <w:r w:rsidR="00E9412C" w:rsidRPr="00953692">
        <w:rPr>
          <w:rFonts w:cs="Times New Roman"/>
          <w:sz w:val="24"/>
          <w:szCs w:val="24"/>
          <w:lang w:val="fr-FR"/>
        </w:rPr>
        <w:t>, le temps de l</w:t>
      </w:r>
      <w:r w:rsidR="000F2086" w:rsidRPr="00953692">
        <w:rPr>
          <w:rFonts w:cs="Times New Roman"/>
          <w:sz w:val="24"/>
          <w:szCs w:val="24"/>
          <w:lang w:val="fr-FR"/>
        </w:rPr>
        <w:t xml:space="preserve">a </w:t>
      </w:r>
      <w:r w:rsidR="00EC103C" w:rsidRPr="00953692">
        <w:rPr>
          <w:rFonts w:cs="Times New Roman"/>
          <w:sz w:val="24"/>
          <w:szCs w:val="24"/>
          <w:lang w:val="fr-FR"/>
        </w:rPr>
        <w:t>D</w:t>
      </w:r>
      <w:r w:rsidR="000F2086" w:rsidRPr="00953692">
        <w:rPr>
          <w:rFonts w:cs="Times New Roman"/>
          <w:sz w:val="24"/>
          <w:szCs w:val="24"/>
          <w:lang w:val="fr-FR"/>
        </w:rPr>
        <w:t xml:space="preserve">éfense </w:t>
      </w:r>
      <w:r w:rsidR="00E9412C" w:rsidRPr="00953692">
        <w:rPr>
          <w:rFonts w:cs="Times New Roman"/>
          <w:sz w:val="24"/>
          <w:szCs w:val="24"/>
          <w:lang w:val="fr-FR"/>
        </w:rPr>
        <w:t>est compté</w:t>
      </w:r>
      <w:r w:rsidR="00AD57AF" w:rsidRPr="00953692">
        <w:rPr>
          <w:rFonts w:cs="Times New Roman"/>
          <w:sz w:val="24"/>
          <w:szCs w:val="24"/>
          <w:lang w:val="fr-FR"/>
        </w:rPr>
        <w:t xml:space="preserve">. </w:t>
      </w:r>
      <w:r w:rsidR="00681D2B" w:rsidRPr="00953692">
        <w:rPr>
          <w:rStyle w:val="grammar"/>
          <w:rFonts w:cs="Times New Roman"/>
          <w:sz w:val="24"/>
          <w:szCs w:val="24"/>
          <w:lang w:val="fr-FR"/>
        </w:rPr>
        <w:t>À</w:t>
      </w:r>
      <w:r w:rsidR="00681D2B" w:rsidRPr="00953692">
        <w:rPr>
          <w:rFonts w:cs="Times New Roman"/>
          <w:sz w:val="24"/>
          <w:szCs w:val="24"/>
          <w:shd w:val="clear" w:color="auto" w:fill="FFFFFF"/>
          <w:lang w:val="fr-FR"/>
        </w:rPr>
        <w:t xml:space="preserve"> cet effet,</w:t>
      </w:r>
      <w:r w:rsidR="00681D2B" w:rsidRPr="00953692">
        <w:rPr>
          <w:rFonts w:ascii="Tahoma" w:hAnsi="Tahoma" w:cs="Tahoma"/>
          <w:sz w:val="24"/>
          <w:szCs w:val="24"/>
          <w:shd w:val="clear" w:color="auto" w:fill="FFFFFF"/>
          <w:lang w:val="fr-FR"/>
        </w:rPr>
        <w:t xml:space="preserve"> </w:t>
      </w:r>
      <w:r w:rsidR="00AD57AF" w:rsidRPr="00953692">
        <w:rPr>
          <w:rFonts w:cs="Times New Roman"/>
          <w:sz w:val="24"/>
          <w:szCs w:val="24"/>
          <w:lang w:val="fr-FR"/>
        </w:rPr>
        <w:t xml:space="preserve">si une telle affirmation est relative, c’est-à-dire dépendant d’un procès à </w:t>
      </w:r>
      <w:r w:rsidR="00EC103C" w:rsidRPr="00953692">
        <w:rPr>
          <w:rFonts w:cs="Times New Roman"/>
          <w:sz w:val="24"/>
          <w:szCs w:val="24"/>
          <w:lang w:val="fr-FR"/>
        </w:rPr>
        <w:t xml:space="preserve">un </w:t>
      </w:r>
      <w:r w:rsidR="00AD57AF" w:rsidRPr="00953692">
        <w:rPr>
          <w:rFonts w:cs="Times New Roman"/>
          <w:sz w:val="24"/>
          <w:szCs w:val="24"/>
          <w:lang w:val="fr-FR"/>
        </w:rPr>
        <w:t xml:space="preserve">autre, d’un accusé à </w:t>
      </w:r>
      <w:r w:rsidR="00EC103C" w:rsidRPr="00953692">
        <w:rPr>
          <w:rFonts w:cs="Times New Roman"/>
          <w:sz w:val="24"/>
          <w:szCs w:val="24"/>
          <w:lang w:val="fr-FR"/>
        </w:rPr>
        <w:t xml:space="preserve">un </w:t>
      </w:r>
      <w:r w:rsidR="00AD57AF" w:rsidRPr="00953692">
        <w:rPr>
          <w:rFonts w:cs="Times New Roman"/>
          <w:sz w:val="24"/>
          <w:szCs w:val="24"/>
          <w:lang w:val="fr-FR"/>
        </w:rPr>
        <w:t xml:space="preserve">autre ou d’une stratégie à </w:t>
      </w:r>
      <w:r w:rsidR="00EC103C" w:rsidRPr="00953692">
        <w:rPr>
          <w:rFonts w:cs="Times New Roman"/>
          <w:sz w:val="24"/>
          <w:szCs w:val="24"/>
          <w:lang w:val="fr-FR"/>
        </w:rPr>
        <w:t xml:space="preserve">une </w:t>
      </w:r>
      <w:r w:rsidR="00AD57AF" w:rsidRPr="00953692">
        <w:rPr>
          <w:rFonts w:cs="Times New Roman"/>
          <w:sz w:val="24"/>
          <w:szCs w:val="24"/>
          <w:lang w:val="fr-FR"/>
        </w:rPr>
        <w:t xml:space="preserve">autre, </w:t>
      </w:r>
      <w:r w:rsidR="007E25C3" w:rsidRPr="00953692">
        <w:rPr>
          <w:rFonts w:cs="Times New Roman"/>
          <w:sz w:val="24"/>
          <w:szCs w:val="24"/>
          <w:lang w:val="fr-FR"/>
        </w:rPr>
        <w:t>elle n’en demeure pas moins une réalité évidente</w:t>
      </w:r>
      <w:r w:rsidR="00436179" w:rsidRPr="00953692">
        <w:rPr>
          <w:rFonts w:cs="Times New Roman"/>
          <w:sz w:val="24"/>
          <w:szCs w:val="24"/>
          <w:lang w:val="fr-FR"/>
        </w:rPr>
        <w:t xml:space="preserve"> lorsqu’il faut la placer dans</w:t>
      </w:r>
      <w:r w:rsidR="007E25C3" w:rsidRPr="00953692">
        <w:rPr>
          <w:rFonts w:cs="Times New Roman"/>
          <w:sz w:val="24"/>
          <w:szCs w:val="24"/>
          <w:lang w:val="fr-FR"/>
        </w:rPr>
        <w:t xml:space="preserve"> </w:t>
      </w:r>
      <w:r w:rsidR="004C5447" w:rsidRPr="00953692">
        <w:rPr>
          <w:rFonts w:cs="Times New Roman"/>
          <w:sz w:val="24"/>
          <w:szCs w:val="24"/>
          <w:lang w:val="fr-FR"/>
        </w:rPr>
        <w:t xml:space="preserve">le temps de </w:t>
      </w:r>
      <w:r w:rsidR="007E25C3" w:rsidRPr="00953692">
        <w:rPr>
          <w:rFonts w:cs="Times New Roman"/>
          <w:sz w:val="24"/>
          <w:szCs w:val="24"/>
          <w:lang w:val="fr-FR"/>
        </w:rPr>
        <w:t>la mise en œuvre de certains des droits procéduraux de l’accusé</w:t>
      </w:r>
      <w:r w:rsidR="00C6014F" w:rsidRPr="00953692">
        <w:rPr>
          <w:rFonts w:cs="Times New Roman"/>
          <w:sz w:val="24"/>
          <w:szCs w:val="24"/>
          <w:lang w:val="fr-FR"/>
        </w:rPr>
        <w:t xml:space="preserve"> relatifs au temps</w:t>
      </w:r>
      <w:r w:rsidR="007E25C3" w:rsidRPr="00953692">
        <w:rPr>
          <w:rFonts w:cs="Times New Roman"/>
          <w:sz w:val="24"/>
          <w:szCs w:val="24"/>
          <w:lang w:val="fr-FR"/>
        </w:rPr>
        <w:t>.</w:t>
      </w:r>
      <w:r w:rsidR="00436179" w:rsidRPr="00953692">
        <w:rPr>
          <w:rFonts w:cs="Times New Roman"/>
          <w:sz w:val="24"/>
          <w:szCs w:val="24"/>
          <w:lang w:val="fr-FR"/>
        </w:rPr>
        <w:t xml:space="preserve"> </w:t>
      </w:r>
    </w:p>
    <w:p w14:paraId="3CBEFAE0" w14:textId="765BD5C6" w:rsidR="005260B5" w:rsidRPr="00953692" w:rsidRDefault="005173FA"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285</w:t>
      </w:r>
      <w:r w:rsidR="004C5447" w:rsidRPr="00953692">
        <w:rPr>
          <w:rFonts w:cs="Times New Roman"/>
          <w:b/>
          <w:bCs/>
          <w:sz w:val="24"/>
          <w:szCs w:val="24"/>
          <w:lang w:val="fr-FR"/>
        </w:rPr>
        <w:t>.</w:t>
      </w:r>
      <w:r w:rsidR="004C5447" w:rsidRPr="00953692">
        <w:rPr>
          <w:rFonts w:cs="Times New Roman"/>
          <w:sz w:val="24"/>
          <w:szCs w:val="24"/>
          <w:lang w:val="fr-FR"/>
        </w:rPr>
        <w:t xml:space="preserve"> </w:t>
      </w:r>
      <w:r w:rsidR="00C6014F" w:rsidRPr="00953692">
        <w:rPr>
          <w:rFonts w:cs="Times New Roman"/>
          <w:sz w:val="24"/>
          <w:szCs w:val="24"/>
          <w:lang w:val="fr-FR"/>
        </w:rPr>
        <w:t>En réalité, l</w:t>
      </w:r>
      <w:r w:rsidR="00812634" w:rsidRPr="00953692">
        <w:rPr>
          <w:rFonts w:cs="Times New Roman"/>
          <w:sz w:val="24"/>
          <w:szCs w:val="24"/>
          <w:lang w:val="fr-FR"/>
        </w:rPr>
        <w:t xml:space="preserve">’objet de cette étude est </w:t>
      </w:r>
      <w:r w:rsidR="00C6014F" w:rsidRPr="00953692">
        <w:rPr>
          <w:rFonts w:cs="Times New Roman"/>
          <w:sz w:val="24"/>
          <w:szCs w:val="24"/>
          <w:lang w:val="fr-FR"/>
        </w:rPr>
        <w:t xml:space="preserve">aussi </w:t>
      </w:r>
      <w:r w:rsidR="00812634" w:rsidRPr="00953692">
        <w:rPr>
          <w:rFonts w:cs="Times New Roman"/>
          <w:sz w:val="24"/>
          <w:szCs w:val="24"/>
          <w:lang w:val="fr-FR"/>
        </w:rPr>
        <w:t>de démontrer que</w:t>
      </w:r>
      <w:r w:rsidR="00436179" w:rsidRPr="00953692">
        <w:rPr>
          <w:rFonts w:cs="Times New Roman"/>
          <w:sz w:val="24"/>
          <w:szCs w:val="24"/>
          <w:lang w:val="fr-FR"/>
        </w:rPr>
        <w:t xml:space="preserve"> le délai raisonnable n’est pas le seul droit de l’accusé qui se rapporte à la temporalité de la justice</w:t>
      </w:r>
      <w:r w:rsidR="00812634" w:rsidRPr="00953692">
        <w:rPr>
          <w:rFonts w:cs="Times New Roman"/>
          <w:sz w:val="24"/>
          <w:szCs w:val="24"/>
          <w:lang w:val="fr-FR"/>
        </w:rPr>
        <w:t>, e</w:t>
      </w:r>
      <w:r w:rsidR="00642963" w:rsidRPr="00953692">
        <w:rPr>
          <w:rFonts w:cs="Times New Roman"/>
          <w:sz w:val="24"/>
          <w:szCs w:val="24"/>
          <w:lang w:val="fr-FR"/>
        </w:rPr>
        <w:t>t</w:t>
      </w:r>
      <w:r w:rsidR="00436179" w:rsidRPr="00953692">
        <w:rPr>
          <w:rFonts w:cs="Times New Roman"/>
          <w:sz w:val="24"/>
          <w:szCs w:val="24"/>
          <w:lang w:val="fr-FR"/>
        </w:rPr>
        <w:t xml:space="preserve"> </w:t>
      </w:r>
      <w:r w:rsidR="00642963" w:rsidRPr="00953692">
        <w:rPr>
          <w:rFonts w:cs="Times New Roman"/>
          <w:sz w:val="24"/>
          <w:szCs w:val="24"/>
          <w:lang w:val="fr-FR"/>
        </w:rPr>
        <w:t>s</w:t>
      </w:r>
      <w:r w:rsidR="00436179" w:rsidRPr="00953692">
        <w:rPr>
          <w:rFonts w:cs="Times New Roman"/>
          <w:sz w:val="24"/>
          <w:szCs w:val="24"/>
          <w:lang w:val="fr-FR"/>
        </w:rPr>
        <w:t xml:space="preserve">on inscription dans la durée du procès l’expose à la concurrence des autres droits, qui </w:t>
      </w:r>
      <w:r w:rsidR="00642963" w:rsidRPr="00953692">
        <w:rPr>
          <w:rFonts w:cs="Times New Roman"/>
          <w:sz w:val="24"/>
          <w:szCs w:val="24"/>
          <w:lang w:val="fr-FR"/>
        </w:rPr>
        <w:t xml:space="preserve">particulièrement </w:t>
      </w:r>
      <w:r w:rsidR="00436179" w:rsidRPr="00953692">
        <w:rPr>
          <w:rFonts w:cs="Times New Roman"/>
          <w:sz w:val="24"/>
          <w:szCs w:val="24"/>
          <w:lang w:val="fr-FR"/>
        </w:rPr>
        <w:t xml:space="preserve">appellent à des suspensions, des pauses </w:t>
      </w:r>
      <w:r w:rsidR="005260B5" w:rsidRPr="00953692">
        <w:rPr>
          <w:rFonts w:cs="Times New Roman"/>
          <w:sz w:val="24"/>
          <w:szCs w:val="24"/>
          <w:lang w:val="fr-FR"/>
        </w:rPr>
        <w:t>ou des cessations</w:t>
      </w:r>
      <w:r w:rsidR="00642963" w:rsidRPr="00953692">
        <w:rPr>
          <w:rFonts w:cs="Times New Roman"/>
          <w:sz w:val="24"/>
          <w:szCs w:val="24"/>
          <w:lang w:val="fr-FR"/>
        </w:rPr>
        <w:t xml:space="preserve"> des poursuites</w:t>
      </w:r>
      <w:r w:rsidR="005260B5" w:rsidRPr="00953692">
        <w:rPr>
          <w:rFonts w:cs="Times New Roman"/>
          <w:sz w:val="24"/>
          <w:szCs w:val="24"/>
          <w:lang w:val="fr-FR"/>
        </w:rPr>
        <w:t xml:space="preserve"> pouvant être considérées comme un coup de boutoir porté sur le délai raisonnable.</w:t>
      </w:r>
    </w:p>
    <w:p w14:paraId="62F69A9F" w14:textId="4A10846F" w:rsidR="001B4F8E" w:rsidRPr="00953692" w:rsidRDefault="005173FA" w:rsidP="00864BBF">
      <w:pPr>
        <w:spacing w:after="0" w:line="276" w:lineRule="auto"/>
        <w:ind w:firstLine="1134"/>
        <w:jc w:val="both"/>
        <w:rPr>
          <w:sz w:val="24"/>
          <w:szCs w:val="24"/>
          <w:lang w:val="fr-FR"/>
        </w:rPr>
      </w:pPr>
      <w:r w:rsidRPr="00953692">
        <w:rPr>
          <w:rFonts w:cs="Times New Roman"/>
          <w:b/>
          <w:bCs/>
          <w:sz w:val="24"/>
          <w:szCs w:val="24"/>
          <w:lang w:val="fr-FR"/>
        </w:rPr>
        <w:t>286</w:t>
      </w:r>
      <w:r w:rsidR="00D4528B" w:rsidRPr="00953692">
        <w:rPr>
          <w:rFonts w:cs="Times New Roman"/>
          <w:b/>
          <w:bCs/>
          <w:sz w:val="24"/>
          <w:szCs w:val="24"/>
          <w:lang w:val="fr-FR"/>
        </w:rPr>
        <w:t>.</w:t>
      </w:r>
      <w:r w:rsidR="00D4528B" w:rsidRPr="00953692">
        <w:rPr>
          <w:rFonts w:cs="Times New Roman"/>
          <w:sz w:val="24"/>
          <w:szCs w:val="24"/>
          <w:lang w:val="fr-FR"/>
        </w:rPr>
        <w:t xml:space="preserve"> </w:t>
      </w:r>
      <w:r w:rsidR="00C44B35" w:rsidRPr="00953692">
        <w:rPr>
          <w:rFonts w:cs="Times New Roman"/>
          <w:sz w:val="24"/>
          <w:szCs w:val="24"/>
          <w:lang w:val="fr-FR"/>
        </w:rPr>
        <w:t>Il faut dire que cette exposition du délai raisonnable</w:t>
      </w:r>
      <w:r w:rsidR="00F961F0" w:rsidRPr="00953692">
        <w:rPr>
          <w:rFonts w:cs="Times New Roman"/>
          <w:sz w:val="24"/>
          <w:szCs w:val="24"/>
          <w:lang w:val="fr-FR"/>
        </w:rPr>
        <w:t xml:space="preserve"> à la concurrence ou au conflit</w:t>
      </w:r>
      <w:r w:rsidR="00C44B35" w:rsidRPr="00953692">
        <w:rPr>
          <w:rFonts w:cs="Times New Roman"/>
          <w:sz w:val="24"/>
          <w:szCs w:val="24"/>
          <w:lang w:val="fr-FR"/>
        </w:rPr>
        <w:t xml:space="preserve"> ne résulte pas que de son régime procédural</w:t>
      </w:r>
      <w:r w:rsidR="00F961F0" w:rsidRPr="00953692">
        <w:rPr>
          <w:rFonts w:cs="Times New Roman"/>
          <w:sz w:val="24"/>
          <w:szCs w:val="24"/>
          <w:lang w:val="fr-FR"/>
        </w:rPr>
        <w:t xml:space="preserve"> (c’est-à-dire un droit pouvant être invoqué à une étape avancée de la procédure)</w:t>
      </w:r>
      <w:r w:rsidR="00C44B35" w:rsidRPr="00953692">
        <w:rPr>
          <w:rFonts w:cs="Times New Roman"/>
          <w:sz w:val="24"/>
          <w:szCs w:val="24"/>
          <w:lang w:val="fr-FR"/>
        </w:rPr>
        <w:t xml:space="preserve">, mais avant tout de </w:t>
      </w:r>
      <w:r w:rsidR="00DD45A4" w:rsidRPr="00953692">
        <w:rPr>
          <w:rFonts w:cs="Times New Roman"/>
          <w:sz w:val="24"/>
          <w:szCs w:val="24"/>
          <w:lang w:val="fr-FR"/>
        </w:rPr>
        <w:t>« </w:t>
      </w:r>
      <w:r w:rsidR="00C44B35" w:rsidRPr="00953692">
        <w:rPr>
          <w:rFonts w:cs="Times New Roman"/>
          <w:sz w:val="24"/>
          <w:szCs w:val="24"/>
          <w:lang w:val="fr-FR"/>
        </w:rPr>
        <w:t>la temporalité du droit (plus particulièrement de la justice) qui n’est pas une temporalité simple, unilatérale, mais complexe et plurielle</w:t>
      </w:r>
      <w:r w:rsidR="00DD45A4" w:rsidRPr="00953692">
        <w:rPr>
          <w:rFonts w:cs="Times New Roman"/>
          <w:sz w:val="24"/>
          <w:szCs w:val="24"/>
          <w:lang w:val="fr-FR"/>
        </w:rPr>
        <w:t> »</w:t>
      </w:r>
      <w:r w:rsidR="00A5376B" w:rsidRPr="00953692">
        <w:rPr>
          <w:rStyle w:val="Appelnotedebasdep"/>
          <w:rFonts w:cs="Times New Roman"/>
          <w:sz w:val="24"/>
          <w:szCs w:val="24"/>
          <w:lang w:val="fr-FR"/>
        </w:rPr>
        <w:footnoteReference w:customMarkFollows="1" w:id="216"/>
        <w:t>194</w:t>
      </w:r>
      <w:r w:rsidR="00C44B35" w:rsidRPr="00953692">
        <w:rPr>
          <w:rFonts w:cs="Times New Roman"/>
          <w:sz w:val="24"/>
          <w:szCs w:val="24"/>
          <w:lang w:val="fr-FR"/>
        </w:rPr>
        <w:t>.</w:t>
      </w:r>
      <w:r w:rsidR="00681D2B" w:rsidRPr="00953692">
        <w:rPr>
          <w:rFonts w:cs="Times New Roman"/>
          <w:sz w:val="24"/>
          <w:szCs w:val="24"/>
          <w:lang w:val="fr-FR"/>
        </w:rPr>
        <w:t xml:space="preserve"> </w:t>
      </w:r>
      <w:r w:rsidR="00681D2B" w:rsidRPr="00953692">
        <w:rPr>
          <w:rStyle w:val="grammar"/>
          <w:rFonts w:cs="Times New Roman"/>
          <w:sz w:val="24"/>
          <w:szCs w:val="24"/>
          <w:lang w:val="fr-FR"/>
        </w:rPr>
        <w:t>À</w:t>
      </w:r>
      <w:r w:rsidR="00681D2B" w:rsidRPr="00953692">
        <w:rPr>
          <w:rFonts w:cs="Times New Roman"/>
          <w:sz w:val="24"/>
          <w:szCs w:val="24"/>
          <w:shd w:val="clear" w:color="auto" w:fill="FFFFFF"/>
          <w:lang w:val="fr-FR"/>
        </w:rPr>
        <w:t xml:space="preserve"> </w:t>
      </w:r>
      <w:r w:rsidR="00DD45A4" w:rsidRPr="00953692">
        <w:rPr>
          <w:rFonts w:cs="Times New Roman"/>
          <w:sz w:val="24"/>
          <w:szCs w:val="24"/>
          <w:lang w:val="fr-FR"/>
        </w:rPr>
        <w:t xml:space="preserve">ce titre, comme le soutient </w:t>
      </w:r>
      <w:r w:rsidR="00DD45A4" w:rsidRPr="00953692">
        <w:rPr>
          <w:rFonts w:eastAsia="Times New Roman" w:cs="Times New Roman"/>
          <w:sz w:val="24"/>
          <w:szCs w:val="24"/>
          <w:lang w:val="fr-FR"/>
        </w:rPr>
        <w:t>Françoise Tulkens,</w:t>
      </w:r>
      <w:r w:rsidR="00DD45A4" w:rsidRPr="00953692">
        <w:rPr>
          <w:sz w:val="24"/>
          <w:szCs w:val="24"/>
          <w:lang w:val="fr-FR"/>
        </w:rPr>
        <w:t xml:space="preserve"> « la procédure</w:t>
      </w:r>
      <w:r w:rsidR="00681D2B" w:rsidRPr="00953692">
        <w:rPr>
          <w:sz w:val="24"/>
          <w:szCs w:val="24"/>
          <w:lang w:val="fr-FR"/>
        </w:rPr>
        <w:t>,</w:t>
      </w:r>
      <w:r w:rsidR="00DD45A4" w:rsidRPr="00953692">
        <w:rPr>
          <w:sz w:val="24"/>
          <w:szCs w:val="24"/>
          <w:lang w:val="fr-FR"/>
        </w:rPr>
        <w:t xml:space="preserve"> c’est la prudence, la trêve, la réflexion, en considérant ainsi le risque d’une justice accélérée, précipitée et bâclée »</w:t>
      </w:r>
      <w:r w:rsidR="00A5376B" w:rsidRPr="00953692">
        <w:rPr>
          <w:rStyle w:val="Appelnotedebasdep"/>
          <w:sz w:val="24"/>
          <w:szCs w:val="24"/>
          <w:lang w:val="fr-FR"/>
        </w:rPr>
        <w:footnoteReference w:customMarkFollows="1" w:id="217"/>
        <w:t>194</w:t>
      </w:r>
      <w:r w:rsidR="00DD45A4" w:rsidRPr="00953692">
        <w:rPr>
          <w:sz w:val="24"/>
          <w:szCs w:val="24"/>
          <w:lang w:val="fr-FR"/>
        </w:rPr>
        <w:t xml:space="preserve">. Outre le fait que la justice devra </w:t>
      </w:r>
      <w:r w:rsidR="00825E56" w:rsidRPr="00953692">
        <w:rPr>
          <w:sz w:val="24"/>
          <w:szCs w:val="24"/>
          <w:lang w:val="fr-FR"/>
        </w:rPr>
        <w:t xml:space="preserve">rechercher avec soin les éléments de preuve afin de mieux juger, elle devra en même temps respecter les droits procéduraux de l’accusé dans le but de lui garantir un procès équitable. Ce qui semble remarquable, c’est principalement l’effet suspensif que ces droits produisent sur la durée du procès. Leur réalisation influe donc sur </w:t>
      </w:r>
      <w:r w:rsidR="00603C13" w:rsidRPr="00953692">
        <w:rPr>
          <w:sz w:val="24"/>
          <w:szCs w:val="24"/>
          <w:lang w:val="fr-FR"/>
        </w:rPr>
        <w:t>la durée globale du procès</w:t>
      </w:r>
      <w:r w:rsidR="00825E56" w:rsidRPr="00953692">
        <w:rPr>
          <w:sz w:val="24"/>
          <w:szCs w:val="24"/>
          <w:lang w:val="fr-FR"/>
        </w:rPr>
        <w:t xml:space="preserve"> </w:t>
      </w:r>
      <w:r w:rsidR="00DE1ED7" w:rsidRPr="00953692">
        <w:rPr>
          <w:sz w:val="24"/>
          <w:szCs w:val="24"/>
          <w:lang w:val="fr-FR"/>
        </w:rPr>
        <w:t xml:space="preserve">pénal international </w:t>
      </w:r>
      <w:r w:rsidR="00825E56" w:rsidRPr="00953692">
        <w:rPr>
          <w:sz w:val="24"/>
          <w:szCs w:val="24"/>
          <w:lang w:val="fr-FR"/>
        </w:rPr>
        <w:t xml:space="preserve">et renvoie clairement l’image d’une conflictualité avec le droit de l’accusé </w:t>
      </w:r>
      <w:r w:rsidR="00825E56" w:rsidRPr="00953692">
        <w:rPr>
          <w:sz w:val="24"/>
          <w:szCs w:val="24"/>
          <w:lang w:val="fr-FR"/>
        </w:rPr>
        <w:lastRenderedPageBreak/>
        <w:t>d’être jugé sans retard excessif.</w:t>
      </w:r>
      <w:r w:rsidR="001B4F8E" w:rsidRPr="00953692">
        <w:rPr>
          <w:sz w:val="24"/>
          <w:szCs w:val="24"/>
          <w:lang w:val="fr-FR"/>
        </w:rPr>
        <w:t xml:space="preserve"> </w:t>
      </w:r>
      <w:r w:rsidR="00603C13" w:rsidRPr="00953692">
        <w:rPr>
          <w:sz w:val="24"/>
          <w:szCs w:val="24"/>
          <w:lang w:val="fr-FR"/>
        </w:rPr>
        <w:t xml:space="preserve">Cette observation n’est pas putative, elle repose sur la réalité des juridictions pénales internationales. </w:t>
      </w:r>
    </w:p>
    <w:p w14:paraId="0525728D" w14:textId="0AC0B26A" w:rsidR="00DF0FDB" w:rsidRPr="00953692" w:rsidRDefault="005173FA" w:rsidP="00864BBF">
      <w:pPr>
        <w:spacing w:after="0" w:line="276" w:lineRule="auto"/>
        <w:ind w:firstLine="1134"/>
        <w:jc w:val="both"/>
        <w:rPr>
          <w:sz w:val="24"/>
          <w:szCs w:val="24"/>
          <w:lang w:val="fr-FR"/>
        </w:rPr>
      </w:pPr>
      <w:r w:rsidRPr="00953692">
        <w:rPr>
          <w:b/>
          <w:bCs/>
          <w:sz w:val="24"/>
          <w:szCs w:val="24"/>
          <w:lang w:val="fr-FR"/>
        </w:rPr>
        <w:t>287</w:t>
      </w:r>
      <w:r w:rsidR="00D4528B" w:rsidRPr="00953692">
        <w:rPr>
          <w:b/>
          <w:bCs/>
          <w:sz w:val="24"/>
          <w:szCs w:val="24"/>
          <w:lang w:val="fr-FR"/>
        </w:rPr>
        <w:t>.</w:t>
      </w:r>
      <w:r w:rsidR="00D4528B" w:rsidRPr="00953692">
        <w:rPr>
          <w:sz w:val="24"/>
          <w:szCs w:val="24"/>
          <w:lang w:val="fr-FR"/>
        </w:rPr>
        <w:t xml:space="preserve"> </w:t>
      </w:r>
      <w:r w:rsidR="00603C13" w:rsidRPr="00953692">
        <w:rPr>
          <w:sz w:val="24"/>
          <w:szCs w:val="24"/>
          <w:lang w:val="fr-FR"/>
        </w:rPr>
        <w:t xml:space="preserve">En fait, les lignes qui suivent montrent que, lorsqu’il se plaint des retards constitutifs de la violation de son droit d’être jugé sans retard excessif, l’accusé se heurte souvent à des reparties </w:t>
      </w:r>
      <w:r w:rsidR="00681D2B" w:rsidRPr="00953692">
        <w:rPr>
          <w:sz w:val="24"/>
          <w:szCs w:val="24"/>
          <w:lang w:val="fr-FR"/>
        </w:rPr>
        <w:t>venant</w:t>
      </w:r>
      <w:r w:rsidR="00603C13" w:rsidRPr="00953692">
        <w:rPr>
          <w:sz w:val="24"/>
          <w:szCs w:val="24"/>
          <w:lang w:val="fr-FR"/>
        </w:rPr>
        <w:t xml:space="preserve"> de juges ou du procureur</w:t>
      </w:r>
      <w:r w:rsidR="00022A6B" w:rsidRPr="00953692">
        <w:rPr>
          <w:sz w:val="24"/>
          <w:szCs w:val="24"/>
          <w:lang w:val="fr-FR"/>
        </w:rPr>
        <w:t xml:space="preserve"> </w:t>
      </w:r>
      <w:r w:rsidR="00603C13" w:rsidRPr="00953692">
        <w:rPr>
          <w:sz w:val="24"/>
          <w:szCs w:val="24"/>
          <w:lang w:val="fr-FR"/>
        </w:rPr>
        <w:t>laiss</w:t>
      </w:r>
      <w:r w:rsidR="00022A6B" w:rsidRPr="00953692">
        <w:rPr>
          <w:sz w:val="24"/>
          <w:szCs w:val="24"/>
          <w:lang w:val="fr-FR"/>
        </w:rPr>
        <w:t>a</w:t>
      </w:r>
      <w:r w:rsidR="00603C13" w:rsidRPr="00953692">
        <w:rPr>
          <w:sz w:val="24"/>
          <w:szCs w:val="24"/>
          <w:lang w:val="fr-FR"/>
        </w:rPr>
        <w:t xml:space="preserve">nt </w:t>
      </w:r>
      <w:r w:rsidR="00681D2B" w:rsidRPr="00953692">
        <w:rPr>
          <w:sz w:val="24"/>
          <w:szCs w:val="24"/>
          <w:lang w:val="fr-FR"/>
        </w:rPr>
        <w:t>transparaitre</w:t>
      </w:r>
      <w:r w:rsidR="00603C13" w:rsidRPr="00953692">
        <w:rPr>
          <w:sz w:val="24"/>
          <w:szCs w:val="24"/>
          <w:lang w:val="fr-FR"/>
        </w:rPr>
        <w:t xml:space="preserve"> cette conflictualité</w:t>
      </w:r>
      <w:r w:rsidR="00603C13" w:rsidRPr="00953692">
        <w:rPr>
          <w:i/>
          <w:iCs/>
          <w:sz w:val="24"/>
          <w:szCs w:val="24"/>
          <w:lang w:val="fr-FR"/>
        </w:rPr>
        <w:t xml:space="preserve">. </w:t>
      </w:r>
      <w:r w:rsidR="00DF0FDB" w:rsidRPr="00953692">
        <w:rPr>
          <w:i/>
          <w:iCs/>
          <w:sz w:val="24"/>
          <w:szCs w:val="24"/>
          <w:lang w:val="fr-FR"/>
        </w:rPr>
        <w:t>C’est dire que, les organes judiciaires n’hésitent pas à rappeler à l’accusé qu’à un moment donné</w:t>
      </w:r>
      <w:r w:rsidR="00022A6B" w:rsidRPr="00953692">
        <w:rPr>
          <w:i/>
          <w:iCs/>
          <w:sz w:val="24"/>
          <w:szCs w:val="24"/>
          <w:lang w:val="fr-FR"/>
        </w:rPr>
        <w:t>,</w:t>
      </w:r>
      <w:r w:rsidR="00DF0FDB" w:rsidRPr="00953692">
        <w:rPr>
          <w:i/>
          <w:iCs/>
          <w:sz w:val="24"/>
          <w:szCs w:val="24"/>
          <w:lang w:val="fr-FR"/>
        </w:rPr>
        <w:t xml:space="preserve"> le procès s’était arrêté ou avait été suspendu parce qu’il a fallu observer l’un ou l’autre de son propre droit</w:t>
      </w:r>
      <w:r w:rsidR="00DF0FDB" w:rsidRPr="00953692">
        <w:rPr>
          <w:sz w:val="24"/>
          <w:szCs w:val="24"/>
          <w:lang w:val="fr-FR"/>
        </w:rPr>
        <w:t xml:space="preserve">. Il est vrai que des telles </w:t>
      </w:r>
      <w:r w:rsidR="00B3021C" w:rsidRPr="00953692">
        <w:rPr>
          <w:sz w:val="24"/>
          <w:szCs w:val="24"/>
          <w:lang w:val="fr-FR"/>
        </w:rPr>
        <w:t>objections</w:t>
      </w:r>
      <w:r w:rsidR="00DF0FDB" w:rsidRPr="00953692">
        <w:rPr>
          <w:sz w:val="24"/>
          <w:szCs w:val="24"/>
          <w:lang w:val="fr-FR"/>
        </w:rPr>
        <w:t xml:space="preserve"> mettent l’accusé dans l’embarras</w:t>
      </w:r>
      <w:r w:rsidR="00022A6B" w:rsidRPr="00953692">
        <w:rPr>
          <w:sz w:val="24"/>
          <w:szCs w:val="24"/>
          <w:lang w:val="fr-FR"/>
        </w:rPr>
        <w:t>,</w:t>
      </w:r>
      <w:r w:rsidR="00DF0FDB" w:rsidRPr="00953692">
        <w:rPr>
          <w:sz w:val="24"/>
          <w:szCs w:val="24"/>
          <w:lang w:val="fr-FR"/>
        </w:rPr>
        <w:t xml:space="preserve"> </w:t>
      </w:r>
      <w:r w:rsidR="007D1F36" w:rsidRPr="00953692">
        <w:rPr>
          <w:sz w:val="24"/>
          <w:szCs w:val="24"/>
          <w:lang w:val="fr-FR"/>
        </w:rPr>
        <w:t>révélant</w:t>
      </w:r>
      <w:r w:rsidR="00DF0FDB" w:rsidRPr="00953692">
        <w:rPr>
          <w:sz w:val="24"/>
          <w:szCs w:val="24"/>
          <w:lang w:val="fr-FR"/>
        </w:rPr>
        <w:t xml:space="preserve"> </w:t>
      </w:r>
      <w:r w:rsidR="007D1F36" w:rsidRPr="00953692">
        <w:rPr>
          <w:sz w:val="24"/>
          <w:szCs w:val="24"/>
          <w:lang w:val="fr-FR"/>
        </w:rPr>
        <w:t xml:space="preserve">par-là </w:t>
      </w:r>
      <w:r w:rsidR="00DF0FDB" w:rsidRPr="00953692">
        <w:rPr>
          <w:sz w:val="24"/>
          <w:szCs w:val="24"/>
          <w:lang w:val="fr-FR"/>
        </w:rPr>
        <w:t xml:space="preserve">cette conflictualité. </w:t>
      </w:r>
      <w:r w:rsidR="00A668FF" w:rsidRPr="00953692">
        <w:rPr>
          <w:sz w:val="24"/>
          <w:szCs w:val="24"/>
          <w:lang w:val="fr-FR"/>
        </w:rPr>
        <w:t>Celle-ci va</w:t>
      </w:r>
      <w:r w:rsidR="00DF0FDB" w:rsidRPr="00953692">
        <w:rPr>
          <w:sz w:val="24"/>
          <w:szCs w:val="24"/>
          <w:lang w:val="fr-FR"/>
        </w:rPr>
        <w:t xml:space="preserve"> </w:t>
      </w:r>
      <w:r w:rsidR="00455CD2" w:rsidRPr="00953692">
        <w:rPr>
          <w:sz w:val="24"/>
          <w:szCs w:val="24"/>
          <w:lang w:val="fr-FR"/>
        </w:rPr>
        <w:t xml:space="preserve">plutôt </w:t>
      </w:r>
      <w:r w:rsidR="00DF0FDB" w:rsidRPr="00953692">
        <w:rPr>
          <w:sz w:val="24"/>
          <w:szCs w:val="24"/>
          <w:lang w:val="fr-FR"/>
        </w:rPr>
        <w:t>clairement</w:t>
      </w:r>
      <w:r w:rsidR="00A668FF" w:rsidRPr="00953692">
        <w:rPr>
          <w:sz w:val="24"/>
          <w:szCs w:val="24"/>
          <w:lang w:val="fr-FR"/>
        </w:rPr>
        <w:t xml:space="preserve"> se révéler d’une part, </w:t>
      </w:r>
      <w:r w:rsidR="00B66CA2" w:rsidRPr="00953692">
        <w:rPr>
          <w:sz w:val="24"/>
          <w:szCs w:val="24"/>
          <w:lang w:val="fr-FR"/>
        </w:rPr>
        <w:t>à travers</w:t>
      </w:r>
      <w:r w:rsidR="00A668FF" w:rsidRPr="00953692">
        <w:rPr>
          <w:sz w:val="24"/>
          <w:szCs w:val="24"/>
          <w:lang w:val="fr-FR"/>
        </w:rPr>
        <w:t xml:space="preserve"> </w:t>
      </w:r>
      <w:r w:rsidR="008465C5" w:rsidRPr="00953692">
        <w:rPr>
          <w:sz w:val="24"/>
          <w:szCs w:val="24"/>
          <w:lang w:val="fr-FR"/>
        </w:rPr>
        <w:t>l’</w:t>
      </w:r>
      <w:r w:rsidR="00A668FF" w:rsidRPr="00953692">
        <w:rPr>
          <w:sz w:val="24"/>
          <w:szCs w:val="24"/>
          <w:lang w:val="fr-FR"/>
        </w:rPr>
        <w:t>essentialité</w:t>
      </w:r>
      <w:r w:rsidR="00B66CA2" w:rsidRPr="00953692">
        <w:rPr>
          <w:sz w:val="24"/>
          <w:szCs w:val="24"/>
          <w:lang w:val="fr-FR"/>
        </w:rPr>
        <w:t xml:space="preserve"> de ces droits dans un</w:t>
      </w:r>
      <w:r w:rsidR="008465C5" w:rsidRPr="00953692">
        <w:rPr>
          <w:sz w:val="24"/>
          <w:szCs w:val="24"/>
          <w:lang w:val="fr-FR"/>
        </w:rPr>
        <w:t xml:space="preserve"> procès</w:t>
      </w:r>
      <w:r w:rsidR="00B3021C" w:rsidRPr="00953692">
        <w:rPr>
          <w:sz w:val="24"/>
          <w:szCs w:val="24"/>
          <w:lang w:val="fr-FR"/>
        </w:rPr>
        <w:t xml:space="preserve"> pénal international</w:t>
      </w:r>
      <w:r w:rsidR="00A668FF" w:rsidRPr="00953692">
        <w:rPr>
          <w:sz w:val="24"/>
          <w:szCs w:val="24"/>
          <w:lang w:val="fr-FR"/>
        </w:rPr>
        <w:t xml:space="preserve"> </w:t>
      </w:r>
      <w:r w:rsidR="008465C5" w:rsidRPr="00953692">
        <w:rPr>
          <w:sz w:val="24"/>
          <w:szCs w:val="24"/>
          <w:lang w:val="fr-FR"/>
        </w:rPr>
        <w:t>et d’autre part, par la nécessité pour l’accusé de faire valoir ses vue</w:t>
      </w:r>
      <w:r w:rsidR="00681D2B" w:rsidRPr="00953692">
        <w:rPr>
          <w:sz w:val="24"/>
          <w:szCs w:val="24"/>
          <w:lang w:val="fr-FR"/>
        </w:rPr>
        <w:t>s</w:t>
      </w:r>
      <w:r w:rsidR="008465C5" w:rsidRPr="00953692">
        <w:rPr>
          <w:sz w:val="24"/>
          <w:szCs w:val="24"/>
          <w:lang w:val="fr-FR"/>
        </w:rPr>
        <w:t xml:space="preserve"> et préoccupations</w:t>
      </w:r>
      <w:r w:rsidR="008F7B7A" w:rsidRPr="00953692">
        <w:rPr>
          <w:sz w:val="24"/>
          <w:szCs w:val="24"/>
          <w:lang w:val="fr-FR"/>
        </w:rPr>
        <w:t xml:space="preserve"> tout au long de la procédure</w:t>
      </w:r>
      <w:r w:rsidR="00DF0FDB" w:rsidRPr="00953692">
        <w:rPr>
          <w:sz w:val="24"/>
          <w:szCs w:val="24"/>
          <w:lang w:val="fr-FR"/>
        </w:rPr>
        <w:t>, parfois au prix de son droit d’être jugé sans retard excessif</w:t>
      </w:r>
      <w:r w:rsidR="008465C5" w:rsidRPr="00953692">
        <w:rPr>
          <w:sz w:val="24"/>
          <w:szCs w:val="24"/>
          <w:lang w:val="fr-FR"/>
        </w:rPr>
        <w:t xml:space="preserve">. </w:t>
      </w:r>
    </w:p>
    <w:p w14:paraId="672CF592" w14:textId="1341FB51" w:rsidR="00AD7CCE" w:rsidRPr="00953692" w:rsidRDefault="005173FA" w:rsidP="00864BBF">
      <w:pPr>
        <w:spacing w:after="0" w:line="276" w:lineRule="auto"/>
        <w:ind w:firstLine="1134"/>
        <w:jc w:val="both"/>
        <w:rPr>
          <w:sz w:val="24"/>
          <w:szCs w:val="24"/>
          <w:lang w:val="fr-FR"/>
        </w:rPr>
      </w:pPr>
      <w:r w:rsidRPr="00953692">
        <w:rPr>
          <w:b/>
          <w:bCs/>
          <w:sz w:val="24"/>
          <w:szCs w:val="24"/>
          <w:lang w:val="fr-FR"/>
        </w:rPr>
        <w:t>288</w:t>
      </w:r>
      <w:r w:rsidR="00426D13" w:rsidRPr="00953692">
        <w:rPr>
          <w:b/>
          <w:bCs/>
          <w:sz w:val="24"/>
          <w:szCs w:val="24"/>
          <w:lang w:val="fr-FR"/>
        </w:rPr>
        <w:t>.</w:t>
      </w:r>
      <w:r w:rsidR="00426D13" w:rsidRPr="00953692">
        <w:rPr>
          <w:sz w:val="24"/>
          <w:szCs w:val="24"/>
          <w:lang w:val="fr-FR"/>
        </w:rPr>
        <w:t xml:space="preserve"> </w:t>
      </w:r>
      <w:r w:rsidR="00603C13" w:rsidRPr="00953692">
        <w:rPr>
          <w:sz w:val="24"/>
          <w:szCs w:val="24"/>
          <w:lang w:val="fr-FR"/>
        </w:rPr>
        <w:t xml:space="preserve">En effet, </w:t>
      </w:r>
      <w:r w:rsidR="00DF0FDB" w:rsidRPr="00953692">
        <w:rPr>
          <w:sz w:val="24"/>
          <w:szCs w:val="24"/>
          <w:lang w:val="fr-FR"/>
        </w:rPr>
        <w:t>en ce qui concerne la conflictualité par essentialité</w:t>
      </w:r>
      <w:r w:rsidR="008465C5" w:rsidRPr="00953692">
        <w:rPr>
          <w:sz w:val="24"/>
          <w:szCs w:val="24"/>
          <w:lang w:val="fr-FR"/>
        </w:rPr>
        <w:t xml:space="preserve"> que nous tenterons de développer </w:t>
      </w:r>
      <w:r w:rsidR="00B66CA2" w:rsidRPr="00953692">
        <w:rPr>
          <w:sz w:val="24"/>
          <w:szCs w:val="24"/>
          <w:lang w:val="fr-FR"/>
        </w:rPr>
        <w:t>au</w:t>
      </w:r>
      <w:r w:rsidR="008465C5" w:rsidRPr="00953692">
        <w:rPr>
          <w:sz w:val="24"/>
          <w:szCs w:val="24"/>
          <w:lang w:val="fr-FR"/>
        </w:rPr>
        <w:t xml:space="preserve"> premier chapitre, il sied de rappeler que, </w:t>
      </w:r>
      <w:r w:rsidR="00603C13" w:rsidRPr="00953692">
        <w:rPr>
          <w:sz w:val="24"/>
          <w:szCs w:val="24"/>
          <w:lang w:val="fr-FR"/>
        </w:rPr>
        <w:t>dans le cadre d’un procès équitable, les organes judiciaires se verront privés de tout pouvoir de rest</w:t>
      </w:r>
      <w:r w:rsidR="00DF0FDB" w:rsidRPr="00953692">
        <w:rPr>
          <w:sz w:val="24"/>
          <w:szCs w:val="24"/>
          <w:lang w:val="fr-FR"/>
        </w:rPr>
        <w:t>reindre</w:t>
      </w:r>
      <w:r w:rsidR="00603C13" w:rsidRPr="00953692">
        <w:rPr>
          <w:sz w:val="24"/>
          <w:szCs w:val="24"/>
          <w:lang w:val="fr-FR"/>
        </w:rPr>
        <w:t xml:space="preserve"> certains de ces droits</w:t>
      </w:r>
      <w:r w:rsidR="00DF0FDB" w:rsidRPr="00953692">
        <w:rPr>
          <w:sz w:val="24"/>
          <w:szCs w:val="24"/>
          <w:lang w:val="fr-FR"/>
        </w:rPr>
        <w:t xml:space="preserve"> de l’accusé</w:t>
      </w:r>
      <w:r w:rsidR="008465C5" w:rsidRPr="00953692">
        <w:rPr>
          <w:sz w:val="24"/>
          <w:szCs w:val="24"/>
          <w:lang w:val="fr-FR"/>
        </w:rPr>
        <w:t>.</w:t>
      </w:r>
      <w:r w:rsidR="00A668FF" w:rsidRPr="00953692">
        <w:rPr>
          <w:sz w:val="24"/>
          <w:szCs w:val="24"/>
          <w:lang w:val="fr-FR"/>
        </w:rPr>
        <w:t xml:space="preserve"> </w:t>
      </w:r>
      <w:r w:rsidR="008465C5" w:rsidRPr="00953692">
        <w:rPr>
          <w:sz w:val="24"/>
          <w:szCs w:val="24"/>
          <w:lang w:val="fr-FR"/>
        </w:rPr>
        <w:t>Car</w:t>
      </w:r>
      <w:r w:rsidR="00A668FF" w:rsidRPr="00953692">
        <w:rPr>
          <w:sz w:val="24"/>
          <w:szCs w:val="24"/>
          <w:lang w:val="fr-FR"/>
        </w:rPr>
        <w:t xml:space="preserve"> les droits tels que</w:t>
      </w:r>
      <w:r w:rsidR="00B66CA2" w:rsidRPr="00953692">
        <w:rPr>
          <w:sz w:val="24"/>
          <w:szCs w:val="24"/>
          <w:lang w:val="fr-FR"/>
        </w:rPr>
        <w:t>,</w:t>
      </w:r>
      <w:r w:rsidR="00A668FF" w:rsidRPr="00953692">
        <w:rPr>
          <w:sz w:val="24"/>
          <w:szCs w:val="24"/>
          <w:lang w:val="fr-FR"/>
        </w:rPr>
        <w:t xml:space="preserve"> le droit de disposer du temps nécessaire à la préparation de la défense </w:t>
      </w:r>
      <w:r w:rsidR="003D19C5" w:rsidRPr="00953692">
        <w:rPr>
          <w:sz w:val="24"/>
          <w:szCs w:val="24"/>
          <w:lang w:val="fr-FR"/>
        </w:rPr>
        <w:t xml:space="preserve">ou le droit à la communication des pièces </w:t>
      </w:r>
      <w:r w:rsidR="00A668FF" w:rsidRPr="00953692">
        <w:rPr>
          <w:sz w:val="24"/>
          <w:szCs w:val="24"/>
          <w:lang w:val="fr-FR"/>
        </w:rPr>
        <w:t xml:space="preserve">en constituent </w:t>
      </w:r>
      <w:r w:rsidR="00B66CA2" w:rsidRPr="00953692">
        <w:rPr>
          <w:sz w:val="24"/>
          <w:szCs w:val="24"/>
          <w:lang w:val="fr-FR"/>
        </w:rPr>
        <w:t>d</w:t>
      </w:r>
      <w:r w:rsidR="00A668FF" w:rsidRPr="00953692">
        <w:rPr>
          <w:sz w:val="24"/>
          <w:szCs w:val="24"/>
          <w:lang w:val="fr-FR"/>
        </w:rPr>
        <w:t>es piliers</w:t>
      </w:r>
      <w:r w:rsidR="00B66CA2" w:rsidRPr="00953692">
        <w:rPr>
          <w:sz w:val="24"/>
          <w:szCs w:val="24"/>
          <w:lang w:val="fr-FR"/>
        </w:rPr>
        <w:t xml:space="preserve"> indéboulonnables</w:t>
      </w:r>
      <w:r w:rsidR="00A668FF" w:rsidRPr="00953692">
        <w:rPr>
          <w:sz w:val="24"/>
          <w:szCs w:val="24"/>
          <w:lang w:val="fr-FR"/>
        </w:rPr>
        <w:t xml:space="preserve">. </w:t>
      </w:r>
    </w:p>
    <w:p w14:paraId="2B47E365" w14:textId="3020FD97" w:rsidR="005842B4" w:rsidRPr="00953692" w:rsidRDefault="005173FA" w:rsidP="00864BBF">
      <w:pPr>
        <w:spacing w:after="0" w:line="276" w:lineRule="auto"/>
        <w:ind w:firstLine="1134"/>
        <w:jc w:val="both"/>
        <w:rPr>
          <w:sz w:val="24"/>
          <w:szCs w:val="24"/>
          <w:lang w:val="fr-FR"/>
        </w:rPr>
      </w:pPr>
      <w:r w:rsidRPr="00953692">
        <w:rPr>
          <w:b/>
          <w:bCs/>
          <w:sz w:val="24"/>
          <w:szCs w:val="24"/>
          <w:lang w:val="fr-FR"/>
        </w:rPr>
        <w:t>289.</w:t>
      </w:r>
      <w:r w:rsidRPr="00953692">
        <w:rPr>
          <w:sz w:val="24"/>
          <w:szCs w:val="24"/>
          <w:lang w:val="fr-FR"/>
        </w:rPr>
        <w:t xml:space="preserve"> </w:t>
      </w:r>
      <w:r w:rsidR="00A668FF" w:rsidRPr="00953692">
        <w:rPr>
          <w:sz w:val="24"/>
          <w:szCs w:val="24"/>
          <w:lang w:val="fr-FR"/>
        </w:rPr>
        <w:t xml:space="preserve">Ce </w:t>
      </w:r>
      <w:r w:rsidR="00B66CA2" w:rsidRPr="00953692">
        <w:rPr>
          <w:sz w:val="24"/>
          <w:szCs w:val="24"/>
          <w:lang w:val="fr-FR"/>
        </w:rPr>
        <w:t>type</w:t>
      </w:r>
      <w:r w:rsidR="00A668FF" w:rsidRPr="00953692">
        <w:rPr>
          <w:sz w:val="24"/>
          <w:szCs w:val="24"/>
          <w:lang w:val="fr-FR"/>
        </w:rPr>
        <w:t xml:space="preserve"> des droits s’impose d’en haut à l’accusé lui-même, à moins qu’il y renonce et accepte de subir les conséquences qui en découleraient</w:t>
      </w:r>
      <w:r w:rsidR="0079648C" w:rsidRPr="00953692">
        <w:rPr>
          <w:sz w:val="24"/>
          <w:szCs w:val="24"/>
          <w:lang w:val="fr-FR"/>
        </w:rPr>
        <w:t xml:space="preserve"> </w:t>
      </w:r>
      <w:r w:rsidR="0079648C" w:rsidRPr="00953692">
        <w:rPr>
          <w:i/>
          <w:iCs/>
          <w:sz w:val="24"/>
          <w:szCs w:val="24"/>
          <w:lang w:val="fr-FR"/>
        </w:rPr>
        <w:t>in fine</w:t>
      </w:r>
      <w:r w:rsidR="00A668FF" w:rsidRPr="00953692">
        <w:rPr>
          <w:sz w:val="24"/>
          <w:szCs w:val="24"/>
          <w:lang w:val="fr-FR"/>
        </w:rPr>
        <w:t xml:space="preserve">. </w:t>
      </w:r>
      <w:r w:rsidR="008F7B7A" w:rsidRPr="00953692">
        <w:rPr>
          <w:sz w:val="24"/>
          <w:szCs w:val="24"/>
          <w:lang w:val="fr-FR"/>
        </w:rPr>
        <w:t>Par contre, s</w:t>
      </w:r>
      <w:r w:rsidR="003D19C5" w:rsidRPr="00953692">
        <w:rPr>
          <w:sz w:val="24"/>
          <w:szCs w:val="24"/>
          <w:lang w:val="fr-FR"/>
        </w:rPr>
        <w:t xml:space="preserve">’agissant </w:t>
      </w:r>
      <w:r w:rsidR="008F7B7A" w:rsidRPr="00953692">
        <w:rPr>
          <w:sz w:val="24"/>
          <w:szCs w:val="24"/>
          <w:lang w:val="fr-FR"/>
        </w:rPr>
        <w:t xml:space="preserve">de </w:t>
      </w:r>
      <w:r w:rsidR="003D19C5" w:rsidRPr="00953692">
        <w:rPr>
          <w:sz w:val="24"/>
          <w:szCs w:val="24"/>
          <w:lang w:val="fr-FR"/>
        </w:rPr>
        <w:t>la conflictualité par nécessité</w:t>
      </w:r>
      <w:r w:rsidR="008465C5" w:rsidRPr="00953692">
        <w:rPr>
          <w:sz w:val="24"/>
          <w:szCs w:val="24"/>
          <w:lang w:val="fr-FR"/>
        </w:rPr>
        <w:t xml:space="preserve">, qui constituera l’objet du second chapitre de cette seconde partie, </w:t>
      </w:r>
      <w:r w:rsidR="00B66CA2" w:rsidRPr="00953692">
        <w:rPr>
          <w:sz w:val="24"/>
          <w:szCs w:val="24"/>
          <w:lang w:val="fr-FR"/>
        </w:rPr>
        <w:t xml:space="preserve">nous verrons que </w:t>
      </w:r>
      <w:r w:rsidR="008465C5" w:rsidRPr="00953692">
        <w:rPr>
          <w:sz w:val="24"/>
          <w:szCs w:val="24"/>
          <w:lang w:val="fr-FR"/>
        </w:rPr>
        <w:t xml:space="preserve">les </w:t>
      </w:r>
      <w:r w:rsidR="00B66CA2" w:rsidRPr="00953692">
        <w:rPr>
          <w:sz w:val="24"/>
          <w:szCs w:val="24"/>
          <w:lang w:val="fr-FR"/>
        </w:rPr>
        <w:t xml:space="preserve">rédacteurs des actes constitutifs et les </w:t>
      </w:r>
      <w:r w:rsidR="008465C5" w:rsidRPr="00953692">
        <w:rPr>
          <w:sz w:val="24"/>
          <w:szCs w:val="24"/>
          <w:lang w:val="fr-FR"/>
        </w:rPr>
        <w:t>juges ont, en vue de garantir notamment la célérité de la procédure, les pouvoirs de limiter les actions</w:t>
      </w:r>
      <w:r w:rsidR="00B66CA2" w:rsidRPr="00953692">
        <w:rPr>
          <w:sz w:val="24"/>
          <w:szCs w:val="24"/>
          <w:lang w:val="fr-FR"/>
        </w:rPr>
        <w:t xml:space="preserve"> (ou les droits)</w:t>
      </w:r>
      <w:r w:rsidR="008465C5" w:rsidRPr="00953692">
        <w:rPr>
          <w:sz w:val="24"/>
          <w:szCs w:val="24"/>
          <w:lang w:val="fr-FR"/>
        </w:rPr>
        <w:t xml:space="preserve"> de l’accusé. </w:t>
      </w:r>
      <w:r w:rsidR="00B66CA2" w:rsidRPr="00953692">
        <w:rPr>
          <w:sz w:val="24"/>
          <w:szCs w:val="24"/>
          <w:lang w:val="fr-FR"/>
        </w:rPr>
        <w:t>Ce qui est intéressant, c’est que</w:t>
      </w:r>
      <w:r w:rsidR="008465C5" w:rsidRPr="00953692">
        <w:rPr>
          <w:sz w:val="24"/>
          <w:szCs w:val="24"/>
          <w:lang w:val="fr-FR"/>
        </w:rPr>
        <w:t xml:space="preserve"> ce</w:t>
      </w:r>
      <w:r w:rsidR="00D4528B" w:rsidRPr="00953692">
        <w:rPr>
          <w:sz w:val="24"/>
          <w:szCs w:val="24"/>
          <w:lang w:val="fr-FR"/>
        </w:rPr>
        <w:t xml:space="preserve"> dernier</w:t>
      </w:r>
      <w:r w:rsidR="008465C5" w:rsidRPr="00953692">
        <w:rPr>
          <w:sz w:val="24"/>
          <w:szCs w:val="24"/>
          <w:lang w:val="fr-FR"/>
        </w:rPr>
        <w:t xml:space="preserve"> peut aussi renoncer à </w:t>
      </w:r>
      <w:r w:rsidR="00D4528B" w:rsidRPr="00953692">
        <w:rPr>
          <w:sz w:val="24"/>
          <w:szCs w:val="24"/>
          <w:lang w:val="fr-FR"/>
        </w:rPr>
        <w:t>s</w:t>
      </w:r>
      <w:r w:rsidR="008465C5" w:rsidRPr="00953692">
        <w:rPr>
          <w:sz w:val="24"/>
          <w:szCs w:val="24"/>
          <w:lang w:val="fr-FR"/>
        </w:rPr>
        <w:t>es</w:t>
      </w:r>
      <w:r w:rsidR="00D4528B" w:rsidRPr="00953692">
        <w:rPr>
          <w:sz w:val="24"/>
          <w:szCs w:val="24"/>
          <w:lang w:val="fr-FR"/>
        </w:rPr>
        <w:t xml:space="preserve"> propres</w:t>
      </w:r>
      <w:r w:rsidR="008465C5" w:rsidRPr="00953692">
        <w:rPr>
          <w:sz w:val="24"/>
          <w:szCs w:val="24"/>
          <w:lang w:val="fr-FR"/>
        </w:rPr>
        <w:t xml:space="preserve"> droits sans que cela ait des </w:t>
      </w:r>
      <w:r w:rsidR="001B4F8E" w:rsidRPr="00953692">
        <w:rPr>
          <w:sz w:val="24"/>
          <w:szCs w:val="24"/>
          <w:lang w:val="fr-FR"/>
        </w:rPr>
        <w:t>répercussions</w:t>
      </w:r>
      <w:r w:rsidR="008465C5" w:rsidRPr="00953692">
        <w:rPr>
          <w:sz w:val="24"/>
          <w:szCs w:val="24"/>
          <w:lang w:val="fr-FR"/>
        </w:rPr>
        <w:t xml:space="preserve"> sur son droit d’</w:t>
      </w:r>
      <w:r w:rsidR="00D4528B" w:rsidRPr="00953692">
        <w:rPr>
          <w:sz w:val="24"/>
          <w:szCs w:val="24"/>
          <w:lang w:val="fr-FR"/>
        </w:rPr>
        <w:t>être</w:t>
      </w:r>
      <w:r w:rsidR="008465C5" w:rsidRPr="00953692">
        <w:rPr>
          <w:sz w:val="24"/>
          <w:szCs w:val="24"/>
          <w:lang w:val="fr-FR"/>
        </w:rPr>
        <w:t xml:space="preserve"> jugé sans retard excessif, </w:t>
      </w:r>
      <w:r w:rsidR="00B66CA2" w:rsidRPr="00953692">
        <w:rPr>
          <w:sz w:val="24"/>
          <w:szCs w:val="24"/>
          <w:lang w:val="fr-FR"/>
        </w:rPr>
        <w:t xml:space="preserve">et ce, </w:t>
      </w:r>
      <w:r w:rsidR="008465C5" w:rsidRPr="00953692">
        <w:rPr>
          <w:sz w:val="24"/>
          <w:szCs w:val="24"/>
          <w:lang w:val="fr-FR"/>
        </w:rPr>
        <w:t>bien au contraire.</w:t>
      </w:r>
      <w:bookmarkStart w:id="62" w:name="_Hlk118297359"/>
    </w:p>
    <w:p w14:paraId="154AD8D2" w14:textId="43E416A1" w:rsidR="003A4A23" w:rsidRPr="00953692" w:rsidRDefault="00426D13" w:rsidP="00864BBF">
      <w:pPr>
        <w:spacing w:after="0" w:line="276" w:lineRule="auto"/>
        <w:ind w:firstLine="1134"/>
        <w:jc w:val="both"/>
        <w:rPr>
          <w:sz w:val="24"/>
          <w:szCs w:val="24"/>
          <w:lang w:val="fr-FR"/>
        </w:rPr>
      </w:pPr>
      <w:r w:rsidRPr="00953692">
        <w:rPr>
          <w:b/>
          <w:bCs/>
          <w:sz w:val="24"/>
          <w:szCs w:val="24"/>
          <w:lang w:val="fr-FR"/>
        </w:rPr>
        <w:t>2</w:t>
      </w:r>
      <w:r w:rsidR="005173FA" w:rsidRPr="00953692">
        <w:rPr>
          <w:b/>
          <w:bCs/>
          <w:sz w:val="24"/>
          <w:szCs w:val="24"/>
          <w:lang w:val="fr-FR"/>
        </w:rPr>
        <w:t>90</w:t>
      </w:r>
      <w:r w:rsidRPr="00953692">
        <w:rPr>
          <w:b/>
          <w:bCs/>
          <w:sz w:val="24"/>
          <w:szCs w:val="24"/>
          <w:lang w:val="fr-FR"/>
        </w:rPr>
        <w:t>.</w:t>
      </w:r>
      <w:r w:rsidRPr="00953692">
        <w:rPr>
          <w:sz w:val="24"/>
          <w:szCs w:val="24"/>
          <w:lang w:val="fr-FR"/>
        </w:rPr>
        <w:t xml:space="preserve"> </w:t>
      </w:r>
      <w:r w:rsidR="00D43017" w:rsidRPr="00953692">
        <w:rPr>
          <w:sz w:val="24"/>
          <w:szCs w:val="24"/>
          <w:lang w:val="fr-FR"/>
        </w:rPr>
        <w:t xml:space="preserve">Dans tous les cas, cette conflictualité est </w:t>
      </w:r>
      <w:r w:rsidR="00DF0FDB" w:rsidRPr="00953692">
        <w:rPr>
          <w:sz w:val="24"/>
          <w:szCs w:val="24"/>
          <w:lang w:val="fr-FR"/>
        </w:rPr>
        <w:t xml:space="preserve">essentiellement </w:t>
      </w:r>
      <w:r w:rsidR="00D43017" w:rsidRPr="00953692">
        <w:rPr>
          <w:sz w:val="24"/>
          <w:szCs w:val="24"/>
          <w:lang w:val="fr-FR"/>
        </w:rPr>
        <w:t>subjective</w:t>
      </w:r>
      <w:r w:rsidR="00DF0FDB" w:rsidRPr="00953692">
        <w:rPr>
          <w:sz w:val="24"/>
          <w:szCs w:val="24"/>
          <w:lang w:val="fr-FR"/>
        </w:rPr>
        <w:t>.</w:t>
      </w:r>
      <w:r w:rsidR="00B26CF1" w:rsidRPr="00953692">
        <w:rPr>
          <w:sz w:val="24"/>
          <w:szCs w:val="24"/>
          <w:lang w:val="fr-FR"/>
        </w:rPr>
        <w:t xml:space="preserve"> Car il appartient à l’accusé de mettre en œuvre ses autres droits ou en exiger le respect sans perdre de vue son droit d’être jugé sans retard excessif. C’est </w:t>
      </w:r>
      <w:r w:rsidR="00F80321" w:rsidRPr="00953692">
        <w:rPr>
          <w:sz w:val="24"/>
          <w:szCs w:val="24"/>
          <w:lang w:val="fr-FR"/>
        </w:rPr>
        <w:t xml:space="preserve">principalement </w:t>
      </w:r>
      <w:r w:rsidR="00B26CF1" w:rsidRPr="00953692">
        <w:rPr>
          <w:sz w:val="24"/>
          <w:szCs w:val="24"/>
          <w:lang w:val="fr-FR"/>
        </w:rPr>
        <w:t xml:space="preserve">dans cette </w:t>
      </w:r>
      <w:r w:rsidR="0072277B" w:rsidRPr="00953692">
        <w:rPr>
          <w:sz w:val="24"/>
          <w:szCs w:val="24"/>
          <w:lang w:val="fr-FR"/>
        </w:rPr>
        <w:t>subjectivité</w:t>
      </w:r>
      <w:r w:rsidR="00B26CF1" w:rsidRPr="00953692">
        <w:rPr>
          <w:sz w:val="24"/>
          <w:szCs w:val="24"/>
          <w:lang w:val="fr-FR"/>
        </w:rPr>
        <w:t xml:space="preserve"> que se conçoit la conflictualité des rapports entre ces droits. </w:t>
      </w:r>
      <w:r w:rsidRPr="00953692">
        <w:rPr>
          <w:sz w:val="24"/>
          <w:szCs w:val="24"/>
          <w:lang w:val="fr-FR"/>
        </w:rPr>
        <w:t>L’accusé doit-il choisir l’un ou l’autre ? A-t-il les moyens de le</w:t>
      </w:r>
      <w:r w:rsidR="0072277B" w:rsidRPr="00953692">
        <w:rPr>
          <w:sz w:val="24"/>
          <w:szCs w:val="24"/>
          <w:lang w:val="fr-FR"/>
        </w:rPr>
        <w:t>s</w:t>
      </w:r>
      <w:r w:rsidRPr="00953692">
        <w:rPr>
          <w:sz w:val="24"/>
          <w:szCs w:val="24"/>
          <w:lang w:val="fr-FR"/>
        </w:rPr>
        <w:t xml:space="preserve"> réaliser ensemble sans en faire des concessions ? Peut-il réellement renoncer à l’un de</w:t>
      </w:r>
      <w:r w:rsidR="0072277B" w:rsidRPr="00953692">
        <w:rPr>
          <w:sz w:val="24"/>
          <w:szCs w:val="24"/>
          <w:lang w:val="fr-FR"/>
        </w:rPr>
        <w:t xml:space="preserve"> </w:t>
      </w:r>
      <w:r w:rsidRPr="00953692">
        <w:rPr>
          <w:sz w:val="24"/>
          <w:szCs w:val="24"/>
          <w:lang w:val="fr-FR"/>
        </w:rPr>
        <w:t>s</w:t>
      </w:r>
      <w:r w:rsidR="0072277B" w:rsidRPr="00953692">
        <w:rPr>
          <w:sz w:val="24"/>
          <w:szCs w:val="24"/>
          <w:lang w:val="fr-FR"/>
        </w:rPr>
        <w:t>es</w:t>
      </w:r>
      <w:r w:rsidRPr="00953692">
        <w:rPr>
          <w:sz w:val="24"/>
          <w:szCs w:val="24"/>
          <w:lang w:val="fr-FR"/>
        </w:rPr>
        <w:t xml:space="preserve"> droits au profit de l’autre ? Telles sont des questions auxquelles nous tenterons de répondre dans cette seconde partie de notre étude.</w:t>
      </w:r>
    </w:p>
    <w:p w14:paraId="2CBEBE8F" w14:textId="77777777" w:rsidR="00F8430B" w:rsidRPr="00953692" w:rsidRDefault="00F8430B" w:rsidP="00864BBF">
      <w:pPr>
        <w:spacing w:before="240" w:line="276" w:lineRule="auto"/>
        <w:ind w:left="1134"/>
        <w:jc w:val="both"/>
        <w:rPr>
          <w:rFonts w:cs="Times New Roman"/>
          <w:b/>
          <w:bCs/>
          <w:sz w:val="24"/>
          <w:szCs w:val="24"/>
          <w:lang w:val="fr-FR"/>
        </w:rPr>
      </w:pPr>
      <w:bookmarkStart w:id="63" w:name="_Hlk150648343"/>
    </w:p>
    <w:p w14:paraId="673A014F" w14:textId="77777777" w:rsidR="000B0381" w:rsidRPr="00953692" w:rsidRDefault="000B0381" w:rsidP="00864BBF">
      <w:pPr>
        <w:spacing w:before="240" w:line="276" w:lineRule="auto"/>
        <w:jc w:val="both"/>
        <w:rPr>
          <w:rFonts w:cs="Times New Roman"/>
          <w:b/>
          <w:bCs/>
          <w:sz w:val="24"/>
          <w:szCs w:val="24"/>
          <w:lang w:val="fr-FR"/>
        </w:rPr>
      </w:pPr>
    </w:p>
    <w:p w14:paraId="7B188CFB" w14:textId="77E56215" w:rsidR="00A5376B" w:rsidRPr="00953692" w:rsidRDefault="006E4B91" w:rsidP="00A5376B">
      <w:pPr>
        <w:pStyle w:val="Titre1"/>
        <w:spacing w:before="0" w:line="276" w:lineRule="auto"/>
        <w:jc w:val="center"/>
        <w:rPr>
          <w:rFonts w:ascii="Times New Roman" w:hAnsi="Times New Roman"/>
          <w:color w:val="auto"/>
          <w:sz w:val="28"/>
          <w:szCs w:val="28"/>
          <w:lang w:val="fr-FR"/>
        </w:rPr>
      </w:pPr>
      <w:bookmarkStart w:id="64" w:name="_Toc195179431"/>
      <w:r w:rsidRPr="00953692">
        <w:rPr>
          <w:rFonts w:ascii="Times New Roman" w:hAnsi="Times New Roman"/>
          <w:b/>
          <w:bCs/>
          <w:color w:val="auto"/>
          <w:sz w:val="28"/>
          <w:szCs w:val="28"/>
          <w:lang w:val="fr-FR"/>
        </w:rPr>
        <w:lastRenderedPageBreak/>
        <w:t xml:space="preserve">Chapitre </w:t>
      </w:r>
      <w:r w:rsidR="00D943A2" w:rsidRPr="00953692">
        <w:rPr>
          <w:rFonts w:ascii="Times New Roman" w:hAnsi="Times New Roman"/>
          <w:b/>
          <w:bCs/>
          <w:color w:val="auto"/>
          <w:sz w:val="28"/>
          <w:szCs w:val="28"/>
          <w:lang w:val="fr-FR"/>
        </w:rPr>
        <w:t>premier</w:t>
      </w:r>
      <w:r w:rsidR="005842B4" w:rsidRPr="00953692">
        <w:rPr>
          <w:rFonts w:ascii="Times New Roman" w:hAnsi="Times New Roman"/>
          <w:color w:val="auto"/>
          <w:sz w:val="28"/>
          <w:szCs w:val="28"/>
          <w:lang w:val="fr-FR"/>
        </w:rPr>
        <w:t>.</w:t>
      </w:r>
    </w:p>
    <w:p w14:paraId="0724A3CB" w14:textId="0A98E17D" w:rsidR="00A5376B" w:rsidRPr="00953692" w:rsidRDefault="006E4B91" w:rsidP="00A5376B">
      <w:pPr>
        <w:pStyle w:val="Titre1"/>
        <w:spacing w:before="0" w:after="240" w:line="276" w:lineRule="auto"/>
        <w:jc w:val="center"/>
        <w:rPr>
          <w:rFonts w:ascii="Times New Roman" w:hAnsi="Times New Roman"/>
          <w:i/>
          <w:iCs/>
          <w:color w:val="auto"/>
          <w:sz w:val="28"/>
          <w:szCs w:val="28"/>
          <w:lang w:val="fr-FR"/>
        </w:rPr>
      </w:pPr>
      <w:r w:rsidRPr="00953692">
        <w:rPr>
          <w:rFonts w:ascii="Times New Roman" w:hAnsi="Times New Roman"/>
          <w:b/>
          <w:bCs/>
          <w:color w:val="auto"/>
          <w:sz w:val="28"/>
          <w:szCs w:val="28"/>
          <w:lang w:val="fr-FR"/>
        </w:rPr>
        <w:t>La conflictualité par essen</w:t>
      </w:r>
      <w:r w:rsidR="00473766" w:rsidRPr="00953692">
        <w:rPr>
          <w:rFonts w:ascii="Times New Roman" w:hAnsi="Times New Roman"/>
          <w:b/>
          <w:bCs/>
          <w:color w:val="auto"/>
          <w:sz w:val="28"/>
          <w:szCs w:val="28"/>
          <w:lang w:val="fr-FR"/>
        </w:rPr>
        <w:t xml:space="preserve">tialité des droits de l’accusé </w:t>
      </w:r>
      <w:r w:rsidR="00E44C41" w:rsidRPr="00953692">
        <w:rPr>
          <w:rFonts w:ascii="Times New Roman" w:hAnsi="Times New Roman"/>
          <w:b/>
          <w:bCs/>
          <w:color w:val="auto"/>
          <w:sz w:val="28"/>
          <w:szCs w:val="28"/>
          <w:lang w:val="fr-FR"/>
        </w:rPr>
        <w:t>dans</w:t>
      </w:r>
      <w:r w:rsidR="009B0437" w:rsidRPr="00953692">
        <w:rPr>
          <w:rFonts w:ascii="Times New Roman" w:hAnsi="Times New Roman"/>
          <w:b/>
          <w:bCs/>
          <w:color w:val="auto"/>
          <w:sz w:val="28"/>
          <w:szCs w:val="28"/>
          <w:lang w:val="fr-FR"/>
        </w:rPr>
        <w:t xml:space="preserve"> </w:t>
      </w:r>
      <w:r w:rsidR="00473766" w:rsidRPr="00953692">
        <w:rPr>
          <w:rFonts w:ascii="Times New Roman" w:hAnsi="Times New Roman"/>
          <w:b/>
          <w:bCs/>
          <w:color w:val="auto"/>
          <w:sz w:val="28"/>
          <w:szCs w:val="28"/>
          <w:lang w:val="fr-FR"/>
        </w:rPr>
        <w:t>un procès équitable</w:t>
      </w:r>
      <w:r w:rsidR="00392598" w:rsidRPr="00953692">
        <w:rPr>
          <w:rFonts w:ascii="Times New Roman" w:hAnsi="Times New Roman"/>
          <w:b/>
          <w:bCs/>
          <w:color w:val="auto"/>
          <w:sz w:val="28"/>
          <w:szCs w:val="28"/>
          <w:lang w:val="fr-FR"/>
        </w:rPr>
        <w:t xml:space="preserve"> : </w:t>
      </w:r>
      <w:r w:rsidR="00392598" w:rsidRPr="00953692">
        <w:rPr>
          <w:rFonts w:ascii="Times New Roman" w:hAnsi="Times New Roman"/>
          <w:i/>
          <w:iCs/>
          <w:color w:val="auto"/>
          <w:sz w:val="28"/>
          <w:szCs w:val="28"/>
          <w:lang w:val="fr-FR"/>
        </w:rPr>
        <w:t>Entre l’un ou l’autre, ou ensemble ?</w:t>
      </w:r>
      <w:bookmarkEnd w:id="64"/>
    </w:p>
    <w:bookmarkEnd w:id="62"/>
    <w:bookmarkEnd w:id="63"/>
    <w:p w14:paraId="5FE5C172" w14:textId="19A69098" w:rsidR="009F41D0" w:rsidRPr="00953692" w:rsidRDefault="0034367A" w:rsidP="00A5376B">
      <w:pPr>
        <w:spacing w:after="0" w:line="276" w:lineRule="auto"/>
        <w:ind w:firstLine="1134"/>
        <w:jc w:val="both"/>
        <w:rPr>
          <w:sz w:val="24"/>
          <w:szCs w:val="24"/>
          <w:lang w:val="fr-FR"/>
        </w:rPr>
      </w:pPr>
      <w:r w:rsidRPr="00953692">
        <w:rPr>
          <w:rFonts w:cs="Times New Roman"/>
          <w:b/>
          <w:bCs/>
          <w:sz w:val="24"/>
          <w:szCs w:val="24"/>
          <w:lang w:val="fr-FR"/>
        </w:rPr>
        <w:t>2</w:t>
      </w:r>
      <w:r w:rsidR="0052267C" w:rsidRPr="00953692">
        <w:rPr>
          <w:rFonts w:cs="Times New Roman"/>
          <w:b/>
          <w:bCs/>
          <w:sz w:val="24"/>
          <w:szCs w:val="24"/>
          <w:lang w:val="fr-FR"/>
        </w:rPr>
        <w:t>91</w:t>
      </w:r>
      <w:r w:rsidRPr="00953692">
        <w:rPr>
          <w:rFonts w:cs="Times New Roman"/>
          <w:b/>
          <w:bCs/>
          <w:sz w:val="24"/>
          <w:szCs w:val="24"/>
          <w:lang w:val="fr-FR"/>
        </w:rPr>
        <w:t>.</w:t>
      </w:r>
      <w:r w:rsidRPr="00953692">
        <w:rPr>
          <w:rFonts w:cs="Times New Roman"/>
          <w:sz w:val="24"/>
          <w:szCs w:val="24"/>
          <w:lang w:val="fr-FR"/>
        </w:rPr>
        <w:t xml:space="preserve"> </w:t>
      </w:r>
      <w:r w:rsidR="00871F28" w:rsidRPr="00953692">
        <w:rPr>
          <w:rFonts w:cs="Times New Roman"/>
          <w:sz w:val="24"/>
          <w:szCs w:val="24"/>
          <w:lang w:val="fr-FR"/>
        </w:rPr>
        <w:t>Lorsqu’on remonte au tout début de la procédure</w:t>
      </w:r>
      <w:r w:rsidR="002D24F4" w:rsidRPr="00953692">
        <w:rPr>
          <w:rFonts w:cs="Times New Roman"/>
          <w:sz w:val="24"/>
          <w:szCs w:val="24"/>
          <w:lang w:val="fr-FR"/>
        </w:rPr>
        <w:t xml:space="preserve"> se rapport</w:t>
      </w:r>
      <w:r w:rsidR="00124A3B" w:rsidRPr="00953692">
        <w:rPr>
          <w:rFonts w:cs="Times New Roman"/>
          <w:sz w:val="24"/>
          <w:szCs w:val="24"/>
          <w:lang w:val="fr-FR"/>
        </w:rPr>
        <w:t>ant</w:t>
      </w:r>
      <w:r w:rsidR="002D24F4" w:rsidRPr="00953692">
        <w:rPr>
          <w:rFonts w:cs="Times New Roman"/>
          <w:sz w:val="24"/>
          <w:szCs w:val="24"/>
          <w:lang w:val="fr-FR"/>
        </w:rPr>
        <w:t xml:space="preserve"> à l’articulation des dispositions consacrées aux droits de l’accusé telle</w:t>
      </w:r>
      <w:r w:rsidR="00A070FA" w:rsidRPr="00953692">
        <w:rPr>
          <w:rFonts w:cs="Times New Roman"/>
          <w:sz w:val="24"/>
          <w:szCs w:val="24"/>
          <w:lang w:val="fr-FR"/>
        </w:rPr>
        <w:t xml:space="preserve"> que</w:t>
      </w:r>
      <w:r w:rsidR="00C863F9" w:rsidRPr="00953692">
        <w:rPr>
          <w:rFonts w:cs="Times New Roman"/>
          <w:sz w:val="24"/>
          <w:szCs w:val="24"/>
          <w:lang w:val="fr-FR"/>
        </w:rPr>
        <w:t xml:space="preserve"> celle de</w:t>
      </w:r>
      <w:r w:rsidR="002D24F4" w:rsidRPr="00953692">
        <w:rPr>
          <w:rFonts w:cs="Times New Roman"/>
          <w:sz w:val="24"/>
          <w:szCs w:val="24"/>
          <w:lang w:val="fr-FR"/>
        </w:rPr>
        <w:t xml:space="preserve"> l’article 67.1 du statut de Rome</w:t>
      </w:r>
      <w:r w:rsidR="00871F28" w:rsidRPr="00953692">
        <w:rPr>
          <w:rFonts w:cs="Times New Roman"/>
          <w:sz w:val="24"/>
          <w:szCs w:val="24"/>
          <w:lang w:val="fr-FR"/>
        </w:rPr>
        <w:t>, on se rend vite compte qu’il y a une trilogie</w:t>
      </w:r>
      <w:r w:rsidRPr="00953692">
        <w:rPr>
          <w:rFonts w:cs="Times New Roman"/>
          <w:sz w:val="24"/>
          <w:szCs w:val="24"/>
          <w:lang w:val="fr-FR"/>
        </w:rPr>
        <w:t xml:space="preserve"> dont la succession est remarquable</w:t>
      </w:r>
      <w:r w:rsidR="00C863F9" w:rsidRPr="00953692">
        <w:rPr>
          <w:rFonts w:cs="Times New Roman"/>
          <w:sz w:val="24"/>
          <w:szCs w:val="24"/>
          <w:lang w:val="fr-FR"/>
        </w:rPr>
        <w:t>ment</w:t>
      </w:r>
      <w:r w:rsidR="007D7C88" w:rsidRPr="00953692">
        <w:rPr>
          <w:rFonts w:cs="Times New Roman"/>
          <w:sz w:val="24"/>
          <w:szCs w:val="24"/>
          <w:lang w:val="fr-FR"/>
        </w:rPr>
        <w:t xml:space="preserve"> suggestive</w:t>
      </w:r>
      <w:r w:rsidR="00A2545F" w:rsidRPr="00953692">
        <w:rPr>
          <w:rFonts w:cs="Times New Roman"/>
          <w:sz w:val="24"/>
          <w:szCs w:val="24"/>
          <w:lang w:val="fr-FR"/>
        </w:rPr>
        <w:t> :</w:t>
      </w:r>
      <w:r w:rsidR="002D24F4" w:rsidRPr="00953692">
        <w:rPr>
          <w:rFonts w:cs="Times New Roman"/>
          <w:sz w:val="24"/>
          <w:szCs w:val="24"/>
          <w:lang w:val="fr-FR"/>
        </w:rPr>
        <w:t xml:space="preserve"> </w:t>
      </w:r>
      <w:r w:rsidR="00455CD2" w:rsidRPr="00953692">
        <w:rPr>
          <w:i/>
          <w:iCs/>
          <w:sz w:val="24"/>
          <w:szCs w:val="24"/>
          <w:lang w:val="fr-FR"/>
        </w:rPr>
        <w:t>l</w:t>
      </w:r>
      <w:r w:rsidR="00A070FA" w:rsidRPr="00953692">
        <w:rPr>
          <w:i/>
          <w:iCs/>
          <w:sz w:val="24"/>
          <w:szCs w:val="24"/>
          <w:lang w:val="fr-FR"/>
        </w:rPr>
        <w:t xml:space="preserve">ors de l'examen des charges portées contre lui </w:t>
      </w:r>
      <w:r w:rsidR="00A070FA" w:rsidRPr="00953692">
        <w:rPr>
          <w:rFonts w:cs="Times New Roman"/>
          <w:i/>
          <w:iCs/>
          <w:sz w:val="24"/>
          <w:szCs w:val="24"/>
          <w:lang w:val="fr-FR"/>
        </w:rPr>
        <w:t xml:space="preserve">(…) </w:t>
      </w:r>
      <w:r w:rsidR="00A070FA" w:rsidRPr="00953692">
        <w:rPr>
          <w:i/>
          <w:iCs/>
          <w:sz w:val="24"/>
          <w:szCs w:val="24"/>
          <w:lang w:val="fr-FR"/>
        </w:rPr>
        <w:t>l’accusé a droit, en pleine égalité, au moins aux garanties suivantes</w:t>
      </w:r>
      <w:r w:rsidR="009F41D0" w:rsidRPr="00953692">
        <w:rPr>
          <w:i/>
          <w:iCs/>
          <w:sz w:val="24"/>
          <w:szCs w:val="24"/>
          <w:lang w:val="fr-FR"/>
        </w:rPr>
        <w:t> :</w:t>
      </w:r>
      <w:r w:rsidR="00A070FA" w:rsidRPr="00953692">
        <w:rPr>
          <w:rFonts w:cs="Times New Roman"/>
          <w:i/>
          <w:iCs/>
          <w:sz w:val="24"/>
          <w:szCs w:val="24"/>
          <w:lang w:val="fr-FR"/>
        </w:rPr>
        <w:t xml:space="preserve"> </w:t>
      </w:r>
      <w:r w:rsidR="009F41D0" w:rsidRPr="00953692">
        <w:rPr>
          <w:rFonts w:cs="Times New Roman"/>
          <w:i/>
          <w:iCs/>
          <w:sz w:val="24"/>
          <w:szCs w:val="24"/>
          <w:lang w:val="fr-FR"/>
        </w:rPr>
        <w:t xml:space="preserve">a) </w:t>
      </w:r>
      <w:r w:rsidR="002D24F4" w:rsidRPr="00953692">
        <w:rPr>
          <w:rFonts w:cs="Times New Roman"/>
          <w:i/>
          <w:iCs/>
          <w:sz w:val="24"/>
          <w:szCs w:val="24"/>
          <w:lang w:val="fr-FR"/>
        </w:rPr>
        <w:t xml:space="preserve">le droit de l’accusé d’être informé </w:t>
      </w:r>
      <w:r w:rsidR="00A2545F" w:rsidRPr="00953692">
        <w:rPr>
          <w:rFonts w:cs="Times New Roman"/>
          <w:i/>
          <w:iCs/>
          <w:sz w:val="24"/>
          <w:szCs w:val="24"/>
          <w:lang w:val="fr-FR"/>
        </w:rPr>
        <w:t xml:space="preserve">dans le plus court délai </w:t>
      </w:r>
      <w:r w:rsidR="002D24F4" w:rsidRPr="00953692">
        <w:rPr>
          <w:rFonts w:cs="Times New Roman"/>
          <w:i/>
          <w:iCs/>
          <w:sz w:val="24"/>
          <w:szCs w:val="24"/>
          <w:lang w:val="fr-FR"/>
        </w:rPr>
        <w:t>en détail des faits et accusations portées contre lui</w:t>
      </w:r>
      <w:r w:rsidR="00A2545F" w:rsidRPr="00953692">
        <w:rPr>
          <w:rFonts w:cs="Times New Roman"/>
          <w:i/>
          <w:iCs/>
          <w:sz w:val="24"/>
          <w:szCs w:val="24"/>
          <w:lang w:val="fr-FR"/>
        </w:rPr>
        <w:t> ;</w:t>
      </w:r>
      <w:r w:rsidR="002D24F4" w:rsidRPr="00953692">
        <w:rPr>
          <w:rFonts w:cs="Times New Roman"/>
          <w:i/>
          <w:iCs/>
          <w:sz w:val="24"/>
          <w:szCs w:val="24"/>
          <w:lang w:val="fr-FR"/>
        </w:rPr>
        <w:t xml:space="preserve"> </w:t>
      </w:r>
      <w:r w:rsidR="009F41D0" w:rsidRPr="00953692">
        <w:rPr>
          <w:rFonts w:cs="Times New Roman"/>
          <w:i/>
          <w:iCs/>
          <w:sz w:val="24"/>
          <w:szCs w:val="24"/>
          <w:lang w:val="fr-FR"/>
        </w:rPr>
        <w:t xml:space="preserve">b) </w:t>
      </w:r>
      <w:r w:rsidR="00A2545F" w:rsidRPr="00953692">
        <w:rPr>
          <w:i/>
          <w:iCs/>
          <w:sz w:val="24"/>
          <w:szCs w:val="24"/>
          <w:lang w:val="fr-FR"/>
        </w:rPr>
        <w:t>le droit de disposer du temps et des facilités nécessaires à la préparation de sa défense et ;</w:t>
      </w:r>
      <w:r w:rsidR="009F41D0" w:rsidRPr="00953692">
        <w:rPr>
          <w:i/>
          <w:iCs/>
          <w:sz w:val="24"/>
          <w:szCs w:val="24"/>
          <w:lang w:val="fr-FR"/>
        </w:rPr>
        <w:t>c)</w:t>
      </w:r>
      <w:r w:rsidR="00A2545F" w:rsidRPr="00953692">
        <w:rPr>
          <w:i/>
          <w:iCs/>
          <w:sz w:val="24"/>
          <w:szCs w:val="24"/>
          <w:lang w:val="fr-FR"/>
        </w:rPr>
        <w:t xml:space="preserve"> le droit d’être jugé sans retard excessif</w:t>
      </w:r>
      <w:r w:rsidR="00A2545F" w:rsidRPr="00953692">
        <w:rPr>
          <w:sz w:val="24"/>
          <w:szCs w:val="24"/>
          <w:lang w:val="fr-FR"/>
        </w:rPr>
        <w:t xml:space="preserve">. </w:t>
      </w:r>
      <w:r w:rsidR="00052238" w:rsidRPr="00953692">
        <w:rPr>
          <w:sz w:val="24"/>
          <w:szCs w:val="24"/>
          <w:lang w:val="fr-FR"/>
        </w:rPr>
        <w:t>En termes simples, l’accusé reçoit les documents contenant les faits et accusations</w:t>
      </w:r>
      <w:r w:rsidR="009F41D0" w:rsidRPr="00953692">
        <w:rPr>
          <w:sz w:val="24"/>
          <w:szCs w:val="24"/>
          <w:lang w:val="fr-FR"/>
        </w:rPr>
        <w:t xml:space="preserve"> portées contre lui</w:t>
      </w:r>
      <w:r w:rsidR="007D7C88" w:rsidRPr="00953692">
        <w:rPr>
          <w:sz w:val="24"/>
          <w:szCs w:val="24"/>
          <w:lang w:val="fr-FR"/>
        </w:rPr>
        <w:t> ;</w:t>
      </w:r>
      <w:r w:rsidR="00052238" w:rsidRPr="00953692">
        <w:rPr>
          <w:sz w:val="24"/>
          <w:szCs w:val="24"/>
          <w:lang w:val="fr-FR"/>
        </w:rPr>
        <w:t xml:space="preserve"> dispose d’un laps de temps pour en prendre connaissance et préparer sa défense</w:t>
      </w:r>
      <w:r w:rsidR="007D7C88" w:rsidRPr="00953692">
        <w:rPr>
          <w:sz w:val="24"/>
          <w:szCs w:val="24"/>
          <w:lang w:val="fr-FR"/>
        </w:rPr>
        <w:t> ;</w:t>
      </w:r>
      <w:r w:rsidR="00052238" w:rsidRPr="00953692">
        <w:rPr>
          <w:sz w:val="24"/>
          <w:szCs w:val="24"/>
          <w:lang w:val="fr-FR"/>
        </w:rPr>
        <w:t xml:space="preserve"> et enfin devra </w:t>
      </w:r>
      <w:r w:rsidR="00752085" w:rsidRPr="00953692">
        <w:rPr>
          <w:sz w:val="24"/>
          <w:szCs w:val="24"/>
          <w:lang w:val="fr-FR"/>
        </w:rPr>
        <w:t>être</w:t>
      </w:r>
      <w:r w:rsidR="00052238" w:rsidRPr="00953692">
        <w:rPr>
          <w:sz w:val="24"/>
          <w:szCs w:val="24"/>
          <w:lang w:val="fr-FR"/>
        </w:rPr>
        <w:t xml:space="preserve"> jugé dans un délai raisonnable. </w:t>
      </w:r>
      <w:r w:rsidR="008956AF" w:rsidRPr="00953692">
        <w:rPr>
          <w:sz w:val="24"/>
          <w:szCs w:val="24"/>
          <w:lang w:val="fr-FR"/>
        </w:rPr>
        <w:t xml:space="preserve">Cette succession engendre </w:t>
      </w:r>
      <w:r w:rsidR="00ED7086" w:rsidRPr="00953692">
        <w:rPr>
          <w:sz w:val="24"/>
          <w:szCs w:val="24"/>
          <w:lang w:val="fr-FR"/>
        </w:rPr>
        <w:t xml:space="preserve">donc </w:t>
      </w:r>
      <w:r w:rsidR="008956AF" w:rsidRPr="00953692">
        <w:rPr>
          <w:sz w:val="24"/>
          <w:szCs w:val="24"/>
          <w:lang w:val="fr-FR"/>
        </w:rPr>
        <w:t>une suggestion selon laquelle</w:t>
      </w:r>
      <w:r w:rsidR="00ED7086" w:rsidRPr="00953692">
        <w:rPr>
          <w:sz w:val="24"/>
          <w:szCs w:val="24"/>
          <w:lang w:val="fr-FR"/>
        </w:rPr>
        <w:t xml:space="preserve">, </w:t>
      </w:r>
      <w:r w:rsidR="008956AF" w:rsidRPr="00953692">
        <w:rPr>
          <w:sz w:val="24"/>
          <w:szCs w:val="24"/>
          <w:lang w:val="fr-FR"/>
        </w:rPr>
        <w:t>les</w:t>
      </w:r>
      <w:r w:rsidR="00ED7086" w:rsidRPr="00953692">
        <w:rPr>
          <w:sz w:val="24"/>
          <w:szCs w:val="24"/>
          <w:lang w:val="fr-FR"/>
        </w:rPr>
        <w:t xml:space="preserve"> premières</w:t>
      </w:r>
      <w:r w:rsidR="008956AF" w:rsidRPr="00953692">
        <w:rPr>
          <w:sz w:val="24"/>
          <w:szCs w:val="24"/>
          <w:lang w:val="fr-FR"/>
        </w:rPr>
        <w:t xml:space="preserve"> actions </w:t>
      </w:r>
      <w:r w:rsidR="00ED7086" w:rsidRPr="00953692">
        <w:rPr>
          <w:sz w:val="24"/>
          <w:szCs w:val="24"/>
          <w:lang w:val="fr-FR"/>
        </w:rPr>
        <w:t xml:space="preserve">la justice très marquées par cette notion du temps, mêlant la rapidité à l’équité, veille tout autant à la crédibilité même du procès.  </w:t>
      </w:r>
    </w:p>
    <w:p w14:paraId="4A365510" w14:textId="78094258" w:rsidR="000A2568" w:rsidRPr="00953692" w:rsidRDefault="0034367A" w:rsidP="00A5376B">
      <w:pPr>
        <w:spacing w:after="0" w:line="276" w:lineRule="auto"/>
        <w:ind w:firstLine="1134"/>
        <w:jc w:val="both"/>
        <w:rPr>
          <w:rFonts w:cs="Times New Roman"/>
          <w:sz w:val="24"/>
          <w:szCs w:val="24"/>
          <w:lang w:val="fr-FR"/>
        </w:rPr>
      </w:pPr>
      <w:r w:rsidRPr="00953692">
        <w:rPr>
          <w:b/>
          <w:bCs/>
          <w:sz w:val="24"/>
          <w:szCs w:val="24"/>
          <w:lang w:val="fr-FR"/>
        </w:rPr>
        <w:t>2</w:t>
      </w:r>
      <w:r w:rsidR="0052267C" w:rsidRPr="00953692">
        <w:rPr>
          <w:b/>
          <w:bCs/>
          <w:sz w:val="24"/>
          <w:szCs w:val="24"/>
          <w:lang w:val="fr-FR"/>
        </w:rPr>
        <w:t>92</w:t>
      </w:r>
      <w:r w:rsidRPr="00953692">
        <w:rPr>
          <w:b/>
          <w:bCs/>
          <w:sz w:val="24"/>
          <w:szCs w:val="24"/>
          <w:lang w:val="fr-FR"/>
        </w:rPr>
        <w:t>.</w:t>
      </w:r>
      <w:r w:rsidRPr="00953692">
        <w:rPr>
          <w:sz w:val="24"/>
          <w:szCs w:val="24"/>
          <w:lang w:val="fr-FR"/>
        </w:rPr>
        <w:t xml:space="preserve"> </w:t>
      </w:r>
      <w:r w:rsidR="009F41D0" w:rsidRPr="00953692">
        <w:rPr>
          <w:sz w:val="24"/>
          <w:szCs w:val="24"/>
          <w:lang w:val="fr-FR"/>
        </w:rPr>
        <w:t>On retrouve un tel enchâssement dans la pensée profonde de Beccaria lorsqu’il aborde</w:t>
      </w:r>
      <w:r w:rsidR="00D27FAC" w:rsidRPr="00953692">
        <w:rPr>
          <w:sz w:val="24"/>
          <w:szCs w:val="24"/>
          <w:lang w:val="fr-FR"/>
        </w:rPr>
        <w:t xml:space="preserve"> la question de la durée de la procédure</w:t>
      </w:r>
      <w:r w:rsidR="009F41D0" w:rsidRPr="00953692">
        <w:rPr>
          <w:sz w:val="24"/>
          <w:szCs w:val="24"/>
          <w:lang w:val="fr-FR"/>
        </w:rPr>
        <w:t xml:space="preserve"> dans son</w:t>
      </w:r>
      <w:r w:rsidR="009F1857" w:rsidRPr="00953692">
        <w:rPr>
          <w:sz w:val="24"/>
          <w:szCs w:val="24"/>
          <w:lang w:val="fr-FR"/>
        </w:rPr>
        <w:t xml:space="preserve"> Traité des délits et des peines de 1764 en ces termes : « </w:t>
      </w:r>
      <w:r w:rsidR="009F1857" w:rsidRPr="00953692">
        <w:rPr>
          <w:i/>
          <w:iCs/>
          <w:sz w:val="24"/>
          <w:szCs w:val="24"/>
          <w:lang w:val="fr-FR"/>
        </w:rPr>
        <w:t>une fois les preuves ont été reconnues valables et la certitude du délit est établie, il fau</w:t>
      </w:r>
      <w:r w:rsidR="00927937" w:rsidRPr="00953692">
        <w:rPr>
          <w:i/>
          <w:iCs/>
          <w:sz w:val="24"/>
          <w:szCs w:val="24"/>
          <w:lang w:val="fr-FR"/>
        </w:rPr>
        <w:t>t</w:t>
      </w:r>
      <w:r w:rsidR="009F1857" w:rsidRPr="00953692">
        <w:rPr>
          <w:i/>
          <w:iCs/>
          <w:sz w:val="24"/>
          <w:szCs w:val="24"/>
          <w:lang w:val="fr-FR"/>
        </w:rPr>
        <w:t xml:space="preserve"> accorder à l’accusé le temps et les moyens nécessaires pour se justifier ; mais ce temps doit être assez bref pour ne pas compromettre la promptitude du châtiment, dont le but principal est de</w:t>
      </w:r>
      <w:r w:rsidR="009F41D0" w:rsidRPr="00953692">
        <w:rPr>
          <w:i/>
          <w:iCs/>
          <w:sz w:val="24"/>
          <w:szCs w:val="24"/>
          <w:lang w:val="fr-FR"/>
        </w:rPr>
        <w:t xml:space="preserve"> </w:t>
      </w:r>
      <w:r w:rsidR="009F1857" w:rsidRPr="00953692">
        <w:rPr>
          <w:rFonts w:cs="Times New Roman"/>
          <w:i/>
          <w:iCs/>
          <w:sz w:val="24"/>
          <w:szCs w:val="24"/>
          <w:lang w:val="fr-FR"/>
        </w:rPr>
        <w:t>refréner les délits</w:t>
      </w:r>
      <w:r w:rsidR="009F1857" w:rsidRPr="00953692">
        <w:rPr>
          <w:rFonts w:cs="Times New Roman"/>
          <w:sz w:val="24"/>
          <w:szCs w:val="24"/>
          <w:lang w:val="fr-FR"/>
        </w:rPr>
        <w:t> »</w:t>
      </w:r>
      <w:r w:rsidR="00A5376B" w:rsidRPr="00953692">
        <w:rPr>
          <w:rStyle w:val="Appelnotedebasdep"/>
          <w:rFonts w:cs="Times New Roman"/>
          <w:sz w:val="24"/>
          <w:szCs w:val="24"/>
          <w:lang w:val="fr-FR"/>
        </w:rPr>
        <w:footnoteReference w:customMarkFollows="1" w:id="218"/>
        <w:t>195</w:t>
      </w:r>
      <w:r w:rsidR="009F1857" w:rsidRPr="00953692">
        <w:rPr>
          <w:rFonts w:cs="Times New Roman"/>
          <w:sz w:val="24"/>
          <w:szCs w:val="24"/>
          <w:lang w:val="fr-FR"/>
        </w:rPr>
        <w:t>.</w:t>
      </w:r>
      <w:r w:rsidR="00D27FAC" w:rsidRPr="00953692">
        <w:rPr>
          <w:rFonts w:cs="Times New Roman"/>
          <w:sz w:val="24"/>
          <w:szCs w:val="24"/>
          <w:lang w:val="fr-FR"/>
        </w:rPr>
        <w:t xml:space="preserve"> En réalité, l’auteur mélange déjà </w:t>
      </w:r>
      <w:r w:rsidRPr="00953692">
        <w:rPr>
          <w:rFonts w:cs="Times New Roman"/>
          <w:sz w:val="24"/>
          <w:szCs w:val="24"/>
          <w:lang w:val="fr-FR"/>
        </w:rPr>
        <w:t>au XVIII</w:t>
      </w:r>
      <w:r w:rsidR="00FD5324" w:rsidRPr="00953692">
        <w:rPr>
          <w:rFonts w:cs="Times New Roman"/>
          <w:sz w:val="24"/>
          <w:szCs w:val="24"/>
          <w:lang w:val="fr-FR"/>
        </w:rPr>
        <w:t>e</w:t>
      </w:r>
      <w:r w:rsidRPr="00953692">
        <w:rPr>
          <w:rFonts w:cs="Times New Roman"/>
          <w:sz w:val="24"/>
          <w:szCs w:val="24"/>
          <w:lang w:val="fr-FR"/>
        </w:rPr>
        <w:t xml:space="preserve"> siècle</w:t>
      </w:r>
      <w:r w:rsidR="00D27FAC" w:rsidRPr="00953692">
        <w:rPr>
          <w:rFonts w:cs="Times New Roman"/>
          <w:sz w:val="24"/>
          <w:szCs w:val="24"/>
          <w:lang w:val="fr-FR"/>
        </w:rPr>
        <w:t>, et ce n’est nullement étonnant,</w:t>
      </w:r>
      <w:r w:rsidR="00680A74" w:rsidRPr="00953692">
        <w:rPr>
          <w:rFonts w:cs="Times New Roman"/>
          <w:sz w:val="24"/>
          <w:szCs w:val="24"/>
          <w:lang w:val="fr-FR"/>
        </w:rPr>
        <w:t xml:space="preserve"> l’information, la préparation de la défense et le délai raisonnable de la procédure. Mais il précise que ce temps de justification ne doit pas être assez long. </w:t>
      </w:r>
      <w:r w:rsidR="00ED7086" w:rsidRPr="00953692">
        <w:rPr>
          <w:rFonts w:cs="Times New Roman"/>
          <w:sz w:val="24"/>
          <w:szCs w:val="24"/>
          <w:lang w:val="fr-FR"/>
        </w:rPr>
        <w:t xml:space="preserve">Cependant, </w:t>
      </w:r>
      <w:r w:rsidR="00ED7086" w:rsidRPr="00953692">
        <w:rPr>
          <w:rStyle w:val="grammar"/>
          <w:rFonts w:cs="Times New Roman"/>
          <w:sz w:val="24"/>
          <w:szCs w:val="24"/>
          <w:lang w:val="fr-FR"/>
        </w:rPr>
        <w:t>à</w:t>
      </w:r>
      <w:r w:rsidR="00C34A2B" w:rsidRPr="00953692">
        <w:rPr>
          <w:rStyle w:val="grammar"/>
          <w:rFonts w:cs="Times New Roman"/>
          <w:sz w:val="24"/>
          <w:szCs w:val="24"/>
          <w:lang w:val="fr-FR"/>
        </w:rPr>
        <w:t xml:space="preserve"> partir</w:t>
      </w:r>
      <w:r w:rsidR="00C34A2B" w:rsidRPr="00953692">
        <w:rPr>
          <w:rFonts w:cs="Times New Roman"/>
          <w:sz w:val="24"/>
          <w:szCs w:val="24"/>
          <w:shd w:val="clear" w:color="auto" w:fill="FFFFFF"/>
          <w:lang w:val="fr-FR"/>
        </w:rPr>
        <w:t xml:space="preserve"> </w:t>
      </w:r>
      <w:r w:rsidR="00680A74" w:rsidRPr="00953692">
        <w:rPr>
          <w:rFonts w:cs="Times New Roman"/>
          <w:sz w:val="24"/>
          <w:szCs w:val="24"/>
          <w:lang w:val="fr-FR"/>
        </w:rPr>
        <w:t>de ce moment</w:t>
      </w:r>
      <w:r w:rsidR="00C34A2B" w:rsidRPr="00953692">
        <w:rPr>
          <w:rFonts w:cs="Times New Roman"/>
          <w:sz w:val="24"/>
          <w:szCs w:val="24"/>
          <w:lang w:val="fr-FR"/>
        </w:rPr>
        <w:t>,</w:t>
      </w:r>
      <w:r w:rsidR="00680A74" w:rsidRPr="00953692">
        <w:rPr>
          <w:rFonts w:cs="Times New Roman"/>
          <w:sz w:val="24"/>
          <w:szCs w:val="24"/>
          <w:lang w:val="fr-FR"/>
        </w:rPr>
        <w:t xml:space="preserve"> le temps qui relie la succession de ces droits</w:t>
      </w:r>
      <w:r w:rsidR="00AE03A0" w:rsidRPr="00953692">
        <w:rPr>
          <w:rFonts w:cs="Times New Roman"/>
          <w:sz w:val="24"/>
          <w:szCs w:val="24"/>
          <w:lang w:val="fr-FR"/>
        </w:rPr>
        <w:t xml:space="preserve"> de l’accusé</w:t>
      </w:r>
      <w:r w:rsidR="00680A74" w:rsidRPr="00953692">
        <w:rPr>
          <w:rFonts w:cs="Times New Roman"/>
          <w:sz w:val="24"/>
          <w:szCs w:val="24"/>
          <w:lang w:val="fr-FR"/>
        </w:rPr>
        <w:t xml:space="preserve"> acquiert une signification polémique</w:t>
      </w:r>
      <w:r w:rsidR="00AE03A0" w:rsidRPr="00953692">
        <w:rPr>
          <w:rFonts w:cs="Times New Roman"/>
          <w:sz w:val="24"/>
          <w:szCs w:val="24"/>
          <w:lang w:val="fr-FR"/>
        </w:rPr>
        <w:t xml:space="preserve"> en procédure pénale</w:t>
      </w:r>
      <w:r w:rsidR="00FD5324" w:rsidRPr="00953692">
        <w:rPr>
          <w:rFonts w:cs="Times New Roman"/>
          <w:sz w:val="24"/>
          <w:szCs w:val="24"/>
          <w:lang w:val="fr-FR"/>
        </w:rPr>
        <w:t xml:space="preserve"> (internationale)</w:t>
      </w:r>
      <w:r w:rsidR="00AE03A0" w:rsidRPr="00953692">
        <w:rPr>
          <w:rFonts w:cs="Times New Roman"/>
          <w:sz w:val="24"/>
          <w:szCs w:val="24"/>
          <w:lang w:val="fr-FR"/>
        </w:rPr>
        <w:t xml:space="preserve"> censée être équitable et rapide</w:t>
      </w:r>
      <w:r w:rsidR="00680A74" w:rsidRPr="00953692">
        <w:rPr>
          <w:rFonts w:cs="Times New Roman"/>
          <w:sz w:val="24"/>
          <w:szCs w:val="24"/>
          <w:lang w:val="fr-FR"/>
        </w:rPr>
        <w:t>.</w:t>
      </w:r>
      <w:r w:rsidR="000A2568" w:rsidRPr="00953692">
        <w:rPr>
          <w:rFonts w:cs="Times New Roman"/>
          <w:sz w:val="24"/>
          <w:szCs w:val="24"/>
          <w:lang w:val="fr-FR"/>
        </w:rPr>
        <w:t xml:space="preserve"> Car la procédure pénale </w:t>
      </w:r>
      <w:r w:rsidR="00ED7086" w:rsidRPr="00953692">
        <w:rPr>
          <w:rFonts w:cs="Times New Roman"/>
          <w:sz w:val="24"/>
          <w:szCs w:val="24"/>
          <w:lang w:val="fr-FR"/>
        </w:rPr>
        <w:t>se sera</w:t>
      </w:r>
      <w:r w:rsidR="000A2568" w:rsidRPr="00953692">
        <w:rPr>
          <w:rFonts w:cs="Times New Roman"/>
          <w:sz w:val="24"/>
          <w:szCs w:val="24"/>
          <w:lang w:val="fr-FR"/>
        </w:rPr>
        <w:t xml:space="preserve"> alors </w:t>
      </w:r>
      <w:r w:rsidR="00ED7086" w:rsidRPr="00953692">
        <w:rPr>
          <w:rFonts w:cs="Times New Roman"/>
          <w:sz w:val="24"/>
          <w:szCs w:val="24"/>
          <w:lang w:val="fr-FR"/>
        </w:rPr>
        <w:t>heurtée</w:t>
      </w:r>
      <w:r w:rsidR="000A2568" w:rsidRPr="00953692">
        <w:rPr>
          <w:rFonts w:cs="Times New Roman"/>
          <w:sz w:val="24"/>
          <w:szCs w:val="24"/>
          <w:lang w:val="fr-FR"/>
        </w:rPr>
        <w:t xml:space="preserve"> à la réalité du temps dans toute sa linéarité.</w:t>
      </w:r>
    </w:p>
    <w:p w14:paraId="6EA9D9DA" w14:textId="047D419B" w:rsidR="00CD62BF" w:rsidRPr="00953692" w:rsidRDefault="00037931"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2</w:t>
      </w:r>
      <w:r w:rsidR="0052267C" w:rsidRPr="00953692">
        <w:rPr>
          <w:rFonts w:cs="Times New Roman"/>
          <w:b/>
          <w:bCs/>
          <w:sz w:val="24"/>
          <w:szCs w:val="24"/>
          <w:lang w:val="fr-FR"/>
        </w:rPr>
        <w:t>9</w:t>
      </w:r>
      <w:r w:rsidRPr="00953692">
        <w:rPr>
          <w:rFonts w:cs="Times New Roman"/>
          <w:b/>
          <w:bCs/>
          <w:sz w:val="24"/>
          <w:szCs w:val="24"/>
          <w:lang w:val="fr-FR"/>
        </w:rPr>
        <w:t>3.</w:t>
      </w:r>
      <w:r w:rsidRPr="00953692">
        <w:rPr>
          <w:rFonts w:cs="Times New Roman"/>
          <w:sz w:val="24"/>
          <w:szCs w:val="24"/>
          <w:lang w:val="fr-FR"/>
        </w:rPr>
        <w:t xml:space="preserve"> </w:t>
      </w:r>
      <w:r w:rsidR="00123466" w:rsidRPr="00953692">
        <w:rPr>
          <w:rFonts w:cs="Times New Roman"/>
          <w:sz w:val="24"/>
          <w:szCs w:val="24"/>
          <w:lang w:val="fr-FR"/>
        </w:rPr>
        <w:t>L</w:t>
      </w:r>
      <w:r w:rsidR="000A2568" w:rsidRPr="00953692">
        <w:rPr>
          <w:rFonts w:cs="Times New Roman"/>
          <w:sz w:val="24"/>
          <w:szCs w:val="24"/>
          <w:lang w:val="fr-FR"/>
        </w:rPr>
        <w:t>e carac</w:t>
      </w:r>
      <w:r w:rsidR="00980130" w:rsidRPr="00953692">
        <w:rPr>
          <w:rFonts w:cs="Times New Roman"/>
          <w:sz w:val="24"/>
          <w:szCs w:val="24"/>
          <w:lang w:val="fr-FR"/>
        </w:rPr>
        <w:t>tère polémique ou conflictuel se révèle par l’indispensabilité</w:t>
      </w:r>
      <w:r w:rsidRPr="00953692">
        <w:rPr>
          <w:rFonts w:cs="Times New Roman"/>
          <w:sz w:val="24"/>
          <w:szCs w:val="24"/>
          <w:lang w:val="fr-FR"/>
        </w:rPr>
        <w:t xml:space="preserve"> de ces droits</w:t>
      </w:r>
      <w:r w:rsidR="00790C69" w:rsidRPr="00953692">
        <w:rPr>
          <w:rFonts w:cs="Times New Roman"/>
          <w:sz w:val="24"/>
          <w:szCs w:val="24"/>
          <w:lang w:val="fr-FR"/>
        </w:rPr>
        <w:t xml:space="preserve">. </w:t>
      </w:r>
      <w:r w:rsidR="00123466" w:rsidRPr="00953692">
        <w:rPr>
          <w:rFonts w:cs="Times New Roman"/>
          <w:sz w:val="24"/>
          <w:szCs w:val="24"/>
          <w:lang w:val="fr-FR"/>
        </w:rPr>
        <w:t>En réalité, l</w:t>
      </w:r>
      <w:r w:rsidRPr="00953692">
        <w:rPr>
          <w:rFonts w:cs="Times New Roman"/>
          <w:sz w:val="24"/>
          <w:szCs w:val="24"/>
          <w:lang w:val="fr-FR"/>
        </w:rPr>
        <w:t>e droit de disposer du temps et facilités nécessaires à la préparation de sa défense</w:t>
      </w:r>
      <w:r w:rsidR="00B264B2" w:rsidRPr="00953692">
        <w:rPr>
          <w:rFonts w:cs="Times New Roman"/>
          <w:sz w:val="24"/>
          <w:szCs w:val="24"/>
          <w:lang w:val="fr-FR"/>
        </w:rPr>
        <w:t>, le droit à un contre-interrogatoire</w:t>
      </w:r>
      <w:r w:rsidR="00123466" w:rsidRPr="00953692">
        <w:rPr>
          <w:rFonts w:cs="Times New Roman"/>
          <w:sz w:val="24"/>
          <w:szCs w:val="24"/>
          <w:lang w:val="fr-FR"/>
        </w:rPr>
        <w:t xml:space="preserve"> et le droit à la communication des pièces exigent à ce que l’accusé ait du temps suffisant (et les moyens</w:t>
      </w:r>
      <w:r w:rsidR="00B264B2" w:rsidRPr="00953692">
        <w:rPr>
          <w:rFonts w:cs="Times New Roman"/>
          <w:sz w:val="24"/>
          <w:szCs w:val="24"/>
          <w:lang w:val="fr-FR"/>
        </w:rPr>
        <w:t xml:space="preserve"> nécessaires</w:t>
      </w:r>
      <w:r w:rsidR="00123466" w:rsidRPr="00953692">
        <w:rPr>
          <w:rFonts w:cs="Times New Roman"/>
          <w:sz w:val="24"/>
          <w:szCs w:val="24"/>
          <w:lang w:val="fr-FR"/>
        </w:rPr>
        <w:t>) pour comprendre</w:t>
      </w:r>
      <w:r w:rsidR="00455CD2" w:rsidRPr="00953692">
        <w:rPr>
          <w:rFonts w:cs="Times New Roman"/>
          <w:sz w:val="24"/>
          <w:szCs w:val="24"/>
          <w:lang w:val="fr-FR"/>
        </w:rPr>
        <w:t xml:space="preserve"> ce</w:t>
      </w:r>
      <w:r w:rsidR="00123466" w:rsidRPr="00953692">
        <w:rPr>
          <w:rFonts w:cs="Times New Roman"/>
          <w:sz w:val="24"/>
          <w:szCs w:val="24"/>
          <w:lang w:val="fr-FR"/>
        </w:rPr>
        <w:t xml:space="preserve"> </w:t>
      </w:r>
      <w:r w:rsidR="00C34A2B" w:rsidRPr="00953692">
        <w:rPr>
          <w:rFonts w:cs="Times New Roman"/>
          <w:sz w:val="24"/>
          <w:szCs w:val="24"/>
          <w:lang w:val="fr-FR"/>
        </w:rPr>
        <w:t>que lui reproche la justice</w:t>
      </w:r>
      <w:r w:rsidR="00123466" w:rsidRPr="00953692">
        <w:rPr>
          <w:rFonts w:cs="Times New Roman"/>
          <w:sz w:val="24"/>
          <w:szCs w:val="24"/>
          <w:lang w:val="fr-FR"/>
        </w:rPr>
        <w:t xml:space="preserve">. Il s’agit donc droits qui appellent à la trêve du procès, tandis que le délai raisonnable </w:t>
      </w:r>
      <w:r w:rsidR="00B264B2" w:rsidRPr="00953692">
        <w:rPr>
          <w:rFonts w:cs="Times New Roman"/>
          <w:sz w:val="24"/>
          <w:szCs w:val="24"/>
          <w:lang w:val="fr-FR"/>
        </w:rPr>
        <w:t xml:space="preserve">mesurément </w:t>
      </w:r>
      <w:r w:rsidR="00123466" w:rsidRPr="00953692">
        <w:rPr>
          <w:rFonts w:cs="Times New Roman"/>
          <w:sz w:val="24"/>
          <w:szCs w:val="24"/>
          <w:lang w:val="fr-FR"/>
        </w:rPr>
        <w:t xml:space="preserve">s’en méfie. Cette méfiance n’est pas l’expression d’une crainte de compromettre l’effet dissuasif de la peine, comme l’explique Beccaria, mais </w:t>
      </w:r>
      <w:r w:rsidR="00B264B2" w:rsidRPr="00953692">
        <w:rPr>
          <w:rFonts w:cs="Times New Roman"/>
          <w:sz w:val="24"/>
          <w:szCs w:val="24"/>
          <w:lang w:val="fr-FR"/>
        </w:rPr>
        <w:t xml:space="preserve">principalement </w:t>
      </w:r>
      <w:r w:rsidR="00123466" w:rsidRPr="00953692">
        <w:rPr>
          <w:rFonts w:cs="Times New Roman"/>
          <w:sz w:val="24"/>
          <w:szCs w:val="24"/>
          <w:lang w:val="fr-FR"/>
        </w:rPr>
        <w:t xml:space="preserve">celle </w:t>
      </w:r>
      <w:r w:rsidR="00B264B2" w:rsidRPr="00953692">
        <w:rPr>
          <w:rFonts w:cs="Times New Roman"/>
          <w:sz w:val="24"/>
          <w:szCs w:val="24"/>
          <w:lang w:val="fr-FR"/>
        </w:rPr>
        <w:t xml:space="preserve">résultant </w:t>
      </w:r>
      <w:r w:rsidR="00123466" w:rsidRPr="00953692">
        <w:rPr>
          <w:rFonts w:cs="Times New Roman"/>
          <w:sz w:val="24"/>
          <w:szCs w:val="24"/>
          <w:lang w:val="fr-FR"/>
        </w:rPr>
        <w:t>d’un souci de garantir à l’accusé un procès équitable du point de vue duratif</w:t>
      </w:r>
      <w:r w:rsidR="00B264B2" w:rsidRPr="00953692">
        <w:rPr>
          <w:rFonts w:cs="Times New Roman"/>
          <w:sz w:val="24"/>
          <w:szCs w:val="24"/>
          <w:lang w:val="fr-FR"/>
        </w:rPr>
        <w:t>, car le droit d’</w:t>
      </w:r>
      <w:r w:rsidR="003810B7" w:rsidRPr="00953692">
        <w:rPr>
          <w:rFonts w:cs="Times New Roman"/>
          <w:sz w:val="24"/>
          <w:szCs w:val="24"/>
          <w:lang w:val="fr-FR"/>
        </w:rPr>
        <w:t>être</w:t>
      </w:r>
      <w:r w:rsidR="00B264B2" w:rsidRPr="00953692">
        <w:rPr>
          <w:rFonts w:cs="Times New Roman"/>
          <w:sz w:val="24"/>
          <w:szCs w:val="24"/>
          <w:lang w:val="fr-FR"/>
        </w:rPr>
        <w:t xml:space="preserve"> jugé sans retard excessif est un droit impératif mais surtout subjectif de l’accusé</w:t>
      </w:r>
      <w:r w:rsidR="00123466" w:rsidRPr="00953692">
        <w:rPr>
          <w:rFonts w:cs="Times New Roman"/>
          <w:sz w:val="24"/>
          <w:szCs w:val="24"/>
          <w:lang w:val="fr-FR"/>
        </w:rPr>
        <w:t>.</w:t>
      </w:r>
      <w:r w:rsidR="00FD5324" w:rsidRPr="00953692">
        <w:rPr>
          <w:rFonts w:cs="Times New Roman"/>
          <w:sz w:val="24"/>
          <w:szCs w:val="24"/>
          <w:lang w:val="fr-FR"/>
        </w:rPr>
        <w:t xml:space="preserve"> En clair, il y a une conflictualité dans </w:t>
      </w:r>
      <w:r w:rsidR="00FD5324" w:rsidRPr="00953692">
        <w:rPr>
          <w:rFonts w:cs="Times New Roman"/>
          <w:sz w:val="24"/>
          <w:szCs w:val="24"/>
          <w:lang w:val="fr-FR"/>
        </w:rPr>
        <w:lastRenderedPageBreak/>
        <w:t>les rapports qui devront exister entre ces droits d’une importance indéniable et le droit d’</w:t>
      </w:r>
      <w:r w:rsidR="00A5376B" w:rsidRPr="00953692">
        <w:rPr>
          <w:rFonts w:cs="Times New Roman"/>
          <w:sz w:val="24"/>
          <w:szCs w:val="24"/>
          <w:lang w:val="fr-FR"/>
        </w:rPr>
        <w:t>être</w:t>
      </w:r>
      <w:r w:rsidR="00FD5324" w:rsidRPr="00953692">
        <w:rPr>
          <w:rFonts w:cs="Times New Roman"/>
          <w:sz w:val="24"/>
          <w:szCs w:val="24"/>
          <w:lang w:val="fr-FR"/>
        </w:rPr>
        <w:t xml:space="preserve"> jugé sans retard excessif.</w:t>
      </w:r>
    </w:p>
    <w:p w14:paraId="45DFB206" w14:textId="7697D412" w:rsidR="00FF14B6" w:rsidRPr="00953692" w:rsidRDefault="00AE03A0" w:rsidP="008B1083">
      <w:pPr>
        <w:spacing w:line="276" w:lineRule="auto"/>
        <w:ind w:firstLine="1134"/>
        <w:jc w:val="both"/>
        <w:rPr>
          <w:rFonts w:cs="Times New Roman"/>
          <w:sz w:val="24"/>
          <w:szCs w:val="24"/>
          <w:lang w:val="fr-FR"/>
        </w:rPr>
      </w:pPr>
      <w:r w:rsidRPr="00953692">
        <w:rPr>
          <w:rFonts w:cs="Times New Roman"/>
          <w:b/>
          <w:bCs/>
          <w:sz w:val="24"/>
          <w:szCs w:val="24"/>
          <w:lang w:val="fr-FR"/>
        </w:rPr>
        <w:t>2</w:t>
      </w:r>
      <w:r w:rsidR="0052267C" w:rsidRPr="00953692">
        <w:rPr>
          <w:rFonts w:cs="Times New Roman"/>
          <w:b/>
          <w:bCs/>
          <w:sz w:val="24"/>
          <w:szCs w:val="24"/>
          <w:lang w:val="fr-FR"/>
        </w:rPr>
        <w:t>9</w:t>
      </w:r>
      <w:r w:rsidRPr="00953692">
        <w:rPr>
          <w:rFonts w:cs="Times New Roman"/>
          <w:b/>
          <w:bCs/>
          <w:sz w:val="24"/>
          <w:szCs w:val="24"/>
          <w:lang w:val="fr-FR"/>
        </w:rPr>
        <w:t>4.</w:t>
      </w:r>
      <w:r w:rsidRPr="00953692">
        <w:rPr>
          <w:rFonts w:cs="Times New Roman"/>
          <w:sz w:val="24"/>
          <w:szCs w:val="24"/>
          <w:lang w:val="fr-FR"/>
        </w:rPr>
        <w:t xml:space="preserve"> </w:t>
      </w:r>
      <w:r w:rsidR="00123466" w:rsidRPr="00953692">
        <w:rPr>
          <w:rFonts w:cs="Times New Roman"/>
          <w:sz w:val="24"/>
          <w:szCs w:val="24"/>
          <w:lang w:val="fr-FR"/>
        </w:rPr>
        <w:t xml:space="preserve">Il se trouve alors que, tous ces droits </w:t>
      </w:r>
      <w:r w:rsidRPr="00953692">
        <w:rPr>
          <w:rFonts w:cs="Times New Roman"/>
          <w:sz w:val="24"/>
          <w:szCs w:val="24"/>
          <w:lang w:val="fr-FR"/>
        </w:rPr>
        <w:t xml:space="preserve">qui </w:t>
      </w:r>
      <w:r w:rsidR="00123466" w:rsidRPr="00953692">
        <w:rPr>
          <w:rFonts w:cs="Times New Roman"/>
          <w:sz w:val="24"/>
          <w:szCs w:val="24"/>
          <w:lang w:val="fr-FR"/>
        </w:rPr>
        <w:t xml:space="preserve">se reconnaissent </w:t>
      </w:r>
      <w:r w:rsidR="00095050" w:rsidRPr="00953692">
        <w:rPr>
          <w:rFonts w:cs="Times New Roman"/>
          <w:sz w:val="24"/>
          <w:szCs w:val="24"/>
          <w:lang w:val="fr-FR"/>
        </w:rPr>
        <w:t>dans la notion du procès</w:t>
      </w:r>
      <w:r w:rsidR="00123466" w:rsidRPr="00953692">
        <w:rPr>
          <w:rFonts w:cs="Times New Roman"/>
          <w:sz w:val="24"/>
          <w:szCs w:val="24"/>
          <w:lang w:val="fr-FR"/>
        </w:rPr>
        <w:t xml:space="preserve"> équitable</w:t>
      </w:r>
      <w:r w:rsidR="00095050" w:rsidRPr="00953692">
        <w:rPr>
          <w:rFonts w:cs="Times New Roman"/>
          <w:sz w:val="24"/>
          <w:szCs w:val="24"/>
          <w:lang w:val="fr-FR"/>
        </w:rPr>
        <w:t xml:space="preserve"> mais </w:t>
      </w:r>
      <w:r w:rsidRPr="00953692">
        <w:rPr>
          <w:rFonts w:cs="Times New Roman"/>
          <w:sz w:val="24"/>
          <w:szCs w:val="24"/>
          <w:lang w:val="fr-FR"/>
        </w:rPr>
        <w:t xml:space="preserve">sont pourtant </w:t>
      </w:r>
      <w:r w:rsidR="00095050" w:rsidRPr="00953692">
        <w:rPr>
          <w:rFonts w:cs="Times New Roman"/>
          <w:sz w:val="24"/>
          <w:szCs w:val="24"/>
          <w:lang w:val="fr-FR"/>
        </w:rPr>
        <w:t>conflictualisés par cette impossibilité d</w:t>
      </w:r>
      <w:r w:rsidRPr="00953692">
        <w:rPr>
          <w:rFonts w:cs="Times New Roman"/>
          <w:sz w:val="24"/>
          <w:szCs w:val="24"/>
          <w:lang w:val="fr-FR"/>
        </w:rPr>
        <w:t>e la</w:t>
      </w:r>
      <w:r w:rsidR="00095050" w:rsidRPr="00953692">
        <w:rPr>
          <w:rFonts w:cs="Times New Roman"/>
          <w:sz w:val="24"/>
          <w:szCs w:val="24"/>
          <w:lang w:val="fr-FR"/>
        </w:rPr>
        <w:t xml:space="preserve"> contemporanéité de leur mise en œuvre, parlant précisément du droit de disposer du temps nécessaire à la préparation de la défense (section 01). Si le droit à la communication des pièces est de nature à moins poser des problèmes au délai raisonnable, </w:t>
      </w:r>
      <w:r w:rsidR="004F1283" w:rsidRPr="00953692">
        <w:rPr>
          <w:rFonts w:cs="Times New Roman"/>
          <w:sz w:val="24"/>
          <w:szCs w:val="24"/>
          <w:lang w:val="fr-FR"/>
        </w:rPr>
        <w:t xml:space="preserve">force sera de noter que, </w:t>
      </w:r>
      <w:r w:rsidRPr="00953692">
        <w:rPr>
          <w:rFonts w:cs="Times New Roman"/>
          <w:sz w:val="24"/>
          <w:szCs w:val="24"/>
          <w:lang w:val="fr-FR"/>
        </w:rPr>
        <w:t>le défaut d’une communication dans le délai établi par la loi ou le juge ou de manière rapide</w:t>
      </w:r>
      <w:r w:rsidR="00095050" w:rsidRPr="00953692">
        <w:rPr>
          <w:rFonts w:cs="Times New Roman"/>
          <w:sz w:val="24"/>
          <w:szCs w:val="24"/>
          <w:lang w:val="fr-FR"/>
        </w:rPr>
        <w:t xml:space="preserve"> peut </w:t>
      </w:r>
      <w:r w:rsidR="00455CD2" w:rsidRPr="00953692">
        <w:rPr>
          <w:rFonts w:cs="Times New Roman"/>
          <w:sz w:val="24"/>
          <w:szCs w:val="24"/>
          <w:lang w:val="fr-FR"/>
        </w:rPr>
        <w:t>néanmoins</w:t>
      </w:r>
      <w:r w:rsidR="00095050" w:rsidRPr="00953692">
        <w:rPr>
          <w:rFonts w:cs="Times New Roman"/>
          <w:sz w:val="24"/>
          <w:szCs w:val="24"/>
          <w:lang w:val="fr-FR"/>
        </w:rPr>
        <w:t xml:space="preserve"> constituer un motif de suspension du procès au nom du procès équitable (section 02).</w:t>
      </w:r>
    </w:p>
    <w:p w14:paraId="04B60D29" w14:textId="25B840DA" w:rsidR="00FF14B6" w:rsidRPr="00953692" w:rsidRDefault="006B0D4F" w:rsidP="00A5376B">
      <w:pPr>
        <w:pStyle w:val="Titre2"/>
        <w:spacing w:after="160" w:line="276" w:lineRule="auto"/>
        <w:ind w:left="1134"/>
        <w:jc w:val="both"/>
        <w:rPr>
          <w:rFonts w:ascii="Times New Roman" w:hAnsi="Times New Roman" w:cs="Times New Roman"/>
          <w:i/>
          <w:iCs/>
          <w:color w:val="auto"/>
          <w:sz w:val="24"/>
          <w:szCs w:val="24"/>
          <w:lang w:val="fr-FR"/>
        </w:rPr>
      </w:pPr>
      <w:bookmarkStart w:id="65" w:name="_Toc195179432"/>
      <w:bookmarkStart w:id="66" w:name="_Hlk118297374"/>
      <w:r w:rsidRPr="00953692">
        <w:rPr>
          <w:rFonts w:ascii="Times New Roman" w:hAnsi="Times New Roman" w:cs="Times New Roman"/>
          <w:b/>
          <w:bCs/>
          <w:color w:val="auto"/>
          <w:sz w:val="24"/>
          <w:szCs w:val="24"/>
          <w:lang w:val="fr-FR"/>
        </w:rPr>
        <w:t>Section</w:t>
      </w:r>
      <w:r w:rsidR="006B4317" w:rsidRPr="00953692">
        <w:rPr>
          <w:rFonts w:ascii="Times New Roman" w:hAnsi="Times New Roman" w:cs="Times New Roman"/>
          <w:b/>
          <w:bCs/>
          <w:color w:val="auto"/>
          <w:sz w:val="24"/>
          <w:szCs w:val="24"/>
          <w:lang w:val="fr-FR"/>
        </w:rPr>
        <w:t xml:space="preserve"> 01. </w:t>
      </w:r>
      <w:r w:rsidR="004C6BEC" w:rsidRPr="00953692">
        <w:rPr>
          <w:rFonts w:ascii="Times New Roman" w:hAnsi="Times New Roman" w:cs="Times New Roman"/>
          <w:b/>
          <w:bCs/>
          <w:color w:val="auto"/>
          <w:sz w:val="24"/>
          <w:szCs w:val="24"/>
          <w:lang w:val="fr-FR"/>
        </w:rPr>
        <w:t xml:space="preserve">Le droit de disposer du temps et des facilités nécessaires à la préparation de sa défense </w:t>
      </w:r>
      <w:r w:rsidR="00310A87" w:rsidRPr="00953692">
        <w:rPr>
          <w:rFonts w:ascii="Times New Roman" w:hAnsi="Times New Roman" w:cs="Times New Roman"/>
          <w:b/>
          <w:bCs/>
          <w:color w:val="auto"/>
          <w:sz w:val="24"/>
          <w:szCs w:val="24"/>
          <w:lang w:val="fr-FR"/>
        </w:rPr>
        <w:t xml:space="preserve">et le </w:t>
      </w:r>
      <w:r w:rsidR="00FE5593" w:rsidRPr="00953692">
        <w:rPr>
          <w:rFonts w:ascii="Times New Roman" w:hAnsi="Times New Roman" w:cs="Times New Roman"/>
          <w:b/>
          <w:bCs/>
          <w:color w:val="auto"/>
          <w:sz w:val="24"/>
          <w:szCs w:val="24"/>
          <w:lang w:val="fr-FR"/>
        </w:rPr>
        <w:t>délai raisonnable</w:t>
      </w:r>
      <w:r w:rsidR="00462F98" w:rsidRPr="00953692">
        <w:rPr>
          <w:rFonts w:ascii="Times New Roman" w:hAnsi="Times New Roman" w:cs="Times New Roman"/>
          <w:b/>
          <w:bCs/>
          <w:color w:val="auto"/>
          <w:sz w:val="24"/>
          <w:szCs w:val="24"/>
          <w:lang w:val="fr-FR"/>
        </w:rPr>
        <w:t>,</w:t>
      </w:r>
      <w:r w:rsidR="00A8422D" w:rsidRPr="00953692">
        <w:rPr>
          <w:rFonts w:ascii="Times New Roman" w:hAnsi="Times New Roman" w:cs="Times New Roman"/>
          <w:b/>
          <w:bCs/>
          <w:color w:val="auto"/>
          <w:sz w:val="24"/>
          <w:szCs w:val="24"/>
          <w:lang w:val="fr-FR"/>
        </w:rPr>
        <w:t xml:space="preserve"> </w:t>
      </w:r>
      <w:r w:rsidR="00A8422D" w:rsidRPr="00953692">
        <w:rPr>
          <w:rFonts w:ascii="Times New Roman" w:hAnsi="Times New Roman" w:cs="Times New Roman"/>
          <w:i/>
          <w:iCs/>
          <w:color w:val="auto"/>
          <w:sz w:val="24"/>
          <w:szCs w:val="24"/>
          <w:lang w:val="fr-FR"/>
        </w:rPr>
        <w:t>dans la droite ligne d</w:t>
      </w:r>
      <w:r w:rsidR="00462F98" w:rsidRPr="00953692">
        <w:rPr>
          <w:rFonts w:ascii="Times New Roman" w:hAnsi="Times New Roman" w:cs="Times New Roman"/>
          <w:i/>
          <w:iCs/>
          <w:color w:val="auto"/>
          <w:sz w:val="24"/>
          <w:szCs w:val="24"/>
          <w:lang w:val="fr-FR"/>
        </w:rPr>
        <w:t>’</w:t>
      </w:r>
      <w:r w:rsidR="00A8422D" w:rsidRPr="00953692">
        <w:rPr>
          <w:rFonts w:ascii="Times New Roman" w:hAnsi="Times New Roman" w:cs="Times New Roman"/>
          <w:i/>
          <w:iCs/>
          <w:color w:val="auto"/>
          <w:sz w:val="24"/>
          <w:szCs w:val="24"/>
          <w:lang w:val="fr-FR"/>
        </w:rPr>
        <w:t>u</w:t>
      </w:r>
      <w:r w:rsidR="00462F98" w:rsidRPr="00953692">
        <w:rPr>
          <w:rFonts w:ascii="Times New Roman" w:hAnsi="Times New Roman" w:cs="Times New Roman"/>
          <w:i/>
          <w:iCs/>
          <w:color w:val="auto"/>
          <w:sz w:val="24"/>
          <w:szCs w:val="24"/>
          <w:lang w:val="fr-FR"/>
        </w:rPr>
        <w:t>n</w:t>
      </w:r>
      <w:r w:rsidR="00A8422D" w:rsidRPr="00953692">
        <w:rPr>
          <w:rFonts w:ascii="Times New Roman" w:hAnsi="Times New Roman" w:cs="Times New Roman"/>
          <w:i/>
          <w:iCs/>
          <w:color w:val="auto"/>
          <w:sz w:val="24"/>
          <w:szCs w:val="24"/>
          <w:lang w:val="fr-FR"/>
        </w:rPr>
        <w:t xml:space="preserve"> procès équitable, mais </w:t>
      </w:r>
      <w:r w:rsidR="00C91239" w:rsidRPr="00953692">
        <w:rPr>
          <w:rFonts w:ascii="Times New Roman" w:hAnsi="Times New Roman" w:cs="Times New Roman"/>
          <w:i/>
          <w:iCs/>
          <w:color w:val="auto"/>
          <w:sz w:val="24"/>
          <w:szCs w:val="24"/>
          <w:lang w:val="fr-FR"/>
        </w:rPr>
        <w:t>conflictualisés par</w:t>
      </w:r>
      <w:r w:rsidR="00EA059B" w:rsidRPr="00953692">
        <w:rPr>
          <w:rFonts w:ascii="Times New Roman" w:hAnsi="Times New Roman" w:cs="Times New Roman"/>
          <w:i/>
          <w:iCs/>
          <w:color w:val="auto"/>
          <w:sz w:val="24"/>
          <w:szCs w:val="24"/>
          <w:lang w:val="fr-FR"/>
        </w:rPr>
        <w:t xml:space="preserve"> </w:t>
      </w:r>
      <w:r w:rsidR="00C91239" w:rsidRPr="00953692">
        <w:rPr>
          <w:rFonts w:ascii="Times New Roman" w:hAnsi="Times New Roman" w:cs="Times New Roman"/>
          <w:i/>
          <w:iCs/>
          <w:color w:val="auto"/>
          <w:sz w:val="24"/>
          <w:szCs w:val="24"/>
          <w:lang w:val="fr-FR"/>
        </w:rPr>
        <w:t>la</w:t>
      </w:r>
      <w:r w:rsidR="00123466" w:rsidRPr="00953692">
        <w:rPr>
          <w:rFonts w:ascii="Times New Roman" w:hAnsi="Times New Roman" w:cs="Times New Roman"/>
          <w:i/>
          <w:iCs/>
          <w:color w:val="auto"/>
          <w:sz w:val="24"/>
          <w:szCs w:val="24"/>
          <w:lang w:val="fr-FR"/>
        </w:rPr>
        <w:t xml:space="preserve"> difficulté d’une</w:t>
      </w:r>
      <w:r w:rsidR="00C91239" w:rsidRPr="00953692">
        <w:rPr>
          <w:rFonts w:ascii="Times New Roman" w:hAnsi="Times New Roman" w:cs="Times New Roman"/>
          <w:i/>
          <w:iCs/>
          <w:color w:val="auto"/>
          <w:sz w:val="24"/>
          <w:szCs w:val="24"/>
          <w:lang w:val="fr-FR"/>
        </w:rPr>
        <w:t xml:space="preserve"> contemporanéité de</w:t>
      </w:r>
      <w:r w:rsidR="00EA059B" w:rsidRPr="00953692">
        <w:rPr>
          <w:rFonts w:ascii="Times New Roman" w:hAnsi="Times New Roman" w:cs="Times New Roman"/>
          <w:i/>
          <w:iCs/>
          <w:color w:val="auto"/>
          <w:sz w:val="24"/>
          <w:szCs w:val="24"/>
          <w:lang w:val="fr-FR"/>
        </w:rPr>
        <w:t xml:space="preserve"> leur mise en œuvre</w:t>
      </w:r>
      <w:bookmarkEnd w:id="65"/>
    </w:p>
    <w:bookmarkEnd w:id="66"/>
    <w:p w14:paraId="6CEDC2BF" w14:textId="41CF9E44" w:rsidR="00D956D7" w:rsidRPr="00953692" w:rsidRDefault="00CD62C6" w:rsidP="00A5376B">
      <w:pPr>
        <w:spacing w:after="0" w:line="276" w:lineRule="auto"/>
        <w:ind w:firstLine="1134"/>
        <w:jc w:val="both"/>
        <w:rPr>
          <w:rFonts w:cs="Times New Roman"/>
          <w:sz w:val="24"/>
          <w:szCs w:val="24"/>
          <w:lang w:val="fr-FR"/>
        </w:rPr>
      </w:pPr>
      <w:r w:rsidRPr="00953692">
        <w:rPr>
          <w:rFonts w:cs="Times New Roman"/>
          <w:b/>
          <w:bCs/>
          <w:sz w:val="24"/>
          <w:szCs w:val="24"/>
          <w:lang w:val="fr-FR"/>
        </w:rPr>
        <w:t>2</w:t>
      </w:r>
      <w:r w:rsidR="0052267C" w:rsidRPr="00953692">
        <w:rPr>
          <w:rFonts w:cs="Times New Roman"/>
          <w:b/>
          <w:bCs/>
          <w:sz w:val="24"/>
          <w:szCs w:val="24"/>
          <w:lang w:val="fr-FR"/>
        </w:rPr>
        <w:t>95</w:t>
      </w:r>
      <w:r w:rsidRPr="00953692">
        <w:rPr>
          <w:rFonts w:cs="Times New Roman"/>
          <w:b/>
          <w:bCs/>
          <w:sz w:val="24"/>
          <w:szCs w:val="24"/>
          <w:lang w:val="fr-FR"/>
        </w:rPr>
        <w:t>.</w:t>
      </w:r>
      <w:r w:rsidRPr="00953692">
        <w:rPr>
          <w:rFonts w:cs="Times New Roman"/>
          <w:sz w:val="24"/>
          <w:szCs w:val="24"/>
          <w:lang w:val="fr-FR"/>
        </w:rPr>
        <w:t xml:space="preserve"> </w:t>
      </w:r>
      <w:r w:rsidR="00202E76" w:rsidRPr="00953692">
        <w:rPr>
          <w:rFonts w:cs="Times New Roman"/>
          <w:sz w:val="24"/>
          <w:szCs w:val="24"/>
          <w:lang w:val="fr-FR"/>
        </w:rPr>
        <w:t>Le procès est</w:t>
      </w:r>
      <w:r w:rsidR="00BD02DF" w:rsidRPr="00953692">
        <w:rPr>
          <w:rFonts w:cs="Times New Roman"/>
          <w:sz w:val="24"/>
          <w:szCs w:val="24"/>
          <w:lang w:val="fr-FR"/>
        </w:rPr>
        <w:t xml:space="preserve"> censé </w:t>
      </w:r>
      <w:r w:rsidR="002804D3" w:rsidRPr="00953692">
        <w:rPr>
          <w:rFonts w:cs="Times New Roman"/>
          <w:sz w:val="24"/>
          <w:szCs w:val="24"/>
          <w:lang w:val="fr-FR"/>
        </w:rPr>
        <w:t>avoir été</w:t>
      </w:r>
      <w:r w:rsidR="00202E76" w:rsidRPr="00953692">
        <w:rPr>
          <w:rFonts w:cs="Times New Roman"/>
          <w:sz w:val="24"/>
          <w:szCs w:val="24"/>
          <w:lang w:val="fr-FR"/>
        </w:rPr>
        <w:t xml:space="preserve"> équitable si toutes les règles et principes qui en constituent ont été au rendez-vous. La violation d’une seule règle, telle que le délai raisonnable ou le droit de disposer du temps nécessaire à la préparation de sa défense</w:t>
      </w:r>
      <w:r w:rsidR="00C34A2B" w:rsidRPr="00953692">
        <w:rPr>
          <w:rFonts w:cs="Times New Roman"/>
          <w:sz w:val="24"/>
          <w:szCs w:val="24"/>
          <w:lang w:val="fr-FR"/>
        </w:rPr>
        <w:t>,</w:t>
      </w:r>
      <w:r w:rsidR="00202E76" w:rsidRPr="00953692">
        <w:rPr>
          <w:rFonts w:cs="Times New Roman"/>
          <w:sz w:val="24"/>
          <w:szCs w:val="24"/>
          <w:lang w:val="fr-FR"/>
        </w:rPr>
        <w:t xml:space="preserve"> peut en réalité constituer un motif valable pour qualifier d’inéquitable un procès à quelque degré que ce soit,</w:t>
      </w:r>
      <w:r w:rsidR="00EC4BF3" w:rsidRPr="00953692">
        <w:rPr>
          <w:rFonts w:cs="Times New Roman"/>
          <w:sz w:val="24"/>
          <w:szCs w:val="24"/>
          <w:lang w:val="fr-FR"/>
        </w:rPr>
        <w:t xml:space="preserve"> </w:t>
      </w:r>
      <w:r w:rsidR="00202E76" w:rsidRPr="00953692">
        <w:rPr>
          <w:rFonts w:cs="Times New Roman"/>
          <w:sz w:val="24"/>
          <w:szCs w:val="24"/>
          <w:lang w:val="fr-FR"/>
        </w:rPr>
        <w:t>que la sanction en déterminera</w:t>
      </w:r>
      <w:r w:rsidR="002804D3" w:rsidRPr="00953692">
        <w:rPr>
          <w:rFonts w:cs="Times New Roman"/>
          <w:sz w:val="24"/>
          <w:szCs w:val="24"/>
          <w:lang w:val="fr-FR"/>
        </w:rPr>
        <w:t xml:space="preserve"> </w:t>
      </w:r>
      <w:r w:rsidR="004F1283" w:rsidRPr="00953692">
        <w:rPr>
          <w:rFonts w:cs="Times New Roman"/>
          <w:sz w:val="24"/>
          <w:szCs w:val="24"/>
          <w:lang w:val="fr-FR"/>
        </w:rPr>
        <w:t xml:space="preserve">finalement </w:t>
      </w:r>
      <w:r w:rsidR="002804D3" w:rsidRPr="00953692">
        <w:rPr>
          <w:rFonts w:cs="Times New Roman"/>
          <w:sz w:val="24"/>
          <w:szCs w:val="24"/>
          <w:lang w:val="fr-FR"/>
        </w:rPr>
        <w:t>l’ampleur</w:t>
      </w:r>
      <w:r w:rsidR="00202E76" w:rsidRPr="00953692">
        <w:rPr>
          <w:rFonts w:cs="Times New Roman"/>
          <w:sz w:val="24"/>
          <w:szCs w:val="24"/>
          <w:lang w:val="fr-FR"/>
        </w:rPr>
        <w:t>.</w:t>
      </w:r>
      <w:r w:rsidR="004554DF" w:rsidRPr="00953692">
        <w:rPr>
          <w:rFonts w:cs="Times New Roman"/>
          <w:sz w:val="24"/>
          <w:szCs w:val="24"/>
          <w:lang w:val="fr-FR"/>
        </w:rPr>
        <w:t xml:space="preserve"> </w:t>
      </w:r>
      <w:r w:rsidR="004F1283" w:rsidRPr="00953692">
        <w:rPr>
          <w:rFonts w:cs="Times New Roman"/>
          <w:sz w:val="24"/>
          <w:szCs w:val="24"/>
          <w:lang w:val="fr-FR"/>
        </w:rPr>
        <w:t>C’est rappeler qu’en cette matière, il n’existe pas une grille des sanctions que les juges devront appliquer ipso jure ; la solution envisagée reste une appréciation au cas par cas</w:t>
      </w:r>
      <w:r w:rsidR="00E917D4" w:rsidRPr="00953692">
        <w:rPr>
          <w:rFonts w:cs="Times New Roman"/>
          <w:sz w:val="24"/>
          <w:szCs w:val="24"/>
          <w:lang w:val="fr-FR"/>
        </w:rPr>
        <w:t>, in concreto</w:t>
      </w:r>
      <w:r w:rsidR="004F1283" w:rsidRPr="00953692">
        <w:rPr>
          <w:rFonts w:cs="Times New Roman"/>
          <w:sz w:val="24"/>
          <w:szCs w:val="24"/>
          <w:lang w:val="fr-FR"/>
        </w:rPr>
        <w:t>. C’est ainsi la sanction</w:t>
      </w:r>
      <w:r w:rsidR="00E917D4" w:rsidRPr="00953692">
        <w:rPr>
          <w:rFonts w:cs="Times New Roman"/>
          <w:sz w:val="24"/>
          <w:szCs w:val="24"/>
          <w:lang w:val="fr-FR"/>
        </w:rPr>
        <w:t xml:space="preserve"> qu’auront prononcé en aval les juges, aura pour fonction</w:t>
      </w:r>
      <w:r w:rsidR="004F1283" w:rsidRPr="00953692">
        <w:rPr>
          <w:rFonts w:cs="Times New Roman"/>
          <w:sz w:val="24"/>
          <w:szCs w:val="24"/>
          <w:lang w:val="fr-FR"/>
        </w:rPr>
        <w:t xml:space="preserve"> de déterminer la gravité de la violation du droit à un procès équitable.</w:t>
      </w:r>
      <w:r w:rsidR="003C3688" w:rsidRPr="00953692">
        <w:rPr>
          <w:rFonts w:cs="Times New Roman"/>
          <w:sz w:val="24"/>
          <w:szCs w:val="24"/>
          <w:lang w:val="fr-FR"/>
        </w:rPr>
        <w:t xml:space="preserve"> </w:t>
      </w:r>
    </w:p>
    <w:p w14:paraId="1137DFDA" w14:textId="215F3C14" w:rsidR="00BF1955" w:rsidRPr="00953692" w:rsidRDefault="004F1283" w:rsidP="00A5376B">
      <w:pPr>
        <w:spacing w:after="0" w:line="276" w:lineRule="auto"/>
        <w:ind w:firstLine="1134"/>
        <w:jc w:val="both"/>
        <w:rPr>
          <w:rFonts w:cs="Times New Roman"/>
          <w:sz w:val="24"/>
          <w:szCs w:val="24"/>
          <w:lang w:val="fr-FR"/>
        </w:rPr>
      </w:pPr>
      <w:r w:rsidRPr="00953692">
        <w:rPr>
          <w:rFonts w:cs="Times New Roman"/>
          <w:b/>
          <w:bCs/>
          <w:sz w:val="24"/>
          <w:szCs w:val="24"/>
          <w:lang w:val="fr-FR"/>
        </w:rPr>
        <w:t>2</w:t>
      </w:r>
      <w:r w:rsidR="0055237A" w:rsidRPr="00953692">
        <w:rPr>
          <w:rFonts w:cs="Times New Roman"/>
          <w:b/>
          <w:bCs/>
          <w:sz w:val="24"/>
          <w:szCs w:val="24"/>
          <w:lang w:val="fr-FR"/>
        </w:rPr>
        <w:t>96</w:t>
      </w:r>
      <w:r w:rsidRPr="00953692">
        <w:rPr>
          <w:rFonts w:cs="Times New Roman"/>
          <w:b/>
          <w:bCs/>
          <w:sz w:val="24"/>
          <w:szCs w:val="24"/>
          <w:lang w:val="fr-FR"/>
        </w:rPr>
        <w:t>.</w:t>
      </w:r>
      <w:r w:rsidRPr="00953692">
        <w:rPr>
          <w:rFonts w:cs="Times New Roman"/>
          <w:sz w:val="24"/>
          <w:szCs w:val="24"/>
          <w:lang w:val="fr-FR"/>
        </w:rPr>
        <w:t xml:space="preserve"> Dans cet ordre d’idées, prenons par exemple, le fait que</w:t>
      </w:r>
      <w:r w:rsidR="004554DF" w:rsidRPr="00953692">
        <w:rPr>
          <w:rFonts w:cs="Times New Roman"/>
          <w:sz w:val="24"/>
          <w:szCs w:val="24"/>
          <w:lang w:val="fr-FR"/>
        </w:rPr>
        <w:t xml:space="preserve"> les juges pénaux internationaux envisagent l’arrêt </w:t>
      </w:r>
      <w:r w:rsidRPr="00953692">
        <w:rPr>
          <w:rFonts w:cs="Times New Roman"/>
          <w:sz w:val="24"/>
          <w:szCs w:val="24"/>
          <w:lang w:val="fr-FR"/>
        </w:rPr>
        <w:t xml:space="preserve">ou la suspension </w:t>
      </w:r>
      <w:r w:rsidR="004554DF" w:rsidRPr="00953692">
        <w:rPr>
          <w:rFonts w:cs="Times New Roman"/>
          <w:sz w:val="24"/>
          <w:szCs w:val="24"/>
          <w:lang w:val="fr-FR"/>
        </w:rPr>
        <w:t>des poursuites</w:t>
      </w:r>
      <w:r w:rsidRPr="00953692">
        <w:rPr>
          <w:rFonts w:cs="Times New Roman"/>
          <w:sz w:val="24"/>
          <w:szCs w:val="24"/>
          <w:lang w:val="fr-FR"/>
        </w:rPr>
        <w:t xml:space="preserve"> pénales légalement engagées,</w:t>
      </w:r>
      <w:r w:rsidR="004554DF" w:rsidRPr="00953692">
        <w:rPr>
          <w:rFonts w:cs="Times New Roman"/>
          <w:sz w:val="24"/>
          <w:szCs w:val="24"/>
          <w:lang w:val="fr-FR"/>
        </w:rPr>
        <w:t xml:space="preserve"> au cas où la violation du caractère équitable </w:t>
      </w:r>
      <w:r w:rsidRPr="00953692">
        <w:rPr>
          <w:rFonts w:cs="Times New Roman"/>
          <w:sz w:val="24"/>
          <w:szCs w:val="24"/>
          <w:lang w:val="fr-FR"/>
        </w:rPr>
        <w:t xml:space="preserve">à l’égard de l’accusé </w:t>
      </w:r>
      <w:r w:rsidR="004554DF" w:rsidRPr="00953692">
        <w:rPr>
          <w:rFonts w:cs="Times New Roman"/>
          <w:sz w:val="24"/>
          <w:szCs w:val="24"/>
          <w:lang w:val="fr-FR"/>
        </w:rPr>
        <w:t>devien</w:t>
      </w:r>
      <w:r w:rsidRPr="00953692">
        <w:rPr>
          <w:rFonts w:cs="Times New Roman"/>
          <w:sz w:val="24"/>
          <w:szCs w:val="24"/>
          <w:lang w:val="fr-FR"/>
        </w:rPr>
        <w:t>drai</w:t>
      </w:r>
      <w:r w:rsidR="004554DF" w:rsidRPr="00953692">
        <w:rPr>
          <w:rFonts w:cs="Times New Roman"/>
          <w:sz w:val="24"/>
          <w:szCs w:val="24"/>
          <w:lang w:val="fr-FR"/>
        </w:rPr>
        <w:t>t irrémédiable, notamment en raison des retards accumulés</w:t>
      </w:r>
      <w:r w:rsidR="00A5376B" w:rsidRPr="00953692">
        <w:rPr>
          <w:rStyle w:val="Appelnotedebasdep"/>
          <w:rFonts w:cs="Times New Roman"/>
          <w:sz w:val="24"/>
          <w:szCs w:val="24"/>
          <w:lang w:val="fr-FR"/>
        </w:rPr>
        <w:footnoteReference w:customMarkFollows="1" w:id="219"/>
        <w:t>196</w:t>
      </w:r>
      <w:r w:rsidR="00A5376B" w:rsidRPr="00953692">
        <w:rPr>
          <w:rFonts w:cs="Times New Roman"/>
          <w:sz w:val="24"/>
          <w:szCs w:val="24"/>
          <w:lang w:val="fr-FR"/>
        </w:rPr>
        <w:t xml:space="preserve"> </w:t>
      </w:r>
      <w:r w:rsidR="00A5376B" w:rsidRPr="00953692">
        <w:rPr>
          <w:rStyle w:val="Appelnotedebasdep"/>
          <w:rFonts w:cs="Times New Roman"/>
          <w:sz w:val="24"/>
          <w:szCs w:val="24"/>
          <w:lang w:val="fr-FR"/>
        </w:rPr>
        <w:footnoteReference w:customMarkFollows="1" w:id="220"/>
        <w:t>197</w:t>
      </w:r>
      <w:r w:rsidR="004554DF" w:rsidRPr="00953692">
        <w:rPr>
          <w:rFonts w:cs="Times New Roman"/>
          <w:sz w:val="24"/>
          <w:szCs w:val="24"/>
          <w:lang w:val="fr-FR"/>
        </w:rPr>
        <w:t>.</w:t>
      </w:r>
      <w:r w:rsidR="00BD02DF" w:rsidRPr="00953692">
        <w:rPr>
          <w:rFonts w:cs="Times New Roman"/>
          <w:sz w:val="24"/>
          <w:szCs w:val="24"/>
          <w:lang w:val="fr-FR"/>
        </w:rPr>
        <w:t xml:space="preserve"> </w:t>
      </w:r>
      <w:r w:rsidRPr="00953692">
        <w:rPr>
          <w:rFonts w:cs="Times New Roman"/>
          <w:sz w:val="24"/>
          <w:szCs w:val="24"/>
          <w:lang w:val="fr-FR"/>
        </w:rPr>
        <w:t>On en vient à la conclusion selon laquelle,</w:t>
      </w:r>
      <w:r w:rsidR="00A77EB7" w:rsidRPr="00953692">
        <w:rPr>
          <w:rFonts w:cs="Times New Roman"/>
          <w:sz w:val="24"/>
          <w:szCs w:val="24"/>
          <w:lang w:val="fr-FR"/>
        </w:rPr>
        <w:t xml:space="preserve"> ces droits sont </w:t>
      </w:r>
      <w:r w:rsidR="0092034C" w:rsidRPr="00953692">
        <w:rPr>
          <w:rFonts w:cs="Times New Roman"/>
          <w:sz w:val="24"/>
          <w:szCs w:val="24"/>
          <w:lang w:val="fr-FR"/>
        </w:rPr>
        <w:t>censés cohabiter, coexister. On aura donc l’impression première</w:t>
      </w:r>
      <w:r w:rsidR="007F33CD" w:rsidRPr="00953692">
        <w:rPr>
          <w:rFonts w:cs="Times New Roman"/>
          <w:sz w:val="24"/>
          <w:szCs w:val="24"/>
          <w:lang w:val="fr-FR"/>
        </w:rPr>
        <w:t>, et</w:t>
      </w:r>
      <w:r w:rsidR="00EC4BF3" w:rsidRPr="00953692">
        <w:rPr>
          <w:rFonts w:cs="Times New Roman"/>
          <w:sz w:val="24"/>
          <w:szCs w:val="24"/>
          <w:lang w:val="fr-FR"/>
        </w:rPr>
        <w:t xml:space="preserve"> ce,</w:t>
      </w:r>
      <w:r w:rsidR="007F33CD" w:rsidRPr="00953692">
        <w:rPr>
          <w:rFonts w:cs="Times New Roman"/>
          <w:sz w:val="24"/>
          <w:szCs w:val="24"/>
          <w:lang w:val="fr-FR"/>
        </w:rPr>
        <w:t xml:space="preserve"> en raison de leur but commun</w:t>
      </w:r>
      <w:r w:rsidR="002804D3" w:rsidRPr="00953692">
        <w:rPr>
          <w:rFonts w:cs="Times New Roman"/>
          <w:sz w:val="24"/>
          <w:szCs w:val="24"/>
          <w:lang w:val="fr-FR"/>
        </w:rPr>
        <w:t xml:space="preserve"> </w:t>
      </w:r>
      <w:r w:rsidR="00EC4BF3" w:rsidRPr="00953692">
        <w:rPr>
          <w:rFonts w:cs="Times New Roman"/>
          <w:sz w:val="24"/>
          <w:szCs w:val="24"/>
          <w:lang w:val="fr-FR"/>
        </w:rPr>
        <w:t>(</w:t>
      </w:r>
      <w:r w:rsidR="00A06349" w:rsidRPr="00953692">
        <w:rPr>
          <w:rFonts w:cs="Times New Roman"/>
          <w:sz w:val="24"/>
          <w:szCs w:val="24"/>
          <w:lang w:val="fr-FR"/>
        </w:rPr>
        <w:t>équité de la procédure</w:t>
      </w:r>
      <w:r w:rsidR="00EC4BF3" w:rsidRPr="00953692">
        <w:rPr>
          <w:rFonts w:cs="Times New Roman"/>
          <w:sz w:val="24"/>
          <w:szCs w:val="24"/>
          <w:lang w:val="fr-FR"/>
        </w:rPr>
        <w:t>)</w:t>
      </w:r>
      <w:r w:rsidR="0092034C" w:rsidRPr="00953692">
        <w:rPr>
          <w:rFonts w:cs="Times New Roman"/>
          <w:sz w:val="24"/>
          <w:szCs w:val="24"/>
          <w:lang w:val="fr-FR"/>
        </w:rPr>
        <w:t xml:space="preserve"> qu’elles </w:t>
      </w:r>
      <w:r w:rsidR="007F33CD" w:rsidRPr="00953692">
        <w:rPr>
          <w:rFonts w:cs="Times New Roman"/>
          <w:sz w:val="24"/>
          <w:szCs w:val="24"/>
          <w:lang w:val="fr-FR"/>
        </w:rPr>
        <w:t>sont interdépendantes</w:t>
      </w:r>
      <w:r w:rsidR="002804D3" w:rsidRPr="00953692">
        <w:rPr>
          <w:rFonts w:cs="Times New Roman"/>
          <w:sz w:val="24"/>
          <w:szCs w:val="24"/>
          <w:lang w:val="fr-FR"/>
        </w:rPr>
        <w:t xml:space="preserve"> </w:t>
      </w:r>
      <w:r w:rsidR="007F33CD" w:rsidRPr="00953692">
        <w:rPr>
          <w:rFonts w:cs="Times New Roman"/>
          <w:sz w:val="24"/>
          <w:szCs w:val="24"/>
          <w:lang w:val="fr-FR"/>
        </w:rPr>
        <w:t>(§2)</w:t>
      </w:r>
      <w:r w:rsidR="0092034C" w:rsidRPr="00953692">
        <w:rPr>
          <w:rFonts w:cs="Times New Roman"/>
          <w:sz w:val="24"/>
          <w:szCs w:val="24"/>
          <w:lang w:val="fr-FR"/>
        </w:rPr>
        <w:t>. Ce qui n’est pas exactement faux</w:t>
      </w:r>
      <w:r w:rsidR="007F33CD" w:rsidRPr="00953692">
        <w:rPr>
          <w:rFonts w:cs="Times New Roman"/>
          <w:sz w:val="24"/>
          <w:szCs w:val="24"/>
          <w:lang w:val="fr-FR"/>
        </w:rPr>
        <w:t xml:space="preserve"> comme on le verra plus loin</w:t>
      </w:r>
      <w:r w:rsidR="0092034C" w:rsidRPr="00953692">
        <w:rPr>
          <w:rFonts w:cs="Times New Roman"/>
          <w:sz w:val="24"/>
          <w:szCs w:val="24"/>
          <w:lang w:val="fr-FR"/>
        </w:rPr>
        <w:t xml:space="preserve">. </w:t>
      </w:r>
      <w:r w:rsidR="00704A27" w:rsidRPr="00953692">
        <w:rPr>
          <w:rFonts w:cs="Times New Roman"/>
          <w:sz w:val="24"/>
          <w:szCs w:val="24"/>
          <w:lang w:val="fr-FR"/>
        </w:rPr>
        <w:t xml:space="preserve">Cependant, leur mise en œuvre peut révéler une autre réalité ou </w:t>
      </w:r>
      <w:r w:rsidR="00E829E4" w:rsidRPr="00953692">
        <w:rPr>
          <w:rFonts w:cs="Times New Roman"/>
          <w:sz w:val="24"/>
          <w:szCs w:val="24"/>
          <w:lang w:val="fr-FR"/>
        </w:rPr>
        <w:t xml:space="preserve">autre </w:t>
      </w:r>
      <w:r w:rsidR="00704A27" w:rsidRPr="00953692">
        <w:rPr>
          <w:rFonts w:cs="Times New Roman"/>
          <w:sz w:val="24"/>
          <w:szCs w:val="24"/>
          <w:lang w:val="fr-FR"/>
        </w:rPr>
        <w:t>perception de l’ordre de l’incompatibilité</w:t>
      </w:r>
      <w:r w:rsidR="002E0710" w:rsidRPr="00953692">
        <w:rPr>
          <w:rFonts w:cs="Times New Roman"/>
          <w:sz w:val="24"/>
          <w:szCs w:val="24"/>
          <w:lang w:val="fr-FR"/>
        </w:rPr>
        <w:t xml:space="preserve"> (§1.)</w:t>
      </w:r>
      <w:r w:rsidR="007F33CD" w:rsidRPr="00953692">
        <w:rPr>
          <w:rFonts w:cs="Times New Roman"/>
          <w:sz w:val="24"/>
          <w:szCs w:val="24"/>
          <w:lang w:val="fr-FR"/>
        </w:rPr>
        <w:t>,</w:t>
      </w:r>
      <w:r w:rsidR="00EA4FC2" w:rsidRPr="00953692">
        <w:rPr>
          <w:rFonts w:cs="Times New Roman"/>
          <w:sz w:val="24"/>
          <w:szCs w:val="24"/>
          <w:lang w:val="fr-FR"/>
        </w:rPr>
        <w:t xml:space="preserve"> qui</w:t>
      </w:r>
      <w:r w:rsidR="007F33CD" w:rsidRPr="00953692">
        <w:rPr>
          <w:rFonts w:cs="Times New Roman"/>
          <w:sz w:val="24"/>
          <w:szCs w:val="24"/>
          <w:lang w:val="fr-FR"/>
        </w:rPr>
        <w:t xml:space="preserve"> tentera de faire asseoir finalement la thèse de </w:t>
      </w:r>
      <w:r w:rsidR="00CD62BF" w:rsidRPr="00953692">
        <w:rPr>
          <w:rFonts w:cs="Times New Roman"/>
          <w:sz w:val="24"/>
          <w:szCs w:val="24"/>
          <w:lang w:val="fr-FR"/>
        </w:rPr>
        <w:t>la</w:t>
      </w:r>
      <w:r w:rsidR="007F33CD" w:rsidRPr="00953692">
        <w:rPr>
          <w:rFonts w:cs="Times New Roman"/>
          <w:sz w:val="24"/>
          <w:szCs w:val="24"/>
          <w:lang w:val="fr-FR"/>
        </w:rPr>
        <w:t xml:space="preserve"> conflictualité</w:t>
      </w:r>
      <w:r w:rsidR="00704A27" w:rsidRPr="00953692">
        <w:rPr>
          <w:rFonts w:cs="Times New Roman"/>
          <w:sz w:val="24"/>
          <w:szCs w:val="24"/>
          <w:lang w:val="fr-FR"/>
        </w:rPr>
        <w:t>.</w:t>
      </w:r>
    </w:p>
    <w:p w14:paraId="5B591DB1" w14:textId="370A1195" w:rsidR="00BF1955" w:rsidRPr="00953692" w:rsidRDefault="00FE17FD" w:rsidP="00FF14B6">
      <w:pPr>
        <w:pStyle w:val="Titre3"/>
        <w:ind w:left="1134"/>
        <w:rPr>
          <w:rFonts w:ascii="Times New Roman" w:hAnsi="Times New Roman"/>
          <w:b w:val="0"/>
          <w:bCs/>
          <w:i/>
          <w:color w:val="auto"/>
          <w:sz w:val="24"/>
          <w:szCs w:val="24"/>
          <w:lang w:val="fr-FR"/>
        </w:rPr>
      </w:pPr>
      <w:bookmarkStart w:id="67" w:name="_Toc195179433"/>
      <w:bookmarkStart w:id="68" w:name="_Hlk150708800"/>
      <w:r>
        <w:rPr>
          <w:rFonts w:ascii="Times New Roman" w:hAnsi="Times New Roman"/>
          <w:b w:val="0"/>
          <w:bCs/>
          <w:i/>
          <w:color w:val="auto"/>
          <w:sz w:val="24"/>
          <w:szCs w:val="24"/>
          <w:lang w:val="fr-FR"/>
        </w:rPr>
        <w:lastRenderedPageBreak/>
        <w:t xml:space="preserve">Paragraphe </w:t>
      </w:r>
      <w:r w:rsidR="006B4317" w:rsidRPr="00953692">
        <w:rPr>
          <w:rFonts w:ascii="Times New Roman" w:hAnsi="Times New Roman"/>
          <w:b w:val="0"/>
          <w:bCs/>
          <w:i/>
          <w:color w:val="auto"/>
          <w:sz w:val="24"/>
          <w:szCs w:val="24"/>
          <w:lang w:val="fr-FR"/>
        </w:rPr>
        <w:t xml:space="preserve">1. </w:t>
      </w:r>
      <w:r w:rsidR="006B4317" w:rsidRPr="00953692">
        <w:rPr>
          <w:rFonts w:ascii="Times New Roman" w:hAnsi="Times New Roman"/>
          <w:b w:val="0"/>
          <w:bCs/>
          <w:i/>
          <w:iCs/>
          <w:color w:val="auto"/>
          <w:sz w:val="24"/>
          <w:szCs w:val="24"/>
          <w:lang w:val="fr-FR"/>
        </w:rPr>
        <w:t>Le délai raisonnable</w:t>
      </w:r>
      <w:r w:rsidR="00A5376B" w:rsidRPr="00953692">
        <w:rPr>
          <w:rFonts w:ascii="Times New Roman" w:hAnsi="Times New Roman"/>
          <w:b w:val="0"/>
          <w:bCs/>
          <w:i/>
          <w:iCs/>
          <w:color w:val="auto"/>
          <w:sz w:val="24"/>
          <w:szCs w:val="24"/>
          <w:lang w:val="fr-FR"/>
        </w:rPr>
        <w:t xml:space="preserve">, </w:t>
      </w:r>
      <w:r w:rsidR="006B4317" w:rsidRPr="00953692">
        <w:rPr>
          <w:rFonts w:ascii="Times New Roman" w:hAnsi="Times New Roman"/>
          <w:b w:val="0"/>
          <w:bCs/>
          <w:i/>
          <w:iCs/>
          <w:color w:val="auto"/>
          <w:sz w:val="24"/>
          <w:szCs w:val="24"/>
          <w:lang w:val="fr-FR"/>
        </w:rPr>
        <w:t xml:space="preserve">incompatible avec le droit de l’accusé de disposer du temps et des facilités nécessaires à la préparation de sa </w:t>
      </w:r>
      <w:bookmarkEnd w:id="67"/>
      <w:r w:rsidRPr="00953692">
        <w:rPr>
          <w:rFonts w:ascii="Times New Roman" w:hAnsi="Times New Roman"/>
          <w:b w:val="0"/>
          <w:bCs/>
          <w:i/>
          <w:iCs/>
          <w:color w:val="auto"/>
          <w:sz w:val="24"/>
          <w:szCs w:val="24"/>
          <w:lang w:val="fr-FR"/>
        </w:rPr>
        <w:t>défense</w:t>
      </w:r>
      <w:r w:rsidRPr="00953692">
        <w:rPr>
          <w:rFonts w:ascii="Times New Roman" w:hAnsi="Times New Roman"/>
          <w:b w:val="0"/>
          <w:bCs/>
          <w:i/>
          <w:color w:val="auto"/>
          <w:sz w:val="24"/>
          <w:szCs w:val="24"/>
          <w:lang w:val="fr-FR"/>
        </w:rPr>
        <w:t xml:space="preserve"> ?</w:t>
      </w:r>
    </w:p>
    <w:bookmarkEnd w:id="68"/>
    <w:p w14:paraId="78D6F422" w14:textId="247196F2" w:rsidR="00C42D47" w:rsidRPr="00953692" w:rsidRDefault="002804D3" w:rsidP="00864BBF">
      <w:pPr>
        <w:spacing w:before="240" w:line="276" w:lineRule="auto"/>
        <w:ind w:firstLine="1134"/>
        <w:jc w:val="both"/>
        <w:rPr>
          <w:rFonts w:cs="Times New Roman"/>
          <w:sz w:val="24"/>
          <w:szCs w:val="24"/>
          <w:lang w:val="fr-FR"/>
        </w:rPr>
      </w:pPr>
      <w:r w:rsidRPr="00953692">
        <w:rPr>
          <w:rFonts w:cs="Times New Roman"/>
          <w:b/>
          <w:bCs/>
          <w:sz w:val="24"/>
          <w:szCs w:val="24"/>
          <w:lang w:val="fr-FR"/>
        </w:rPr>
        <w:t>2</w:t>
      </w:r>
      <w:r w:rsidR="005577EE" w:rsidRPr="00953692">
        <w:rPr>
          <w:rFonts w:cs="Times New Roman"/>
          <w:b/>
          <w:bCs/>
          <w:sz w:val="24"/>
          <w:szCs w:val="24"/>
          <w:lang w:val="fr-FR"/>
        </w:rPr>
        <w:t>97</w:t>
      </w:r>
      <w:r w:rsidRPr="00953692">
        <w:rPr>
          <w:rFonts w:cs="Times New Roman"/>
          <w:b/>
          <w:bCs/>
          <w:sz w:val="24"/>
          <w:szCs w:val="24"/>
          <w:lang w:val="fr-FR"/>
        </w:rPr>
        <w:t>.</w:t>
      </w:r>
      <w:r w:rsidRPr="00953692">
        <w:rPr>
          <w:rFonts w:cs="Times New Roman"/>
          <w:sz w:val="24"/>
          <w:szCs w:val="24"/>
          <w:lang w:val="fr-FR"/>
        </w:rPr>
        <w:t xml:space="preserve"> </w:t>
      </w:r>
      <w:r w:rsidR="00160AFD" w:rsidRPr="00953692">
        <w:rPr>
          <w:rFonts w:cs="Times New Roman"/>
          <w:sz w:val="24"/>
          <w:szCs w:val="24"/>
          <w:lang w:val="fr-FR"/>
        </w:rPr>
        <w:t>D’abord</w:t>
      </w:r>
      <w:r w:rsidR="00C34A2B" w:rsidRPr="00953692">
        <w:rPr>
          <w:rFonts w:cs="Times New Roman"/>
          <w:sz w:val="24"/>
          <w:szCs w:val="24"/>
          <w:lang w:val="fr-FR"/>
        </w:rPr>
        <w:t>,</w:t>
      </w:r>
      <w:r w:rsidR="00160AFD" w:rsidRPr="00953692">
        <w:rPr>
          <w:rFonts w:cs="Times New Roman"/>
          <w:sz w:val="24"/>
          <w:szCs w:val="24"/>
          <w:lang w:val="fr-FR"/>
        </w:rPr>
        <w:t xml:space="preserve"> il convient de soulever que le droit de disposer du temps nécessaire </w:t>
      </w:r>
      <w:r w:rsidRPr="00953692">
        <w:rPr>
          <w:rFonts w:cs="Times New Roman"/>
          <w:sz w:val="24"/>
          <w:szCs w:val="24"/>
          <w:lang w:val="fr-FR"/>
        </w:rPr>
        <w:t xml:space="preserve">semble </w:t>
      </w:r>
      <w:r w:rsidR="00160AFD" w:rsidRPr="00953692">
        <w:rPr>
          <w:rFonts w:cs="Times New Roman"/>
          <w:sz w:val="24"/>
          <w:szCs w:val="24"/>
          <w:lang w:val="fr-FR"/>
        </w:rPr>
        <w:t xml:space="preserve">complémentaire au délai raisonnable, car il empêche à ce que le procès se déroule avec une rapidité défavorable à l’accusé. La temporisation qui </w:t>
      </w:r>
      <w:r w:rsidR="002B473D" w:rsidRPr="00953692">
        <w:rPr>
          <w:rFonts w:cs="Times New Roman"/>
          <w:sz w:val="24"/>
          <w:szCs w:val="24"/>
          <w:lang w:val="fr-FR"/>
        </w:rPr>
        <w:t>est requise</w:t>
      </w:r>
      <w:r w:rsidR="00160AFD" w:rsidRPr="00953692">
        <w:rPr>
          <w:rFonts w:cs="Times New Roman"/>
          <w:sz w:val="24"/>
          <w:szCs w:val="24"/>
          <w:lang w:val="fr-FR"/>
        </w:rPr>
        <w:t xml:space="preserve"> se justifie, tout comme le délai raisonnable, par la nécessité de garantir </w:t>
      </w:r>
      <w:r w:rsidR="003C72A6" w:rsidRPr="00953692">
        <w:rPr>
          <w:rFonts w:cs="Times New Roman"/>
          <w:sz w:val="24"/>
          <w:szCs w:val="24"/>
          <w:lang w:val="fr-FR"/>
        </w:rPr>
        <w:t xml:space="preserve">à l’accusé </w:t>
      </w:r>
      <w:r w:rsidR="00160AFD" w:rsidRPr="00953692">
        <w:rPr>
          <w:rFonts w:cs="Times New Roman"/>
          <w:sz w:val="24"/>
          <w:szCs w:val="24"/>
          <w:lang w:val="fr-FR"/>
        </w:rPr>
        <w:t>un procès équitable. Mais à quel moment peut-on parler de la conflictualité dans la mise en œuvre de ces deux prérogatives ?</w:t>
      </w:r>
      <w:r w:rsidR="00C97125" w:rsidRPr="00953692">
        <w:rPr>
          <w:rFonts w:cs="Times New Roman"/>
          <w:sz w:val="24"/>
          <w:szCs w:val="24"/>
          <w:lang w:val="fr-FR"/>
        </w:rPr>
        <w:t xml:space="preserve"> Pour répondre à cette question, nous partirons de la portée du droit de l’accusé de disposer d’un temps nécessaire à préparation de la défense (A) afin d’appréhender l’idée d’un conflit latent entre ceci et son droit d’être jugé sans retard excessif (B).</w:t>
      </w:r>
    </w:p>
    <w:p w14:paraId="00717716" w14:textId="2F39A277" w:rsidR="00F06B47" w:rsidRPr="00953692" w:rsidRDefault="005F425D" w:rsidP="00BC1362">
      <w:pPr>
        <w:pStyle w:val="Paragraphedeliste"/>
        <w:numPr>
          <w:ilvl w:val="0"/>
          <w:numId w:val="7"/>
        </w:numPr>
        <w:spacing w:before="240" w:line="276" w:lineRule="auto"/>
        <w:jc w:val="both"/>
        <w:outlineLvl w:val="2"/>
        <w:rPr>
          <w:rFonts w:cs="Times New Roman"/>
          <w:i/>
          <w:iCs/>
          <w:sz w:val="24"/>
          <w:szCs w:val="24"/>
          <w:lang w:val="fr-FR"/>
        </w:rPr>
      </w:pPr>
      <w:bookmarkStart w:id="69" w:name="_Toc195179434"/>
      <w:bookmarkStart w:id="70" w:name="_Hlk150708816"/>
      <w:r w:rsidRPr="00953692">
        <w:rPr>
          <w:rFonts w:cs="Times New Roman"/>
          <w:i/>
          <w:iCs/>
          <w:sz w:val="24"/>
          <w:szCs w:val="24"/>
          <w:lang w:val="fr-FR"/>
        </w:rPr>
        <w:t>Notion et</w:t>
      </w:r>
      <w:r w:rsidR="006B4317" w:rsidRPr="00953692">
        <w:rPr>
          <w:rFonts w:cs="Times New Roman"/>
          <w:i/>
          <w:iCs/>
          <w:sz w:val="24"/>
          <w:szCs w:val="24"/>
          <w:lang w:val="fr-FR"/>
        </w:rPr>
        <w:t xml:space="preserve"> portée du droit de disposer du temps et facilités nécessaires à la préparation de la défense : </w:t>
      </w:r>
      <w:r w:rsidR="00D956D7" w:rsidRPr="00953692">
        <w:rPr>
          <w:rFonts w:cs="Times New Roman"/>
          <w:i/>
          <w:iCs/>
          <w:sz w:val="24"/>
          <w:szCs w:val="24"/>
          <w:lang w:val="fr-FR"/>
        </w:rPr>
        <w:t>a</w:t>
      </w:r>
      <w:r w:rsidR="006B4317" w:rsidRPr="00953692">
        <w:rPr>
          <w:rFonts w:cs="Times New Roman"/>
          <w:i/>
          <w:iCs/>
          <w:sz w:val="24"/>
          <w:szCs w:val="24"/>
          <w:lang w:val="fr-FR"/>
        </w:rPr>
        <w:t>ssurer un procès équitable</w:t>
      </w:r>
      <w:bookmarkEnd w:id="69"/>
    </w:p>
    <w:bookmarkEnd w:id="70"/>
    <w:p w14:paraId="0FACF101" w14:textId="75E3CE50" w:rsidR="00985C9F" w:rsidRPr="00953692" w:rsidRDefault="00153F6F" w:rsidP="00864BBF">
      <w:pPr>
        <w:spacing w:after="0" w:line="276" w:lineRule="auto"/>
        <w:ind w:firstLine="1134"/>
        <w:jc w:val="both"/>
        <w:rPr>
          <w:sz w:val="24"/>
          <w:szCs w:val="24"/>
          <w:lang w:val="fr-FR"/>
        </w:rPr>
      </w:pPr>
      <w:r w:rsidRPr="00953692">
        <w:rPr>
          <w:rFonts w:cs="Times New Roman"/>
          <w:b/>
          <w:bCs/>
          <w:sz w:val="24"/>
          <w:szCs w:val="24"/>
          <w:lang w:val="fr-FR"/>
        </w:rPr>
        <w:t>2</w:t>
      </w:r>
      <w:r w:rsidR="005577EE" w:rsidRPr="00953692">
        <w:rPr>
          <w:rFonts w:cs="Times New Roman"/>
          <w:b/>
          <w:bCs/>
          <w:sz w:val="24"/>
          <w:szCs w:val="24"/>
          <w:lang w:val="fr-FR"/>
        </w:rPr>
        <w:t>98</w:t>
      </w:r>
      <w:r w:rsidRPr="00953692">
        <w:rPr>
          <w:rFonts w:cs="Times New Roman"/>
          <w:b/>
          <w:bCs/>
          <w:sz w:val="24"/>
          <w:szCs w:val="24"/>
          <w:lang w:val="fr-FR"/>
        </w:rPr>
        <w:t>.</w:t>
      </w:r>
      <w:r w:rsidRPr="00953692">
        <w:rPr>
          <w:rFonts w:cs="Times New Roman"/>
          <w:sz w:val="24"/>
          <w:szCs w:val="24"/>
          <w:lang w:val="fr-FR"/>
        </w:rPr>
        <w:t xml:space="preserve"> </w:t>
      </w:r>
      <w:r w:rsidR="00D943A2" w:rsidRPr="00953692">
        <w:rPr>
          <w:rFonts w:cs="Times New Roman"/>
          <w:sz w:val="24"/>
          <w:szCs w:val="24"/>
          <w:lang w:val="fr-FR"/>
        </w:rPr>
        <w:t>La défense</w:t>
      </w:r>
      <w:r w:rsidR="00927937" w:rsidRPr="00953692">
        <w:rPr>
          <w:rFonts w:cs="Times New Roman"/>
          <w:sz w:val="24"/>
          <w:szCs w:val="24"/>
          <w:lang w:val="fr-FR"/>
        </w:rPr>
        <w:t xml:space="preserve"> ou les droits de la défense</w:t>
      </w:r>
      <w:r w:rsidR="00D943A2" w:rsidRPr="00953692">
        <w:rPr>
          <w:rFonts w:cs="Times New Roman"/>
          <w:sz w:val="24"/>
          <w:szCs w:val="24"/>
          <w:lang w:val="fr-FR"/>
        </w:rPr>
        <w:t xml:space="preserve"> est en réalité cette idée derrière la notion du procès équitable. </w:t>
      </w:r>
      <w:r w:rsidR="00377D16" w:rsidRPr="00953692">
        <w:rPr>
          <w:sz w:val="24"/>
          <w:szCs w:val="24"/>
          <w:lang w:val="fr-FR"/>
        </w:rPr>
        <w:t>Les droits de la défense peuvent</w:t>
      </w:r>
      <w:r w:rsidR="005F425D" w:rsidRPr="00953692">
        <w:rPr>
          <w:sz w:val="24"/>
          <w:szCs w:val="24"/>
          <w:lang w:val="fr-FR"/>
        </w:rPr>
        <w:t xml:space="preserve"> encore une fois</w:t>
      </w:r>
      <w:r w:rsidR="00377D16" w:rsidRPr="00953692">
        <w:rPr>
          <w:sz w:val="24"/>
          <w:szCs w:val="24"/>
          <w:lang w:val="fr-FR"/>
        </w:rPr>
        <w:t xml:space="preserve"> être définis comme </w:t>
      </w:r>
      <w:r w:rsidR="005F425D" w:rsidRPr="00953692">
        <w:rPr>
          <w:sz w:val="24"/>
          <w:szCs w:val="24"/>
          <w:lang w:val="fr-FR"/>
        </w:rPr>
        <w:t>« </w:t>
      </w:r>
      <w:r w:rsidR="00377D16" w:rsidRPr="00953692">
        <w:rPr>
          <w:sz w:val="24"/>
          <w:szCs w:val="24"/>
          <w:lang w:val="fr-FR"/>
        </w:rPr>
        <w:t>l’ensemble des garanties qui sont accordées à une personne mise en cause, mise en examen, accusée ou prévenue pour lui permettre d’assurer la protection de ses intérêts tout au long du procès pénal »</w:t>
      </w:r>
      <w:r w:rsidR="00E56AF3" w:rsidRPr="00953692">
        <w:rPr>
          <w:rStyle w:val="Appelnotedebasdep"/>
          <w:sz w:val="24"/>
          <w:szCs w:val="24"/>
          <w:lang w:val="fr-FR"/>
        </w:rPr>
        <w:footnoteReference w:customMarkFollows="1" w:id="221"/>
        <w:t>198</w:t>
      </w:r>
      <w:r w:rsidR="00377D16" w:rsidRPr="00953692">
        <w:rPr>
          <w:sz w:val="24"/>
          <w:szCs w:val="24"/>
          <w:lang w:val="fr-FR"/>
        </w:rPr>
        <w:t xml:space="preserve">. </w:t>
      </w:r>
      <w:r w:rsidR="00690790" w:rsidRPr="00953692">
        <w:rPr>
          <w:sz w:val="24"/>
          <w:szCs w:val="24"/>
          <w:lang w:val="fr-FR"/>
        </w:rPr>
        <w:t xml:space="preserve">Comme nous l’avons mentionné plus haut, </w:t>
      </w:r>
      <w:r w:rsidR="005F425D" w:rsidRPr="00953692">
        <w:rPr>
          <w:sz w:val="24"/>
          <w:szCs w:val="24"/>
          <w:lang w:val="fr-FR"/>
        </w:rPr>
        <w:t>c</w:t>
      </w:r>
      <w:r w:rsidR="00690790" w:rsidRPr="00953692">
        <w:rPr>
          <w:sz w:val="24"/>
          <w:szCs w:val="24"/>
          <w:lang w:val="fr-FR"/>
        </w:rPr>
        <w:t>es droits de la défense entant qu’une institution de la procédure pénale renferme</w:t>
      </w:r>
      <w:r w:rsidR="005F425D" w:rsidRPr="00953692">
        <w:rPr>
          <w:sz w:val="24"/>
          <w:szCs w:val="24"/>
          <w:lang w:val="fr-FR"/>
        </w:rPr>
        <w:t>nt</w:t>
      </w:r>
      <w:r w:rsidR="00690790" w:rsidRPr="00953692">
        <w:rPr>
          <w:sz w:val="24"/>
          <w:szCs w:val="24"/>
          <w:lang w:val="fr-FR"/>
        </w:rPr>
        <w:t xml:space="preserve"> la marque de la contradiction du mécanisme d’établissement ou non de la responsabilité pénale</w:t>
      </w:r>
      <w:r w:rsidR="00690790" w:rsidRPr="00953692">
        <w:rPr>
          <w:rStyle w:val="Appelnotedebasdep"/>
          <w:sz w:val="24"/>
          <w:szCs w:val="24"/>
          <w:lang w:val="fr-FR"/>
        </w:rPr>
        <w:footnoteReference w:customMarkFollows="1" w:id="222"/>
        <w:t>199</w:t>
      </w:r>
      <w:r w:rsidR="00690790" w:rsidRPr="00953692">
        <w:rPr>
          <w:sz w:val="24"/>
          <w:szCs w:val="24"/>
          <w:lang w:val="fr-FR"/>
        </w:rPr>
        <w:t>.</w:t>
      </w:r>
      <w:r w:rsidR="009F16DA" w:rsidRPr="00953692">
        <w:rPr>
          <w:sz w:val="24"/>
          <w:szCs w:val="24"/>
          <w:lang w:val="fr-FR"/>
        </w:rPr>
        <w:t xml:space="preserve"> </w:t>
      </w:r>
      <w:r w:rsidR="00527BEE" w:rsidRPr="00953692">
        <w:rPr>
          <w:sz w:val="24"/>
          <w:szCs w:val="24"/>
          <w:lang w:val="fr-FR"/>
        </w:rPr>
        <w:t xml:space="preserve">La </w:t>
      </w:r>
      <w:r w:rsidR="009F16DA" w:rsidRPr="00953692">
        <w:rPr>
          <w:sz w:val="24"/>
          <w:szCs w:val="24"/>
          <w:lang w:val="fr-FR"/>
        </w:rPr>
        <w:t>défense signifie que l’accusé devra s’opposer à l’accusation ; c’est du moins l’idée première qui ressort de l’analyse des droits de la défense</w:t>
      </w:r>
      <w:r w:rsidR="00527BEE" w:rsidRPr="00953692">
        <w:rPr>
          <w:sz w:val="24"/>
          <w:szCs w:val="24"/>
          <w:lang w:val="fr-FR"/>
        </w:rPr>
        <w:t xml:space="preserve"> ou de leur exercice</w:t>
      </w:r>
      <w:r w:rsidR="009F16DA" w:rsidRPr="00953692">
        <w:rPr>
          <w:sz w:val="24"/>
          <w:szCs w:val="24"/>
          <w:lang w:val="fr-FR"/>
        </w:rPr>
        <w:t xml:space="preserve">. </w:t>
      </w:r>
      <w:r w:rsidR="00467EA3" w:rsidRPr="00953692">
        <w:rPr>
          <w:sz w:val="24"/>
          <w:szCs w:val="24"/>
          <w:lang w:val="fr-FR"/>
        </w:rPr>
        <w:t xml:space="preserve">De l’esprit des textes internationaux (la DUDH ou PIDCP) et des </w:t>
      </w:r>
      <w:r w:rsidR="00527BEE" w:rsidRPr="00953692">
        <w:rPr>
          <w:sz w:val="24"/>
          <w:szCs w:val="24"/>
          <w:lang w:val="fr-FR"/>
        </w:rPr>
        <w:t>C</w:t>
      </w:r>
      <w:r w:rsidR="00467EA3" w:rsidRPr="00953692">
        <w:rPr>
          <w:sz w:val="24"/>
          <w:szCs w:val="24"/>
          <w:lang w:val="fr-FR"/>
        </w:rPr>
        <w:t xml:space="preserve">onstitutions modernes, les droits de la défense </w:t>
      </w:r>
      <w:r w:rsidR="00EE2675" w:rsidRPr="00953692">
        <w:rPr>
          <w:sz w:val="24"/>
          <w:szCs w:val="24"/>
          <w:lang w:val="fr-FR"/>
        </w:rPr>
        <w:t>ont</w:t>
      </w:r>
      <w:r w:rsidR="00467EA3" w:rsidRPr="00953692">
        <w:rPr>
          <w:sz w:val="24"/>
          <w:szCs w:val="24"/>
          <w:lang w:val="fr-FR"/>
        </w:rPr>
        <w:t xml:space="preserve"> une fonction protectrice de l’individu</w:t>
      </w:r>
      <w:r w:rsidR="00985C9F" w:rsidRPr="00953692">
        <w:rPr>
          <w:sz w:val="24"/>
          <w:szCs w:val="24"/>
          <w:lang w:val="fr-FR"/>
        </w:rPr>
        <w:t xml:space="preserve"> faisant objet des poursuites pénales à quelque niveau que ce soit</w:t>
      </w:r>
      <w:r w:rsidR="00467EA3" w:rsidRPr="00953692">
        <w:rPr>
          <w:rStyle w:val="Appelnotedebasdep"/>
          <w:sz w:val="24"/>
          <w:szCs w:val="24"/>
          <w:lang w:val="fr-FR"/>
        </w:rPr>
        <w:footnoteReference w:customMarkFollows="1" w:id="223"/>
        <w:t>200</w:t>
      </w:r>
      <w:r w:rsidR="00467EA3" w:rsidRPr="00953692">
        <w:rPr>
          <w:sz w:val="24"/>
          <w:szCs w:val="24"/>
          <w:lang w:val="fr-FR"/>
        </w:rPr>
        <w:t>.</w:t>
      </w:r>
    </w:p>
    <w:p w14:paraId="3CADC35A" w14:textId="4DAF403E" w:rsidR="00985C9F" w:rsidRPr="00953692" w:rsidRDefault="006A5714" w:rsidP="00864BBF">
      <w:pPr>
        <w:spacing w:after="0" w:line="276" w:lineRule="auto"/>
        <w:ind w:firstLine="1134"/>
        <w:jc w:val="both"/>
        <w:rPr>
          <w:sz w:val="24"/>
          <w:szCs w:val="24"/>
          <w:lang w:val="fr-FR"/>
        </w:rPr>
      </w:pPr>
      <w:r w:rsidRPr="00953692">
        <w:rPr>
          <w:b/>
          <w:bCs/>
          <w:sz w:val="24"/>
          <w:szCs w:val="24"/>
          <w:lang w:val="fr-FR"/>
        </w:rPr>
        <w:t>2</w:t>
      </w:r>
      <w:r w:rsidR="005577EE" w:rsidRPr="00953692">
        <w:rPr>
          <w:b/>
          <w:bCs/>
          <w:sz w:val="24"/>
          <w:szCs w:val="24"/>
          <w:lang w:val="fr-FR"/>
        </w:rPr>
        <w:t>99</w:t>
      </w:r>
      <w:r w:rsidRPr="00953692">
        <w:rPr>
          <w:b/>
          <w:bCs/>
          <w:sz w:val="24"/>
          <w:szCs w:val="24"/>
          <w:lang w:val="fr-FR"/>
        </w:rPr>
        <w:t>.</w:t>
      </w:r>
      <w:r w:rsidRPr="00953692">
        <w:rPr>
          <w:sz w:val="24"/>
          <w:szCs w:val="24"/>
          <w:lang w:val="fr-FR"/>
        </w:rPr>
        <w:t xml:space="preserve"> Cette protection individuelle trouve donc un fondement à la fois théorique et pratique dans </w:t>
      </w:r>
      <w:r w:rsidR="001A4243" w:rsidRPr="00953692">
        <w:rPr>
          <w:sz w:val="24"/>
          <w:szCs w:val="24"/>
          <w:lang w:val="fr-FR"/>
        </w:rPr>
        <w:t xml:space="preserve">la notion de juridiction. Celle-ci sera donc </w:t>
      </w:r>
      <w:r w:rsidR="00527BEE" w:rsidRPr="00953692">
        <w:rPr>
          <w:sz w:val="24"/>
          <w:szCs w:val="24"/>
          <w:lang w:val="fr-FR"/>
        </w:rPr>
        <w:t>la</w:t>
      </w:r>
      <w:r w:rsidR="001A4243" w:rsidRPr="00953692">
        <w:rPr>
          <w:sz w:val="24"/>
          <w:szCs w:val="24"/>
          <w:lang w:val="fr-FR"/>
        </w:rPr>
        <w:t xml:space="preserve"> voie d’accès non seulement à la définition des droits de la défense</w:t>
      </w:r>
      <w:r w:rsidR="001A4243" w:rsidRPr="00953692">
        <w:rPr>
          <w:rStyle w:val="Appelnotedebasdep"/>
          <w:sz w:val="24"/>
          <w:szCs w:val="24"/>
          <w:lang w:val="fr-FR"/>
        </w:rPr>
        <w:footnoteReference w:customMarkFollows="1" w:id="224"/>
        <w:t>201</w:t>
      </w:r>
      <w:r w:rsidR="001A4243" w:rsidRPr="00953692">
        <w:rPr>
          <w:sz w:val="24"/>
          <w:szCs w:val="24"/>
          <w:lang w:val="fr-FR"/>
        </w:rPr>
        <w:t xml:space="preserve">, mais aussi à son effectivité. Nous </w:t>
      </w:r>
      <w:r w:rsidR="001A4243" w:rsidRPr="00953692">
        <w:rPr>
          <w:sz w:val="24"/>
          <w:szCs w:val="24"/>
          <w:lang w:val="fr-FR"/>
        </w:rPr>
        <w:lastRenderedPageBreak/>
        <w:t xml:space="preserve">l’avons vu plus haut qu’à la comparution initiale immédiate, les juges pénaux internationaux vérifient si les droits de l’accusé ou du suspect ont jusqu’à ce stade été respectés par les organes judiciaires. </w:t>
      </w:r>
      <w:r w:rsidR="00C9754A" w:rsidRPr="00953692">
        <w:rPr>
          <w:sz w:val="24"/>
          <w:szCs w:val="24"/>
          <w:lang w:val="fr-FR"/>
        </w:rPr>
        <w:t xml:space="preserve">Il ne s’agit pas d’une simple formalité, mais </w:t>
      </w:r>
      <w:r w:rsidR="005A0DBC" w:rsidRPr="00953692">
        <w:rPr>
          <w:sz w:val="24"/>
          <w:szCs w:val="24"/>
          <w:lang w:val="fr-FR"/>
        </w:rPr>
        <w:t>d’un véritable moyen de protection individuelle contre les possibles abus de procédure imputables évidemment à la justice.</w:t>
      </w:r>
      <w:r w:rsidR="00393B1A" w:rsidRPr="00953692">
        <w:rPr>
          <w:sz w:val="24"/>
          <w:szCs w:val="24"/>
          <w:lang w:val="fr-FR"/>
        </w:rPr>
        <w:t xml:space="preserve"> </w:t>
      </w:r>
      <w:r w:rsidR="005F425D" w:rsidRPr="00953692">
        <w:rPr>
          <w:sz w:val="24"/>
          <w:szCs w:val="24"/>
          <w:lang w:val="fr-FR"/>
        </w:rPr>
        <w:t>Il est remarquable le fait que</w:t>
      </w:r>
      <w:r w:rsidR="00393B1A" w:rsidRPr="00953692">
        <w:rPr>
          <w:sz w:val="24"/>
          <w:szCs w:val="24"/>
          <w:lang w:val="fr-FR"/>
        </w:rPr>
        <w:t xml:space="preserve"> devant les juridictions pénales internationales</w:t>
      </w:r>
      <w:r w:rsidR="005F425D" w:rsidRPr="00953692">
        <w:rPr>
          <w:sz w:val="24"/>
          <w:szCs w:val="24"/>
          <w:lang w:val="fr-FR"/>
        </w:rPr>
        <w:t>,</w:t>
      </w:r>
      <w:r w:rsidR="00393B1A" w:rsidRPr="00953692">
        <w:rPr>
          <w:sz w:val="24"/>
          <w:szCs w:val="24"/>
          <w:lang w:val="fr-FR"/>
        </w:rPr>
        <w:t xml:space="preserve"> dès cette première comparution les accusés ont tendance à tout déballer au juge</w:t>
      </w:r>
      <w:r w:rsidR="00527BEE" w:rsidRPr="00953692">
        <w:rPr>
          <w:sz w:val="24"/>
          <w:szCs w:val="24"/>
          <w:lang w:val="fr-FR"/>
        </w:rPr>
        <w:t>. Cette attitude n’est pas sans signification particulière,</w:t>
      </w:r>
      <w:r w:rsidR="00393B1A" w:rsidRPr="00953692">
        <w:rPr>
          <w:sz w:val="24"/>
          <w:szCs w:val="24"/>
          <w:lang w:val="fr-FR"/>
        </w:rPr>
        <w:t xml:space="preserve"> car ils </w:t>
      </w:r>
      <w:r w:rsidR="00527BEE" w:rsidRPr="00953692">
        <w:rPr>
          <w:sz w:val="24"/>
          <w:szCs w:val="24"/>
          <w:lang w:val="fr-FR"/>
        </w:rPr>
        <w:t>(</w:t>
      </w:r>
      <w:r w:rsidR="00393B1A" w:rsidRPr="00953692">
        <w:rPr>
          <w:sz w:val="24"/>
          <w:szCs w:val="24"/>
          <w:lang w:val="fr-FR"/>
        </w:rPr>
        <w:t>re</w:t>
      </w:r>
      <w:r w:rsidR="00527BEE" w:rsidRPr="00953692">
        <w:rPr>
          <w:sz w:val="24"/>
          <w:szCs w:val="24"/>
          <w:lang w:val="fr-FR"/>
        </w:rPr>
        <w:t>)</w:t>
      </w:r>
      <w:r w:rsidR="00393B1A" w:rsidRPr="00953692">
        <w:rPr>
          <w:sz w:val="24"/>
          <w:szCs w:val="24"/>
          <w:lang w:val="fr-FR"/>
        </w:rPr>
        <w:t xml:space="preserve">trouvent en lui une certaine sécurité, un rempart non pas </w:t>
      </w:r>
      <w:r w:rsidR="00527BEE" w:rsidRPr="00953692">
        <w:rPr>
          <w:sz w:val="24"/>
          <w:szCs w:val="24"/>
          <w:lang w:val="fr-FR"/>
        </w:rPr>
        <w:t xml:space="preserve">toujours </w:t>
      </w:r>
      <w:r w:rsidR="00393B1A" w:rsidRPr="00953692">
        <w:rPr>
          <w:sz w:val="24"/>
          <w:szCs w:val="24"/>
          <w:lang w:val="fr-FR"/>
        </w:rPr>
        <w:t xml:space="preserve">contre l’arbitraire, mais plutôt </w:t>
      </w:r>
      <w:r w:rsidR="00527BEE" w:rsidRPr="00953692">
        <w:rPr>
          <w:sz w:val="24"/>
          <w:szCs w:val="24"/>
          <w:lang w:val="fr-FR"/>
        </w:rPr>
        <w:t xml:space="preserve">et très souvent </w:t>
      </w:r>
      <w:r w:rsidR="00393B1A" w:rsidRPr="00953692">
        <w:rPr>
          <w:sz w:val="24"/>
          <w:szCs w:val="24"/>
          <w:lang w:val="fr-FR"/>
        </w:rPr>
        <w:t>contre son adversaire aux pouvoirs exorbitants.</w:t>
      </w:r>
    </w:p>
    <w:p w14:paraId="15310A1D" w14:textId="7897879D" w:rsidR="00D956D7" w:rsidRPr="00953692" w:rsidRDefault="005577EE" w:rsidP="00864BBF">
      <w:pPr>
        <w:spacing w:after="0" w:line="276" w:lineRule="auto"/>
        <w:ind w:firstLine="1134"/>
        <w:jc w:val="both"/>
        <w:rPr>
          <w:rFonts w:cs="Times New Roman"/>
          <w:sz w:val="24"/>
          <w:szCs w:val="24"/>
          <w:lang w:val="fr-FR"/>
        </w:rPr>
      </w:pPr>
      <w:r w:rsidRPr="00953692">
        <w:rPr>
          <w:b/>
          <w:bCs/>
          <w:sz w:val="24"/>
          <w:szCs w:val="24"/>
          <w:lang w:val="fr-FR"/>
        </w:rPr>
        <w:t>300</w:t>
      </w:r>
      <w:r w:rsidR="00393B1A" w:rsidRPr="00953692">
        <w:rPr>
          <w:b/>
          <w:bCs/>
          <w:sz w:val="24"/>
          <w:szCs w:val="24"/>
          <w:lang w:val="fr-FR"/>
        </w:rPr>
        <w:t xml:space="preserve">. </w:t>
      </w:r>
      <w:r w:rsidR="00527BEE" w:rsidRPr="00953692">
        <w:rPr>
          <w:sz w:val="24"/>
          <w:szCs w:val="24"/>
          <w:lang w:val="fr-FR"/>
        </w:rPr>
        <w:t>Remarquons attentivement qu’</w:t>
      </w:r>
      <w:r w:rsidR="00527BEE" w:rsidRPr="00953692">
        <w:rPr>
          <w:rFonts w:cs="Times New Roman"/>
          <w:sz w:val="24"/>
          <w:szCs w:val="24"/>
          <w:lang w:val="fr-FR"/>
        </w:rPr>
        <w:t>e</w:t>
      </w:r>
      <w:r w:rsidR="00927937" w:rsidRPr="00953692">
        <w:rPr>
          <w:rFonts w:cs="Times New Roman"/>
          <w:sz w:val="24"/>
          <w:szCs w:val="24"/>
          <w:lang w:val="fr-FR"/>
        </w:rPr>
        <w:t xml:space="preserve">n commençant </w:t>
      </w:r>
      <w:r w:rsidR="00D759FC" w:rsidRPr="00953692">
        <w:rPr>
          <w:rFonts w:cs="Times New Roman"/>
          <w:sz w:val="24"/>
          <w:szCs w:val="24"/>
          <w:lang w:val="fr-FR"/>
        </w:rPr>
        <w:t xml:space="preserve">par </w:t>
      </w:r>
      <w:r w:rsidR="00927937" w:rsidRPr="00953692">
        <w:rPr>
          <w:rFonts w:cs="Times New Roman"/>
          <w:sz w:val="24"/>
          <w:szCs w:val="24"/>
          <w:lang w:val="fr-FR"/>
        </w:rPr>
        <w:t xml:space="preserve">l’exigence du </w:t>
      </w:r>
      <w:r w:rsidR="00527BEE" w:rsidRPr="00953692">
        <w:rPr>
          <w:rFonts w:cs="Times New Roman"/>
          <w:sz w:val="24"/>
          <w:szCs w:val="24"/>
          <w:lang w:val="fr-FR"/>
        </w:rPr>
        <w:t>T</w:t>
      </w:r>
      <w:r w:rsidR="00927937" w:rsidRPr="00953692">
        <w:rPr>
          <w:rFonts w:cs="Times New Roman"/>
          <w:sz w:val="24"/>
          <w:szCs w:val="24"/>
          <w:lang w:val="fr-FR"/>
        </w:rPr>
        <w:t>ribunal</w:t>
      </w:r>
      <w:r w:rsidR="00527BEE" w:rsidRPr="00953692">
        <w:rPr>
          <w:rFonts w:cs="Times New Roman"/>
          <w:sz w:val="24"/>
          <w:szCs w:val="24"/>
          <w:lang w:val="fr-FR"/>
        </w:rPr>
        <w:t xml:space="preserve"> (juridiction)</w:t>
      </w:r>
      <w:r w:rsidR="00927937" w:rsidRPr="00953692">
        <w:rPr>
          <w:rFonts w:cs="Times New Roman"/>
          <w:sz w:val="24"/>
          <w:szCs w:val="24"/>
          <w:lang w:val="fr-FR"/>
        </w:rPr>
        <w:t>, en passant par son impartialité et son indépendance jusqu’</w:t>
      </w:r>
      <w:r w:rsidR="00FC1B3B" w:rsidRPr="00953692">
        <w:rPr>
          <w:rFonts w:cs="Times New Roman"/>
          <w:sz w:val="24"/>
          <w:szCs w:val="24"/>
          <w:lang w:val="fr-FR"/>
        </w:rPr>
        <w:t xml:space="preserve">à </w:t>
      </w:r>
      <w:r w:rsidR="00E61498" w:rsidRPr="00953692">
        <w:rPr>
          <w:rFonts w:cs="Times New Roman"/>
          <w:sz w:val="24"/>
          <w:szCs w:val="24"/>
          <w:lang w:val="fr-FR"/>
        </w:rPr>
        <w:t xml:space="preserve">égrener </w:t>
      </w:r>
      <w:r w:rsidR="00FC1B3B" w:rsidRPr="00953692">
        <w:rPr>
          <w:rFonts w:cs="Times New Roman"/>
          <w:sz w:val="24"/>
          <w:szCs w:val="24"/>
          <w:lang w:val="fr-FR"/>
        </w:rPr>
        <w:t>toutes ces</w:t>
      </w:r>
      <w:r w:rsidR="00927937" w:rsidRPr="00953692">
        <w:rPr>
          <w:rFonts w:cs="Times New Roman"/>
          <w:sz w:val="24"/>
          <w:szCs w:val="24"/>
          <w:lang w:val="fr-FR"/>
        </w:rPr>
        <w:t xml:space="preserve"> garanties procédurales de l’accusé, </w:t>
      </w:r>
      <w:r w:rsidR="00FC1B3B" w:rsidRPr="00953692">
        <w:rPr>
          <w:rFonts w:cs="Times New Roman"/>
          <w:sz w:val="24"/>
          <w:szCs w:val="24"/>
          <w:lang w:val="fr-FR"/>
        </w:rPr>
        <w:t>le critère juridictionnel</w:t>
      </w:r>
      <w:r w:rsidR="00E61498" w:rsidRPr="00953692">
        <w:rPr>
          <w:rFonts w:cs="Times New Roman"/>
          <w:sz w:val="24"/>
          <w:szCs w:val="24"/>
          <w:lang w:val="fr-FR"/>
        </w:rPr>
        <w:t xml:space="preserve"> (dans la définition des droits de la défense)</w:t>
      </w:r>
      <w:r w:rsidR="00FC1B3B" w:rsidRPr="00953692">
        <w:rPr>
          <w:rFonts w:cs="Times New Roman"/>
          <w:sz w:val="24"/>
          <w:szCs w:val="24"/>
          <w:lang w:val="fr-FR"/>
        </w:rPr>
        <w:t xml:space="preserve"> met en avant </w:t>
      </w:r>
      <w:r w:rsidR="00927937" w:rsidRPr="00953692">
        <w:rPr>
          <w:rFonts w:cs="Times New Roman"/>
          <w:sz w:val="24"/>
          <w:szCs w:val="24"/>
          <w:lang w:val="fr-FR"/>
        </w:rPr>
        <w:t xml:space="preserve">l’idée </w:t>
      </w:r>
      <w:r w:rsidR="00FC1B3B" w:rsidRPr="00953692">
        <w:rPr>
          <w:rFonts w:cs="Times New Roman"/>
          <w:sz w:val="24"/>
          <w:szCs w:val="24"/>
          <w:lang w:val="fr-FR"/>
        </w:rPr>
        <w:t>de cette</w:t>
      </w:r>
      <w:r w:rsidR="00927937" w:rsidRPr="00953692">
        <w:rPr>
          <w:rFonts w:cs="Times New Roman"/>
          <w:sz w:val="24"/>
          <w:szCs w:val="24"/>
          <w:lang w:val="fr-FR"/>
        </w:rPr>
        <w:t xml:space="preserve"> procédure contradictoire</w:t>
      </w:r>
      <w:r w:rsidR="00D759FC" w:rsidRPr="00953692">
        <w:rPr>
          <w:rFonts w:cs="Times New Roman"/>
          <w:sz w:val="24"/>
          <w:szCs w:val="24"/>
          <w:lang w:val="fr-FR"/>
        </w:rPr>
        <w:t> ;</w:t>
      </w:r>
      <w:r w:rsidR="00927937" w:rsidRPr="00953692">
        <w:rPr>
          <w:rFonts w:cs="Times New Roman"/>
          <w:sz w:val="24"/>
          <w:szCs w:val="24"/>
          <w:lang w:val="fr-FR"/>
        </w:rPr>
        <w:t xml:space="preserve"> celle qui ne repose pas que sur la seule version de l</w:t>
      </w:r>
      <w:r w:rsidR="00D759FC" w:rsidRPr="00953692">
        <w:rPr>
          <w:rFonts w:cs="Times New Roman"/>
          <w:sz w:val="24"/>
          <w:szCs w:val="24"/>
          <w:lang w:val="fr-FR"/>
        </w:rPr>
        <w:t>’A</w:t>
      </w:r>
      <w:r w:rsidR="00927937" w:rsidRPr="00953692">
        <w:rPr>
          <w:rFonts w:cs="Times New Roman"/>
          <w:sz w:val="24"/>
          <w:szCs w:val="24"/>
          <w:lang w:val="fr-FR"/>
        </w:rPr>
        <w:t xml:space="preserve">ccusation de sorte que la personne mise en cause ait également l’occasion d’avouer librement les faits ou </w:t>
      </w:r>
      <w:r w:rsidR="00D956D7" w:rsidRPr="00953692">
        <w:rPr>
          <w:rFonts w:cs="Times New Roman"/>
          <w:sz w:val="24"/>
          <w:szCs w:val="24"/>
          <w:lang w:val="fr-FR"/>
        </w:rPr>
        <w:t>a contrario</w:t>
      </w:r>
      <w:r w:rsidR="00927937" w:rsidRPr="00953692">
        <w:rPr>
          <w:rFonts w:cs="Times New Roman"/>
          <w:sz w:val="24"/>
          <w:szCs w:val="24"/>
          <w:lang w:val="fr-FR"/>
        </w:rPr>
        <w:t xml:space="preserve"> de les nier.</w:t>
      </w:r>
      <w:r w:rsidR="00D759FC" w:rsidRPr="00953692">
        <w:rPr>
          <w:rFonts w:cs="Times New Roman"/>
          <w:sz w:val="24"/>
          <w:szCs w:val="24"/>
          <w:lang w:val="fr-FR"/>
        </w:rPr>
        <w:t xml:space="preserve"> </w:t>
      </w:r>
      <w:r w:rsidR="00485C4E" w:rsidRPr="00953692">
        <w:rPr>
          <w:sz w:val="24"/>
          <w:szCs w:val="24"/>
          <w:lang w:val="fr-FR"/>
        </w:rPr>
        <w:t xml:space="preserve">Dans une approche pratique, la défense est donc l’occasion offerte à l’accusé de contredire l’Accusation dans la perspective d’obtenir gain de cause, l’acquittement. </w:t>
      </w:r>
      <w:r w:rsidR="00485C4E" w:rsidRPr="00953692">
        <w:rPr>
          <w:rFonts w:cs="Times New Roman"/>
          <w:sz w:val="24"/>
          <w:szCs w:val="24"/>
          <w:lang w:val="fr-FR"/>
        </w:rPr>
        <w:t>Et pour cela, il a le droit de disposer d’un temps de réflexion, qui prend la forme d’un temps nécessaire de préparation. Le temps devient alors le fondement indispensable de toute défense en justice.</w:t>
      </w:r>
      <w:r w:rsidR="00485C4E" w:rsidRPr="00953692">
        <w:rPr>
          <w:b/>
          <w:bCs/>
          <w:sz w:val="24"/>
          <w:szCs w:val="24"/>
          <w:lang w:val="fr-FR"/>
        </w:rPr>
        <w:t xml:space="preserve"> </w:t>
      </w:r>
      <w:r w:rsidR="00485C4E" w:rsidRPr="00953692">
        <w:rPr>
          <w:sz w:val="24"/>
          <w:szCs w:val="24"/>
          <w:lang w:val="fr-FR"/>
        </w:rPr>
        <w:t xml:space="preserve">Mais s’il en faut du temps, la question à laquelle que l’on peut se poser est celle de savoir combien de temps faut-il en disposer ? </w:t>
      </w:r>
    </w:p>
    <w:p w14:paraId="582220BD" w14:textId="5AAABE2F" w:rsidR="00475172" w:rsidRPr="00953692" w:rsidRDefault="005577EE" w:rsidP="00864BBF">
      <w:pPr>
        <w:spacing w:after="0" w:line="276" w:lineRule="auto"/>
        <w:ind w:firstLine="1134"/>
        <w:jc w:val="both"/>
        <w:rPr>
          <w:sz w:val="24"/>
          <w:szCs w:val="24"/>
          <w:shd w:val="clear" w:color="auto" w:fill="FFFFFF"/>
          <w:lang w:val="fr-FR"/>
        </w:rPr>
      </w:pPr>
      <w:r w:rsidRPr="00953692">
        <w:rPr>
          <w:rFonts w:cs="Times New Roman"/>
          <w:b/>
          <w:bCs/>
          <w:sz w:val="24"/>
          <w:szCs w:val="24"/>
          <w:lang w:val="fr-FR"/>
        </w:rPr>
        <w:t>301</w:t>
      </w:r>
      <w:r w:rsidR="003E7E09" w:rsidRPr="00953692">
        <w:rPr>
          <w:rFonts w:cs="Times New Roman"/>
          <w:b/>
          <w:bCs/>
          <w:sz w:val="24"/>
          <w:szCs w:val="24"/>
          <w:lang w:val="fr-FR"/>
        </w:rPr>
        <w:t>.</w:t>
      </w:r>
      <w:r w:rsidR="003E7E09" w:rsidRPr="00953692">
        <w:rPr>
          <w:rFonts w:cs="Times New Roman"/>
          <w:sz w:val="24"/>
          <w:szCs w:val="24"/>
          <w:lang w:val="fr-FR"/>
        </w:rPr>
        <w:t xml:space="preserve"> </w:t>
      </w:r>
      <w:r w:rsidR="00927937" w:rsidRPr="00953692">
        <w:rPr>
          <w:rFonts w:cs="Times New Roman"/>
          <w:sz w:val="24"/>
          <w:szCs w:val="24"/>
          <w:lang w:val="fr-FR"/>
        </w:rPr>
        <w:t xml:space="preserve">Lorsqu’il tente d’expliquer l’article 6-3 b) </w:t>
      </w:r>
      <w:r w:rsidR="007657CF" w:rsidRPr="00953692">
        <w:rPr>
          <w:rFonts w:cs="Times New Roman"/>
          <w:sz w:val="24"/>
          <w:szCs w:val="24"/>
          <w:lang w:val="fr-FR"/>
        </w:rPr>
        <w:t xml:space="preserve">qui consacre le droit de disposer du temps et des facilités nécessaires à la préparation de la défense </w:t>
      </w:r>
      <w:r w:rsidR="00927937" w:rsidRPr="00953692">
        <w:rPr>
          <w:rFonts w:cs="Times New Roman"/>
          <w:sz w:val="24"/>
          <w:szCs w:val="24"/>
          <w:lang w:val="fr-FR"/>
        </w:rPr>
        <w:t>d</w:t>
      </w:r>
      <w:r w:rsidR="007657CF" w:rsidRPr="00953692">
        <w:rPr>
          <w:rFonts w:cs="Times New Roman"/>
          <w:sz w:val="24"/>
          <w:szCs w:val="24"/>
          <w:lang w:val="fr-FR"/>
        </w:rPr>
        <w:t>e</w:t>
      </w:r>
      <w:r w:rsidR="00927937" w:rsidRPr="00953692">
        <w:rPr>
          <w:rFonts w:cs="Times New Roman"/>
          <w:sz w:val="24"/>
          <w:szCs w:val="24"/>
          <w:lang w:val="fr-FR"/>
        </w:rPr>
        <w:t xml:space="preserve"> la Convention européenne, Jean Pradel</w:t>
      </w:r>
      <w:r w:rsidR="007657CF" w:rsidRPr="00953692">
        <w:rPr>
          <w:rFonts w:cs="Times New Roman"/>
          <w:sz w:val="24"/>
          <w:szCs w:val="24"/>
          <w:lang w:val="fr-FR"/>
        </w:rPr>
        <w:t xml:space="preserve"> le qualifie « </w:t>
      </w:r>
      <w:r w:rsidR="007657CF" w:rsidRPr="00953692">
        <w:rPr>
          <w:rFonts w:cs="Times New Roman"/>
          <w:i/>
          <w:iCs/>
          <w:sz w:val="24"/>
          <w:szCs w:val="24"/>
          <w:lang w:val="fr-FR"/>
        </w:rPr>
        <w:t xml:space="preserve">d’une expression assez vague et floue </w:t>
      </w:r>
      <w:r w:rsidR="00927937" w:rsidRPr="00953692">
        <w:rPr>
          <w:i/>
          <w:iCs/>
          <w:sz w:val="24"/>
          <w:szCs w:val="24"/>
          <w:lang w:val="fr-FR"/>
        </w:rPr>
        <w:t>permet</w:t>
      </w:r>
      <w:r w:rsidR="007657CF" w:rsidRPr="00953692">
        <w:rPr>
          <w:i/>
          <w:iCs/>
          <w:sz w:val="24"/>
          <w:szCs w:val="24"/>
          <w:lang w:val="fr-FR"/>
        </w:rPr>
        <w:t>tant</w:t>
      </w:r>
      <w:r w:rsidR="00927937" w:rsidRPr="00953692">
        <w:rPr>
          <w:i/>
          <w:iCs/>
          <w:sz w:val="24"/>
          <w:szCs w:val="24"/>
          <w:lang w:val="fr-FR"/>
        </w:rPr>
        <w:t xml:space="preserve"> aux organes de la Convention d'apprécier cas par cas si l'accusé n'a pas été privé d'une part de ses chances de triompher de l'accusation portée contre lui</w:t>
      </w:r>
      <w:r w:rsidR="007657CF" w:rsidRPr="00953692">
        <w:rPr>
          <w:sz w:val="24"/>
          <w:szCs w:val="24"/>
          <w:lang w:val="fr-FR"/>
        </w:rPr>
        <w:t> »</w:t>
      </w:r>
      <w:r w:rsidR="00E420AF" w:rsidRPr="00953692">
        <w:rPr>
          <w:rStyle w:val="Appelnotedebasdep"/>
          <w:sz w:val="24"/>
          <w:szCs w:val="24"/>
          <w:lang w:val="fr-FR"/>
        </w:rPr>
        <w:footnoteReference w:customMarkFollows="1" w:id="225"/>
        <w:t>202</w:t>
      </w:r>
      <w:r w:rsidR="00927937" w:rsidRPr="00953692">
        <w:rPr>
          <w:sz w:val="24"/>
          <w:szCs w:val="24"/>
          <w:lang w:val="fr-FR"/>
        </w:rPr>
        <w:t>.</w:t>
      </w:r>
      <w:r w:rsidR="00475172" w:rsidRPr="00953692">
        <w:rPr>
          <w:sz w:val="24"/>
          <w:szCs w:val="24"/>
          <w:lang w:val="fr-FR"/>
        </w:rPr>
        <w:t xml:space="preserve"> Depuis très longtemps le Comité des droits de l’homme de l’ONU s’était penché sur la question dans une série de ses communications pertinentes, </w:t>
      </w:r>
      <w:r w:rsidR="006D66CF" w:rsidRPr="00953692">
        <w:rPr>
          <w:sz w:val="24"/>
          <w:szCs w:val="24"/>
          <w:lang w:val="fr-FR"/>
        </w:rPr>
        <w:t xml:space="preserve">et avait </w:t>
      </w:r>
      <w:r w:rsidR="00475172" w:rsidRPr="00953692">
        <w:rPr>
          <w:sz w:val="24"/>
          <w:szCs w:val="24"/>
          <w:lang w:val="fr-FR"/>
        </w:rPr>
        <w:t>considér</w:t>
      </w:r>
      <w:r w:rsidR="006D66CF" w:rsidRPr="00953692">
        <w:rPr>
          <w:sz w:val="24"/>
          <w:szCs w:val="24"/>
          <w:lang w:val="fr-FR"/>
        </w:rPr>
        <w:t>é</w:t>
      </w:r>
      <w:r w:rsidR="00475172" w:rsidRPr="00953692">
        <w:rPr>
          <w:sz w:val="24"/>
          <w:szCs w:val="24"/>
          <w:lang w:val="fr-FR"/>
        </w:rPr>
        <w:t xml:space="preserve"> qu’</w:t>
      </w:r>
      <w:r w:rsidR="00475172" w:rsidRPr="00953692">
        <w:rPr>
          <w:sz w:val="24"/>
          <w:szCs w:val="24"/>
          <w:shd w:val="clear" w:color="auto" w:fill="FFFFFF"/>
          <w:lang w:val="fr-FR"/>
        </w:rPr>
        <w:t xml:space="preserve">un « délai </w:t>
      </w:r>
      <w:r w:rsidR="006D66CF" w:rsidRPr="00953692">
        <w:rPr>
          <w:sz w:val="24"/>
          <w:szCs w:val="24"/>
          <w:shd w:val="clear" w:color="auto" w:fill="FFFFFF"/>
          <w:lang w:val="fr-FR"/>
        </w:rPr>
        <w:t>suffisant</w:t>
      </w:r>
      <w:r w:rsidR="00475172" w:rsidRPr="00953692">
        <w:rPr>
          <w:sz w:val="24"/>
          <w:szCs w:val="24"/>
          <w:shd w:val="clear" w:color="auto" w:fill="FFFFFF"/>
          <w:lang w:val="fr-FR"/>
        </w:rPr>
        <w:t> » dépend des circonstances de chaque cas</w:t>
      </w:r>
      <w:r w:rsidR="00E420AF" w:rsidRPr="00953692">
        <w:rPr>
          <w:rStyle w:val="Appelnotedebasdep"/>
          <w:sz w:val="24"/>
          <w:szCs w:val="24"/>
          <w:shd w:val="clear" w:color="auto" w:fill="FFFFFF"/>
          <w:lang w:val="fr-FR"/>
        </w:rPr>
        <w:footnoteReference w:customMarkFollows="1" w:id="226"/>
        <w:t>203</w:t>
      </w:r>
      <w:r w:rsidR="00475172" w:rsidRPr="00953692">
        <w:rPr>
          <w:sz w:val="24"/>
          <w:szCs w:val="24"/>
          <w:shd w:val="clear" w:color="auto" w:fill="FFFFFF"/>
          <w:lang w:val="fr-FR"/>
        </w:rPr>
        <w:t>.</w:t>
      </w:r>
      <w:r w:rsidR="006D66CF" w:rsidRPr="00953692">
        <w:rPr>
          <w:sz w:val="24"/>
          <w:szCs w:val="24"/>
          <w:shd w:val="clear" w:color="auto" w:fill="FFFFFF"/>
          <w:lang w:val="fr-FR"/>
        </w:rPr>
        <w:t xml:space="preserve"> Une telle appréciation a donc </w:t>
      </w:r>
      <w:r w:rsidR="00D0221F" w:rsidRPr="00953692">
        <w:rPr>
          <w:sz w:val="24"/>
          <w:szCs w:val="24"/>
          <w:shd w:val="clear" w:color="auto" w:fill="FFFFFF"/>
          <w:lang w:val="fr-FR"/>
        </w:rPr>
        <w:t>c</w:t>
      </w:r>
      <w:r w:rsidR="006D66CF" w:rsidRPr="00953692">
        <w:rPr>
          <w:sz w:val="24"/>
          <w:szCs w:val="24"/>
          <w:shd w:val="clear" w:color="auto" w:fill="FFFFFF"/>
          <w:lang w:val="fr-FR"/>
        </w:rPr>
        <w:t xml:space="preserve">e mérite abracadabrantesque de combler </w:t>
      </w:r>
      <w:r w:rsidR="00D0221F" w:rsidRPr="00953692">
        <w:rPr>
          <w:sz w:val="24"/>
          <w:szCs w:val="24"/>
          <w:shd w:val="clear" w:color="auto" w:fill="FFFFFF"/>
          <w:lang w:val="fr-FR"/>
        </w:rPr>
        <w:t>cette</w:t>
      </w:r>
      <w:r w:rsidR="006D66CF" w:rsidRPr="00953692">
        <w:rPr>
          <w:sz w:val="24"/>
          <w:szCs w:val="24"/>
          <w:shd w:val="clear" w:color="auto" w:fill="FFFFFF"/>
          <w:lang w:val="fr-FR"/>
        </w:rPr>
        <w:t xml:space="preserve"> vacuité que laisserait </w:t>
      </w:r>
      <w:r w:rsidR="00D0221F" w:rsidRPr="00953692">
        <w:rPr>
          <w:sz w:val="24"/>
          <w:szCs w:val="24"/>
          <w:shd w:val="clear" w:color="auto" w:fill="FFFFFF"/>
          <w:lang w:val="fr-FR"/>
        </w:rPr>
        <w:t>présager</w:t>
      </w:r>
      <w:r w:rsidR="006D66CF" w:rsidRPr="00953692">
        <w:rPr>
          <w:sz w:val="24"/>
          <w:szCs w:val="24"/>
          <w:shd w:val="clear" w:color="auto" w:fill="FFFFFF"/>
          <w:lang w:val="fr-FR"/>
        </w:rPr>
        <w:t xml:space="preserve"> une telle notion ou expression </w:t>
      </w:r>
      <w:r w:rsidR="00D0221F" w:rsidRPr="00953692">
        <w:rPr>
          <w:sz w:val="24"/>
          <w:szCs w:val="24"/>
          <w:shd w:val="clear" w:color="auto" w:fill="FFFFFF"/>
          <w:lang w:val="fr-FR"/>
        </w:rPr>
        <w:t xml:space="preserve">dans une </w:t>
      </w:r>
      <w:r w:rsidR="006D66CF" w:rsidRPr="00953692">
        <w:rPr>
          <w:sz w:val="24"/>
          <w:szCs w:val="24"/>
          <w:shd w:val="clear" w:color="auto" w:fill="FFFFFF"/>
          <w:lang w:val="fr-FR"/>
        </w:rPr>
        <w:t>procédure pénale</w:t>
      </w:r>
      <w:r w:rsidR="00D0221F" w:rsidRPr="00953692">
        <w:rPr>
          <w:sz w:val="24"/>
          <w:szCs w:val="24"/>
          <w:shd w:val="clear" w:color="auto" w:fill="FFFFFF"/>
          <w:lang w:val="fr-FR"/>
        </w:rPr>
        <w:t xml:space="preserve"> (internationale) marquée par la contradiction entre les </w:t>
      </w:r>
      <w:r w:rsidR="00113C37" w:rsidRPr="00953692">
        <w:rPr>
          <w:sz w:val="24"/>
          <w:szCs w:val="24"/>
          <w:shd w:val="clear" w:color="auto" w:fill="FFFFFF"/>
          <w:lang w:val="fr-FR"/>
        </w:rPr>
        <w:t>protagonistes</w:t>
      </w:r>
      <w:r w:rsidR="006D66CF" w:rsidRPr="00953692">
        <w:rPr>
          <w:sz w:val="24"/>
          <w:szCs w:val="24"/>
          <w:shd w:val="clear" w:color="auto" w:fill="FFFFFF"/>
          <w:lang w:val="fr-FR"/>
        </w:rPr>
        <w:t>.</w:t>
      </w:r>
    </w:p>
    <w:p w14:paraId="48356B4F" w14:textId="33756178" w:rsidR="006D66CF" w:rsidRPr="00953692" w:rsidRDefault="005577EE" w:rsidP="00864BBF">
      <w:pPr>
        <w:spacing w:after="0" w:line="276" w:lineRule="auto"/>
        <w:ind w:firstLine="1134"/>
        <w:jc w:val="both"/>
        <w:rPr>
          <w:sz w:val="24"/>
          <w:szCs w:val="24"/>
          <w:shd w:val="clear" w:color="auto" w:fill="FFFFFF"/>
          <w:lang w:val="fr-FR"/>
        </w:rPr>
      </w:pPr>
      <w:r w:rsidRPr="00953692">
        <w:rPr>
          <w:b/>
          <w:bCs/>
          <w:sz w:val="24"/>
          <w:szCs w:val="24"/>
          <w:shd w:val="clear" w:color="auto" w:fill="FFFFFF"/>
          <w:lang w:val="fr-FR"/>
        </w:rPr>
        <w:t>302</w:t>
      </w:r>
      <w:r w:rsidR="006D66CF" w:rsidRPr="00953692">
        <w:rPr>
          <w:b/>
          <w:bCs/>
          <w:sz w:val="24"/>
          <w:szCs w:val="24"/>
          <w:shd w:val="clear" w:color="auto" w:fill="FFFFFF"/>
          <w:lang w:val="fr-FR"/>
        </w:rPr>
        <w:t>.</w:t>
      </w:r>
      <w:r w:rsidR="006D66CF" w:rsidRPr="00953692">
        <w:rPr>
          <w:sz w:val="24"/>
          <w:szCs w:val="24"/>
          <w:shd w:val="clear" w:color="auto" w:fill="FFFFFF"/>
          <w:lang w:val="fr-FR"/>
        </w:rPr>
        <w:t xml:space="preserve"> En réalité, cette interprétation ne résulte que des textes juridiques qui forment une base normative de cette norme. </w:t>
      </w:r>
      <w:r w:rsidR="006D66CF" w:rsidRPr="00953692">
        <w:rPr>
          <w:sz w:val="24"/>
          <w:szCs w:val="24"/>
          <w:lang w:val="fr-FR"/>
        </w:rPr>
        <w:t xml:space="preserve">Tout comme les autres droits de l’accusé, le PIDCP reste la source normative originelle du droit de disposer du temps et des facilités </w:t>
      </w:r>
      <w:r w:rsidR="006D66CF" w:rsidRPr="00953692">
        <w:rPr>
          <w:sz w:val="24"/>
          <w:szCs w:val="24"/>
          <w:lang w:val="fr-FR"/>
        </w:rPr>
        <w:lastRenderedPageBreak/>
        <w:t xml:space="preserve">nécessaires à la préparation de sa défense et communiquer librement avec l’avocat de son choix (article 14-3-b). </w:t>
      </w:r>
      <w:r w:rsidR="006D66CF" w:rsidRPr="00953692">
        <w:rPr>
          <w:rStyle w:val="grammar"/>
          <w:rFonts w:cs="Times New Roman"/>
          <w:sz w:val="24"/>
          <w:szCs w:val="24"/>
          <w:lang w:val="fr-FR"/>
        </w:rPr>
        <w:t>À</w:t>
      </w:r>
      <w:r w:rsidR="006D66CF" w:rsidRPr="00953692">
        <w:rPr>
          <w:rFonts w:cs="Times New Roman"/>
          <w:sz w:val="24"/>
          <w:szCs w:val="24"/>
          <w:shd w:val="clear" w:color="auto" w:fill="FFFFFF"/>
          <w:lang w:val="fr-FR"/>
        </w:rPr>
        <w:t xml:space="preserve"> l’exception</w:t>
      </w:r>
      <w:r w:rsidR="006D66CF" w:rsidRPr="00953692">
        <w:rPr>
          <w:rFonts w:ascii="Tahoma" w:hAnsi="Tahoma" w:cs="Tahoma"/>
          <w:sz w:val="24"/>
          <w:szCs w:val="24"/>
          <w:shd w:val="clear" w:color="auto" w:fill="FFFFFF"/>
          <w:lang w:val="fr-FR"/>
        </w:rPr>
        <w:t xml:space="preserve"> </w:t>
      </w:r>
      <w:r w:rsidR="006D66CF" w:rsidRPr="00953692">
        <w:rPr>
          <w:sz w:val="24"/>
          <w:szCs w:val="24"/>
          <w:lang w:val="fr-FR"/>
        </w:rPr>
        <w:t>des TMI de 1945-1946, toutes les autres juridictions pénales internationales reprennent cette disposition</w:t>
      </w:r>
      <w:r w:rsidR="00E420AF" w:rsidRPr="00953692">
        <w:rPr>
          <w:rStyle w:val="Appelnotedebasdep"/>
          <w:sz w:val="24"/>
          <w:szCs w:val="24"/>
          <w:lang w:val="fr-FR"/>
        </w:rPr>
        <w:footnoteReference w:customMarkFollows="1" w:id="227"/>
        <w:t>204</w:t>
      </w:r>
      <w:r w:rsidR="006D66CF" w:rsidRPr="00953692">
        <w:rPr>
          <w:sz w:val="24"/>
          <w:szCs w:val="24"/>
          <w:lang w:val="fr-FR"/>
        </w:rPr>
        <w:t>. Cependant, aucune de ces dispositions, même les plus récentes, ne fournit la moindre précision de ce que peut constituer le temps nécessaire à la préparation de la défense. On en vient finalement à la conclusion précédente que, ce temps nécessaire devra être analysé au cas par cas, c’est-à-dire selon la particularité de chaque affaire.</w:t>
      </w:r>
    </w:p>
    <w:p w14:paraId="7673C9D7" w14:textId="18C85191" w:rsidR="0004177E" w:rsidRPr="00953692" w:rsidRDefault="005577EE" w:rsidP="00864BBF">
      <w:pPr>
        <w:spacing w:after="0" w:line="276" w:lineRule="auto"/>
        <w:ind w:firstLine="1134"/>
        <w:jc w:val="both"/>
        <w:rPr>
          <w:sz w:val="24"/>
          <w:szCs w:val="24"/>
          <w:lang w:val="fr-FR"/>
        </w:rPr>
      </w:pPr>
      <w:r w:rsidRPr="00953692">
        <w:rPr>
          <w:b/>
          <w:bCs/>
          <w:sz w:val="24"/>
          <w:szCs w:val="24"/>
          <w:lang w:val="fr-FR"/>
        </w:rPr>
        <w:t>303</w:t>
      </w:r>
      <w:r w:rsidR="00585D7E" w:rsidRPr="00953692">
        <w:rPr>
          <w:b/>
          <w:bCs/>
          <w:sz w:val="24"/>
          <w:szCs w:val="24"/>
          <w:lang w:val="fr-FR"/>
        </w:rPr>
        <w:t>.</w:t>
      </w:r>
      <w:r w:rsidR="00585D7E" w:rsidRPr="00953692">
        <w:rPr>
          <w:sz w:val="24"/>
          <w:szCs w:val="24"/>
          <w:lang w:val="fr-FR"/>
        </w:rPr>
        <w:t xml:space="preserve"> </w:t>
      </w:r>
      <w:r w:rsidR="006D66CF" w:rsidRPr="00953692">
        <w:rPr>
          <w:sz w:val="24"/>
          <w:szCs w:val="24"/>
          <w:lang w:val="fr-FR"/>
        </w:rPr>
        <w:t>Cette conclusion est aussi celle des juridictions pénales internati</w:t>
      </w:r>
      <w:r w:rsidR="00585D7E" w:rsidRPr="00953692">
        <w:rPr>
          <w:sz w:val="24"/>
          <w:szCs w:val="24"/>
          <w:lang w:val="fr-FR"/>
        </w:rPr>
        <w:t xml:space="preserve">onales. </w:t>
      </w:r>
      <w:r w:rsidR="00D117A4" w:rsidRPr="00953692">
        <w:rPr>
          <w:sz w:val="24"/>
          <w:szCs w:val="24"/>
          <w:lang w:val="fr-FR"/>
        </w:rPr>
        <w:t xml:space="preserve">En 1997, </w:t>
      </w:r>
      <w:r w:rsidR="00585D7E" w:rsidRPr="00953692">
        <w:rPr>
          <w:sz w:val="24"/>
          <w:szCs w:val="24"/>
          <w:lang w:val="fr-FR"/>
        </w:rPr>
        <w:t xml:space="preserve">devant </w:t>
      </w:r>
      <w:r w:rsidR="00D117A4" w:rsidRPr="00953692">
        <w:rPr>
          <w:sz w:val="24"/>
          <w:szCs w:val="24"/>
          <w:lang w:val="fr-FR"/>
        </w:rPr>
        <w:t>la Cha</w:t>
      </w:r>
      <w:r w:rsidR="00CA64C3" w:rsidRPr="00953692">
        <w:rPr>
          <w:sz w:val="24"/>
          <w:szCs w:val="24"/>
          <w:lang w:val="fr-FR"/>
        </w:rPr>
        <w:t>mbre de première instance du TPIY</w:t>
      </w:r>
      <w:r w:rsidR="00585D7E" w:rsidRPr="00953692">
        <w:rPr>
          <w:sz w:val="24"/>
          <w:szCs w:val="24"/>
          <w:lang w:val="fr-FR"/>
        </w:rPr>
        <w:t>,</w:t>
      </w:r>
      <w:r w:rsidR="00CA64C3" w:rsidRPr="00953692">
        <w:rPr>
          <w:sz w:val="24"/>
          <w:szCs w:val="24"/>
          <w:lang w:val="fr-FR"/>
        </w:rPr>
        <w:t xml:space="preserve"> </w:t>
      </w:r>
      <w:r w:rsidR="00585D7E" w:rsidRPr="00953692">
        <w:rPr>
          <w:sz w:val="24"/>
          <w:szCs w:val="24"/>
          <w:lang w:val="fr-FR"/>
        </w:rPr>
        <w:t>Zejnil Delalic et Hazim Delic avaient saisi le Tribunal en vue d’ajourner la date de l’ouverture du procès au motif qu</w:t>
      </w:r>
      <w:r w:rsidR="00E02584" w:rsidRPr="00953692">
        <w:rPr>
          <w:sz w:val="24"/>
          <w:szCs w:val="24"/>
          <w:lang w:val="fr-FR"/>
        </w:rPr>
        <w:t xml:space="preserve">e la défense ne </w:t>
      </w:r>
      <w:r w:rsidR="0004177E" w:rsidRPr="00953692">
        <w:rPr>
          <w:sz w:val="24"/>
          <w:szCs w:val="24"/>
          <w:lang w:val="fr-FR"/>
        </w:rPr>
        <w:t>serait</w:t>
      </w:r>
      <w:r w:rsidR="00E02584" w:rsidRPr="00953692">
        <w:rPr>
          <w:sz w:val="24"/>
          <w:szCs w:val="24"/>
          <w:lang w:val="fr-FR"/>
        </w:rPr>
        <w:t xml:space="preserve"> pas suffisamment préparée </w:t>
      </w:r>
      <w:r w:rsidR="005B1F43" w:rsidRPr="00953692">
        <w:rPr>
          <w:sz w:val="24"/>
          <w:szCs w:val="24"/>
          <w:lang w:val="fr-FR"/>
        </w:rPr>
        <w:t>si l’audience s’ouvrait comme prévu le 28 janvier 1997</w:t>
      </w:r>
      <w:r w:rsidR="00E420AF" w:rsidRPr="00953692">
        <w:rPr>
          <w:rStyle w:val="Appelnotedebasdep"/>
          <w:sz w:val="24"/>
          <w:szCs w:val="24"/>
          <w:lang w:val="fr-FR"/>
        </w:rPr>
        <w:footnoteReference w:customMarkFollows="1" w:id="228"/>
        <w:t>205</w:t>
      </w:r>
      <w:r w:rsidR="005B1F43" w:rsidRPr="00953692">
        <w:rPr>
          <w:sz w:val="24"/>
          <w:szCs w:val="24"/>
          <w:lang w:val="fr-FR"/>
        </w:rPr>
        <w:t xml:space="preserve">. </w:t>
      </w:r>
      <w:r w:rsidR="0004177E" w:rsidRPr="00953692">
        <w:rPr>
          <w:sz w:val="24"/>
          <w:szCs w:val="24"/>
          <w:lang w:val="fr-FR"/>
        </w:rPr>
        <w:t>Ils ont à cet effet évoqué</w:t>
      </w:r>
      <w:r w:rsidR="00E420AF" w:rsidRPr="00953692">
        <w:rPr>
          <w:rStyle w:val="Appelnotedebasdep"/>
          <w:sz w:val="24"/>
          <w:szCs w:val="24"/>
          <w:lang w:val="fr-FR"/>
        </w:rPr>
        <w:footnoteReference w:customMarkFollows="1" w:id="229"/>
        <w:t>206</w:t>
      </w:r>
      <w:r w:rsidR="0004177E" w:rsidRPr="00953692">
        <w:rPr>
          <w:sz w:val="24"/>
          <w:szCs w:val="24"/>
          <w:lang w:val="fr-FR"/>
        </w:rPr>
        <w:t xml:space="preserve"> </w:t>
      </w:r>
      <w:r w:rsidR="0009049B" w:rsidRPr="00953692">
        <w:rPr>
          <w:sz w:val="24"/>
          <w:szCs w:val="24"/>
          <w:lang w:val="fr-FR"/>
        </w:rPr>
        <w:t>« </w:t>
      </w:r>
      <w:r w:rsidR="0004177E" w:rsidRPr="00953692">
        <w:rPr>
          <w:i/>
          <w:iCs/>
          <w:sz w:val="24"/>
          <w:szCs w:val="24"/>
          <w:lang w:val="fr-FR"/>
        </w:rPr>
        <w:t xml:space="preserve">le défaut pour le procureur de communiquer comme prévu des Déclarations des témoins </w:t>
      </w:r>
      <w:r w:rsidR="00196745" w:rsidRPr="00953692">
        <w:rPr>
          <w:i/>
          <w:iCs/>
          <w:sz w:val="24"/>
          <w:szCs w:val="24"/>
          <w:lang w:val="fr-FR"/>
        </w:rPr>
        <w:t>qu’il devait</w:t>
      </w:r>
      <w:r w:rsidR="0004177E" w:rsidRPr="00953692">
        <w:rPr>
          <w:i/>
          <w:iCs/>
          <w:sz w:val="24"/>
          <w:szCs w:val="24"/>
          <w:lang w:val="fr-FR"/>
        </w:rPr>
        <w:t xml:space="preserve"> appeler au procès ; certains documents n’ont été communiqués qu’en anglais ; la nécessité de citer au procès trois témoins expert que l’Accusation leur a communiqués ; </w:t>
      </w:r>
      <w:r w:rsidR="0009049B" w:rsidRPr="00953692">
        <w:rPr>
          <w:i/>
          <w:iCs/>
          <w:sz w:val="24"/>
          <w:szCs w:val="24"/>
          <w:lang w:val="fr-FR"/>
        </w:rPr>
        <w:t>certains enregistrements vidéo nécessaires à la préparation de la défense n’ont pas été communiqués en temps voulu</w:t>
      </w:r>
      <w:r w:rsidR="0009049B" w:rsidRPr="00953692">
        <w:rPr>
          <w:sz w:val="24"/>
          <w:szCs w:val="24"/>
          <w:lang w:val="fr-FR"/>
        </w:rPr>
        <w:t>… »</w:t>
      </w:r>
      <w:r w:rsidR="0004177E" w:rsidRPr="00953692">
        <w:rPr>
          <w:sz w:val="24"/>
          <w:szCs w:val="24"/>
          <w:lang w:val="fr-FR"/>
        </w:rPr>
        <w:t xml:space="preserve">. </w:t>
      </w:r>
      <w:r w:rsidR="00830DE4" w:rsidRPr="00953692">
        <w:rPr>
          <w:sz w:val="24"/>
          <w:szCs w:val="24"/>
          <w:lang w:val="fr-FR"/>
        </w:rPr>
        <w:t xml:space="preserve">Les deux requêtes des accusés se sont </w:t>
      </w:r>
      <w:r w:rsidR="00196745" w:rsidRPr="00953692">
        <w:rPr>
          <w:sz w:val="24"/>
          <w:szCs w:val="24"/>
          <w:lang w:val="fr-FR"/>
        </w:rPr>
        <w:t>appuyées</w:t>
      </w:r>
      <w:r w:rsidR="00830DE4" w:rsidRPr="00953692">
        <w:rPr>
          <w:sz w:val="24"/>
          <w:szCs w:val="24"/>
          <w:lang w:val="fr-FR"/>
        </w:rPr>
        <w:t>, notamment sur les dispositions de l’article 21 4) b) du statut du TPIY relatif au droit de disposer d’un temps et des facilités nécessaires à la préparation de la défense ; et de l’article 72 A) du RPP de la juridiction de céans.</w:t>
      </w:r>
      <w:r w:rsidR="00113C37" w:rsidRPr="00953692">
        <w:rPr>
          <w:sz w:val="24"/>
          <w:szCs w:val="24"/>
          <w:lang w:val="fr-FR"/>
        </w:rPr>
        <w:t xml:space="preserve"> Ces allégations ont été contredite par l’Accusation, tout en ayant proposé un renvoi au 18 février 1997</w:t>
      </w:r>
      <w:r w:rsidR="00E420AF" w:rsidRPr="00953692">
        <w:rPr>
          <w:rStyle w:val="Appelnotedebasdep"/>
          <w:sz w:val="24"/>
          <w:szCs w:val="24"/>
          <w:lang w:val="fr-FR"/>
        </w:rPr>
        <w:footnoteReference w:customMarkFollows="1" w:id="230"/>
        <w:t>207</w:t>
      </w:r>
      <w:r w:rsidR="00113C37" w:rsidRPr="00953692">
        <w:rPr>
          <w:sz w:val="24"/>
          <w:szCs w:val="24"/>
          <w:lang w:val="fr-FR"/>
        </w:rPr>
        <w:t>.</w:t>
      </w:r>
    </w:p>
    <w:p w14:paraId="11D7B260" w14:textId="360C0488" w:rsidR="00944DE2" w:rsidRPr="00953692" w:rsidRDefault="005577EE" w:rsidP="00864BBF">
      <w:pPr>
        <w:spacing w:after="0" w:line="276" w:lineRule="auto"/>
        <w:ind w:firstLine="1134"/>
        <w:jc w:val="both"/>
        <w:rPr>
          <w:sz w:val="24"/>
          <w:szCs w:val="24"/>
          <w:lang w:val="fr-FR"/>
        </w:rPr>
      </w:pPr>
      <w:r w:rsidRPr="00953692">
        <w:rPr>
          <w:b/>
          <w:bCs/>
          <w:sz w:val="24"/>
          <w:szCs w:val="24"/>
          <w:lang w:val="fr-FR"/>
        </w:rPr>
        <w:t>304</w:t>
      </w:r>
      <w:r w:rsidR="00E858A0" w:rsidRPr="00953692">
        <w:rPr>
          <w:b/>
          <w:bCs/>
          <w:sz w:val="24"/>
          <w:szCs w:val="24"/>
          <w:lang w:val="fr-FR"/>
        </w:rPr>
        <w:t>.</w:t>
      </w:r>
      <w:r w:rsidR="00E858A0" w:rsidRPr="00953692">
        <w:rPr>
          <w:sz w:val="24"/>
          <w:szCs w:val="24"/>
          <w:lang w:val="fr-FR"/>
        </w:rPr>
        <w:t xml:space="preserve"> La Chambre de première instance, qui a rejeté dans le dispositif de sa décision les requêtes telles formulées mais a reporté le procès 10 mars 1997, a tenu à rappeler dans ses conclusions que, </w:t>
      </w:r>
      <w:r w:rsidR="00CA64C3" w:rsidRPr="00953692">
        <w:rPr>
          <w:sz w:val="24"/>
          <w:szCs w:val="24"/>
          <w:lang w:val="fr-FR"/>
        </w:rPr>
        <w:t>« l’expression clé dans cette disposition, ‘’temps… nécessaire’’</w:t>
      </w:r>
      <w:r w:rsidR="00DC06D2" w:rsidRPr="00953692">
        <w:rPr>
          <w:sz w:val="24"/>
          <w:szCs w:val="24"/>
          <w:shd w:val="clear" w:color="auto" w:fill="FFFFFF"/>
          <w:lang w:val="fr-FR"/>
        </w:rPr>
        <w:t xml:space="preserve"> est souple et élude une définition rigide en dehors de la situation particulière de chaque affaire</w:t>
      </w:r>
      <w:r w:rsidR="00E858A0" w:rsidRPr="00953692">
        <w:rPr>
          <w:sz w:val="24"/>
          <w:szCs w:val="24"/>
          <w:shd w:val="clear" w:color="auto" w:fill="FFFFFF"/>
          <w:lang w:val="fr-FR"/>
        </w:rPr>
        <w:t xml:space="preserve"> ; et qu’il est donc impossible de fixer une norme de ce qui constitue un temps nécessaire pour préparer une défense parce que c'est une situation qui peut être influencée par un certain nombre de facteurs, y compris la complexité de l'affaire ainsi </w:t>
      </w:r>
      <w:r w:rsidR="00E858A0" w:rsidRPr="00953692">
        <w:rPr>
          <w:sz w:val="24"/>
          <w:szCs w:val="24"/>
          <w:shd w:val="clear" w:color="auto" w:fill="FFFFFF"/>
          <w:lang w:val="fr-FR"/>
        </w:rPr>
        <w:lastRenderedPageBreak/>
        <w:t>que les forces et demandes concurrentes en jeu, comme la prise en compte des intérêts de coaccusés »</w:t>
      </w:r>
      <w:r w:rsidR="00E420AF" w:rsidRPr="00953692">
        <w:rPr>
          <w:rStyle w:val="Appelnotedebasdep"/>
          <w:sz w:val="24"/>
          <w:szCs w:val="24"/>
          <w:shd w:val="clear" w:color="auto" w:fill="FFFFFF"/>
          <w:lang w:val="fr-FR"/>
        </w:rPr>
        <w:footnoteReference w:customMarkFollows="1" w:id="231"/>
        <w:t>208</w:t>
      </w:r>
      <w:r w:rsidR="00E858A0" w:rsidRPr="00953692">
        <w:rPr>
          <w:sz w:val="24"/>
          <w:szCs w:val="24"/>
          <w:shd w:val="clear" w:color="auto" w:fill="FFFFFF"/>
          <w:lang w:val="fr-FR"/>
        </w:rPr>
        <w:t>.</w:t>
      </w:r>
      <w:r w:rsidR="0081233C" w:rsidRPr="00953692">
        <w:rPr>
          <w:sz w:val="24"/>
          <w:szCs w:val="24"/>
          <w:shd w:val="clear" w:color="auto" w:fill="FFFFFF"/>
          <w:lang w:val="fr-FR"/>
        </w:rPr>
        <w:t xml:space="preserve"> En posant ce préalable à l’examen de la cause, la Chambre a voulu rappeler l’obligation de se conformer aux demandes raisonnables d’ajournement résultant de ce droit de l’accusé. Le juge devra donc analyser si l’ajournement ou le délai sollicité sera à même de permettre au requérant de préparer suffisamment, en considérant pratiquement ce qui a été déjà fait.</w:t>
      </w:r>
    </w:p>
    <w:p w14:paraId="52574B4A" w14:textId="78F2AA80" w:rsidR="00483EEC" w:rsidRPr="00953692" w:rsidRDefault="005577EE" w:rsidP="00864BBF">
      <w:pPr>
        <w:spacing w:after="0" w:line="276" w:lineRule="auto"/>
        <w:ind w:firstLine="1134"/>
        <w:jc w:val="both"/>
        <w:rPr>
          <w:sz w:val="24"/>
          <w:szCs w:val="24"/>
          <w:lang w:val="fr-FR"/>
        </w:rPr>
      </w:pPr>
      <w:r w:rsidRPr="00953692">
        <w:rPr>
          <w:b/>
          <w:bCs/>
          <w:sz w:val="24"/>
          <w:szCs w:val="24"/>
          <w:lang w:val="fr-FR"/>
        </w:rPr>
        <w:t>305</w:t>
      </w:r>
      <w:r w:rsidR="0004285A" w:rsidRPr="00953692">
        <w:rPr>
          <w:b/>
          <w:bCs/>
          <w:sz w:val="24"/>
          <w:szCs w:val="24"/>
          <w:lang w:val="fr-FR"/>
        </w:rPr>
        <w:t>.</w:t>
      </w:r>
      <w:r w:rsidR="0004285A" w:rsidRPr="00953692">
        <w:rPr>
          <w:sz w:val="24"/>
          <w:szCs w:val="24"/>
          <w:lang w:val="fr-FR"/>
        </w:rPr>
        <w:t xml:space="preserve"> </w:t>
      </w:r>
      <w:r w:rsidR="0081233C" w:rsidRPr="00953692">
        <w:rPr>
          <w:sz w:val="24"/>
          <w:szCs w:val="24"/>
          <w:lang w:val="fr-FR"/>
        </w:rPr>
        <w:t xml:space="preserve">Dans la perspective d’un procès rapide, une telle </w:t>
      </w:r>
      <w:r w:rsidR="00D96CA2" w:rsidRPr="00953692">
        <w:rPr>
          <w:sz w:val="24"/>
          <w:szCs w:val="24"/>
          <w:lang w:val="fr-FR"/>
        </w:rPr>
        <w:t>conclusion</w:t>
      </w:r>
      <w:r w:rsidR="00E4195D" w:rsidRPr="00953692">
        <w:rPr>
          <w:sz w:val="24"/>
          <w:szCs w:val="24"/>
          <w:lang w:val="fr-FR"/>
        </w:rPr>
        <w:t xml:space="preserve"> </w:t>
      </w:r>
      <w:r w:rsidR="000F44B2" w:rsidRPr="00953692">
        <w:rPr>
          <w:sz w:val="24"/>
          <w:szCs w:val="24"/>
          <w:lang w:val="fr-FR"/>
        </w:rPr>
        <w:t xml:space="preserve">est </w:t>
      </w:r>
      <w:r w:rsidR="00E4195D" w:rsidRPr="00953692">
        <w:rPr>
          <w:sz w:val="24"/>
          <w:szCs w:val="24"/>
          <w:lang w:val="fr-FR"/>
        </w:rPr>
        <w:t xml:space="preserve">tout autant problématique </w:t>
      </w:r>
      <w:r w:rsidR="00292CC6" w:rsidRPr="00953692">
        <w:rPr>
          <w:sz w:val="24"/>
          <w:szCs w:val="24"/>
          <w:lang w:val="fr-FR"/>
        </w:rPr>
        <w:t>puisque</w:t>
      </w:r>
      <w:r w:rsidR="00D96CA2" w:rsidRPr="00953692">
        <w:rPr>
          <w:sz w:val="24"/>
          <w:szCs w:val="24"/>
          <w:lang w:val="fr-FR"/>
        </w:rPr>
        <w:t>,</w:t>
      </w:r>
      <w:r w:rsidR="00292CC6" w:rsidRPr="00953692">
        <w:rPr>
          <w:sz w:val="24"/>
          <w:szCs w:val="24"/>
          <w:lang w:val="fr-FR"/>
        </w:rPr>
        <w:t xml:space="preserve"> généralement</w:t>
      </w:r>
      <w:r w:rsidR="00D96CA2" w:rsidRPr="00953692">
        <w:rPr>
          <w:sz w:val="24"/>
          <w:szCs w:val="24"/>
          <w:lang w:val="fr-FR"/>
        </w:rPr>
        <w:t>, dans un procès pénal international</w:t>
      </w:r>
      <w:r w:rsidR="00751A13" w:rsidRPr="00953692">
        <w:rPr>
          <w:sz w:val="24"/>
          <w:szCs w:val="24"/>
          <w:lang w:val="fr-FR"/>
        </w:rPr>
        <w:t>,</w:t>
      </w:r>
      <w:r w:rsidR="00292CC6" w:rsidRPr="00953692">
        <w:rPr>
          <w:sz w:val="24"/>
          <w:szCs w:val="24"/>
          <w:lang w:val="fr-FR"/>
        </w:rPr>
        <w:t xml:space="preserve"> l’accusé apparait beaucoup plus tard bien après que le </w:t>
      </w:r>
      <w:r w:rsidR="00751A13" w:rsidRPr="00953692">
        <w:rPr>
          <w:sz w:val="24"/>
          <w:szCs w:val="24"/>
          <w:lang w:val="fr-FR"/>
        </w:rPr>
        <w:t>P</w:t>
      </w:r>
      <w:r w:rsidR="00292CC6" w:rsidRPr="00953692">
        <w:rPr>
          <w:sz w:val="24"/>
          <w:szCs w:val="24"/>
          <w:lang w:val="fr-FR"/>
        </w:rPr>
        <w:t>rocureur a</w:t>
      </w:r>
      <w:r w:rsidR="0081233C" w:rsidRPr="00953692">
        <w:rPr>
          <w:sz w:val="24"/>
          <w:szCs w:val="24"/>
          <w:lang w:val="fr-FR"/>
        </w:rPr>
        <w:t xml:space="preserve">, en principe, </w:t>
      </w:r>
      <w:r w:rsidR="00292CC6" w:rsidRPr="00953692">
        <w:rPr>
          <w:sz w:val="24"/>
          <w:szCs w:val="24"/>
          <w:lang w:val="fr-FR"/>
        </w:rPr>
        <w:t xml:space="preserve">rassemblé les éléments de preuve </w:t>
      </w:r>
      <w:r w:rsidR="00D96CA2" w:rsidRPr="00953692">
        <w:rPr>
          <w:sz w:val="24"/>
          <w:szCs w:val="24"/>
          <w:lang w:val="fr-FR"/>
        </w:rPr>
        <w:t>« </w:t>
      </w:r>
      <w:r w:rsidR="00292CC6" w:rsidRPr="00953692">
        <w:rPr>
          <w:sz w:val="24"/>
          <w:szCs w:val="24"/>
          <w:lang w:val="fr-FR"/>
        </w:rPr>
        <w:t>suffisants</w:t>
      </w:r>
      <w:r w:rsidR="00D96CA2" w:rsidRPr="00953692">
        <w:rPr>
          <w:sz w:val="24"/>
          <w:szCs w:val="24"/>
          <w:lang w:val="fr-FR"/>
        </w:rPr>
        <w:t> »</w:t>
      </w:r>
      <w:r w:rsidR="00292CC6" w:rsidRPr="00953692">
        <w:rPr>
          <w:sz w:val="24"/>
          <w:szCs w:val="24"/>
          <w:lang w:val="fr-FR"/>
        </w:rPr>
        <w:t xml:space="preserve"> pour constitu</w:t>
      </w:r>
      <w:r w:rsidR="0004285A" w:rsidRPr="00953692">
        <w:rPr>
          <w:sz w:val="24"/>
          <w:szCs w:val="24"/>
          <w:lang w:val="fr-FR"/>
        </w:rPr>
        <w:t>er</w:t>
      </w:r>
      <w:r w:rsidR="00292CC6" w:rsidRPr="00953692">
        <w:rPr>
          <w:sz w:val="24"/>
          <w:szCs w:val="24"/>
          <w:lang w:val="fr-FR"/>
        </w:rPr>
        <w:t xml:space="preserve"> son dossier. Un peu comme l’écrit Beccaria, </w:t>
      </w:r>
      <w:r w:rsidR="00292CC6" w:rsidRPr="00953692">
        <w:rPr>
          <w:i/>
          <w:iCs/>
          <w:sz w:val="24"/>
          <w:szCs w:val="24"/>
          <w:lang w:val="fr-FR"/>
        </w:rPr>
        <w:t>le procureur doit établir la certitude du crime avant de porter l’affaire devant les instances d</w:t>
      </w:r>
      <w:r w:rsidR="009C4C49" w:rsidRPr="00953692">
        <w:rPr>
          <w:i/>
          <w:iCs/>
          <w:sz w:val="24"/>
          <w:szCs w:val="24"/>
          <w:lang w:val="fr-FR"/>
        </w:rPr>
        <w:t>e</w:t>
      </w:r>
      <w:r w:rsidR="00292CC6" w:rsidRPr="00953692">
        <w:rPr>
          <w:i/>
          <w:iCs/>
          <w:sz w:val="24"/>
          <w:szCs w:val="24"/>
          <w:lang w:val="fr-FR"/>
        </w:rPr>
        <w:t xml:space="preserve"> jugement</w:t>
      </w:r>
      <w:r w:rsidR="00D96CA2" w:rsidRPr="00953692">
        <w:rPr>
          <w:i/>
          <w:iCs/>
          <w:sz w:val="24"/>
          <w:szCs w:val="24"/>
          <w:lang w:val="fr-FR"/>
        </w:rPr>
        <w:t xml:space="preserve"> (voir la note 182)</w:t>
      </w:r>
      <w:r w:rsidR="00292CC6" w:rsidRPr="00953692">
        <w:rPr>
          <w:sz w:val="24"/>
          <w:szCs w:val="24"/>
          <w:lang w:val="fr-FR"/>
        </w:rPr>
        <w:t xml:space="preserve">. En pratique, le procureur prend tout son </w:t>
      </w:r>
      <w:r w:rsidR="00A46CB0" w:rsidRPr="00953692">
        <w:rPr>
          <w:sz w:val="24"/>
          <w:szCs w:val="24"/>
          <w:lang w:val="fr-FR"/>
        </w:rPr>
        <w:t>temps à préparer son dossier à travers un examen préliminaire</w:t>
      </w:r>
      <w:r w:rsidR="00D96CA2" w:rsidRPr="00953692">
        <w:rPr>
          <w:sz w:val="24"/>
          <w:szCs w:val="24"/>
          <w:lang w:val="fr-FR"/>
        </w:rPr>
        <w:t>,</w:t>
      </w:r>
      <w:r w:rsidR="00A46CB0" w:rsidRPr="00953692">
        <w:rPr>
          <w:sz w:val="24"/>
          <w:szCs w:val="24"/>
          <w:lang w:val="fr-FR"/>
        </w:rPr>
        <w:t xml:space="preserve"> qui peut prendre, notamment devant la CPI</w:t>
      </w:r>
      <w:r w:rsidR="009C4C49" w:rsidRPr="00953692">
        <w:rPr>
          <w:sz w:val="24"/>
          <w:szCs w:val="24"/>
          <w:lang w:val="fr-FR"/>
        </w:rPr>
        <w:t>,</w:t>
      </w:r>
      <w:r w:rsidR="00A46CB0" w:rsidRPr="00953692">
        <w:rPr>
          <w:sz w:val="24"/>
          <w:szCs w:val="24"/>
          <w:lang w:val="fr-FR"/>
        </w:rPr>
        <w:t xml:space="preserve"> plusieurs années</w:t>
      </w:r>
      <w:r w:rsidR="000F44B2" w:rsidRPr="00953692">
        <w:rPr>
          <w:sz w:val="24"/>
          <w:szCs w:val="24"/>
          <w:lang w:val="fr-FR"/>
        </w:rPr>
        <w:t xml:space="preserve"> dans la mesure où il n’existe aucune limitation temporelle</w:t>
      </w:r>
      <w:r w:rsidR="00A50405" w:rsidRPr="00953692">
        <w:rPr>
          <w:sz w:val="24"/>
          <w:szCs w:val="24"/>
          <w:lang w:val="fr-FR"/>
        </w:rPr>
        <w:t xml:space="preserve"> qui l’obligerait à aller vite dans ses investigations ou dans son examen préliminaire</w:t>
      </w:r>
      <w:r w:rsidR="00E420AF" w:rsidRPr="00953692">
        <w:rPr>
          <w:rStyle w:val="Appelnotedebasdep"/>
          <w:sz w:val="24"/>
          <w:szCs w:val="24"/>
          <w:lang w:val="fr-FR"/>
        </w:rPr>
        <w:footnoteReference w:customMarkFollows="1" w:id="232"/>
        <w:t>209</w:t>
      </w:r>
      <w:r w:rsidR="00C749E1" w:rsidRPr="00953692">
        <w:rPr>
          <w:sz w:val="24"/>
          <w:szCs w:val="24"/>
          <w:lang w:val="fr-FR"/>
        </w:rPr>
        <w:t>. En outre, il s’ensuit d’</w:t>
      </w:r>
      <w:r w:rsidR="00A46CB0" w:rsidRPr="00953692">
        <w:rPr>
          <w:sz w:val="24"/>
          <w:szCs w:val="24"/>
          <w:lang w:val="fr-FR"/>
        </w:rPr>
        <w:t>une enquête</w:t>
      </w:r>
      <w:r w:rsidR="000F44B2" w:rsidRPr="00953692">
        <w:rPr>
          <w:sz w:val="24"/>
          <w:szCs w:val="24"/>
          <w:lang w:val="fr-FR"/>
        </w:rPr>
        <w:t xml:space="preserve"> (internationale)</w:t>
      </w:r>
      <w:r w:rsidR="00A46CB0" w:rsidRPr="00953692">
        <w:rPr>
          <w:sz w:val="24"/>
          <w:szCs w:val="24"/>
          <w:lang w:val="fr-FR"/>
        </w:rPr>
        <w:t xml:space="preserve"> approfondie </w:t>
      </w:r>
      <w:r w:rsidR="00313E66" w:rsidRPr="00953692">
        <w:rPr>
          <w:sz w:val="24"/>
          <w:szCs w:val="24"/>
          <w:lang w:val="fr-FR"/>
        </w:rPr>
        <w:t>(qui prend du temps),</w:t>
      </w:r>
      <w:r w:rsidR="003D7082" w:rsidRPr="00953692">
        <w:rPr>
          <w:sz w:val="24"/>
          <w:szCs w:val="24"/>
          <w:lang w:val="fr-FR"/>
        </w:rPr>
        <w:t xml:space="preserve"> s’accompagn</w:t>
      </w:r>
      <w:r w:rsidR="00313E66" w:rsidRPr="00953692">
        <w:rPr>
          <w:sz w:val="24"/>
          <w:szCs w:val="24"/>
          <w:lang w:val="fr-FR"/>
        </w:rPr>
        <w:t>ant</w:t>
      </w:r>
      <w:r w:rsidR="003D7082" w:rsidRPr="00953692">
        <w:rPr>
          <w:sz w:val="24"/>
          <w:szCs w:val="24"/>
          <w:lang w:val="fr-FR"/>
        </w:rPr>
        <w:t xml:space="preserve"> toujours de</w:t>
      </w:r>
      <w:r w:rsidR="00A46CB0" w:rsidRPr="00953692">
        <w:rPr>
          <w:sz w:val="24"/>
          <w:szCs w:val="24"/>
          <w:lang w:val="fr-FR"/>
        </w:rPr>
        <w:t xml:space="preserve"> tous les pouvoirs</w:t>
      </w:r>
      <w:r w:rsidR="00C749E1" w:rsidRPr="00953692">
        <w:rPr>
          <w:sz w:val="24"/>
          <w:szCs w:val="24"/>
          <w:lang w:val="fr-FR"/>
        </w:rPr>
        <w:t xml:space="preserve"> </w:t>
      </w:r>
      <w:r w:rsidR="00A46CB0" w:rsidRPr="00953692">
        <w:rPr>
          <w:sz w:val="24"/>
          <w:szCs w:val="24"/>
          <w:lang w:val="fr-FR"/>
        </w:rPr>
        <w:t>adjacents</w:t>
      </w:r>
      <w:r w:rsidR="003D7082" w:rsidRPr="00953692">
        <w:rPr>
          <w:sz w:val="24"/>
          <w:szCs w:val="24"/>
          <w:lang w:val="fr-FR"/>
        </w:rPr>
        <w:t xml:space="preserve"> et facilités nécessaires</w:t>
      </w:r>
      <w:r w:rsidR="00A46CB0" w:rsidRPr="00953692">
        <w:rPr>
          <w:sz w:val="24"/>
          <w:szCs w:val="24"/>
          <w:lang w:val="fr-FR"/>
        </w:rPr>
        <w:t>,</w:t>
      </w:r>
      <w:r w:rsidR="007D01FF" w:rsidRPr="00953692">
        <w:rPr>
          <w:sz w:val="24"/>
          <w:szCs w:val="24"/>
          <w:lang w:val="fr-FR"/>
        </w:rPr>
        <w:t xml:space="preserve"> que l’accusé ne saurait en </w:t>
      </w:r>
      <w:r w:rsidR="00313E66" w:rsidRPr="00953692">
        <w:rPr>
          <w:sz w:val="24"/>
          <w:szCs w:val="24"/>
          <w:lang w:val="fr-FR"/>
        </w:rPr>
        <w:t>bénéficier</w:t>
      </w:r>
      <w:r w:rsidR="00D96CA2" w:rsidRPr="00953692">
        <w:rPr>
          <w:sz w:val="24"/>
          <w:szCs w:val="24"/>
          <w:lang w:val="fr-FR"/>
        </w:rPr>
        <w:t xml:space="preserve"> de toute évidence</w:t>
      </w:r>
      <w:r w:rsidR="00313E66" w:rsidRPr="00953692">
        <w:rPr>
          <w:sz w:val="24"/>
          <w:szCs w:val="24"/>
          <w:lang w:val="fr-FR"/>
        </w:rPr>
        <w:t xml:space="preserve"> au moment de la préparation de sa défense, qui est à situer à la veille </w:t>
      </w:r>
      <w:r w:rsidR="0040480D" w:rsidRPr="00953692">
        <w:rPr>
          <w:sz w:val="24"/>
          <w:szCs w:val="24"/>
          <w:lang w:val="fr-FR"/>
        </w:rPr>
        <w:t>même</w:t>
      </w:r>
      <w:r w:rsidR="00313E66" w:rsidRPr="00953692">
        <w:rPr>
          <w:sz w:val="24"/>
          <w:szCs w:val="24"/>
          <w:lang w:val="fr-FR"/>
        </w:rPr>
        <w:t xml:space="preserve"> du procès</w:t>
      </w:r>
      <w:r w:rsidR="007D01FF" w:rsidRPr="00953692">
        <w:rPr>
          <w:sz w:val="24"/>
          <w:szCs w:val="24"/>
          <w:lang w:val="fr-FR"/>
        </w:rPr>
        <w:t>.</w:t>
      </w:r>
    </w:p>
    <w:p w14:paraId="2596E914" w14:textId="006EED4F" w:rsidR="006D66CF" w:rsidRPr="00953692" w:rsidRDefault="005577EE" w:rsidP="00864BBF">
      <w:pPr>
        <w:spacing w:after="0" w:line="276" w:lineRule="auto"/>
        <w:ind w:firstLine="1134"/>
        <w:jc w:val="both"/>
        <w:rPr>
          <w:sz w:val="24"/>
          <w:szCs w:val="24"/>
          <w:lang w:val="fr-FR"/>
        </w:rPr>
      </w:pPr>
      <w:r w:rsidRPr="00953692">
        <w:rPr>
          <w:b/>
          <w:bCs/>
          <w:sz w:val="24"/>
          <w:szCs w:val="24"/>
          <w:lang w:val="fr-FR"/>
        </w:rPr>
        <w:t>306</w:t>
      </w:r>
      <w:r w:rsidR="0081233C" w:rsidRPr="00953692">
        <w:rPr>
          <w:b/>
          <w:bCs/>
          <w:sz w:val="24"/>
          <w:szCs w:val="24"/>
          <w:lang w:val="fr-FR"/>
        </w:rPr>
        <w:t>.</w:t>
      </w:r>
      <w:r w:rsidR="0081233C" w:rsidRPr="00953692">
        <w:rPr>
          <w:sz w:val="24"/>
          <w:szCs w:val="24"/>
          <w:lang w:val="fr-FR"/>
        </w:rPr>
        <w:t xml:space="preserve"> </w:t>
      </w:r>
      <w:r w:rsidR="006D66CF" w:rsidRPr="00953692">
        <w:rPr>
          <w:sz w:val="24"/>
          <w:szCs w:val="24"/>
          <w:lang w:val="fr-FR"/>
        </w:rPr>
        <w:t>Demeurant dans la pensée de Beccaria, on est déjà averti qu</w:t>
      </w:r>
      <w:r w:rsidR="006850B8" w:rsidRPr="00953692">
        <w:rPr>
          <w:sz w:val="24"/>
          <w:szCs w:val="24"/>
          <w:lang w:val="fr-FR"/>
        </w:rPr>
        <w:t>e, ce temps à accorder à l’accusé pour préparer ses moyens de défense</w:t>
      </w:r>
      <w:r w:rsidR="006D66CF" w:rsidRPr="00953692">
        <w:rPr>
          <w:sz w:val="24"/>
          <w:szCs w:val="24"/>
          <w:lang w:val="fr-FR"/>
        </w:rPr>
        <w:t xml:space="preserve"> d</w:t>
      </w:r>
      <w:r w:rsidR="006850B8" w:rsidRPr="00953692">
        <w:rPr>
          <w:sz w:val="24"/>
          <w:szCs w:val="24"/>
          <w:lang w:val="fr-FR"/>
        </w:rPr>
        <w:t>evra</w:t>
      </w:r>
      <w:r w:rsidR="006D66CF" w:rsidRPr="00953692">
        <w:rPr>
          <w:sz w:val="24"/>
          <w:szCs w:val="24"/>
          <w:lang w:val="fr-FR"/>
        </w:rPr>
        <w:t xml:space="preserve"> </w:t>
      </w:r>
      <w:r w:rsidR="006850B8" w:rsidRPr="00953692">
        <w:rPr>
          <w:sz w:val="24"/>
          <w:szCs w:val="24"/>
          <w:lang w:val="fr-FR"/>
        </w:rPr>
        <w:t xml:space="preserve">être </w:t>
      </w:r>
      <w:r w:rsidR="006D66CF" w:rsidRPr="00953692">
        <w:rPr>
          <w:sz w:val="24"/>
          <w:szCs w:val="24"/>
          <w:lang w:val="fr-FR"/>
        </w:rPr>
        <w:t xml:space="preserve">assez court. Mais il faut garder à l’esprit que dans la pensée de cet auteur, la limitation stricte du temps de la défense </w:t>
      </w:r>
      <w:r w:rsidR="006850B8" w:rsidRPr="00953692">
        <w:rPr>
          <w:sz w:val="24"/>
          <w:szCs w:val="24"/>
          <w:lang w:val="fr-FR"/>
        </w:rPr>
        <w:t xml:space="preserve">ou de la préparation de celle-ci </w:t>
      </w:r>
      <w:r w:rsidR="006D66CF" w:rsidRPr="00953692">
        <w:rPr>
          <w:sz w:val="24"/>
          <w:szCs w:val="24"/>
          <w:lang w:val="fr-FR"/>
        </w:rPr>
        <w:t>vise à conserver la teneur de la dissuasion de la peine.</w:t>
      </w:r>
      <w:r w:rsidR="006850B8" w:rsidRPr="00953692">
        <w:rPr>
          <w:sz w:val="24"/>
          <w:szCs w:val="24"/>
          <w:lang w:val="fr-FR"/>
        </w:rPr>
        <w:t xml:space="preserve"> Le moment entre la commission de l’infraction et le châtiment devra être minime.</w:t>
      </w:r>
      <w:r w:rsidR="006D66CF" w:rsidRPr="00953692">
        <w:rPr>
          <w:sz w:val="24"/>
          <w:szCs w:val="24"/>
          <w:lang w:val="fr-FR"/>
        </w:rPr>
        <w:t xml:space="preserve"> De ce fait, il ne s’agit pas de l’intérêt, strictement parlant, de l’accusé qui est mis en évidence</w:t>
      </w:r>
      <w:r w:rsidR="006850B8" w:rsidRPr="00953692">
        <w:rPr>
          <w:sz w:val="24"/>
          <w:szCs w:val="24"/>
          <w:lang w:val="fr-FR"/>
        </w:rPr>
        <w:t xml:space="preserve"> dans ce passage de l’œuvre de Beccaria</w:t>
      </w:r>
      <w:r w:rsidR="006D66CF" w:rsidRPr="00953692">
        <w:rPr>
          <w:sz w:val="24"/>
          <w:szCs w:val="24"/>
          <w:lang w:val="fr-FR"/>
        </w:rPr>
        <w:t xml:space="preserve">. </w:t>
      </w:r>
      <w:r w:rsidR="006850B8" w:rsidRPr="00953692">
        <w:rPr>
          <w:sz w:val="24"/>
          <w:szCs w:val="24"/>
          <w:lang w:val="fr-FR"/>
        </w:rPr>
        <w:t>Et pourtant,</w:t>
      </w:r>
      <w:r w:rsidR="006D66CF" w:rsidRPr="00953692">
        <w:rPr>
          <w:sz w:val="24"/>
          <w:szCs w:val="24"/>
          <w:lang w:val="fr-FR"/>
        </w:rPr>
        <w:t xml:space="preserve"> les textes </w:t>
      </w:r>
      <w:r w:rsidR="006850B8" w:rsidRPr="00953692">
        <w:rPr>
          <w:sz w:val="24"/>
          <w:szCs w:val="24"/>
          <w:lang w:val="fr-FR"/>
        </w:rPr>
        <w:t xml:space="preserve">juridiques contraignants ou non-contraignants y compris la jurisprudence te la doctrine </w:t>
      </w:r>
      <w:r w:rsidR="006D66CF" w:rsidRPr="00953692">
        <w:rPr>
          <w:sz w:val="24"/>
          <w:szCs w:val="24"/>
          <w:lang w:val="fr-FR"/>
        </w:rPr>
        <w:t xml:space="preserve">qui ont marqué l’évolution du droit international des droits de l’homme, </w:t>
      </w:r>
      <w:r w:rsidR="006850B8" w:rsidRPr="00953692">
        <w:rPr>
          <w:sz w:val="24"/>
          <w:szCs w:val="24"/>
          <w:lang w:val="fr-FR"/>
        </w:rPr>
        <w:t>en ce compris</w:t>
      </w:r>
      <w:r w:rsidR="006D66CF" w:rsidRPr="00953692">
        <w:rPr>
          <w:sz w:val="24"/>
          <w:szCs w:val="24"/>
          <w:lang w:val="fr-FR"/>
        </w:rPr>
        <w:t xml:space="preserve"> les actes constitutifs des juridictions pénales internationales</w:t>
      </w:r>
      <w:r w:rsidR="006850B8" w:rsidRPr="00953692">
        <w:rPr>
          <w:sz w:val="24"/>
          <w:szCs w:val="24"/>
          <w:lang w:val="fr-FR"/>
        </w:rPr>
        <w:t>, perçoivent dans ce temps de temps de préparation</w:t>
      </w:r>
      <w:r w:rsidR="006D66CF" w:rsidRPr="00953692">
        <w:rPr>
          <w:sz w:val="24"/>
          <w:szCs w:val="24"/>
          <w:lang w:val="fr-FR"/>
        </w:rPr>
        <w:t xml:space="preserve"> avant tout le sort de l</w:t>
      </w:r>
      <w:r w:rsidR="008911C3" w:rsidRPr="00953692">
        <w:rPr>
          <w:sz w:val="24"/>
          <w:szCs w:val="24"/>
          <w:lang w:val="fr-FR"/>
        </w:rPr>
        <w:t>a personne mise en cause</w:t>
      </w:r>
      <w:r w:rsidR="006D66CF" w:rsidRPr="00953692">
        <w:rPr>
          <w:sz w:val="24"/>
          <w:szCs w:val="24"/>
          <w:lang w:val="fr-FR"/>
        </w:rPr>
        <w:t xml:space="preserve">, </w:t>
      </w:r>
      <w:r w:rsidR="008911C3" w:rsidRPr="00953692">
        <w:rPr>
          <w:sz w:val="24"/>
          <w:szCs w:val="24"/>
          <w:lang w:val="fr-FR"/>
        </w:rPr>
        <w:t xml:space="preserve">et ce, </w:t>
      </w:r>
      <w:r w:rsidR="006D66CF" w:rsidRPr="00953692">
        <w:rPr>
          <w:sz w:val="24"/>
          <w:szCs w:val="24"/>
          <w:lang w:val="fr-FR"/>
        </w:rPr>
        <w:t xml:space="preserve">pris sous l’angle </w:t>
      </w:r>
      <w:r w:rsidR="008911C3" w:rsidRPr="00953692">
        <w:rPr>
          <w:sz w:val="24"/>
          <w:szCs w:val="24"/>
          <w:lang w:val="fr-FR"/>
        </w:rPr>
        <w:t xml:space="preserve">axiologique </w:t>
      </w:r>
      <w:r w:rsidR="006D66CF" w:rsidRPr="00953692">
        <w:rPr>
          <w:sz w:val="24"/>
          <w:szCs w:val="24"/>
          <w:lang w:val="fr-FR"/>
        </w:rPr>
        <w:t>d’un procès équitable</w:t>
      </w:r>
      <w:r w:rsidR="00E420AF" w:rsidRPr="00953692">
        <w:rPr>
          <w:rStyle w:val="Appelnotedebasdep"/>
          <w:sz w:val="24"/>
          <w:szCs w:val="24"/>
          <w:lang w:val="fr-FR"/>
        </w:rPr>
        <w:footnoteReference w:customMarkFollows="1" w:id="233"/>
        <w:t>210</w:t>
      </w:r>
      <w:r w:rsidR="006D66CF" w:rsidRPr="00953692">
        <w:rPr>
          <w:sz w:val="24"/>
          <w:szCs w:val="24"/>
          <w:lang w:val="fr-FR"/>
        </w:rPr>
        <w:t>.</w:t>
      </w:r>
    </w:p>
    <w:p w14:paraId="1183CB65" w14:textId="0C23920D" w:rsidR="00E6374B"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307</w:t>
      </w:r>
      <w:r w:rsidR="0044697F" w:rsidRPr="00953692">
        <w:rPr>
          <w:rFonts w:cs="Times New Roman"/>
          <w:b/>
          <w:bCs/>
          <w:sz w:val="24"/>
          <w:szCs w:val="24"/>
          <w:lang w:val="fr-FR"/>
        </w:rPr>
        <w:t>.</w:t>
      </w:r>
      <w:r w:rsidR="0044697F" w:rsidRPr="00953692">
        <w:rPr>
          <w:rFonts w:cs="Times New Roman"/>
          <w:sz w:val="24"/>
          <w:szCs w:val="24"/>
          <w:lang w:val="fr-FR"/>
        </w:rPr>
        <w:t xml:space="preserve"> </w:t>
      </w:r>
      <w:r w:rsidR="0040480D" w:rsidRPr="00953692">
        <w:rPr>
          <w:rFonts w:cs="Times New Roman"/>
          <w:sz w:val="24"/>
          <w:szCs w:val="24"/>
          <w:lang w:val="fr-FR"/>
        </w:rPr>
        <w:t>Lorsqu’on appuie davantage sur la notion</w:t>
      </w:r>
      <w:r w:rsidR="0081233C" w:rsidRPr="00953692">
        <w:rPr>
          <w:rFonts w:cs="Times New Roman"/>
          <w:sz w:val="24"/>
          <w:szCs w:val="24"/>
          <w:lang w:val="fr-FR"/>
        </w:rPr>
        <w:t xml:space="preserve"> du procès équitable, la polémique ne s’attendrit pas si rapidement</w:t>
      </w:r>
      <w:r w:rsidR="0040480D" w:rsidRPr="00953692">
        <w:rPr>
          <w:rFonts w:cs="Times New Roman"/>
          <w:sz w:val="24"/>
          <w:szCs w:val="24"/>
          <w:lang w:val="fr-FR"/>
        </w:rPr>
        <w:t xml:space="preserve"> ; </w:t>
      </w:r>
      <w:r w:rsidR="0081233C" w:rsidRPr="00953692">
        <w:rPr>
          <w:rFonts w:cs="Times New Roman"/>
          <w:sz w:val="24"/>
          <w:szCs w:val="24"/>
          <w:lang w:val="fr-FR"/>
        </w:rPr>
        <w:t>car d</w:t>
      </w:r>
      <w:r w:rsidR="00D943A2" w:rsidRPr="00953692">
        <w:rPr>
          <w:rFonts w:cs="Times New Roman"/>
          <w:sz w:val="24"/>
          <w:szCs w:val="24"/>
          <w:lang w:val="fr-FR"/>
        </w:rPr>
        <w:t>ès l’entrée de jeu,</w:t>
      </w:r>
      <w:r w:rsidR="00B25A84" w:rsidRPr="00953692">
        <w:rPr>
          <w:rFonts w:cs="Times New Roman"/>
          <w:sz w:val="24"/>
          <w:szCs w:val="24"/>
          <w:lang w:val="fr-FR"/>
        </w:rPr>
        <w:t xml:space="preserve"> les parties sont</w:t>
      </w:r>
      <w:r w:rsidR="003D7082" w:rsidRPr="00953692">
        <w:rPr>
          <w:rFonts w:cs="Times New Roman"/>
          <w:sz w:val="24"/>
          <w:szCs w:val="24"/>
          <w:lang w:val="fr-FR"/>
        </w:rPr>
        <w:t xml:space="preserve"> supposé</w:t>
      </w:r>
      <w:r w:rsidR="00B25A84" w:rsidRPr="00953692">
        <w:rPr>
          <w:rFonts w:cs="Times New Roman"/>
          <w:sz w:val="24"/>
          <w:szCs w:val="24"/>
          <w:lang w:val="fr-FR"/>
        </w:rPr>
        <w:t>es pratiquement</w:t>
      </w:r>
      <w:r w:rsidR="003D7082" w:rsidRPr="00953692">
        <w:rPr>
          <w:rFonts w:cs="Times New Roman"/>
          <w:sz w:val="24"/>
          <w:szCs w:val="24"/>
          <w:lang w:val="fr-FR"/>
        </w:rPr>
        <w:t xml:space="preserve"> être</w:t>
      </w:r>
      <w:r w:rsidR="00D943A2" w:rsidRPr="00953692">
        <w:rPr>
          <w:rFonts w:cs="Times New Roman"/>
          <w:sz w:val="24"/>
          <w:szCs w:val="24"/>
          <w:lang w:val="fr-FR"/>
        </w:rPr>
        <w:t xml:space="preserve"> dans une relation déséquilibrée</w:t>
      </w:r>
      <w:r w:rsidR="007D01FF" w:rsidRPr="00953692">
        <w:rPr>
          <w:rFonts w:cs="Times New Roman"/>
          <w:sz w:val="24"/>
          <w:szCs w:val="24"/>
          <w:lang w:val="fr-FR"/>
        </w:rPr>
        <w:t xml:space="preserve"> ou</w:t>
      </w:r>
      <w:r w:rsidR="00D943A2" w:rsidRPr="00953692">
        <w:rPr>
          <w:rFonts w:cs="Times New Roman"/>
          <w:sz w:val="24"/>
          <w:szCs w:val="24"/>
          <w:lang w:val="fr-FR"/>
        </w:rPr>
        <w:t xml:space="preserve"> inégalitaire en ce qui concerne le temps de préparation</w:t>
      </w:r>
      <w:r w:rsidR="000F44B2" w:rsidRPr="00953692">
        <w:rPr>
          <w:rFonts w:cs="Times New Roman"/>
          <w:sz w:val="24"/>
          <w:szCs w:val="24"/>
          <w:lang w:val="fr-FR"/>
        </w:rPr>
        <w:t xml:space="preserve"> de leur dossier respectif</w:t>
      </w:r>
      <w:r w:rsidR="00D943A2" w:rsidRPr="00953692">
        <w:rPr>
          <w:rFonts w:cs="Times New Roman"/>
          <w:sz w:val="24"/>
          <w:szCs w:val="24"/>
          <w:lang w:val="fr-FR"/>
        </w:rPr>
        <w:t xml:space="preserve">. Comme le souligne </w:t>
      </w:r>
      <w:r w:rsidR="003D7082" w:rsidRPr="00953692">
        <w:rPr>
          <w:rFonts w:cs="Times New Roman"/>
          <w:sz w:val="24"/>
          <w:szCs w:val="24"/>
          <w:lang w:val="fr-FR"/>
        </w:rPr>
        <w:t xml:space="preserve">Jean </w:t>
      </w:r>
      <w:r w:rsidR="003D7082" w:rsidRPr="00953692">
        <w:rPr>
          <w:rFonts w:cs="Times New Roman"/>
          <w:sz w:val="24"/>
          <w:szCs w:val="24"/>
          <w:lang w:val="fr-FR"/>
        </w:rPr>
        <w:lastRenderedPageBreak/>
        <w:t>Flamme</w:t>
      </w:r>
      <w:r w:rsidR="00D943A2" w:rsidRPr="00953692">
        <w:rPr>
          <w:rFonts w:cs="Times New Roman"/>
          <w:sz w:val="24"/>
          <w:szCs w:val="24"/>
          <w:lang w:val="fr-FR"/>
        </w:rPr>
        <w:t xml:space="preserve">, </w:t>
      </w:r>
      <w:r w:rsidR="000F44B2" w:rsidRPr="00953692">
        <w:rPr>
          <w:rFonts w:cs="Times New Roman"/>
          <w:sz w:val="24"/>
          <w:szCs w:val="24"/>
          <w:lang w:val="fr-FR"/>
        </w:rPr>
        <w:t>« </w:t>
      </w:r>
      <w:r w:rsidR="00D943A2" w:rsidRPr="00953692">
        <w:rPr>
          <w:rFonts w:cs="Times New Roman"/>
          <w:sz w:val="24"/>
          <w:szCs w:val="24"/>
          <w:lang w:val="fr-FR"/>
        </w:rPr>
        <w:t>l’un des avantages dont bénéficie le procureur est bien sûr le temps</w:t>
      </w:r>
      <w:r w:rsidR="000F44B2" w:rsidRPr="00953692">
        <w:rPr>
          <w:rFonts w:cs="Times New Roman"/>
          <w:sz w:val="24"/>
          <w:szCs w:val="24"/>
          <w:lang w:val="fr-FR"/>
        </w:rPr>
        <w:t> »</w:t>
      </w:r>
      <w:r w:rsidR="00E420AF" w:rsidRPr="00953692">
        <w:rPr>
          <w:rStyle w:val="Appelnotedebasdep"/>
          <w:rFonts w:cs="Times New Roman"/>
          <w:sz w:val="24"/>
          <w:szCs w:val="24"/>
          <w:lang w:val="fr-FR"/>
        </w:rPr>
        <w:footnoteReference w:customMarkFollows="1" w:id="234"/>
        <w:t>211</w:t>
      </w:r>
      <w:r w:rsidR="00D943A2" w:rsidRPr="00953692">
        <w:rPr>
          <w:rFonts w:cs="Times New Roman"/>
          <w:sz w:val="24"/>
          <w:szCs w:val="24"/>
          <w:lang w:val="fr-FR"/>
        </w:rPr>
        <w:t xml:space="preserve"> d’investigation</w:t>
      </w:r>
      <w:r w:rsidR="00A50405" w:rsidRPr="00953692">
        <w:rPr>
          <w:rFonts w:cs="Times New Roman"/>
          <w:sz w:val="24"/>
          <w:szCs w:val="24"/>
          <w:lang w:val="fr-FR"/>
        </w:rPr>
        <w:t> ;</w:t>
      </w:r>
      <w:r w:rsidR="00D943A2" w:rsidRPr="00953692">
        <w:rPr>
          <w:rFonts w:cs="Times New Roman"/>
          <w:sz w:val="24"/>
          <w:szCs w:val="24"/>
          <w:lang w:val="fr-FR"/>
        </w:rPr>
        <w:t xml:space="preserve"> un temps dont la majeure partie demeure juridiquement incontrôlable</w:t>
      </w:r>
      <w:r w:rsidR="00E420AF" w:rsidRPr="00953692">
        <w:rPr>
          <w:rStyle w:val="Appelnotedebasdep"/>
          <w:rFonts w:cs="Times New Roman"/>
          <w:sz w:val="24"/>
          <w:szCs w:val="24"/>
          <w:lang w:val="fr-FR"/>
        </w:rPr>
        <w:footnoteReference w:customMarkFollows="1" w:id="235"/>
        <w:t>212</w:t>
      </w:r>
      <w:r w:rsidR="00D943A2" w:rsidRPr="00953692">
        <w:rPr>
          <w:rFonts w:cs="Times New Roman"/>
          <w:sz w:val="24"/>
          <w:szCs w:val="24"/>
          <w:lang w:val="fr-FR"/>
        </w:rPr>
        <w:t>.</w:t>
      </w:r>
      <w:r w:rsidR="00ED307F" w:rsidRPr="00953692">
        <w:rPr>
          <w:rFonts w:cs="Times New Roman"/>
          <w:sz w:val="24"/>
          <w:szCs w:val="24"/>
          <w:lang w:val="fr-FR"/>
        </w:rPr>
        <w:t xml:space="preserve"> C’est-à-dire que le procureur en principe enquête sans une restriction temporelle</w:t>
      </w:r>
      <w:r w:rsidR="00781CA0" w:rsidRPr="00953692">
        <w:rPr>
          <w:rFonts w:cs="Times New Roman"/>
          <w:sz w:val="24"/>
          <w:szCs w:val="24"/>
          <w:lang w:val="fr-FR"/>
        </w:rPr>
        <w:t>,</w:t>
      </w:r>
      <w:r w:rsidR="00ED307F" w:rsidRPr="00953692">
        <w:rPr>
          <w:rFonts w:cs="Times New Roman"/>
          <w:sz w:val="24"/>
          <w:szCs w:val="24"/>
          <w:lang w:val="fr-FR"/>
        </w:rPr>
        <w:t xml:space="preserve"> d’autant plus que les crimes internationaux sont sous le régime de l’imprescriptibilité</w:t>
      </w:r>
      <w:r w:rsidR="001F5975" w:rsidRPr="00953692">
        <w:rPr>
          <w:rFonts w:cs="Times New Roman"/>
          <w:sz w:val="24"/>
          <w:szCs w:val="24"/>
          <w:lang w:val="fr-FR"/>
        </w:rPr>
        <w:t>, en plus !</w:t>
      </w:r>
      <w:r w:rsidR="0044697F" w:rsidRPr="00953692">
        <w:rPr>
          <w:rFonts w:cs="Times New Roman"/>
          <w:sz w:val="24"/>
          <w:szCs w:val="24"/>
          <w:lang w:val="fr-FR"/>
        </w:rPr>
        <w:t xml:space="preserve"> Donc, il ne reçoit même pas de pression de la loi.</w:t>
      </w:r>
      <w:r w:rsidR="003D7082" w:rsidRPr="00953692">
        <w:rPr>
          <w:rFonts w:cs="Times New Roman"/>
          <w:sz w:val="24"/>
          <w:szCs w:val="24"/>
          <w:lang w:val="fr-FR"/>
        </w:rPr>
        <w:t xml:space="preserve"> Il prend à cet effet tout son temps à la préparation de son accusation.</w:t>
      </w:r>
      <w:r w:rsidR="00ED307F" w:rsidRPr="00953692">
        <w:rPr>
          <w:rFonts w:cs="Times New Roman"/>
          <w:sz w:val="24"/>
          <w:szCs w:val="24"/>
          <w:lang w:val="fr-FR"/>
        </w:rPr>
        <w:t xml:space="preserve"> </w:t>
      </w:r>
    </w:p>
    <w:p w14:paraId="7CB315FD" w14:textId="512AA84A" w:rsidR="00BC676D"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308</w:t>
      </w:r>
      <w:r w:rsidR="00E6374B" w:rsidRPr="00953692">
        <w:rPr>
          <w:rFonts w:cs="Times New Roman"/>
          <w:b/>
          <w:bCs/>
          <w:sz w:val="24"/>
          <w:szCs w:val="24"/>
          <w:lang w:val="fr-FR"/>
        </w:rPr>
        <w:t>.</w:t>
      </w:r>
      <w:r w:rsidR="00E6374B" w:rsidRPr="00953692">
        <w:rPr>
          <w:rFonts w:cs="Times New Roman"/>
          <w:sz w:val="24"/>
          <w:szCs w:val="24"/>
          <w:lang w:val="fr-FR"/>
        </w:rPr>
        <w:t xml:space="preserve"> </w:t>
      </w:r>
      <w:r w:rsidR="00ED307F" w:rsidRPr="00953692">
        <w:rPr>
          <w:rFonts w:cs="Times New Roman"/>
          <w:sz w:val="24"/>
          <w:szCs w:val="24"/>
          <w:lang w:val="fr-FR"/>
        </w:rPr>
        <w:t>Cependant, ce régime d’incontrôlabilité connait des limites essentiellement lorsque le procureur décide enfin de mettre en cause une personne en qualité de suspect ou d’accus</w:t>
      </w:r>
      <w:r w:rsidR="0044697F" w:rsidRPr="00953692">
        <w:rPr>
          <w:rFonts w:cs="Times New Roman"/>
          <w:sz w:val="24"/>
          <w:szCs w:val="24"/>
          <w:lang w:val="fr-FR"/>
        </w:rPr>
        <w:t>é</w:t>
      </w:r>
      <w:r w:rsidR="00ED307F" w:rsidRPr="00953692">
        <w:rPr>
          <w:rFonts w:cs="Times New Roman"/>
          <w:sz w:val="24"/>
          <w:szCs w:val="24"/>
          <w:lang w:val="fr-FR"/>
        </w:rPr>
        <w:t xml:space="preserve">. </w:t>
      </w:r>
      <w:r w:rsidR="0047734E" w:rsidRPr="00953692">
        <w:rPr>
          <w:rFonts w:cs="Times New Roman"/>
          <w:sz w:val="24"/>
          <w:szCs w:val="24"/>
          <w:lang w:val="fr-FR"/>
        </w:rPr>
        <w:t xml:space="preserve">En réalité, cette dernière arrive en procédure pénale avec un certain nombre des droits qui limitent cette liberté du Procureur. </w:t>
      </w:r>
      <w:r w:rsidR="00ED307F" w:rsidRPr="00953692">
        <w:rPr>
          <w:rFonts w:cs="Times New Roman"/>
          <w:sz w:val="24"/>
          <w:szCs w:val="24"/>
          <w:lang w:val="fr-FR"/>
        </w:rPr>
        <w:t xml:space="preserve">On a également l’exemple d’une limitation de la durée d’une enquête qui provient du RPP de la CPS centrafricaine, </w:t>
      </w:r>
      <w:r w:rsidR="002B473D" w:rsidRPr="00953692">
        <w:rPr>
          <w:rFonts w:cs="Times New Roman"/>
          <w:sz w:val="24"/>
          <w:szCs w:val="24"/>
          <w:lang w:val="fr-FR"/>
        </w:rPr>
        <w:t>précisément en son</w:t>
      </w:r>
      <w:r w:rsidR="00ED307F" w:rsidRPr="00953692">
        <w:rPr>
          <w:rFonts w:cs="Times New Roman"/>
          <w:sz w:val="24"/>
          <w:szCs w:val="24"/>
          <w:lang w:val="fr-FR"/>
        </w:rPr>
        <w:t xml:space="preserve"> article 70</w:t>
      </w:r>
      <w:r w:rsidR="002B473D" w:rsidRPr="00953692">
        <w:rPr>
          <w:rFonts w:cs="Times New Roman"/>
          <w:sz w:val="24"/>
          <w:szCs w:val="24"/>
          <w:lang w:val="fr-FR"/>
        </w:rPr>
        <w:t xml:space="preserve"> </w:t>
      </w:r>
      <w:r w:rsidR="00ED307F" w:rsidRPr="00953692">
        <w:rPr>
          <w:rFonts w:cs="Times New Roman"/>
          <w:sz w:val="24"/>
          <w:szCs w:val="24"/>
          <w:lang w:val="fr-FR"/>
        </w:rPr>
        <w:t>B</w:t>
      </w:r>
      <w:r w:rsidR="002B473D" w:rsidRPr="00953692">
        <w:rPr>
          <w:rFonts w:cs="Times New Roman"/>
          <w:sz w:val="24"/>
          <w:szCs w:val="24"/>
          <w:lang w:val="fr-FR"/>
        </w:rPr>
        <w:t>)</w:t>
      </w:r>
      <w:r w:rsidR="00ED307F" w:rsidRPr="00953692">
        <w:rPr>
          <w:rFonts w:cs="Times New Roman"/>
          <w:sz w:val="24"/>
          <w:szCs w:val="24"/>
          <w:lang w:val="fr-FR"/>
        </w:rPr>
        <w:t xml:space="preserve"> </w:t>
      </w:r>
      <w:r w:rsidR="002B473D" w:rsidRPr="00953692">
        <w:rPr>
          <w:rFonts w:cs="Times New Roman"/>
          <w:sz w:val="24"/>
          <w:szCs w:val="24"/>
          <w:lang w:val="fr-FR"/>
        </w:rPr>
        <w:t xml:space="preserve">qui </w:t>
      </w:r>
      <w:r w:rsidR="00ED307F" w:rsidRPr="00953692">
        <w:rPr>
          <w:rFonts w:cs="Times New Roman"/>
          <w:sz w:val="24"/>
          <w:szCs w:val="24"/>
          <w:lang w:val="fr-FR"/>
        </w:rPr>
        <w:t>dispose que l’enquête ne peut qu’excéder exceptionnellement un délai de six mois.</w:t>
      </w:r>
    </w:p>
    <w:p w14:paraId="0BDB247F" w14:textId="34EE6272" w:rsidR="00647C63"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309</w:t>
      </w:r>
      <w:r w:rsidR="0044697F" w:rsidRPr="00953692">
        <w:rPr>
          <w:rFonts w:cs="Times New Roman"/>
          <w:b/>
          <w:bCs/>
          <w:sz w:val="24"/>
          <w:szCs w:val="24"/>
          <w:lang w:val="fr-FR"/>
        </w:rPr>
        <w:t>.</w:t>
      </w:r>
      <w:r w:rsidR="0044697F" w:rsidRPr="00953692">
        <w:rPr>
          <w:rFonts w:cs="Times New Roman"/>
          <w:sz w:val="24"/>
          <w:szCs w:val="24"/>
          <w:lang w:val="fr-FR"/>
        </w:rPr>
        <w:t xml:space="preserve"> </w:t>
      </w:r>
      <w:r w:rsidR="00621880" w:rsidRPr="00953692">
        <w:rPr>
          <w:rFonts w:cs="Times New Roman"/>
          <w:sz w:val="24"/>
          <w:szCs w:val="24"/>
          <w:lang w:val="fr-FR"/>
        </w:rPr>
        <w:t>Qu’à cela ne tienne, le bon sens intellectuel commande aussi de ne pas comparer</w:t>
      </w:r>
      <w:r w:rsidR="00751A13" w:rsidRPr="00953692">
        <w:rPr>
          <w:rFonts w:cs="Times New Roman"/>
          <w:sz w:val="24"/>
          <w:szCs w:val="24"/>
          <w:lang w:val="fr-FR"/>
        </w:rPr>
        <w:t>,</w:t>
      </w:r>
      <w:r w:rsidR="00621880" w:rsidRPr="00953692">
        <w:rPr>
          <w:rFonts w:cs="Times New Roman"/>
          <w:sz w:val="24"/>
          <w:szCs w:val="24"/>
          <w:lang w:val="fr-FR"/>
        </w:rPr>
        <w:t xml:space="preserve"> à quelques millimètres près</w:t>
      </w:r>
      <w:r w:rsidR="00751A13" w:rsidRPr="00953692">
        <w:rPr>
          <w:rFonts w:cs="Times New Roman"/>
          <w:sz w:val="24"/>
          <w:szCs w:val="24"/>
          <w:lang w:val="fr-FR"/>
        </w:rPr>
        <w:t>,</w:t>
      </w:r>
      <w:r w:rsidR="00621880" w:rsidRPr="00953692">
        <w:rPr>
          <w:rFonts w:cs="Times New Roman"/>
          <w:sz w:val="24"/>
          <w:szCs w:val="24"/>
          <w:lang w:val="fr-FR"/>
        </w:rPr>
        <w:t xml:space="preserve"> le temps du procureur</w:t>
      </w:r>
      <w:r w:rsidR="003D7082" w:rsidRPr="00953692">
        <w:rPr>
          <w:rFonts w:cs="Times New Roman"/>
          <w:sz w:val="24"/>
          <w:szCs w:val="24"/>
          <w:lang w:val="fr-FR"/>
        </w:rPr>
        <w:t xml:space="preserve"> caractérisé </w:t>
      </w:r>
      <w:r w:rsidR="00D96CA2" w:rsidRPr="00953692">
        <w:rPr>
          <w:rFonts w:cs="Times New Roman"/>
          <w:sz w:val="24"/>
          <w:szCs w:val="24"/>
          <w:lang w:val="fr-FR"/>
        </w:rPr>
        <w:t xml:space="preserve">préalablement </w:t>
      </w:r>
      <w:r w:rsidR="003D7082" w:rsidRPr="00953692">
        <w:rPr>
          <w:rFonts w:cs="Times New Roman"/>
          <w:sz w:val="24"/>
          <w:szCs w:val="24"/>
          <w:lang w:val="fr-FR"/>
        </w:rPr>
        <w:t>par la liberté</w:t>
      </w:r>
      <w:r w:rsidR="00621880" w:rsidRPr="00953692">
        <w:rPr>
          <w:rFonts w:cs="Times New Roman"/>
          <w:sz w:val="24"/>
          <w:szCs w:val="24"/>
          <w:lang w:val="fr-FR"/>
        </w:rPr>
        <w:t xml:space="preserve"> à celui que devrait disposer l’accusé</w:t>
      </w:r>
      <w:r w:rsidR="00751A13" w:rsidRPr="00953692">
        <w:rPr>
          <w:rFonts w:cs="Times New Roman"/>
          <w:sz w:val="24"/>
          <w:szCs w:val="24"/>
          <w:lang w:val="fr-FR"/>
        </w:rPr>
        <w:t xml:space="preserve"> en matière de</w:t>
      </w:r>
      <w:r w:rsidR="00621880" w:rsidRPr="00953692">
        <w:rPr>
          <w:rFonts w:cs="Times New Roman"/>
          <w:sz w:val="24"/>
          <w:szCs w:val="24"/>
          <w:lang w:val="fr-FR"/>
        </w:rPr>
        <w:t xml:space="preserve"> préparation de sa défense</w:t>
      </w:r>
      <w:r w:rsidR="003D7082" w:rsidRPr="00953692">
        <w:rPr>
          <w:rFonts w:cs="Times New Roman"/>
          <w:sz w:val="24"/>
          <w:szCs w:val="24"/>
          <w:lang w:val="fr-FR"/>
        </w:rPr>
        <w:t>, marqué par une restriction</w:t>
      </w:r>
      <w:r w:rsidR="00621880" w:rsidRPr="00953692">
        <w:rPr>
          <w:rFonts w:cs="Times New Roman"/>
          <w:sz w:val="24"/>
          <w:szCs w:val="24"/>
          <w:lang w:val="fr-FR"/>
        </w:rPr>
        <w:t>.</w:t>
      </w:r>
      <w:r w:rsidR="00795C77" w:rsidRPr="00953692">
        <w:rPr>
          <w:rFonts w:cs="Times New Roman"/>
          <w:sz w:val="24"/>
          <w:szCs w:val="24"/>
          <w:lang w:val="fr-FR"/>
        </w:rPr>
        <w:t xml:space="preserve"> </w:t>
      </w:r>
      <w:r w:rsidR="00653CD0" w:rsidRPr="00953692">
        <w:rPr>
          <w:rFonts w:cs="Times New Roman"/>
          <w:sz w:val="24"/>
          <w:szCs w:val="24"/>
          <w:lang w:val="fr-FR"/>
        </w:rPr>
        <w:t xml:space="preserve">Il y a donc à la base cette situation qui invite, non pas à une égalité impossible de </w:t>
      </w:r>
      <w:r w:rsidR="00E27335" w:rsidRPr="00953692">
        <w:rPr>
          <w:rFonts w:cs="Times New Roman"/>
          <w:sz w:val="24"/>
          <w:szCs w:val="24"/>
          <w:lang w:val="fr-FR"/>
        </w:rPr>
        <w:t>s</w:t>
      </w:r>
      <w:r w:rsidR="00653CD0" w:rsidRPr="00953692">
        <w:rPr>
          <w:rFonts w:cs="Times New Roman"/>
          <w:sz w:val="24"/>
          <w:szCs w:val="24"/>
          <w:lang w:val="fr-FR"/>
        </w:rPr>
        <w:t xml:space="preserve">’imaginer, mais à l’équité. Le temps à la préparation de sa défense va correspondre à un temps limité </w:t>
      </w:r>
      <w:r w:rsidR="006A7CD6" w:rsidRPr="00953692">
        <w:rPr>
          <w:rFonts w:cs="Times New Roman"/>
          <w:sz w:val="24"/>
          <w:szCs w:val="24"/>
          <w:lang w:val="fr-FR"/>
        </w:rPr>
        <w:t xml:space="preserve">équitablement </w:t>
      </w:r>
      <w:r w:rsidR="00653CD0" w:rsidRPr="00953692">
        <w:rPr>
          <w:rFonts w:cs="Times New Roman"/>
          <w:sz w:val="24"/>
          <w:szCs w:val="24"/>
          <w:lang w:val="fr-FR"/>
        </w:rPr>
        <w:t>par le juge durant lequel l’accusé prend connaissance du dossier</w:t>
      </w:r>
      <w:r w:rsidR="008C11BC" w:rsidRPr="00953692">
        <w:rPr>
          <w:rFonts w:cs="Times New Roman"/>
          <w:sz w:val="24"/>
          <w:szCs w:val="24"/>
          <w:lang w:val="fr-FR"/>
        </w:rPr>
        <w:t xml:space="preserve"> et</w:t>
      </w:r>
      <w:r w:rsidR="00653CD0" w:rsidRPr="00953692">
        <w:rPr>
          <w:rFonts w:cs="Times New Roman"/>
          <w:sz w:val="24"/>
          <w:szCs w:val="24"/>
          <w:lang w:val="fr-FR"/>
        </w:rPr>
        <w:t xml:space="preserve"> prépare sa réplique</w:t>
      </w:r>
      <w:r w:rsidR="008C11BC" w:rsidRPr="00953692">
        <w:rPr>
          <w:rFonts w:cs="Times New Roman"/>
          <w:sz w:val="24"/>
          <w:szCs w:val="24"/>
          <w:lang w:val="fr-FR"/>
        </w:rPr>
        <w:t>. Mais, devant les juridictions internationales, les choses ne sont pas si simples</w:t>
      </w:r>
      <w:r w:rsidR="00526BC4" w:rsidRPr="00953692">
        <w:rPr>
          <w:rFonts w:cs="Times New Roman"/>
          <w:sz w:val="24"/>
          <w:szCs w:val="24"/>
          <w:lang w:val="fr-FR"/>
        </w:rPr>
        <w:t> ;</w:t>
      </w:r>
      <w:r w:rsidR="008C11BC" w:rsidRPr="00953692">
        <w:rPr>
          <w:rFonts w:cs="Times New Roman"/>
          <w:sz w:val="24"/>
          <w:szCs w:val="24"/>
          <w:lang w:val="fr-FR"/>
        </w:rPr>
        <w:t xml:space="preserve"> car imprégnées dès le départ du système de Common law, </w:t>
      </w:r>
      <w:r w:rsidR="00751A13" w:rsidRPr="00953692">
        <w:rPr>
          <w:rFonts w:cs="Times New Roman"/>
          <w:sz w:val="24"/>
          <w:szCs w:val="24"/>
          <w:lang w:val="fr-FR"/>
        </w:rPr>
        <w:t>les juges</w:t>
      </w:r>
      <w:r w:rsidR="008C11BC" w:rsidRPr="00953692">
        <w:rPr>
          <w:rFonts w:cs="Times New Roman"/>
          <w:sz w:val="24"/>
          <w:szCs w:val="24"/>
          <w:lang w:val="fr-FR"/>
        </w:rPr>
        <w:t xml:space="preserve"> accordent également </w:t>
      </w:r>
      <w:r w:rsidR="006A7CD6" w:rsidRPr="00953692">
        <w:rPr>
          <w:rFonts w:cs="Times New Roman"/>
          <w:sz w:val="24"/>
          <w:szCs w:val="24"/>
          <w:lang w:val="fr-FR"/>
        </w:rPr>
        <w:t>aux</w:t>
      </w:r>
      <w:r w:rsidR="008C11BC" w:rsidRPr="00953692">
        <w:rPr>
          <w:rFonts w:cs="Times New Roman"/>
          <w:sz w:val="24"/>
          <w:szCs w:val="24"/>
          <w:lang w:val="fr-FR"/>
        </w:rPr>
        <w:t xml:space="preserve"> accusés le temps de mener leurs propres enquêtes avant le procès. Il peut</w:t>
      </w:r>
      <w:r w:rsidR="00751A13" w:rsidRPr="00953692">
        <w:rPr>
          <w:rFonts w:cs="Times New Roman"/>
          <w:sz w:val="24"/>
          <w:szCs w:val="24"/>
          <w:lang w:val="fr-FR"/>
        </w:rPr>
        <w:t xml:space="preserve"> </w:t>
      </w:r>
      <w:r w:rsidR="008C11BC" w:rsidRPr="00953692">
        <w:rPr>
          <w:rFonts w:cs="Times New Roman"/>
          <w:sz w:val="24"/>
          <w:szCs w:val="24"/>
          <w:lang w:val="fr-FR"/>
        </w:rPr>
        <w:t xml:space="preserve">s’agir des contre-interrogatoires, </w:t>
      </w:r>
      <w:r w:rsidR="006A7CD6" w:rsidRPr="00953692">
        <w:rPr>
          <w:rFonts w:cs="Times New Roman"/>
          <w:sz w:val="24"/>
          <w:szCs w:val="24"/>
          <w:lang w:val="fr-FR"/>
        </w:rPr>
        <w:t>interroger ou faire interroger les témoins à décharges ou obtenir la comparution des témoins à décharges</w:t>
      </w:r>
      <w:r w:rsidR="00E420AF" w:rsidRPr="00953692">
        <w:rPr>
          <w:rStyle w:val="Appelnotedebasdep"/>
          <w:rFonts w:cs="Times New Roman"/>
          <w:sz w:val="24"/>
          <w:szCs w:val="24"/>
          <w:lang w:val="fr-FR"/>
        </w:rPr>
        <w:footnoteReference w:customMarkFollows="1" w:id="236"/>
        <w:t>213</w:t>
      </w:r>
      <w:r w:rsidR="006A7CD6" w:rsidRPr="00953692">
        <w:rPr>
          <w:rFonts w:cs="Times New Roman"/>
          <w:sz w:val="24"/>
          <w:szCs w:val="24"/>
          <w:lang w:val="fr-FR"/>
        </w:rPr>
        <w:t>.</w:t>
      </w:r>
      <w:r w:rsidR="003B7B3D" w:rsidRPr="00953692">
        <w:rPr>
          <w:rFonts w:cs="Times New Roman"/>
          <w:sz w:val="24"/>
          <w:szCs w:val="24"/>
          <w:lang w:val="fr-FR"/>
        </w:rPr>
        <w:t xml:space="preserve"> Ainsi, le droit de disposer du temps nécessaire, comme l’a souligné J. Pradel est une expression </w:t>
      </w:r>
      <w:r w:rsidR="00751A13" w:rsidRPr="00953692">
        <w:rPr>
          <w:rFonts w:cs="Times New Roman"/>
          <w:sz w:val="24"/>
          <w:szCs w:val="24"/>
          <w:lang w:val="fr-FR"/>
        </w:rPr>
        <w:t>« </w:t>
      </w:r>
      <w:r w:rsidR="003B7B3D" w:rsidRPr="00953692">
        <w:rPr>
          <w:rFonts w:cs="Times New Roman"/>
          <w:sz w:val="24"/>
          <w:szCs w:val="24"/>
          <w:lang w:val="fr-FR"/>
        </w:rPr>
        <w:t>vague</w:t>
      </w:r>
      <w:r w:rsidR="00751A13" w:rsidRPr="00953692">
        <w:rPr>
          <w:rFonts w:cs="Times New Roman"/>
          <w:sz w:val="24"/>
          <w:szCs w:val="24"/>
          <w:lang w:val="fr-FR"/>
        </w:rPr>
        <w:t> »</w:t>
      </w:r>
      <w:r w:rsidR="003B7B3D" w:rsidRPr="00953692">
        <w:rPr>
          <w:rFonts w:cs="Times New Roman"/>
          <w:sz w:val="24"/>
          <w:szCs w:val="24"/>
          <w:lang w:val="fr-FR"/>
        </w:rPr>
        <w:t xml:space="preserve">, mais il a </w:t>
      </w:r>
      <w:r w:rsidR="009C70E8" w:rsidRPr="00953692">
        <w:rPr>
          <w:rFonts w:cs="Times New Roman"/>
          <w:sz w:val="24"/>
          <w:szCs w:val="24"/>
          <w:lang w:val="fr-FR"/>
        </w:rPr>
        <w:t>aussi</w:t>
      </w:r>
      <w:r w:rsidR="003B7B3D" w:rsidRPr="00953692">
        <w:rPr>
          <w:rFonts w:cs="Times New Roman"/>
          <w:sz w:val="24"/>
          <w:szCs w:val="24"/>
          <w:lang w:val="fr-FR"/>
        </w:rPr>
        <w:t xml:space="preserve"> un caractère intermittent, surgissant à chaque fois qu’</w:t>
      </w:r>
      <w:r w:rsidR="001F5975" w:rsidRPr="00953692">
        <w:rPr>
          <w:rFonts w:cs="Times New Roman"/>
          <w:sz w:val="24"/>
          <w:szCs w:val="24"/>
          <w:lang w:val="fr-FR"/>
        </w:rPr>
        <w:t>une pause</w:t>
      </w:r>
      <w:r w:rsidR="003B7B3D" w:rsidRPr="00953692">
        <w:rPr>
          <w:rFonts w:cs="Times New Roman"/>
          <w:sz w:val="24"/>
          <w:szCs w:val="24"/>
          <w:lang w:val="fr-FR"/>
        </w:rPr>
        <w:t xml:space="preserve"> </w:t>
      </w:r>
      <w:r w:rsidR="0047448B" w:rsidRPr="00953692">
        <w:rPr>
          <w:rFonts w:cs="Times New Roman"/>
          <w:sz w:val="24"/>
          <w:szCs w:val="24"/>
          <w:lang w:val="fr-FR"/>
        </w:rPr>
        <w:t xml:space="preserve">en </w:t>
      </w:r>
      <w:r w:rsidR="003B7B3D" w:rsidRPr="00953692">
        <w:rPr>
          <w:rFonts w:cs="Times New Roman"/>
          <w:sz w:val="24"/>
          <w:szCs w:val="24"/>
          <w:lang w:val="fr-FR"/>
        </w:rPr>
        <w:t>est nécessaire.</w:t>
      </w:r>
    </w:p>
    <w:p w14:paraId="6D158434" w14:textId="031C9543" w:rsidR="00647C63"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310</w:t>
      </w:r>
      <w:r w:rsidR="0044697F" w:rsidRPr="00953692">
        <w:rPr>
          <w:rFonts w:cs="Times New Roman"/>
          <w:b/>
          <w:bCs/>
          <w:sz w:val="24"/>
          <w:szCs w:val="24"/>
          <w:lang w:val="fr-FR"/>
        </w:rPr>
        <w:t>.</w:t>
      </w:r>
      <w:r w:rsidR="0044697F" w:rsidRPr="00953692">
        <w:rPr>
          <w:rFonts w:cs="Times New Roman"/>
          <w:sz w:val="24"/>
          <w:szCs w:val="24"/>
          <w:lang w:val="fr-FR"/>
        </w:rPr>
        <w:t xml:space="preserve"> </w:t>
      </w:r>
      <w:r w:rsidR="003B7B3D" w:rsidRPr="00953692">
        <w:rPr>
          <w:rFonts w:cs="Times New Roman"/>
          <w:sz w:val="24"/>
          <w:szCs w:val="24"/>
          <w:lang w:val="fr-FR"/>
        </w:rPr>
        <w:t>Cette intermittence est en pratique source de nombreuses pauses</w:t>
      </w:r>
      <w:r w:rsidR="001D1BFE" w:rsidRPr="00953692">
        <w:rPr>
          <w:rFonts w:cs="Times New Roman"/>
          <w:sz w:val="24"/>
          <w:szCs w:val="24"/>
          <w:lang w:val="fr-FR"/>
        </w:rPr>
        <w:t xml:space="preserve"> correspondant sans nul doute tant à la nature qu’à la conséquence logique de cette prérogative.</w:t>
      </w:r>
      <w:r w:rsidR="00647C63" w:rsidRPr="00953692">
        <w:rPr>
          <w:rFonts w:cs="Times New Roman"/>
          <w:sz w:val="24"/>
          <w:szCs w:val="24"/>
          <w:lang w:val="fr-FR"/>
        </w:rPr>
        <w:t xml:space="preserve"> </w:t>
      </w:r>
      <w:r w:rsidR="009C70E8" w:rsidRPr="00953692">
        <w:rPr>
          <w:rStyle w:val="grammar"/>
          <w:rFonts w:cs="Times New Roman"/>
          <w:sz w:val="24"/>
          <w:szCs w:val="24"/>
          <w:lang w:val="fr-FR"/>
        </w:rPr>
        <w:t>À</w:t>
      </w:r>
      <w:r w:rsidR="009C70E8" w:rsidRPr="00953692">
        <w:rPr>
          <w:rFonts w:cs="Times New Roman"/>
          <w:sz w:val="24"/>
          <w:szCs w:val="24"/>
          <w:shd w:val="clear" w:color="auto" w:fill="FFFFFF"/>
          <w:lang w:val="fr-FR"/>
        </w:rPr>
        <w:t xml:space="preserve"> chaque </w:t>
      </w:r>
      <w:r w:rsidR="00647C63" w:rsidRPr="00953692">
        <w:rPr>
          <w:rFonts w:cs="Times New Roman"/>
          <w:sz w:val="24"/>
          <w:szCs w:val="24"/>
          <w:lang w:val="fr-FR"/>
        </w:rPr>
        <w:t>nouvel élément, quelle qu’en soit la source (procureur ou victimes) ou la modalité (modification de l’acte d’accusation</w:t>
      </w:r>
      <w:r w:rsidR="00D96CA2" w:rsidRPr="00953692">
        <w:rPr>
          <w:rFonts w:cs="Times New Roman"/>
          <w:sz w:val="24"/>
          <w:szCs w:val="24"/>
          <w:lang w:val="fr-FR"/>
        </w:rPr>
        <w:t xml:space="preserve"> ou présentation des nouveaux </w:t>
      </w:r>
      <w:r w:rsidR="00D96CA2" w:rsidRPr="00953692">
        <w:rPr>
          <w:rFonts w:cs="Times New Roman"/>
          <w:sz w:val="24"/>
          <w:szCs w:val="24"/>
          <w:lang w:val="fr-FR"/>
        </w:rPr>
        <w:lastRenderedPageBreak/>
        <w:t>éléments de preuve</w:t>
      </w:r>
      <w:r w:rsidR="00647C63" w:rsidRPr="00953692">
        <w:rPr>
          <w:rFonts w:cs="Times New Roman"/>
          <w:sz w:val="24"/>
          <w:szCs w:val="24"/>
          <w:lang w:val="fr-FR"/>
        </w:rPr>
        <w:t>), l’accusé devra en prendre connaissance et préparer sa réplique le cas échéant.</w:t>
      </w:r>
      <w:r w:rsidR="001D1BFE" w:rsidRPr="00953692">
        <w:rPr>
          <w:rFonts w:cs="Times New Roman"/>
          <w:sz w:val="24"/>
          <w:szCs w:val="24"/>
          <w:lang w:val="fr-FR"/>
        </w:rPr>
        <w:t xml:space="preserve"> </w:t>
      </w:r>
      <w:r w:rsidR="00751A13" w:rsidRPr="00953692">
        <w:rPr>
          <w:rStyle w:val="grammar"/>
          <w:rFonts w:cs="Times New Roman"/>
          <w:sz w:val="24"/>
          <w:szCs w:val="24"/>
          <w:lang w:val="fr-FR"/>
        </w:rPr>
        <w:t>À</w:t>
      </w:r>
      <w:r w:rsidR="002A2B47" w:rsidRPr="00953692">
        <w:rPr>
          <w:rFonts w:cs="Times New Roman"/>
          <w:sz w:val="24"/>
          <w:szCs w:val="24"/>
          <w:lang w:val="fr-FR"/>
        </w:rPr>
        <w:t xml:space="preserve"> défaut</w:t>
      </w:r>
      <w:r w:rsidR="00034AE4" w:rsidRPr="00953692">
        <w:rPr>
          <w:rFonts w:cs="Times New Roman"/>
          <w:sz w:val="24"/>
          <w:szCs w:val="24"/>
          <w:lang w:val="fr-FR"/>
        </w:rPr>
        <w:t xml:space="preserve">, </w:t>
      </w:r>
      <w:r w:rsidR="00407144" w:rsidRPr="00953692">
        <w:rPr>
          <w:rFonts w:cs="Times New Roman"/>
          <w:sz w:val="24"/>
          <w:szCs w:val="24"/>
          <w:lang w:val="fr-FR"/>
        </w:rPr>
        <w:t>l’accusé</w:t>
      </w:r>
      <w:r w:rsidR="00034AE4" w:rsidRPr="00953692">
        <w:rPr>
          <w:rFonts w:cs="Times New Roman"/>
          <w:sz w:val="24"/>
          <w:szCs w:val="24"/>
          <w:lang w:val="fr-FR"/>
        </w:rPr>
        <w:t xml:space="preserve"> peut </w:t>
      </w:r>
      <w:r w:rsidR="002A2B47" w:rsidRPr="00953692">
        <w:rPr>
          <w:rFonts w:cs="Times New Roman"/>
          <w:sz w:val="24"/>
          <w:szCs w:val="24"/>
          <w:lang w:val="fr-FR"/>
        </w:rPr>
        <w:t>se plaindre du</w:t>
      </w:r>
      <w:r w:rsidR="00034AE4" w:rsidRPr="00953692">
        <w:rPr>
          <w:rFonts w:cs="Times New Roman"/>
          <w:sz w:val="24"/>
          <w:szCs w:val="24"/>
          <w:lang w:val="fr-FR"/>
        </w:rPr>
        <w:t xml:space="preserve"> fait de n’avoir pas eu suffisamment du temps de préparer sa défense et</w:t>
      </w:r>
      <w:r w:rsidR="002A2B47" w:rsidRPr="00953692">
        <w:rPr>
          <w:rFonts w:cs="Times New Roman"/>
          <w:sz w:val="24"/>
          <w:szCs w:val="24"/>
          <w:lang w:val="fr-FR"/>
        </w:rPr>
        <w:t>,</w:t>
      </w:r>
      <w:r w:rsidR="00034AE4" w:rsidRPr="00953692">
        <w:rPr>
          <w:rFonts w:cs="Times New Roman"/>
          <w:sz w:val="24"/>
          <w:szCs w:val="24"/>
          <w:lang w:val="fr-FR"/>
        </w:rPr>
        <w:t xml:space="preserve"> à cet effet</w:t>
      </w:r>
      <w:r w:rsidR="002A2B47" w:rsidRPr="00953692">
        <w:rPr>
          <w:rFonts w:cs="Times New Roman"/>
          <w:sz w:val="24"/>
          <w:szCs w:val="24"/>
          <w:lang w:val="fr-FR"/>
        </w:rPr>
        <w:t>,</w:t>
      </w:r>
      <w:r w:rsidR="00034AE4" w:rsidRPr="00953692">
        <w:rPr>
          <w:rFonts w:cs="Times New Roman"/>
          <w:sz w:val="24"/>
          <w:szCs w:val="24"/>
          <w:lang w:val="fr-FR"/>
        </w:rPr>
        <w:t xml:space="preserve"> remettre en cause l’équité de la procédure à son égard.</w:t>
      </w:r>
    </w:p>
    <w:p w14:paraId="1E182549" w14:textId="4DBAB96D" w:rsidR="00FD7423" w:rsidRPr="00953692" w:rsidRDefault="005577EE" w:rsidP="00864BBF">
      <w:pPr>
        <w:spacing w:after="0" w:line="276" w:lineRule="auto"/>
        <w:ind w:firstLine="1134"/>
        <w:jc w:val="both"/>
        <w:rPr>
          <w:rFonts w:cs="Times New Roman"/>
          <w:i/>
          <w:iCs/>
          <w:sz w:val="24"/>
          <w:szCs w:val="24"/>
          <w:lang w:val="fr-FR"/>
        </w:rPr>
      </w:pPr>
      <w:r w:rsidRPr="00953692">
        <w:rPr>
          <w:rFonts w:cs="Times New Roman"/>
          <w:b/>
          <w:bCs/>
          <w:sz w:val="24"/>
          <w:szCs w:val="24"/>
          <w:lang w:val="fr-FR"/>
        </w:rPr>
        <w:t>3</w:t>
      </w:r>
      <w:r w:rsidR="0044697F" w:rsidRPr="00953692">
        <w:rPr>
          <w:rFonts w:cs="Times New Roman"/>
          <w:b/>
          <w:bCs/>
          <w:sz w:val="24"/>
          <w:szCs w:val="24"/>
          <w:lang w:val="fr-FR"/>
        </w:rPr>
        <w:t>1</w:t>
      </w:r>
      <w:r w:rsidRPr="00953692">
        <w:rPr>
          <w:rFonts w:cs="Times New Roman"/>
          <w:b/>
          <w:bCs/>
          <w:sz w:val="24"/>
          <w:szCs w:val="24"/>
          <w:lang w:val="fr-FR"/>
        </w:rPr>
        <w:t>1</w:t>
      </w:r>
      <w:r w:rsidR="0044697F" w:rsidRPr="00953692">
        <w:rPr>
          <w:rFonts w:cs="Times New Roman"/>
          <w:b/>
          <w:bCs/>
          <w:sz w:val="24"/>
          <w:szCs w:val="24"/>
          <w:lang w:val="fr-FR"/>
        </w:rPr>
        <w:t>.</w:t>
      </w:r>
      <w:r w:rsidR="0044697F" w:rsidRPr="00953692">
        <w:rPr>
          <w:rFonts w:cs="Times New Roman"/>
          <w:sz w:val="24"/>
          <w:szCs w:val="24"/>
          <w:lang w:val="fr-FR"/>
        </w:rPr>
        <w:t xml:space="preserve"> </w:t>
      </w:r>
      <w:r w:rsidR="00034AE4" w:rsidRPr="00953692">
        <w:rPr>
          <w:rFonts w:cs="Times New Roman"/>
          <w:sz w:val="24"/>
          <w:szCs w:val="24"/>
          <w:lang w:val="fr-FR"/>
        </w:rPr>
        <w:t>On voit</w:t>
      </w:r>
      <w:r w:rsidR="00751A13" w:rsidRPr="00953692">
        <w:rPr>
          <w:rFonts w:cs="Times New Roman"/>
          <w:sz w:val="24"/>
          <w:szCs w:val="24"/>
          <w:lang w:val="fr-FR"/>
        </w:rPr>
        <w:t>,</w:t>
      </w:r>
      <w:r w:rsidR="00034AE4" w:rsidRPr="00953692">
        <w:rPr>
          <w:rFonts w:cs="Times New Roman"/>
          <w:sz w:val="24"/>
          <w:szCs w:val="24"/>
          <w:lang w:val="fr-FR"/>
        </w:rPr>
        <w:t xml:space="preserve"> par exemple, devant l</w:t>
      </w:r>
      <w:r w:rsidR="00D702F9" w:rsidRPr="00953692">
        <w:rPr>
          <w:rFonts w:cs="Times New Roman"/>
          <w:sz w:val="24"/>
          <w:szCs w:val="24"/>
          <w:lang w:val="fr-FR"/>
        </w:rPr>
        <w:t xml:space="preserve">a Chambre d’Appel du TPIR, </w:t>
      </w:r>
      <w:r w:rsidR="00D702F9" w:rsidRPr="00953692">
        <w:rPr>
          <w:sz w:val="24"/>
          <w:szCs w:val="24"/>
          <w:lang w:val="fr-FR"/>
        </w:rPr>
        <w:t>l’Appelant Barayagwiza soutient comme motif d’appel</w:t>
      </w:r>
      <w:r w:rsidR="00E14327" w:rsidRPr="00953692">
        <w:rPr>
          <w:sz w:val="24"/>
          <w:szCs w:val="24"/>
          <w:lang w:val="fr-FR"/>
        </w:rPr>
        <w:t>,</w:t>
      </w:r>
      <w:r w:rsidR="00D702F9" w:rsidRPr="00953692">
        <w:rPr>
          <w:sz w:val="24"/>
          <w:szCs w:val="24"/>
          <w:lang w:val="fr-FR"/>
        </w:rPr>
        <w:t xml:space="preserve"> </w:t>
      </w:r>
      <w:r w:rsidR="003A1BA3" w:rsidRPr="00953692">
        <w:rPr>
          <w:sz w:val="24"/>
          <w:szCs w:val="24"/>
          <w:lang w:val="fr-FR"/>
        </w:rPr>
        <w:t xml:space="preserve">le fait que la Chambre de première instance n’ait pas suspendu ou ajourné le procès entre le 6 février 2001 alors qu’il ne bénéficiait d’aucune représentation </w:t>
      </w:r>
      <w:r w:rsidR="00E14327" w:rsidRPr="00953692">
        <w:rPr>
          <w:sz w:val="24"/>
          <w:szCs w:val="24"/>
          <w:lang w:val="fr-FR"/>
        </w:rPr>
        <w:t>pendant</w:t>
      </w:r>
      <w:r w:rsidR="003A1BA3" w:rsidRPr="00953692">
        <w:rPr>
          <w:sz w:val="24"/>
          <w:szCs w:val="24"/>
          <w:lang w:val="fr-FR"/>
        </w:rPr>
        <w:t xml:space="preserve"> ce moment-là</w:t>
      </w:r>
      <w:r w:rsidR="00E420AF" w:rsidRPr="00953692">
        <w:rPr>
          <w:rStyle w:val="Appelnotedebasdep"/>
          <w:sz w:val="24"/>
          <w:szCs w:val="24"/>
          <w:lang w:val="fr-FR"/>
        </w:rPr>
        <w:footnoteReference w:customMarkFollows="1" w:id="237"/>
        <w:t>214</w:t>
      </w:r>
      <w:r w:rsidR="003A1BA3" w:rsidRPr="00953692">
        <w:rPr>
          <w:sz w:val="24"/>
          <w:szCs w:val="24"/>
          <w:lang w:val="fr-FR"/>
        </w:rPr>
        <w:t>. Et pourtant, la Chambre de première instance a quant à elle procédé à l’audition d</w:t>
      </w:r>
      <w:r w:rsidR="00943B5F" w:rsidRPr="00953692">
        <w:rPr>
          <w:sz w:val="24"/>
          <w:szCs w:val="24"/>
          <w:lang w:val="fr-FR"/>
        </w:rPr>
        <w:t>u</w:t>
      </w:r>
      <w:r w:rsidR="003A1BA3" w:rsidRPr="00953692">
        <w:rPr>
          <w:sz w:val="24"/>
          <w:szCs w:val="24"/>
          <w:lang w:val="fr-FR"/>
        </w:rPr>
        <w:t xml:space="preserve"> témoin à charge</w:t>
      </w:r>
      <w:r w:rsidR="00943B5F" w:rsidRPr="00953692">
        <w:rPr>
          <w:sz w:val="24"/>
          <w:szCs w:val="24"/>
          <w:lang w:val="fr-FR"/>
        </w:rPr>
        <w:t xml:space="preserve"> </w:t>
      </w:r>
      <w:r w:rsidR="00943B5F" w:rsidRPr="00953692">
        <w:rPr>
          <w:b/>
          <w:bCs/>
          <w:sz w:val="24"/>
          <w:szCs w:val="24"/>
          <w:lang w:val="fr-FR"/>
        </w:rPr>
        <w:t>FS</w:t>
      </w:r>
      <w:r w:rsidR="003A1BA3" w:rsidRPr="00953692">
        <w:rPr>
          <w:sz w:val="24"/>
          <w:szCs w:val="24"/>
          <w:lang w:val="fr-FR"/>
        </w:rPr>
        <w:t>.</w:t>
      </w:r>
      <w:r w:rsidR="00612DCC" w:rsidRPr="00953692">
        <w:rPr>
          <w:sz w:val="24"/>
          <w:szCs w:val="24"/>
          <w:lang w:val="fr-FR"/>
        </w:rPr>
        <w:t xml:space="preserve"> Dans l’impossibilité de faire revenir le témoin pour une nouvelle audition, l’appelant avait exigé</w:t>
      </w:r>
      <w:r w:rsidR="009C70E8" w:rsidRPr="00953692">
        <w:rPr>
          <w:sz w:val="24"/>
          <w:szCs w:val="24"/>
          <w:lang w:val="fr-FR"/>
        </w:rPr>
        <w:t>,</w:t>
      </w:r>
      <w:r w:rsidR="00612DCC" w:rsidRPr="00953692">
        <w:rPr>
          <w:sz w:val="24"/>
          <w:szCs w:val="24"/>
          <w:lang w:val="fr-FR"/>
        </w:rPr>
        <w:t xml:space="preserve"> sur base de son droit de disposer du temps nécessaire à la préparation de son procès, l’exclusion de la déposition faite par ledit témoin. </w:t>
      </w:r>
      <w:r w:rsidR="00FD7423" w:rsidRPr="00953692">
        <w:rPr>
          <w:sz w:val="24"/>
          <w:szCs w:val="24"/>
          <w:lang w:val="fr-FR"/>
        </w:rPr>
        <w:t>Une allégation qui avait été rejetée par la Chambre</w:t>
      </w:r>
      <w:r w:rsidR="009C70E8" w:rsidRPr="00953692">
        <w:rPr>
          <w:sz w:val="24"/>
          <w:szCs w:val="24"/>
          <w:lang w:val="fr-FR"/>
        </w:rPr>
        <w:t xml:space="preserve"> de première instance,</w:t>
      </w:r>
      <w:r w:rsidR="00FD7423" w:rsidRPr="00953692">
        <w:rPr>
          <w:sz w:val="24"/>
          <w:szCs w:val="24"/>
          <w:lang w:val="fr-FR"/>
        </w:rPr>
        <w:t xml:space="preserve"> évoquant principalement </w:t>
      </w:r>
      <w:r w:rsidR="00FD7423" w:rsidRPr="00953692">
        <w:rPr>
          <w:i/>
          <w:iCs/>
          <w:sz w:val="24"/>
          <w:szCs w:val="24"/>
          <w:lang w:val="fr-FR"/>
        </w:rPr>
        <w:t xml:space="preserve">son pouvoir souverain d’appliquer les règles d’administration de la preuve propres à permettre </w:t>
      </w:r>
      <w:r w:rsidR="00FE153B" w:rsidRPr="00953692">
        <w:rPr>
          <w:i/>
          <w:iCs/>
          <w:sz w:val="24"/>
          <w:szCs w:val="24"/>
          <w:lang w:val="fr-FR"/>
        </w:rPr>
        <w:t>(</w:t>
      </w:r>
      <w:r w:rsidR="00FD7423" w:rsidRPr="00953692">
        <w:rPr>
          <w:i/>
          <w:iCs/>
          <w:sz w:val="24"/>
          <w:szCs w:val="24"/>
          <w:lang w:val="fr-FR"/>
        </w:rPr>
        <w:t>…</w:t>
      </w:r>
      <w:r w:rsidR="00FE153B" w:rsidRPr="00953692">
        <w:rPr>
          <w:i/>
          <w:iCs/>
          <w:sz w:val="24"/>
          <w:szCs w:val="24"/>
          <w:lang w:val="fr-FR"/>
        </w:rPr>
        <w:t>)</w:t>
      </w:r>
      <w:r w:rsidR="00FD7423" w:rsidRPr="00953692">
        <w:rPr>
          <w:i/>
          <w:iCs/>
          <w:sz w:val="24"/>
          <w:szCs w:val="24"/>
          <w:lang w:val="fr-FR"/>
        </w:rPr>
        <w:t xml:space="preserve"> un règlement équitable de la cause (…)</w:t>
      </w:r>
      <w:r w:rsidR="00E420AF" w:rsidRPr="00953692">
        <w:rPr>
          <w:rStyle w:val="Appelnotedebasdep"/>
          <w:i/>
          <w:iCs/>
          <w:sz w:val="24"/>
          <w:szCs w:val="24"/>
          <w:lang w:val="fr-FR"/>
        </w:rPr>
        <w:footnoteReference w:customMarkFollows="1" w:id="238"/>
        <w:t>215</w:t>
      </w:r>
      <w:r w:rsidR="00FD7423" w:rsidRPr="00953692">
        <w:rPr>
          <w:i/>
          <w:iCs/>
          <w:sz w:val="24"/>
          <w:szCs w:val="24"/>
          <w:lang w:val="fr-FR"/>
        </w:rPr>
        <w:t>.</w:t>
      </w:r>
    </w:p>
    <w:p w14:paraId="58B35DA6" w14:textId="11656E17" w:rsidR="00FD7423" w:rsidRPr="00953692" w:rsidRDefault="005577EE" w:rsidP="00864BBF">
      <w:pPr>
        <w:spacing w:after="0" w:line="276" w:lineRule="auto"/>
        <w:ind w:firstLine="1134"/>
        <w:jc w:val="both"/>
        <w:rPr>
          <w:sz w:val="24"/>
          <w:szCs w:val="24"/>
          <w:lang w:val="fr-FR"/>
        </w:rPr>
      </w:pPr>
      <w:r w:rsidRPr="00953692">
        <w:rPr>
          <w:b/>
          <w:bCs/>
          <w:sz w:val="24"/>
          <w:szCs w:val="24"/>
          <w:lang w:val="fr-FR"/>
        </w:rPr>
        <w:t>3</w:t>
      </w:r>
      <w:r w:rsidR="0044697F" w:rsidRPr="00953692">
        <w:rPr>
          <w:b/>
          <w:bCs/>
          <w:sz w:val="24"/>
          <w:szCs w:val="24"/>
          <w:lang w:val="fr-FR"/>
        </w:rPr>
        <w:t>1</w:t>
      </w:r>
      <w:r w:rsidRPr="00953692">
        <w:rPr>
          <w:b/>
          <w:bCs/>
          <w:sz w:val="24"/>
          <w:szCs w:val="24"/>
          <w:lang w:val="fr-FR"/>
        </w:rPr>
        <w:t>2</w:t>
      </w:r>
      <w:r w:rsidR="0044697F" w:rsidRPr="00953692">
        <w:rPr>
          <w:b/>
          <w:bCs/>
          <w:sz w:val="24"/>
          <w:szCs w:val="24"/>
          <w:lang w:val="fr-FR"/>
        </w:rPr>
        <w:t>.</w:t>
      </w:r>
      <w:r w:rsidR="0044697F" w:rsidRPr="00953692">
        <w:rPr>
          <w:sz w:val="24"/>
          <w:szCs w:val="24"/>
          <w:lang w:val="fr-FR"/>
        </w:rPr>
        <w:t xml:space="preserve"> </w:t>
      </w:r>
      <w:r w:rsidR="00FD7423" w:rsidRPr="00953692">
        <w:rPr>
          <w:sz w:val="24"/>
          <w:szCs w:val="24"/>
          <w:lang w:val="fr-FR"/>
        </w:rPr>
        <w:t xml:space="preserve">Abordant la question, la Chambre d’appel </w:t>
      </w:r>
      <w:r w:rsidR="00FD7423" w:rsidRPr="00953692">
        <w:rPr>
          <w:i/>
          <w:iCs/>
          <w:sz w:val="24"/>
          <w:szCs w:val="24"/>
          <w:lang w:val="fr-FR"/>
        </w:rPr>
        <w:t xml:space="preserve">a conclu que dans les circonstances de l’affaire, la Chambre de première instance a correctement considéré que les intérêts de la justice exigeaient que l’Appelant Barayagwiza soit représenté par un </w:t>
      </w:r>
      <w:r w:rsidR="00407144" w:rsidRPr="00953692">
        <w:rPr>
          <w:i/>
          <w:iCs/>
          <w:sz w:val="24"/>
          <w:szCs w:val="24"/>
          <w:lang w:val="fr-FR"/>
        </w:rPr>
        <w:t>C</w:t>
      </w:r>
      <w:r w:rsidR="00FD7423" w:rsidRPr="00953692">
        <w:rPr>
          <w:i/>
          <w:iCs/>
          <w:sz w:val="24"/>
          <w:szCs w:val="24"/>
          <w:lang w:val="fr-FR"/>
        </w:rPr>
        <w:t xml:space="preserve">onseil. </w:t>
      </w:r>
      <w:r w:rsidR="00603CD6" w:rsidRPr="00953692">
        <w:rPr>
          <w:i/>
          <w:iCs/>
          <w:sz w:val="24"/>
          <w:szCs w:val="24"/>
          <w:lang w:val="fr-FR"/>
        </w:rPr>
        <w:t xml:space="preserve">Ainsi, la Chambre ayant demandé au Greffier de mettre fin à la commission des Conseils Marchessault et Danielson le 6 février 2001, elle aurait dû suspendre le procès jusqu’à l’arrivée du nouveau </w:t>
      </w:r>
      <w:r w:rsidR="00407144" w:rsidRPr="00953692">
        <w:rPr>
          <w:i/>
          <w:iCs/>
          <w:sz w:val="24"/>
          <w:szCs w:val="24"/>
          <w:lang w:val="fr-FR"/>
        </w:rPr>
        <w:t>C</w:t>
      </w:r>
      <w:r w:rsidR="00603CD6" w:rsidRPr="00953692">
        <w:rPr>
          <w:i/>
          <w:iCs/>
          <w:sz w:val="24"/>
          <w:szCs w:val="24"/>
          <w:lang w:val="fr-FR"/>
        </w:rPr>
        <w:t xml:space="preserve">onseil. En ne le faisant pas et en rejetant la demande du Conseil Barletta-Caldarera d’exclure la déposition du Témoin FS à l’égard de l’Appelant Barayagwiza, la Chambre de première instance a porté atteinte à l’équité des procédures contre l’Appelant et plus particulièrement à son droit de faire interroger les témoins à charge (consacré à l’article 20(4)(e) du Statut) et au principe de l’égalité des armes (consacré par les articles 20(1) et (2) du </w:t>
      </w:r>
      <w:r w:rsidR="002A2B47" w:rsidRPr="00953692">
        <w:rPr>
          <w:i/>
          <w:iCs/>
          <w:sz w:val="24"/>
          <w:szCs w:val="24"/>
          <w:lang w:val="fr-FR"/>
        </w:rPr>
        <w:t>Statut)</w:t>
      </w:r>
      <w:r w:rsidR="00E420AF" w:rsidRPr="00953692">
        <w:rPr>
          <w:rStyle w:val="Appelnotedebasdep"/>
          <w:sz w:val="24"/>
          <w:szCs w:val="24"/>
          <w:lang w:val="fr-FR"/>
        </w:rPr>
        <w:footnoteReference w:customMarkFollows="1" w:id="239"/>
        <w:t>216</w:t>
      </w:r>
      <w:r w:rsidR="00603CD6" w:rsidRPr="00953692">
        <w:rPr>
          <w:sz w:val="24"/>
          <w:szCs w:val="24"/>
          <w:lang w:val="fr-FR"/>
        </w:rPr>
        <w:t>.</w:t>
      </w:r>
    </w:p>
    <w:p w14:paraId="543F47E0" w14:textId="49C88576" w:rsidR="00671D38" w:rsidRPr="00953692" w:rsidRDefault="005577EE" w:rsidP="00864BBF">
      <w:pPr>
        <w:spacing w:after="0" w:line="276" w:lineRule="auto"/>
        <w:ind w:firstLine="1134"/>
        <w:jc w:val="both"/>
        <w:rPr>
          <w:sz w:val="24"/>
          <w:szCs w:val="24"/>
          <w:lang w:val="fr-FR"/>
        </w:rPr>
      </w:pPr>
      <w:r w:rsidRPr="00953692">
        <w:rPr>
          <w:b/>
          <w:bCs/>
          <w:sz w:val="24"/>
          <w:szCs w:val="24"/>
          <w:lang w:val="fr-FR"/>
        </w:rPr>
        <w:t>3</w:t>
      </w:r>
      <w:r w:rsidR="0044697F" w:rsidRPr="00953692">
        <w:rPr>
          <w:b/>
          <w:bCs/>
          <w:sz w:val="24"/>
          <w:szCs w:val="24"/>
          <w:lang w:val="fr-FR"/>
        </w:rPr>
        <w:t>1</w:t>
      </w:r>
      <w:r w:rsidRPr="00953692">
        <w:rPr>
          <w:b/>
          <w:bCs/>
          <w:sz w:val="24"/>
          <w:szCs w:val="24"/>
          <w:lang w:val="fr-FR"/>
        </w:rPr>
        <w:t>3</w:t>
      </w:r>
      <w:r w:rsidR="0044697F" w:rsidRPr="00953692">
        <w:rPr>
          <w:b/>
          <w:bCs/>
          <w:sz w:val="24"/>
          <w:szCs w:val="24"/>
          <w:lang w:val="fr-FR"/>
        </w:rPr>
        <w:t>.</w:t>
      </w:r>
      <w:r w:rsidR="0044697F" w:rsidRPr="00953692">
        <w:rPr>
          <w:sz w:val="24"/>
          <w:szCs w:val="24"/>
          <w:lang w:val="fr-FR"/>
        </w:rPr>
        <w:t xml:space="preserve"> </w:t>
      </w:r>
      <w:r w:rsidR="00405B5B" w:rsidRPr="00953692">
        <w:rPr>
          <w:sz w:val="24"/>
          <w:szCs w:val="24"/>
          <w:lang w:val="fr-FR"/>
        </w:rPr>
        <w:t>Dans d’autres affaires, notamment devant la Chambre de première instance III</w:t>
      </w:r>
      <w:r w:rsidR="0044697F" w:rsidRPr="00953692">
        <w:rPr>
          <w:sz w:val="24"/>
          <w:szCs w:val="24"/>
          <w:lang w:val="fr-FR"/>
        </w:rPr>
        <w:t xml:space="preserve"> du TPIR</w:t>
      </w:r>
      <w:r w:rsidR="00405B5B" w:rsidRPr="00953692">
        <w:rPr>
          <w:sz w:val="24"/>
          <w:szCs w:val="24"/>
          <w:lang w:val="fr-FR"/>
        </w:rPr>
        <w:t xml:space="preserve">, Matthieu </w:t>
      </w:r>
      <w:r w:rsidR="00DD593A" w:rsidRPr="00953692">
        <w:rPr>
          <w:sz w:val="24"/>
          <w:szCs w:val="24"/>
          <w:lang w:val="fr-FR"/>
        </w:rPr>
        <w:t xml:space="preserve">Ngirumpatse </w:t>
      </w:r>
      <w:r w:rsidR="00DD593A" w:rsidRPr="00953692">
        <w:rPr>
          <w:i/>
          <w:iCs/>
          <w:sz w:val="24"/>
          <w:szCs w:val="24"/>
          <w:lang w:val="fr-FR"/>
        </w:rPr>
        <w:t xml:space="preserve">s’est plaint du fait que, par rapport à la Défense, le Procureur s'est vu accorder plus de temps et de moyens pour la présentation de sa preuve. Il s’est plaint d'avoir été soumis </w:t>
      </w:r>
      <w:r w:rsidR="0044697F" w:rsidRPr="00953692">
        <w:rPr>
          <w:i/>
          <w:iCs/>
          <w:sz w:val="24"/>
          <w:szCs w:val="24"/>
          <w:lang w:val="fr-FR"/>
        </w:rPr>
        <w:t xml:space="preserve">à </w:t>
      </w:r>
      <w:r w:rsidR="00DD593A" w:rsidRPr="00953692">
        <w:rPr>
          <w:i/>
          <w:iCs/>
          <w:sz w:val="24"/>
          <w:szCs w:val="24"/>
          <w:lang w:val="fr-FR"/>
        </w:rPr>
        <w:t>des restrictions, traité de façon désavantageuse et amené d’agir hâtivement dans l'établissement de sa liste de témoins, ainsi que d'avoir indûment subi des pressions dans la présentation de sa cause du fait des exigence</w:t>
      </w:r>
      <w:r w:rsidR="001373E7" w:rsidRPr="00953692">
        <w:rPr>
          <w:i/>
          <w:iCs/>
          <w:sz w:val="24"/>
          <w:szCs w:val="24"/>
          <w:lang w:val="fr-FR"/>
        </w:rPr>
        <w:t>s</w:t>
      </w:r>
      <w:r w:rsidR="00DD593A" w:rsidRPr="00953692">
        <w:rPr>
          <w:i/>
          <w:iCs/>
          <w:sz w:val="24"/>
          <w:szCs w:val="24"/>
          <w:lang w:val="fr-FR"/>
        </w:rPr>
        <w:t xml:space="preserve"> de la stratégie d'achèvement des travaux du Tribunal. Il a estimé que les enquêtes du Procureur se sont déroulées dans des conditions moins contraignantes </w:t>
      </w:r>
      <w:r w:rsidR="00DD593A" w:rsidRPr="00953692">
        <w:rPr>
          <w:sz w:val="24"/>
          <w:szCs w:val="24"/>
          <w:lang w:val="fr-FR"/>
        </w:rPr>
        <w:t>(…)</w:t>
      </w:r>
      <w:r w:rsidR="00E420AF" w:rsidRPr="00953692">
        <w:rPr>
          <w:rStyle w:val="Appelnotedebasdep"/>
          <w:sz w:val="24"/>
          <w:szCs w:val="24"/>
          <w:lang w:val="fr-FR"/>
        </w:rPr>
        <w:footnoteReference w:customMarkFollows="1" w:id="240"/>
        <w:t>217</w:t>
      </w:r>
      <w:r w:rsidR="00DD593A" w:rsidRPr="00953692">
        <w:rPr>
          <w:sz w:val="24"/>
          <w:szCs w:val="24"/>
          <w:lang w:val="fr-FR"/>
        </w:rPr>
        <w:t xml:space="preserve">. Ce à quoi la Chambre a répondu par la proportionnalité </w:t>
      </w:r>
      <w:r w:rsidR="00C2154F" w:rsidRPr="00953692">
        <w:rPr>
          <w:sz w:val="24"/>
          <w:szCs w:val="24"/>
          <w:lang w:val="fr-FR"/>
        </w:rPr>
        <w:t xml:space="preserve">du nombre des témoins </w:t>
      </w:r>
      <w:r w:rsidR="00C2154F" w:rsidRPr="00953692">
        <w:rPr>
          <w:sz w:val="24"/>
          <w:szCs w:val="24"/>
          <w:lang w:val="fr-FR"/>
        </w:rPr>
        <w:lastRenderedPageBreak/>
        <w:t xml:space="preserve">et des délais </w:t>
      </w:r>
      <w:r w:rsidR="00913418" w:rsidRPr="00953692">
        <w:rPr>
          <w:sz w:val="24"/>
          <w:szCs w:val="24"/>
          <w:lang w:val="fr-FR"/>
        </w:rPr>
        <w:t xml:space="preserve">qu’elle a </w:t>
      </w:r>
      <w:r w:rsidR="00C2154F" w:rsidRPr="00953692">
        <w:rPr>
          <w:sz w:val="24"/>
          <w:szCs w:val="24"/>
          <w:lang w:val="fr-FR"/>
        </w:rPr>
        <w:t>accordés à chaque partie</w:t>
      </w:r>
      <w:r w:rsidR="00E5544C" w:rsidRPr="00953692">
        <w:rPr>
          <w:sz w:val="24"/>
          <w:szCs w:val="24"/>
          <w:lang w:val="fr-FR"/>
        </w:rPr>
        <w:t>, en rappelant d’ailleurs l’autorité d’appréciation de la Chambre d’appel dans sa décision du 30 janvier 2009 à ce sujet</w:t>
      </w:r>
      <w:r w:rsidR="00E420AF" w:rsidRPr="00953692">
        <w:rPr>
          <w:rStyle w:val="Appelnotedebasdep"/>
          <w:sz w:val="24"/>
          <w:szCs w:val="24"/>
          <w:lang w:val="fr-FR"/>
        </w:rPr>
        <w:footnoteReference w:customMarkFollows="1" w:id="241"/>
        <w:t>218</w:t>
      </w:r>
      <w:r w:rsidR="00C2154F" w:rsidRPr="00953692">
        <w:rPr>
          <w:sz w:val="24"/>
          <w:szCs w:val="24"/>
          <w:lang w:val="fr-FR"/>
        </w:rPr>
        <w:t>.</w:t>
      </w:r>
    </w:p>
    <w:p w14:paraId="59DCC471" w14:textId="195AB228" w:rsidR="009147A0" w:rsidRPr="00953692" w:rsidRDefault="005577EE" w:rsidP="00864BBF">
      <w:pPr>
        <w:spacing w:after="0" w:line="276" w:lineRule="auto"/>
        <w:ind w:firstLine="1134"/>
        <w:jc w:val="both"/>
        <w:rPr>
          <w:sz w:val="24"/>
          <w:szCs w:val="24"/>
          <w:lang w:val="fr-FR"/>
        </w:rPr>
      </w:pPr>
      <w:r w:rsidRPr="00953692">
        <w:rPr>
          <w:b/>
          <w:bCs/>
          <w:sz w:val="24"/>
          <w:szCs w:val="24"/>
          <w:lang w:val="fr-FR"/>
        </w:rPr>
        <w:t>3</w:t>
      </w:r>
      <w:r w:rsidR="0044697F" w:rsidRPr="00953692">
        <w:rPr>
          <w:b/>
          <w:bCs/>
          <w:sz w:val="24"/>
          <w:szCs w:val="24"/>
          <w:lang w:val="fr-FR"/>
        </w:rPr>
        <w:t>1</w:t>
      </w:r>
      <w:r w:rsidRPr="00953692">
        <w:rPr>
          <w:b/>
          <w:bCs/>
          <w:sz w:val="24"/>
          <w:szCs w:val="24"/>
          <w:lang w:val="fr-FR"/>
        </w:rPr>
        <w:t>4</w:t>
      </w:r>
      <w:r w:rsidR="0044697F" w:rsidRPr="00953692">
        <w:rPr>
          <w:b/>
          <w:bCs/>
          <w:sz w:val="24"/>
          <w:szCs w:val="24"/>
          <w:lang w:val="fr-FR"/>
        </w:rPr>
        <w:t>.</w:t>
      </w:r>
      <w:r w:rsidR="0044697F" w:rsidRPr="00953692">
        <w:rPr>
          <w:sz w:val="24"/>
          <w:szCs w:val="24"/>
          <w:lang w:val="fr-FR"/>
        </w:rPr>
        <w:t xml:space="preserve"> </w:t>
      </w:r>
      <w:r w:rsidR="00F04ACB" w:rsidRPr="00953692">
        <w:rPr>
          <w:sz w:val="24"/>
          <w:szCs w:val="24"/>
          <w:lang w:val="fr-FR"/>
        </w:rPr>
        <w:t>C</w:t>
      </w:r>
      <w:r w:rsidR="007E433C" w:rsidRPr="00953692">
        <w:rPr>
          <w:sz w:val="24"/>
          <w:szCs w:val="24"/>
          <w:lang w:val="fr-FR"/>
        </w:rPr>
        <w:t>e qui enfin va nous intéresser</w:t>
      </w:r>
      <w:r w:rsidR="00A43A49" w:rsidRPr="00953692">
        <w:rPr>
          <w:sz w:val="24"/>
          <w:szCs w:val="24"/>
          <w:lang w:val="fr-FR"/>
        </w:rPr>
        <w:t xml:space="preserve"> beaucoup plus</w:t>
      </w:r>
      <w:r w:rsidR="007E433C" w:rsidRPr="00953692">
        <w:rPr>
          <w:sz w:val="24"/>
          <w:szCs w:val="24"/>
          <w:lang w:val="fr-FR"/>
        </w:rPr>
        <w:t>, c’est cette conséquence</w:t>
      </w:r>
      <w:r w:rsidR="00066267" w:rsidRPr="00953692">
        <w:rPr>
          <w:sz w:val="24"/>
          <w:szCs w:val="24"/>
          <w:lang w:val="fr-FR"/>
        </w:rPr>
        <w:t xml:space="preserve"> que provoque</w:t>
      </w:r>
      <w:r w:rsidR="007E433C" w:rsidRPr="00953692">
        <w:rPr>
          <w:sz w:val="24"/>
          <w:szCs w:val="24"/>
          <w:lang w:val="fr-FR"/>
        </w:rPr>
        <w:t xml:space="preserve"> </w:t>
      </w:r>
      <w:r w:rsidR="00066267" w:rsidRPr="00953692">
        <w:rPr>
          <w:sz w:val="24"/>
          <w:szCs w:val="24"/>
          <w:lang w:val="fr-FR"/>
        </w:rPr>
        <w:t>le</w:t>
      </w:r>
      <w:r w:rsidR="007E433C" w:rsidRPr="00953692">
        <w:rPr>
          <w:sz w:val="24"/>
          <w:szCs w:val="24"/>
          <w:lang w:val="fr-FR"/>
        </w:rPr>
        <w:t xml:space="preserve"> droit de disposer du temps nécessaire</w:t>
      </w:r>
      <w:r w:rsidR="007E7E48" w:rsidRPr="00953692">
        <w:rPr>
          <w:sz w:val="24"/>
          <w:szCs w:val="24"/>
          <w:lang w:val="fr-FR"/>
        </w:rPr>
        <w:t>…</w:t>
      </w:r>
      <w:r w:rsidR="00066267" w:rsidRPr="00953692">
        <w:rPr>
          <w:sz w:val="24"/>
          <w:szCs w:val="24"/>
          <w:lang w:val="fr-FR"/>
        </w:rPr>
        <w:t>, à savoir</w:t>
      </w:r>
      <w:r w:rsidR="007E433C" w:rsidRPr="00953692">
        <w:rPr>
          <w:sz w:val="24"/>
          <w:szCs w:val="24"/>
          <w:lang w:val="fr-FR"/>
        </w:rPr>
        <w:t xml:space="preserve"> la suspension ou l’ajournement d’audience</w:t>
      </w:r>
      <w:r w:rsidR="00066267" w:rsidRPr="00953692">
        <w:rPr>
          <w:sz w:val="24"/>
          <w:szCs w:val="24"/>
          <w:lang w:val="fr-FR"/>
        </w:rPr>
        <w:t xml:space="preserve"> ou du procès et</w:t>
      </w:r>
      <w:r w:rsidR="007E433C" w:rsidRPr="00953692">
        <w:rPr>
          <w:sz w:val="24"/>
          <w:szCs w:val="24"/>
          <w:lang w:val="fr-FR"/>
        </w:rPr>
        <w:t xml:space="preserve"> problème qu’en font clairement les accusés</w:t>
      </w:r>
      <w:r w:rsidR="003F2CD5" w:rsidRPr="00953692">
        <w:rPr>
          <w:sz w:val="24"/>
          <w:szCs w:val="24"/>
          <w:lang w:val="fr-FR"/>
        </w:rPr>
        <w:t> ;</w:t>
      </w:r>
      <w:r w:rsidR="00DF0F9F" w:rsidRPr="00953692">
        <w:rPr>
          <w:sz w:val="24"/>
          <w:szCs w:val="24"/>
          <w:lang w:val="fr-FR"/>
        </w:rPr>
        <w:t xml:space="preserve"> </w:t>
      </w:r>
      <w:r w:rsidR="003F2CD5" w:rsidRPr="00953692">
        <w:rPr>
          <w:sz w:val="24"/>
          <w:szCs w:val="24"/>
          <w:lang w:val="fr-FR"/>
        </w:rPr>
        <w:t>c</w:t>
      </w:r>
      <w:r w:rsidR="00DF0F9F" w:rsidRPr="00953692">
        <w:rPr>
          <w:sz w:val="24"/>
          <w:szCs w:val="24"/>
          <w:lang w:val="fr-FR"/>
        </w:rPr>
        <w:t>’est-à-dire, exiger ou réclamer plus de temps.</w:t>
      </w:r>
      <w:r w:rsidR="007E433C" w:rsidRPr="00953692">
        <w:rPr>
          <w:sz w:val="24"/>
          <w:szCs w:val="24"/>
          <w:lang w:val="fr-FR"/>
        </w:rPr>
        <w:t xml:space="preserve"> Alors qu’en ce qui concerne la violation du délai raisonnable, les mêmes accusés s’insurgent contre les retards accumulés pouvant être dus aux différents motifs dont la suspension d’audience. </w:t>
      </w:r>
      <w:bookmarkStart w:id="71" w:name="_Hlk116152078"/>
      <w:r w:rsidR="007E433C" w:rsidRPr="00953692">
        <w:rPr>
          <w:sz w:val="24"/>
          <w:szCs w:val="24"/>
          <w:lang w:val="fr-FR"/>
        </w:rPr>
        <w:t xml:space="preserve">On voit en effet qu’essentiellement, la violation de ces deux prérogatives se fonde sur </w:t>
      </w:r>
      <w:r w:rsidR="00DF0F9F" w:rsidRPr="00953692">
        <w:rPr>
          <w:sz w:val="24"/>
          <w:szCs w:val="24"/>
          <w:lang w:val="fr-FR"/>
        </w:rPr>
        <w:t xml:space="preserve">des </w:t>
      </w:r>
      <w:r w:rsidR="00EF2653" w:rsidRPr="00953692">
        <w:rPr>
          <w:sz w:val="24"/>
          <w:szCs w:val="24"/>
          <w:lang w:val="fr-FR"/>
        </w:rPr>
        <w:t>assertion</w:t>
      </w:r>
      <w:r w:rsidR="007E433C" w:rsidRPr="00953692">
        <w:rPr>
          <w:sz w:val="24"/>
          <w:szCs w:val="24"/>
          <w:lang w:val="fr-FR"/>
        </w:rPr>
        <w:t>s contradictoires</w:t>
      </w:r>
      <w:r w:rsidR="00EF2653" w:rsidRPr="00953692">
        <w:rPr>
          <w:sz w:val="24"/>
          <w:szCs w:val="24"/>
          <w:lang w:val="fr-FR"/>
        </w:rPr>
        <w:t xml:space="preserve">, opposées ou qui semblent être au vent de bout. </w:t>
      </w:r>
      <w:r w:rsidR="0029545E" w:rsidRPr="00953692">
        <w:rPr>
          <w:sz w:val="24"/>
          <w:szCs w:val="24"/>
          <w:lang w:val="fr-FR"/>
        </w:rPr>
        <w:t xml:space="preserve">Dans ce cas, </w:t>
      </w:r>
      <w:r w:rsidR="00D86D07" w:rsidRPr="00953692">
        <w:rPr>
          <w:sz w:val="24"/>
          <w:szCs w:val="24"/>
          <w:lang w:val="fr-FR"/>
        </w:rPr>
        <w:t xml:space="preserve">le surgissement de </w:t>
      </w:r>
      <w:r w:rsidR="0029545E" w:rsidRPr="00953692">
        <w:rPr>
          <w:sz w:val="24"/>
          <w:szCs w:val="24"/>
          <w:lang w:val="fr-FR"/>
        </w:rPr>
        <w:t xml:space="preserve">la conflictualité </w:t>
      </w:r>
      <w:r w:rsidR="00D86D07" w:rsidRPr="00953692">
        <w:rPr>
          <w:sz w:val="24"/>
          <w:szCs w:val="24"/>
          <w:lang w:val="fr-FR"/>
        </w:rPr>
        <w:t xml:space="preserve">est </w:t>
      </w:r>
      <w:r w:rsidR="00C2648A" w:rsidRPr="00953692">
        <w:rPr>
          <w:sz w:val="24"/>
          <w:szCs w:val="24"/>
          <w:lang w:val="fr-FR"/>
        </w:rPr>
        <w:t>perceptible</w:t>
      </w:r>
      <w:r w:rsidR="0029545E" w:rsidRPr="00953692">
        <w:rPr>
          <w:sz w:val="24"/>
          <w:szCs w:val="24"/>
          <w:lang w:val="fr-FR"/>
        </w:rPr>
        <w:t xml:space="preserve"> </w:t>
      </w:r>
      <w:r w:rsidR="002C185C" w:rsidRPr="00953692">
        <w:rPr>
          <w:sz w:val="24"/>
          <w:szCs w:val="24"/>
          <w:lang w:val="fr-FR"/>
        </w:rPr>
        <w:t>lorsqu’</w:t>
      </w:r>
      <w:r w:rsidR="008A5116" w:rsidRPr="00953692">
        <w:rPr>
          <w:sz w:val="24"/>
          <w:szCs w:val="24"/>
          <w:lang w:val="fr-FR"/>
        </w:rPr>
        <w:t>il faut imaginer l</w:t>
      </w:r>
      <w:r w:rsidR="0029545E" w:rsidRPr="00953692">
        <w:rPr>
          <w:sz w:val="24"/>
          <w:szCs w:val="24"/>
          <w:lang w:val="fr-FR"/>
        </w:rPr>
        <w:t xml:space="preserve">a nécessité de respecter à la fois les deux prérogatives sans que l’une d’elles n’en ressorte </w:t>
      </w:r>
      <w:r w:rsidR="006A5B59" w:rsidRPr="00953692">
        <w:rPr>
          <w:sz w:val="24"/>
          <w:szCs w:val="24"/>
          <w:lang w:val="fr-FR"/>
        </w:rPr>
        <w:t>écornée</w:t>
      </w:r>
      <w:r w:rsidR="008A5116" w:rsidRPr="00953692">
        <w:rPr>
          <w:sz w:val="24"/>
          <w:szCs w:val="24"/>
          <w:lang w:val="fr-FR"/>
        </w:rPr>
        <w:t xml:space="preserve"> par l’autre</w:t>
      </w:r>
      <w:r w:rsidR="006A5B59" w:rsidRPr="00953692">
        <w:rPr>
          <w:sz w:val="24"/>
          <w:szCs w:val="24"/>
          <w:lang w:val="fr-FR"/>
        </w:rPr>
        <w:t xml:space="preserve">. </w:t>
      </w:r>
      <w:r w:rsidR="008A5116" w:rsidRPr="00953692">
        <w:rPr>
          <w:sz w:val="24"/>
          <w:szCs w:val="24"/>
          <w:lang w:val="fr-FR"/>
        </w:rPr>
        <w:t xml:space="preserve">Il y a là sans nul doute un conflit </w:t>
      </w:r>
      <w:r w:rsidR="002635C9" w:rsidRPr="00953692">
        <w:rPr>
          <w:sz w:val="24"/>
          <w:szCs w:val="24"/>
          <w:lang w:val="fr-FR"/>
        </w:rPr>
        <w:t>latent</w:t>
      </w:r>
      <w:r w:rsidR="008A5116" w:rsidRPr="00953692">
        <w:rPr>
          <w:sz w:val="24"/>
          <w:szCs w:val="24"/>
          <w:lang w:val="fr-FR"/>
        </w:rPr>
        <w:t>, que l’équité envisagée dans tous les deux cas tente à peine de dissimuler</w:t>
      </w:r>
      <w:r w:rsidR="00066267" w:rsidRPr="00953692">
        <w:rPr>
          <w:sz w:val="24"/>
          <w:szCs w:val="24"/>
          <w:lang w:val="fr-FR"/>
        </w:rPr>
        <w:t xml:space="preserve"> les effets sur la durée d’un procès censé être rapide</w:t>
      </w:r>
      <w:r w:rsidR="008A5116" w:rsidRPr="00953692">
        <w:rPr>
          <w:sz w:val="24"/>
          <w:szCs w:val="24"/>
          <w:lang w:val="fr-FR"/>
        </w:rPr>
        <w:t>.</w:t>
      </w:r>
    </w:p>
    <w:p w14:paraId="2A38ABCB" w14:textId="0729D0EB" w:rsidR="009147A0" w:rsidRPr="00953692" w:rsidRDefault="001524F0" w:rsidP="00BC1362">
      <w:pPr>
        <w:pStyle w:val="Paragraphedeliste"/>
        <w:numPr>
          <w:ilvl w:val="0"/>
          <w:numId w:val="7"/>
        </w:numPr>
        <w:spacing w:before="240" w:line="276" w:lineRule="auto"/>
        <w:jc w:val="both"/>
        <w:outlineLvl w:val="2"/>
        <w:rPr>
          <w:rFonts w:cs="Times New Roman"/>
          <w:bCs/>
          <w:i/>
          <w:iCs/>
          <w:sz w:val="24"/>
          <w:szCs w:val="24"/>
          <w:lang w:val="fr-FR"/>
        </w:rPr>
      </w:pPr>
      <w:bookmarkStart w:id="72" w:name="_Toc195179435"/>
      <w:r w:rsidRPr="00953692">
        <w:rPr>
          <w:rFonts w:cs="Times New Roman"/>
          <w:bCs/>
          <w:i/>
          <w:iCs/>
          <w:sz w:val="24"/>
          <w:szCs w:val="24"/>
          <w:lang w:val="fr-FR"/>
        </w:rPr>
        <w:t>Un</w:t>
      </w:r>
      <w:r w:rsidR="00CF50AE" w:rsidRPr="00953692">
        <w:rPr>
          <w:rFonts w:cs="Times New Roman"/>
          <w:bCs/>
          <w:i/>
          <w:iCs/>
          <w:sz w:val="24"/>
          <w:szCs w:val="24"/>
          <w:lang w:val="fr-FR"/>
        </w:rPr>
        <w:t xml:space="preserve"> conflit</w:t>
      </w:r>
      <w:r w:rsidRPr="00953692">
        <w:rPr>
          <w:rFonts w:cs="Times New Roman"/>
          <w:bCs/>
          <w:i/>
          <w:iCs/>
          <w:sz w:val="24"/>
          <w:szCs w:val="24"/>
          <w:lang w:val="fr-FR"/>
        </w:rPr>
        <w:t xml:space="preserve"> latent</w:t>
      </w:r>
      <w:r w:rsidR="00CF50AE" w:rsidRPr="00953692">
        <w:rPr>
          <w:rFonts w:cs="Times New Roman"/>
          <w:bCs/>
          <w:i/>
          <w:iCs/>
          <w:sz w:val="24"/>
          <w:szCs w:val="24"/>
          <w:lang w:val="fr-FR"/>
        </w:rPr>
        <w:t xml:space="preserve"> entre le droit de disposer du temps et facilités nécessaires à la préparation de la défense et le droit d’être jugé sans retard excessif</w:t>
      </w:r>
      <w:bookmarkEnd w:id="72"/>
    </w:p>
    <w:bookmarkEnd w:id="71"/>
    <w:p w14:paraId="0B73E3F6" w14:textId="3E433B01" w:rsidR="0023168A"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315</w:t>
      </w:r>
      <w:r w:rsidR="002C185C" w:rsidRPr="00953692">
        <w:rPr>
          <w:rFonts w:cs="Times New Roman"/>
          <w:b/>
          <w:bCs/>
          <w:sz w:val="24"/>
          <w:szCs w:val="24"/>
          <w:lang w:val="fr-FR"/>
        </w:rPr>
        <w:t>.</w:t>
      </w:r>
      <w:r w:rsidR="002C185C" w:rsidRPr="00953692">
        <w:rPr>
          <w:rFonts w:cs="Times New Roman"/>
          <w:sz w:val="24"/>
          <w:szCs w:val="24"/>
          <w:lang w:val="fr-FR"/>
        </w:rPr>
        <w:t xml:space="preserve"> </w:t>
      </w:r>
      <w:r w:rsidR="00F1790F" w:rsidRPr="00953692">
        <w:rPr>
          <w:rFonts w:cs="Times New Roman"/>
          <w:sz w:val="24"/>
          <w:szCs w:val="24"/>
          <w:lang w:val="fr-FR"/>
        </w:rPr>
        <w:t xml:space="preserve">Comme énoncé ci-haut, la conflictualité de </w:t>
      </w:r>
      <w:r w:rsidR="00C511F7" w:rsidRPr="00953692">
        <w:rPr>
          <w:rFonts w:cs="Times New Roman"/>
          <w:sz w:val="24"/>
          <w:szCs w:val="24"/>
          <w:lang w:val="fr-FR"/>
        </w:rPr>
        <w:t xml:space="preserve">ces deux prérogatives apparait ou se révèle au moment où l’accusé prétend que l’une </w:t>
      </w:r>
      <w:r w:rsidR="00DC4319" w:rsidRPr="00953692">
        <w:rPr>
          <w:rFonts w:cs="Times New Roman"/>
          <w:sz w:val="24"/>
          <w:szCs w:val="24"/>
          <w:lang w:val="fr-FR"/>
        </w:rPr>
        <w:t>ou</w:t>
      </w:r>
      <w:r w:rsidR="00C511F7" w:rsidRPr="00953692">
        <w:rPr>
          <w:rFonts w:cs="Times New Roman"/>
          <w:sz w:val="24"/>
          <w:szCs w:val="24"/>
          <w:lang w:val="fr-FR"/>
        </w:rPr>
        <w:t xml:space="preserve"> l’autre a été violé. Les deux prétentions</w:t>
      </w:r>
      <w:r w:rsidR="0047448B" w:rsidRPr="00953692">
        <w:rPr>
          <w:rFonts w:cs="Times New Roman"/>
          <w:sz w:val="24"/>
          <w:szCs w:val="24"/>
          <w:lang w:val="fr-FR"/>
        </w:rPr>
        <w:t>,</w:t>
      </w:r>
      <w:r w:rsidR="00C511F7" w:rsidRPr="00953692">
        <w:rPr>
          <w:rFonts w:cs="Times New Roman"/>
          <w:sz w:val="24"/>
          <w:szCs w:val="24"/>
          <w:lang w:val="fr-FR"/>
        </w:rPr>
        <w:t xml:space="preserve"> prenant deux directions opposées, sont donc susceptibles d</w:t>
      </w:r>
      <w:r w:rsidR="0027237D" w:rsidRPr="00953692">
        <w:rPr>
          <w:rFonts w:cs="Times New Roman"/>
          <w:sz w:val="24"/>
          <w:szCs w:val="24"/>
          <w:lang w:val="fr-FR"/>
        </w:rPr>
        <w:t>e l’</w:t>
      </w:r>
      <w:r w:rsidR="00C511F7" w:rsidRPr="00953692">
        <w:rPr>
          <w:rFonts w:cs="Times New Roman"/>
          <w:sz w:val="24"/>
          <w:szCs w:val="24"/>
          <w:lang w:val="fr-FR"/>
        </w:rPr>
        <w:t>embarrasser</w:t>
      </w:r>
      <w:r w:rsidR="00E14327" w:rsidRPr="00953692">
        <w:rPr>
          <w:rFonts w:cs="Times New Roman"/>
          <w:sz w:val="24"/>
          <w:szCs w:val="24"/>
          <w:lang w:val="fr-FR"/>
        </w:rPr>
        <w:t xml:space="preserve"> personnellement</w:t>
      </w:r>
      <w:r w:rsidR="00C511F7" w:rsidRPr="00953692">
        <w:rPr>
          <w:rFonts w:cs="Times New Roman"/>
          <w:sz w:val="24"/>
          <w:szCs w:val="24"/>
          <w:lang w:val="fr-FR"/>
        </w:rPr>
        <w:t xml:space="preserve"> sur le choix qu’il compte </w:t>
      </w:r>
      <w:r w:rsidR="00E14327" w:rsidRPr="00953692">
        <w:rPr>
          <w:rFonts w:cs="Times New Roman"/>
          <w:sz w:val="24"/>
          <w:szCs w:val="24"/>
          <w:lang w:val="fr-FR"/>
        </w:rPr>
        <w:t>opérer</w:t>
      </w:r>
      <w:r w:rsidR="00C511F7" w:rsidRPr="00953692">
        <w:rPr>
          <w:rFonts w:cs="Times New Roman"/>
          <w:sz w:val="24"/>
          <w:szCs w:val="24"/>
          <w:lang w:val="fr-FR"/>
        </w:rPr>
        <w:t xml:space="preserve"> entre la rapidité du procès</w:t>
      </w:r>
      <w:r w:rsidR="00E14327" w:rsidRPr="00953692">
        <w:rPr>
          <w:rFonts w:cs="Times New Roman"/>
          <w:sz w:val="24"/>
          <w:szCs w:val="24"/>
          <w:lang w:val="fr-FR"/>
        </w:rPr>
        <w:t xml:space="preserve"> (qu’incarne </w:t>
      </w:r>
      <w:r w:rsidR="0023168A" w:rsidRPr="00953692">
        <w:rPr>
          <w:rFonts w:cs="Times New Roman"/>
          <w:sz w:val="24"/>
          <w:szCs w:val="24"/>
          <w:lang w:val="fr-FR"/>
        </w:rPr>
        <w:t>son droit au</w:t>
      </w:r>
      <w:r w:rsidR="00E14327" w:rsidRPr="00953692">
        <w:rPr>
          <w:rFonts w:cs="Times New Roman"/>
          <w:sz w:val="24"/>
          <w:szCs w:val="24"/>
          <w:lang w:val="fr-FR"/>
        </w:rPr>
        <w:t xml:space="preserve"> délai raisonnable)</w:t>
      </w:r>
      <w:r w:rsidR="00C511F7" w:rsidRPr="00953692">
        <w:rPr>
          <w:rFonts w:cs="Times New Roman"/>
          <w:sz w:val="24"/>
          <w:szCs w:val="24"/>
          <w:lang w:val="fr-FR"/>
        </w:rPr>
        <w:t xml:space="preserve"> et </w:t>
      </w:r>
      <w:r w:rsidR="00E14327" w:rsidRPr="00953692">
        <w:rPr>
          <w:rFonts w:cs="Times New Roman"/>
          <w:sz w:val="24"/>
          <w:szCs w:val="24"/>
          <w:lang w:val="fr-FR"/>
        </w:rPr>
        <w:t xml:space="preserve">ces </w:t>
      </w:r>
      <w:r w:rsidR="00C511F7" w:rsidRPr="00953692">
        <w:rPr>
          <w:rFonts w:cs="Times New Roman"/>
          <w:sz w:val="24"/>
          <w:szCs w:val="24"/>
          <w:lang w:val="fr-FR"/>
        </w:rPr>
        <w:t xml:space="preserve">différentes pauses </w:t>
      </w:r>
      <w:r w:rsidR="00E53E96" w:rsidRPr="00953692">
        <w:rPr>
          <w:rFonts w:cs="Times New Roman"/>
          <w:sz w:val="24"/>
          <w:szCs w:val="24"/>
          <w:lang w:val="fr-FR"/>
        </w:rPr>
        <w:t xml:space="preserve">ou suspensions d’audience </w:t>
      </w:r>
      <w:r w:rsidR="00C511F7" w:rsidRPr="00953692">
        <w:rPr>
          <w:rFonts w:cs="Times New Roman"/>
          <w:sz w:val="24"/>
          <w:szCs w:val="24"/>
          <w:lang w:val="fr-FR"/>
        </w:rPr>
        <w:t>qui lui sont</w:t>
      </w:r>
      <w:r w:rsidR="00E14327" w:rsidRPr="00953692">
        <w:rPr>
          <w:rFonts w:cs="Times New Roman"/>
          <w:sz w:val="24"/>
          <w:szCs w:val="24"/>
          <w:lang w:val="fr-FR"/>
        </w:rPr>
        <w:t xml:space="preserve"> incontestablement</w:t>
      </w:r>
      <w:r w:rsidR="00C511F7" w:rsidRPr="00953692">
        <w:rPr>
          <w:rFonts w:cs="Times New Roman"/>
          <w:sz w:val="24"/>
          <w:szCs w:val="24"/>
          <w:lang w:val="fr-FR"/>
        </w:rPr>
        <w:t xml:space="preserve"> nécessaires</w:t>
      </w:r>
      <w:r w:rsidR="003F2CD5" w:rsidRPr="00953692">
        <w:rPr>
          <w:rFonts w:cs="Times New Roman"/>
          <w:sz w:val="24"/>
          <w:szCs w:val="24"/>
          <w:lang w:val="fr-FR"/>
        </w:rPr>
        <w:t xml:space="preserve"> dans le cadre d’un procès équitable</w:t>
      </w:r>
      <w:r w:rsidR="00E14327" w:rsidRPr="00953692">
        <w:rPr>
          <w:rFonts w:cs="Times New Roman"/>
          <w:sz w:val="24"/>
          <w:szCs w:val="24"/>
          <w:lang w:val="fr-FR"/>
        </w:rPr>
        <w:t>,</w:t>
      </w:r>
      <w:r w:rsidR="00C511F7" w:rsidRPr="00953692">
        <w:rPr>
          <w:rFonts w:cs="Times New Roman"/>
          <w:sz w:val="24"/>
          <w:szCs w:val="24"/>
          <w:lang w:val="fr-FR"/>
        </w:rPr>
        <w:t xml:space="preserve"> mais qu</w:t>
      </w:r>
      <w:r w:rsidR="00E14327" w:rsidRPr="00953692">
        <w:rPr>
          <w:rFonts w:cs="Times New Roman"/>
          <w:sz w:val="24"/>
          <w:szCs w:val="24"/>
          <w:lang w:val="fr-FR"/>
        </w:rPr>
        <w:t xml:space="preserve">i </w:t>
      </w:r>
      <w:r w:rsidR="00C511F7" w:rsidRPr="00953692">
        <w:rPr>
          <w:rFonts w:cs="Times New Roman"/>
          <w:sz w:val="24"/>
          <w:szCs w:val="24"/>
          <w:lang w:val="fr-FR"/>
        </w:rPr>
        <w:t xml:space="preserve">en revanche, </w:t>
      </w:r>
      <w:r w:rsidR="003F2CD5" w:rsidRPr="00953692">
        <w:rPr>
          <w:rFonts w:cs="Times New Roman"/>
          <w:sz w:val="24"/>
          <w:szCs w:val="24"/>
          <w:lang w:val="fr-FR"/>
        </w:rPr>
        <w:t xml:space="preserve">en </w:t>
      </w:r>
      <w:r w:rsidR="00C511F7" w:rsidRPr="00953692">
        <w:rPr>
          <w:rFonts w:cs="Times New Roman"/>
          <w:sz w:val="24"/>
          <w:szCs w:val="24"/>
          <w:lang w:val="fr-FR"/>
        </w:rPr>
        <w:t>rallongent la durée globale.</w:t>
      </w:r>
      <w:r w:rsidR="00004303" w:rsidRPr="00953692">
        <w:rPr>
          <w:rFonts w:cs="Times New Roman"/>
          <w:sz w:val="24"/>
          <w:szCs w:val="24"/>
          <w:lang w:val="fr-FR"/>
        </w:rPr>
        <w:t xml:space="preserve"> Il est </w:t>
      </w:r>
      <w:r w:rsidR="0023168A" w:rsidRPr="00953692">
        <w:rPr>
          <w:rFonts w:cs="Times New Roman"/>
          <w:sz w:val="24"/>
          <w:szCs w:val="24"/>
          <w:lang w:val="fr-FR"/>
        </w:rPr>
        <w:t xml:space="preserve">très </w:t>
      </w:r>
      <w:r w:rsidR="00004303" w:rsidRPr="00953692">
        <w:rPr>
          <w:rFonts w:cs="Times New Roman"/>
          <w:sz w:val="24"/>
          <w:szCs w:val="24"/>
          <w:lang w:val="fr-FR"/>
        </w:rPr>
        <w:t xml:space="preserve">fréquent et d’ordinaire </w:t>
      </w:r>
      <w:r w:rsidR="0023168A" w:rsidRPr="00953692">
        <w:rPr>
          <w:rFonts w:cs="Times New Roman"/>
          <w:sz w:val="24"/>
          <w:szCs w:val="24"/>
          <w:lang w:val="fr-FR"/>
        </w:rPr>
        <w:t xml:space="preserve">d’ailleurs </w:t>
      </w:r>
      <w:r w:rsidR="00004303" w:rsidRPr="00953692">
        <w:rPr>
          <w:rFonts w:cs="Times New Roman"/>
          <w:sz w:val="24"/>
          <w:szCs w:val="24"/>
          <w:lang w:val="fr-FR"/>
        </w:rPr>
        <w:t xml:space="preserve">que les juges suspendent les audiences en vue de permettre à l’accusé de disposer du temps nécessaire à la préparation de sa défense. </w:t>
      </w:r>
    </w:p>
    <w:p w14:paraId="7E5CC3A8" w14:textId="78BAF8B0" w:rsidR="00C7383B" w:rsidRPr="00953692" w:rsidRDefault="005577EE" w:rsidP="00864BBF">
      <w:pPr>
        <w:spacing w:after="0" w:line="276" w:lineRule="auto"/>
        <w:ind w:firstLine="1134"/>
        <w:jc w:val="both"/>
        <w:rPr>
          <w:rFonts w:cs="Times New Roman"/>
          <w:sz w:val="24"/>
          <w:szCs w:val="24"/>
          <w:lang w:val="fr-FR"/>
        </w:rPr>
      </w:pPr>
      <w:r w:rsidRPr="00953692">
        <w:rPr>
          <w:rStyle w:val="grammar"/>
          <w:rFonts w:cs="Times New Roman"/>
          <w:b/>
          <w:bCs/>
          <w:sz w:val="24"/>
          <w:szCs w:val="24"/>
          <w:lang w:val="fr-FR"/>
        </w:rPr>
        <w:t>316</w:t>
      </w:r>
      <w:r w:rsidR="00EC335A" w:rsidRPr="00953692">
        <w:rPr>
          <w:rStyle w:val="grammar"/>
          <w:rFonts w:cs="Times New Roman"/>
          <w:b/>
          <w:bCs/>
          <w:sz w:val="24"/>
          <w:szCs w:val="24"/>
          <w:lang w:val="fr-FR"/>
        </w:rPr>
        <w:t>.</w:t>
      </w:r>
      <w:r w:rsidR="00EC335A" w:rsidRPr="00953692">
        <w:rPr>
          <w:rStyle w:val="grammar"/>
          <w:rFonts w:cs="Times New Roman"/>
          <w:sz w:val="24"/>
          <w:szCs w:val="24"/>
          <w:lang w:val="fr-FR"/>
        </w:rPr>
        <w:t xml:space="preserve"> </w:t>
      </w:r>
      <w:r w:rsidR="0047448B" w:rsidRPr="00953692">
        <w:rPr>
          <w:rStyle w:val="grammar"/>
          <w:rFonts w:cs="Times New Roman"/>
          <w:sz w:val="24"/>
          <w:szCs w:val="24"/>
          <w:lang w:val="fr-FR"/>
        </w:rPr>
        <w:t>À</w:t>
      </w:r>
      <w:r w:rsidR="0047448B" w:rsidRPr="00953692">
        <w:rPr>
          <w:rFonts w:cs="Times New Roman"/>
          <w:sz w:val="24"/>
          <w:szCs w:val="24"/>
          <w:shd w:val="clear" w:color="auto" w:fill="FFFFFF"/>
          <w:lang w:val="fr-FR"/>
        </w:rPr>
        <w:t xml:space="preserve"> cet effet</w:t>
      </w:r>
      <w:r w:rsidR="00004303" w:rsidRPr="00953692">
        <w:rPr>
          <w:rFonts w:cs="Times New Roman"/>
          <w:sz w:val="24"/>
          <w:szCs w:val="24"/>
          <w:lang w:val="fr-FR"/>
        </w:rPr>
        <w:t>, la</w:t>
      </w:r>
      <w:r w:rsidR="00004303" w:rsidRPr="00953692">
        <w:rPr>
          <w:sz w:val="24"/>
          <w:szCs w:val="24"/>
          <w:lang w:val="fr-FR"/>
        </w:rPr>
        <w:t xml:space="preserve"> pratique</w:t>
      </w:r>
      <w:r w:rsidR="0075408C" w:rsidRPr="00953692">
        <w:rPr>
          <w:sz w:val="24"/>
          <w:szCs w:val="24"/>
          <w:lang w:val="fr-FR"/>
        </w:rPr>
        <w:t xml:space="preserve"> des juridictions pénales internationales</w:t>
      </w:r>
      <w:r w:rsidR="00004303" w:rsidRPr="00953692">
        <w:rPr>
          <w:sz w:val="24"/>
          <w:szCs w:val="24"/>
          <w:lang w:val="fr-FR"/>
        </w:rPr>
        <w:t xml:space="preserve"> montre que ces suspensions d’audience servent également de justification</w:t>
      </w:r>
      <w:r w:rsidR="00343A96" w:rsidRPr="00953692">
        <w:rPr>
          <w:sz w:val="24"/>
          <w:szCs w:val="24"/>
          <w:lang w:val="fr-FR"/>
        </w:rPr>
        <w:t xml:space="preserve"> aux</w:t>
      </w:r>
      <w:r w:rsidR="00004303" w:rsidRPr="00953692">
        <w:rPr>
          <w:sz w:val="24"/>
          <w:szCs w:val="24"/>
          <w:lang w:val="fr-FR"/>
        </w:rPr>
        <w:t xml:space="preserve"> juges</w:t>
      </w:r>
      <w:r w:rsidR="0023168A" w:rsidRPr="00953692">
        <w:rPr>
          <w:sz w:val="24"/>
          <w:szCs w:val="24"/>
          <w:lang w:val="fr-FR"/>
        </w:rPr>
        <w:t xml:space="preserve"> (et au procureur)</w:t>
      </w:r>
      <w:r w:rsidR="00004303" w:rsidRPr="00953692">
        <w:rPr>
          <w:sz w:val="24"/>
          <w:szCs w:val="24"/>
          <w:lang w:val="fr-FR"/>
        </w:rPr>
        <w:t xml:space="preserve">, en cas de prétention </w:t>
      </w:r>
      <w:r w:rsidR="00184C01" w:rsidRPr="00953692">
        <w:rPr>
          <w:sz w:val="24"/>
          <w:szCs w:val="24"/>
          <w:lang w:val="fr-FR"/>
        </w:rPr>
        <w:t xml:space="preserve">de l’accusé </w:t>
      </w:r>
      <w:r w:rsidR="00004303" w:rsidRPr="00953692">
        <w:rPr>
          <w:sz w:val="24"/>
          <w:szCs w:val="24"/>
          <w:lang w:val="fr-FR"/>
        </w:rPr>
        <w:t>portant sur la violation du droit de l’accusé d’être jugé sans retard excessif.</w:t>
      </w:r>
      <w:r w:rsidR="002C185C" w:rsidRPr="00953692">
        <w:rPr>
          <w:sz w:val="24"/>
          <w:szCs w:val="24"/>
          <w:lang w:val="fr-FR"/>
        </w:rPr>
        <w:t xml:space="preserve"> </w:t>
      </w:r>
      <w:r w:rsidR="00184C01" w:rsidRPr="00953692">
        <w:rPr>
          <w:sz w:val="24"/>
          <w:szCs w:val="24"/>
          <w:lang w:val="fr-FR"/>
        </w:rPr>
        <w:t xml:space="preserve">On aura envie de dire que les organes judiciaires lui opposent son choix légitime d’exiger plus de temps de préparation de la défense. </w:t>
      </w:r>
      <w:r w:rsidR="0075408C" w:rsidRPr="00953692">
        <w:rPr>
          <w:sz w:val="24"/>
          <w:szCs w:val="24"/>
          <w:lang w:val="fr-FR"/>
        </w:rPr>
        <w:t>C’est a</w:t>
      </w:r>
      <w:r w:rsidR="00004303" w:rsidRPr="00953692">
        <w:rPr>
          <w:sz w:val="24"/>
          <w:szCs w:val="24"/>
          <w:lang w:val="fr-FR"/>
        </w:rPr>
        <w:t>insi</w:t>
      </w:r>
      <w:r w:rsidR="0075408C" w:rsidRPr="00953692">
        <w:rPr>
          <w:sz w:val="24"/>
          <w:szCs w:val="24"/>
          <w:lang w:val="fr-FR"/>
        </w:rPr>
        <w:t xml:space="preserve"> qu’</w:t>
      </w:r>
      <w:r w:rsidR="00004303" w:rsidRPr="00953692">
        <w:rPr>
          <w:sz w:val="24"/>
          <w:szCs w:val="24"/>
          <w:lang w:val="fr-FR"/>
        </w:rPr>
        <w:t>on aura</w:t>
      </w:r>
      <w:r w:rsidR="0075408C" w:rsidRPr="00953692">
        <w:rPr>
          <w:sz w:val="24"/>
          <w:szCs w:val="24"/>
          <w:lang w:val="fr-FR"/>
        </w:rPr>
        <w:t xml:space="preserve"> </w:t>
      </w:r>
      <w:r w:rsidR="00004303" w:rsidRPr="00953692">
        <w:rPr>
          <w:sz w:val="24"/>
          <w:szCs w:val="24"/>
          <w:lang w:val="fr-FR"/>
        </w:rPr>
        <w:t>deux cas de figures</w:t>
      </w:r>
      <w:r w:rsidR="005149B7" w:rsidRPr="00953692">
        <w:rPr>
          <w:sz w:val="24"/>
          <w:szCs w:val="24"/>
          <w:lang w:val="fr-FR"/>
        </w:rPr>
        <w:t xml:space="preserve"> qui sont liés</w:t>
      </w:r>
      <w:r w:rsidR="009C0B91" w:rsidRPr="00953692">
        <w:rPr>
          <w:sz w:val="24"/>
          <w:szCs w:val="24"/>
          <w:lang w:val="fr-FR"/>
        </w:rPr>
        <w:t>.</w:t>
      </w:r>
      <w:r w:rsidR="00004303" w:rsidRPr="00953692">
        <w:rPr>
          <w:sz w:val="24"/>
          <w:szCs w:val="24"/>
          <w:lang w:val="fr-FR"/>
        </w:rPr>
        <w:t xml:space="preserve"> </w:t>
      </w:r>
      <w:r w:rsidR="009C0B91" w:rsidRPr="00953692">
        <w:rPr>
          <w:sz w:val="24"/>
          <w:szCs w:val="24"/>
          <w:lang w:val="fr-FR"/>
        </w:rPr>
        <w:t>D’une</w:t>
      </w:r>
      <w:r w:rsidR="00004303" w:rsidRPr="00953692">
        <w:rPr>
          <w:sz w:val="24"/>
          <w:szCs w:val="24"/>
          <w:lang w:val="fr-FR"/>
        </w:rPr>
        <w:t xml:space="preserve"> part, l’embarras qu’éprouve l’accusé</w:t>
      </w:r>
      <w:r w:rsidR="009C0B91" w:rsidRPr="00953692">
        <w:rPr>
          <w:sz w:val="24"/>
          <w:szCs w:val="24"/>
          <w:lang w:val="fr-FR"/>
        </w:rPr>
        <w:t xml:space="preserve"> face au choix</w:t>
      </w:r>
      <w:r w:rsidR="00004303" w:rsidRPr="00953692">
        <w:rPr>
          <w:sz w:val="24"/>
          <w:szCs w:val="24"/>
          <w:lang w:val="fr-FR"/>
        </w:rPr>
        <w:t xml:space="preserve"> et d’autre part, </w:t>
      </w:r>
      <w:r w:rsidR="00343A96" w:rsidRPr="00953692">
        <w:rPr>
          <w:sz w:val="24"/>
          <w:szCs w:val="24"/>
          <w:lang w:val="fr-FR"/>
        </w:rPr>
        <w:t>le fait que les juges s’en servent comme une</w:t>
      </w:r>
      <w:r w:rsidR="00004303" w:rsidRPr="00953692">
        <w:rPr>
          <w:sz w:val="24"/>
          <w:szCs w:val="24"/>
          <w:lang w:val="fr-FR"/>
        </w:rPr>
        <w:t xml:space="preserve"> justification </w:t>
      </w:r>
      <w:r w:rsidR="002C185C" w:rsidRPr="00953692">
        <w:rPr>
          <w:sz w:val="24"/>
          <w:szCs w:val="24"/>
          <w:lang w:val="fr-FR"/>
        </w:rPr>
        <w:t>pour rejeter</w:t>
      </w:r>
      <w:r w:rsidR="009C0B91" w:rsidRPr="00953692">
        <w:rPr>
          <w:sz w:val="24"/>
          <w:szCs w:val="24"/>
          <w:lang w:val="fr-FR"/>
        </w:rPr>
        <w:t xml:space="preserve"> la prétention de l’accusé</w:t>
      </w:r>
      <w:r w:rsidR="00004303" w:rsidRPr="00953692">
        <w:rPr>
          <w:sz w:val="24"/>
          <w:szCs w:val="24"/>
          <w:lang w:val="fr-FR"/>
        </w:rPr>
        <w:t>.</w:t>
      </w:r>
    </w:p>
    <w:p w14:paraId="3D358F03" w14:textId="61003221" w:rsidR="006C19F5" w:rsidRPr="00953692" w:rsidRDefault="005577EE" w:rsidP="00864BBF">
      <w:pPr>
        <w:spacing w:line="276" w:lineRule="auto"/>
        <w:ind w:firstLine="1134"/>
        <w:jc w:val="both"/>
        <w:rPr>
          <w:rFonts w:cs="Times New Roman"/>
          <w:sz w:val="24"/>
          <w:szCs w:val="24"/>
          <w:lang w:val="fr-FR"/>
        </w:rPr>
      </w:pPr>
      <w:r w:rsidRPr="00953692">
        <w:rPr>
          <w:b/>
          <w:bCs/>
          <w:sz w:val="24"/>
          <w:szCs w:val="24"/>
          <w:lang w:val="fr-FR"/>
        </w:rPr>
        <w:t>317</w:t>
      </w:r>
      <w:r w:rsidR="002C185C" w:rsidRPr="00953692">
        <w:rPr>
          <w:b/>
          <w:bCs/>
          <w:sz w:val="24"/>
          <w:szCs w:val="24"/>
          <w:lang w:val="fr-FR"/>
        </w:rPr>
        <w:t>.</w:t>
      </w:r>
      <w:r w:rsidR="002C185C" w:rsidRPr="00953692">
        <w:rPr>
          <w:sz w:val="24"/>
          <w:szCs w:val="24"/>
          <w:lang w:val="fr-FR"/>
        </w:rPr>
        <w:t xml:space="preserve"> </w:t>
      </w:r>
      <w:r w:rsidR="00004303" w:rsidRPr="00953692">
        <w:rPr>
          <w:sz w:val="24"/>
          <w:szCs w:val="24"/>
          <w:lang w:val="fr-FR"/>
        </w:rPr>
        <w:t xml:space="preserve">Dans le premier cas, </w:t>
      </w:r>
      <w:r w:rsidR="00C52427" w:rsidRPr="00953692">
        <w:rPr>
          <w:sz w:val="24"/>
          <w:szCs w:val="24"/>
          <w:lang w:val="fr-FR"/>
        </w:rPr>
        <w:t>on peut retrouver une illustration pratique dans</w:t>
      </w:r>
      <w:r w:rsidR="00BC123C" w:rsidRPr="00953692">
        <w:rPr>
          <w:sz w:val="24"/>
          <w:szCs w:val="24"/>
          <w:lang w:val="fr-FR"/>
        </w:rPr>
        <w:t xml:space="preserve"> l’affaire </w:t>
      </w:r>
      <w:r w:rsidR="00673311" w:rsidRPr="00953692">
        <w:rPr>
          <w:rFonts w:cs="Times New Roman"/>
          <w:sz w:val="24"/>
          <w:szCs w:val="24"/>
          <w:lang w:val="fr-FR"/>
        </w:rPr>
        <w:t xml:space="preserve">opposant le </w:t>
      </w:r>
      <w:r w:rsidR="00BC123C" w:rsidRPr="00953692">
        <w:rPr>
          <w:rFonts w:cs="Times New Roman"/>
          <w:sz w:val="24"/>
          <w:szCs w:val="24"/>
          <w:lang w:val="fr-FR"/>
        </w:rPr>
        <w:t>P</w:t>
      </w:r>
      <w:r w:rsidR="00673311" w:rsidRPr="00953692">
        <w:rPr>
          <w:rFonts w:cs="Times New Roman"/>
          <w:sz w:val="24"/>
          <w:szCs w:val="24"/>
          <w:lang w:val="fr-FR"/>
        </w:rPr>
        <w:t>rocureur à Laurent Gbagbo</w:t>
      </w:r>
      <w:r w:rsidR="00C52427" w:rsidRPr="00953692">
        <w:rPr>
          <w:rFonts w:cs="Times New Roman"/>
          <w:sz w:val="24"/>
          <w:szCs w:val="24"/>
          <w:lang w:val="fr-FR"/>
        </w:rPr>
        <w:t xml:space="preserve"> devant la CPI. En effet, le 11 mars 2015, la</w:t>
      </w:r>
      <w:r w:rsidR="00514B8B" w:rsidRPr="00953692">
        <w:rPr>
          <w:rFonts w:cs="Times New Roman"/>
          <w:sz w:val="24"/>
          <w:szCs w:val="24"/>
          <w:lang w:val="fr-FR"/>
        </w:rPr>
        <w:t xml:space="preserve"> Chambre de première instance </w:t>
      </w:r>
      <w:r w:rsidR="00C52427" w:rsidRPr="00953692">
        <w:rPr>
          <w:rFonts w:cs="Times New Roman"/>
          <w:sz w:val="24"/>
          <w:szCs w:val="24"/>
          <w:lang w:val="fr-FR"/>
        </w:rPr>
        <w:t>avait donc décidé de joindre</w:t>
      </w:r>
      <w:r w:rsidR="00514B8B" w:rsidRPr="00953692">
        <w:rPr>
          <w:rFonts w:cs="Times New Roman"/>
          <w:sz w:val="24"/>
          <w:szCs w:val="24"/>
          <w:lang w:val="fr-FR"/>
        </w:rPr>
        <w:t xml:space="preserve"> </w:t>
      </w:r>
      <w:r w:rsidR="00C52427" w:rsidRPr="00953692">
        <w:rPr>
          <w:rFonts w:cs="Times New Roman"/>
          <w:sz w:val="24"/>
          <w:szCs w:val="24"/>
          <w:lang w:val="fr-FR"/>
        </w:rPr>
        <w:t xml:space="preserve">cette </w:t>
      </w:r>
      <w:r w:rsidR="00514B8B" w:rsidRPr="00953692">
        <w:rPr>
          <w:rFonts w:cs="Times New Roman"/>
          <w:sz w:val="24"/>
          <w:szCs w:val="24"/>
          <w:lang w:val="fr-FR"/>
        </w:rPr>
        <w:t>instance à</w:t>
      </w:r>
      <w:r w:rsidR="00C52427" w:rsidRPr="00953692">
        <w:rPr>
          <w:rFonts w:cs="Times New Roman"/>
          <w:sz w:val="24"/>
          <w:szCs w:val="24"/>
          <w:lang w:val="fr-FR"/>
        </w:rPr>
        <w:t xml:space="preserve"> l’affaire</w:t>
      </w:r>
      <w:r w:rsidR="00514B8B" w:rsidRPr="00953692">
        <w:rPr>
          <w:rFonts w:cs="Times New Roman"/>
          <w:sz w:val="24"/>
          <w:szCs w:val="24"/>
          <w:lang w:val="fr-FR"/>
        </w:rPr>
        <w:t xml:space="preserve"> Charles Blé Goudé</w:t>
      </w:r>
      <w:r w:rsidR="0075408C" w:rsidRPr="00953692">
        <w:rPr>
          <w:rFonts w:cs="Times New Roman"/>
          <w:sz w:val="24"/>
          <w:szCs w:val="24"/>
          <w:lang w:val="fr-FR"/>
        </w:rPr>
        <w:t> ; l</w:t>
      </w:r>
      <w:r w:rsidR="00514B8B" w:rsidRPr="00953692">
        <w:rPr>
          <w:rFonts w:cs="Times New Roman"/>
          <w:sz w:val="24"/>
          <w:szCs w:val="24"/>
          <w:lang w:val="fr-FR"/>
        </w:rPr>
        <w:t xml:space="preserve">ors de la conférence de la mise en état </w:t>
      </w:r>
      <w:r w:rsidR="007F2148" w:rsidRPr="00953692">
        <w:rPr>
          <w:rFonts w:cs="Times New Roman"/>
          <w:sz w:val="24"/>
          <w:szCs w:val="24"/>
          <w:lang w:val="fr-FR"/>
        </w:rPr>
        <w:t>du</w:t>
      </w:r>
      <w:r w:rsidR="00514B8B" w:rsidRPr="00953692">
        <w:rPr>
          <w:rFonts w:cs="Times New Roman"/>
          <w:sz w:val="24"/>
          <w:szCs w:val="24"/>
          <w:lang w:val="fr-FR"/>
        </w:rPr>
        <w:t xml:space="preserve"> 24 avril 2015, la Défense </w:t>
      </w:r>
      <w:r w:rsidR="00514B8B" w:rsidRPr="00953692">
        <w:rPr>
          <w:rFonts w:cs="Times New Roman"/>
          <w:sz w:val="24"/>
          <w:szCs w:val="24"/>
          <w:lang w:val="fr-FR"/>
        </w:rPr>
        <w:lastRenderedPageBreak/>
        <w:t>de Laurent Gbagbo a évoqué la question relative au droit de l’accusé de disposer du temps nécessaire à la préparation de sa défense.</w:t>
      </w:r>
      <w:r w:rsidR="00215423" w:rsidRPr="00953692">
        <w:rPr>
          <w:rFonts w:cs="Times New Roman"/>
          <w:sz w:val="24"/>
          <w:szCs w:val="24"/>
          <w:lang w:val="fr-FR"/>
        </w:rPr>
        <w:t xml:space="preserve"> La Défense a </w:t>
      </w:r>
      <w:r w:rsidR="006C19F5" w:rsidRPr="00953692">
        <w:rPr>
          <w:rFonts w:cs="Times New Roman"/>
          <w:sz w:val="24"/>
          <w:szCs w:val="24"/>
          <w:lang w:val="fr-FR"/>
        </w:rPr>
        <w:t>démontré le lien indéfaisable qui unit ce droit à la notion du procès équitable</w:t>
      </w:r>
      <w:r w:rsidR="00E420AF" w:rsidRPr="00953692">
        <w:rPr>
          <w:rStyle w:val="Appelnotedebasdep"/>
          <w:rFonts w:cs="Times New Roman"/>
          <w:sz w:val="24"/>
          <w:szCs w:val="24"/>
          <w:lang w:val="fr-FR"/>
        </w:rPr>
        <w:footnoteReference w:customMarkFollows="1" w:id="242"/>
        <w:t>219</w:t>
      </w:r>
      <w:r w:rsidR="006C19F5" w:rsidRPr="00953692">
        <w:rPr>
          <w:rFonts w:cs="Times New Roman"/>
          <w:sz w:val="24"/>
          <w:szCs w:val="24"/>
          <w:lang w:val="fr-FR"/>
        </w:rPr>
        <w:t>. Sa préoccupation de disposer de plus d</w:t>
      </w:r>
      <w:r w:rsidR="00C52427" w:rsidRPr="00953692">
        <w:rPr>
          <w:rFonts w:cs="Times New Roman"/>
          <w:sz w:val="24"/>
          <w:szCs w:val="24"/>
          <w:lang w:val="fr-FR"/>
        </w:rPr>
        <w:t>u</w:t>
      </w:r>
      <w:r w:rsidR="006C19F5" w:rsidRPr="00953692">
        <w:rPr>
          <w:rFonts w:cs="Times New Roman"/>
          <w:sz w:val="24"/>
          <w:szCs w:val="24"/>
          <w:lang w:val="fr-FR"/>
        </w:rPr>
        <w:t xml:space="preserve"> temps</w:t>
      </w:r>
      <w:r w:rsidR="00140B3E" w:rsidRPr="00953692">
        <w:rPr>
          <w:rFonts w:cs="Times New Roman"/>
          <w:sz w:val="24"/>
          <w:szCs w:val="24"/>
          <w:lang w:val="fr-FR"/>
        </w:rPr>
        <w:t>,</w:t>
      </w:r>
      <w:r w:rsidR="006C19F5" w:rsidRPr="00953692">
        <w:rPr>
          <w:rFonts w:cs="Times New Roman"/>
          <w:sz w:val="24"/>
          <w:szCs w:val="24"/>
          <w:lang w:val="fr-FR"/>
        </w:rPr>
        <w:t xml:space="preserve"> </w:t>
      </w:r>
      <w:r w:rsidR="00140B3E" w:rsidRPr="00953692">
        <w:rPr>
          <w:rFonts w:cs="Times New Roman"/>
          <w:sz w:val="24"/>
          <w:szCs w:val="24"/>
          <w:lang w:val="fr-FR"/>
        </w:rPr>
        <w:t xml:space="preserve">qui remontait à une période bien antérieure, </w:t>
      </w:r>
      <w:r w:rsidR="006C19F5" w:rsidRPr="00953692">
        <w:rPr>
          <w:rFonts w:cs="Times New Roman"/>
          <w:sz w:val="24"/>
          <w:szCs w:val="24"/>
          <w:lang w:val="fr-FR"/>
        </w:rPr>
        <w:t xml:space="preserve">avait cependant rencontré l’opposition du Procureur, qui confrontait ce droit mis en avant par l’accusé </w:t>
      </w:r>
      <w:r w:rsidR="00C52427" w:rsidRPr="00953692">
        <w:rPr>
          <w:rFonts w:cs="Times New Roman"/>
          <w:sz w:val="24"/>
          <w:szCs w:val="24"/>
          <w:lang w:val="fr-FR"/>
        </w:rPr>
        <w:t xml:space="preserve">à </w:t>
      </w:r>
      <w:r w:rsidR="008220A3" w:rsidRPr="00953692">
        <w:rPr>
          <w:rFonts w:cs="Times New Roman"/>
          <w:sz w:val="24"/>
          <w:szCs w:val="24"/>
          <w:lang w:val="fr-FR"/>
        </w:rPr>
        <w:t>son</w:t>
      </w:r>
      <w:r w:rsidR="00C52427" w:rsidRPr="00953692">
        <w:rPr>
          <w:rFonts w:cs="Times New Roman"/>
          <w:sz w:val="24"/>
          <w:szCs w:val="24"/>
          <w:lang w:val="fr-FR"/>
        </w:rPr>
        <w:t xml:space="preserve"> autre</w:t>
      </w:r>
      <w:r w:rsidR="006C19F5" w:rsidRPr="00953692">
        <w:rPr>
          <w:rFonts w:cs="Times New Roman"/>
          <w:sz w:val="24"/>
          <w:szCs w:val="24"/>
          <w:lang w:val="fr-FR"/>
        </w:rPr>
        <w:t xml:space="preserve"> droit</w:t>
      </w:r>
      <w:r w:rsidR="00C52427" w:rsidRPr="00953692">
        <w:rPr>
          <w:rFonts w:cs="Times New Roman"/>
          <w:sz w:val="24"/>
          <w:szCs w:val="24"/>
          <w:lang w:val="fr-FR"/>
        </w:rPr>
        <w:t>, celui</w:t>
      </w:r>
      <w:r w:rsidR="006C19F5" w:rsidRPr="00953692">
        <w:rPr>
          <w:rFonts w:cs="Times New Roman"/>
          <w:sz w:val="24"/>
          <w:szCs w:val="24"/>
          <w:lang w:val="fr-FR"/>
        </w:rPr>
        <w:t xml:space="preserve"> d’être jugé sans retard excessif </w:t>
      </w:r>
      <w:r w:rsidR="00E97BD6" w:rsidRPr="00953692">
        <w:rPr>
          <w:rFonts w:cs="Times New Roman"/>
          <w:sz w:val="24"/>
          <w:szCs w:val="24"/>
          <w:lang w:val="fr-FR"/>
        </w:rPr>
        <w:t xml:space="preserve">en ces termes </w:t>
      </w:r>
      <w:r w:rsidR="006C19F5" w:rsidRPr="00953692">
        <w:rPr>
          <w:rFonts w:cs="Times New Roman"/>
          <w:sz w:val="24"/>
          <w:szCs w:val="24"/>
          <w:lang w:val="fr-FR"/>
        </w:rPr>
        <w:t>:</w:t>
      </w:r>
    </w:p>
    <w:p w14:paraId="38872D15" w14:textId="3E2C51C4" w:rsidR="006C19F5" w:rsidRPr="00953692" w:rsidRDefault="00151076" w:rsidP="00864BBF">
      <w:pPr>
        <w:spacing w:line="276" w:lineRule="auto"/>
        <w:ind w:left="1134" w:firstLine="1134"/>
        <w:jc w:val="both"/>
        <w:rPr>
          <w:rFonts w:cs="Times New Roman"/>
          <w:sz w:val="22"/>
          <w:lang w:val="fr-FR"/>
        </w:rPr>
      </w:pPr>
      <w:r w:rsidRPr="00953692">
        <w:rPr>
          <w:rFonts w:cs="Times New Roman"/>
          <w:sz w:val="22"/>
          <w:lang w:val="fr-FR"/>
        </w:rPr>
        <w:t>« …</w:t>
      </w:r>
      <w:r w:rsidR="005E71C7" w:rsidRPr="00953692">
        <w:rPr>
          <w:rFonts w:cs="Times New Roman"/>
          <w:sz w:val="22"/>
          <w:lang w:val="fr-FR"/>
        </w:rPr>
        <w:t xml:space="preserve"> </w:t>
      </w:r>
      <w:r w:rsidR="00EF394F" w:rsidRPr="00953692">
        <w:rPr>
          <w:rFonts w:cs="Times New Roman"/>
          <w:i/>
          <w:iCs/>
          <w:sz w:val="22"/>
          <w:lang w:val="fr-FR"/>
        </w:rPr>
        <w:t>mais</w:t>
      </w:r>
      <w:r w:rsidR="002B4A47" w:rsidRPr="00953692">
        <w:rPr>
          <w:rFonts w:cs="Times New Roman"/>
          <w:i/>
          <w:iCs/>
          <w:sz w:val="22"/>
          <w:lang w:val="fr-FR"/>
        </w:rPr>
        <w:t xml:space="preserve"> je crois comprendre que la Défense souhaite bénéficier d'une rallonge de ce délai. C'est la Défense qui demande une prorogation, mais c'est à la Défense aussi de se demander quel droit elle veut voir respecter ; le droit à un procès rapide, c'est un droit, mais est-ce que la Défense renonce à ce droit ? Lorsque différents droits sont concurrents, la Défense doit faire des choix. Et je veux simplement comprendre à quel droit elle accorde la </w:t>
      </w:r>
      <w:r w:rsidR="00EF394F" w:rsidRPr="00953692">
        <w:rPr>
          <w:rFonts w:cs="Times New Roman"/>
          <w:i/>
          <w:iCs/>
          <w:sz w:val="22"/>
          <w:lang w:val="fr-FR"/>
        </w:rPr>
        <w:t>priorité</w:t>
      </w:r>
      <w:r w:rsidR="00EF394F" w:rsidRPr="00953692">
        <w:rPr>
          <w:rFonts w:cs="Times New Roman"/>
          <w:sz w:val="22"/>
          <w:lang w:val="fr-FR"/>
        </w:rPr>
        <w:t xml:space="preserve"> »</w:t>
      </w:r>
      <w:r w:rsidR="00E420AF" w:rsidRPr="00953692">
        <w:rPr>
          <w:rStyle w:val="Appelnotedebasdep"/>
          <w:rFonts w:cs="Times New Roman"/>
          <w:sz w:val="22"/>
          <w:lang w:val="fr-FR"/>
        </w:rPr>
        <w:footnoteReference w:customMarkFollows="1" w:id="243"/>
        <w:t>220</w:t>
      </w:r>
      <w:r w:rsidR="002B4A47" w:rsidRPr="00953692">
        <w:rPr>
          <w:rFonts w:cs="Times New Roman"/>
          <w:sz w:val="22"/>
          <w:lang w:val="fr-FR"/>
        </w:rPr>
        <w:t>.</w:t>
      </w:r>
    </w:p>
    <w:p w14:paraId="41CA8511" w14:textId="77E946CF" w:rsidR="00140B3E" w:rsidRPr="00953692" w:rsidRDefault="005577EE" w:rsidP="00864BBF">
      <w:pPr>
        <w:spacing w:line="276" w:lineRule="auto"/>
        <w:ind w:firstLine="1134"/>
        <w:jc w:val="both"/>
        <w:rPr>
          <w:rFonts w:cs="Times New Roman"/>
          <w:sz w:val="24"/>
          <w:szCs w:val="24"/>
          <w:lang w:val="fr-FR"/>
        </w:rPr>
      </w:pPr>
      <w:r w:rsidRPr="00953692">
        <w:rPr>
          <w:rFonts w:cs="Times New Roman"/>
          <w:b/>
          <w:bCs/>
          <w:sz w:val="24"/>
          <w:szCs w:val="24"/>
          <w:lang w:val="fr-FR"/>
        </w:rPr>
        <w:t>318</w:t>
      </w:r>
      <w:r w:rsidR="004A1C22" w:rsidRPr="00953692">
        <w:rPr>
          <w:rFonts w:cs="Times New Roman"/>
          <w:b/>
          <w:bCs/>
          <w:sz w:val="24"/>
          <w:szCs w:val="24"/>
          <w:lang w:val="fr-FR"/>
        </w:rPr>
        <w:t>.</w:t>
      </w:r>
      <w:r w:rsidR="004A1C22" w:rsidRPr="00953692">
        <w:rPr>
          <w:rFonts w:cs="Times New Roman"/>
          <w:sz w:val="24"/>
          <w:szCs w:val="24"/>
          <w:lang w:val="fr-FR"/>
        </w:rPr>
        <w:t xml:space="preserve"> </w:t>
      </w:r>
      <w:r w:rsidR="007C4B53" w:rsidRPr="00953692">
        <w:rPr>
          <w:rFonts w:cs="Times New Roman"/>
          <w:sz w:val="24"/>
          <w:szCs w:val="24"/>
          <w:lang w:val="fr-FR"/>
        </w:rPr>
        <w:t xml:space="preserve">Pour l’accusé, le procureur tentait implicitement de réduire ses droits à travers cette confrontation. </w:t>
      </w:r>
      <w:r w:rsidR="00140B3E" w:rsidRPr="00953692">
        <w:rPr>
          <w:rFonts w:cs="Times New Roman"/>
          <w:sz w:val="24"/>
          <w:szCs w:val="24"/>
          <w:lang w:val="fr-FR"/>
        </w:rPr>
        <w:t>Ce à quoi la Défense a vigoureusement protesté en ayant argué que :</w:t>
      </w:r>
    </w:p>
    <w:p w14:paraId="37B47C82" w14:textId="7413F78B" w:rsidR="00140B3E" w:rsidRPr="00953692" w:rsidRDefault="00140B3E" w:rsidP="00864BBF">
      <w:pPr>
        <w:spacing w:line="276" w:lineRule="auto"/>
        <w:ind w:left="1134" w:firstLine="1134"/>
        <w:jc w:val="both"/>
        <w:rPr>
          <w:rFonts w:cs="Times New Roman"/>
          <w:i/>
          <w:iCs/>
          <w:sz w:val="22"/>
          <w:lang w:val="fr-FR"/>
        </w:rPr>
      </w:pPr>
      <w:r w:rsidRPr="00953692">
        <w:rPr>
          <w:rFonts w:cs="Times New Roman"/>
          <w:i/>
          <w:iCs/>
          <w:sz w:val="22"/>
          <w:lang w:val="fr-FR"/>
        </w:rPr>
        <w:t xml:space="preserve">« … </w:t>
      </w:r>
      <w:r w:rsidRPr="00953692">
        <w:rPr>
          <w:i/>
          <w:iCs/>
          <w:sz w:val="22"/>
          <w:lang w:val="fr-FR"/>
        </w:rPr>
        <w:t>contrairement à ce qu’avançait à l’époque le Procureur, il n’y a pas</w:t>
      </w:r>
      <w:r w:rsidR="007C4B53" w:rsidRPr="00953692">
        <w:rPr>
          <w:i/>
          <w:iCs/>
          <w:sz w:val="22"/>
          <w:lang w:val="fr-FR"/>
        </w:rPr>
        <w:t xml:space="preserve"> de</w:t>
      </w:r>
      <w:r w:rsidRPr="00953692">
        <w:rPr>
          <w:i/>
          <w:iCs/>
          <w:sz w:val="22"/>
          <w:lang w:val="fr-FR"/>
        </w:rPr>
        <w:t xml:space="preserve"> contradiction entre les droits dont dispose un individu. Ces droits se complètent et c’est uniquement lorsque l’accusé les exerce de manière complète et libre qu’il peut être capable de faire entendre sa voix. Vouloir réduire ces droits </w:t>
      </w:r>
      <w:r w:rsidRPr="00953692">
        <w:rPr>
          <w:i/>
          <w:iCs/>
          <w:sz w:val="22"/>
          <w:lang w:val="fr-FR"/>
        </w:rPr>
        <w:lastRenderedPageBreak/>
        <w:t>revient à vouloir l’empêcher de s’exprimer et revient à porter atteinte au caractère équitable du procès »</w:t>
      </w:r>
      <w:r w:rsidR="00C631C6" w:rsidRPr="00953692">
        <w:rPr>
          <w:rStyle w:val="Appelnotedebasdep"/>
          <w:rFonts w:cs="Times New Roman"/>
          <w:i/>
          <w:iCs/>
          <w:sz w:val="22"/>
          <w:lang w:val="fr-FR"/>
        </w:rPr>
        <w:footnoteReference w:customMarkFollows="1" w:id="244"/>
        <w:t>221</w:t>
      </w:r>
      <w:r w:rsidR="00E333DC" w:rsidRPr="00953692">
        <w:rPr>
          <w:rFonts w:cs="Times New Roman"/>
          <w:i/>
          <w:iCs/>
          <w:sz w:val="22"/>
          <w:lang w:val="fr-FR"/>
        </w:rPr>
        <w:t>.</w:t>
      </w:r>
    </w:p>
    <w:p w14:paraId="4B851DF3" w14:textId="02C6F65C" w:rsidR="00AB0082"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319</w:t>
      </w:r>
      <w:r w:rsidR="007C4B53" w:rsidRPr="00953692">
        <w:rPr>
          <w:rFonts w:cs="Times New Roman"/>
          <w:b/>
          <w:bCs/>
          <w:sz w:val="24"/>
          <w:szCs w:val="24"/>
          <w:lang w:val="fr-FR"/>
        </w:rPr>
        <w:t>.</w:t>
      </w:r>
      <w:r w:rsidR="007C4B53" w:rsidRPr="00953692">
        <w:rPr>
          <w:rFonts w:cs="Times New Roman"/>
          <w:sz w:val="24"/>
          <w:szCs w:val="24"/>
          <w:lang w:val="fr-FR"/>
        </w:rPr>
        <w:t xml:space="preserve"> </w:t>
      </w:r>
      <w:r w:rsidR="006A2937" w:rsidRPr="00953692">
        <w:rPr>
          <w:rFonts w:cs="Times New Roman"/>
          <w:sz w:val="24"/>
          <w:szCs w:val="24"/>
          <w:lang w:val="fr-FR"/>
        </w:rPr>
        <w:t xml:space="preserve">En effet, cette </w:t>
      </w:r>
      <w:r w:rsidR="005E619A" w:rsidRPr="00953692">
        <w:rPr>
          <w:rFonts w:cs="Times New Roman"/>
          <w:sz w:val="24"/>
          <w:szCs w:val="24"/>
          <w:lang w:val="fr-FR"/>
        </w:rPr>
        <w:t>passe d’armes</w:t>
      </w:r>
      <w:r w:rsidR="006A2937" w:rsidRPr="00953692">
        <w:rPr>
          <w:rFonts w:cs="Times New Roman"/>
          <w:sz w:val="24"/>
          <w:szCs w:val="24"/>
          <w:lang w:val="fr-FR"/>
        </w:rPr>
        <w:t xml:space="preserve"> visiblement et apriori partisane</w:t>
      </w:r>
      <w:r w:rsidR="00220C1F" w:rsidRPr="00953692">
        <w:rPr>
          <w:rFonts w:cs="Times New Roman"/>
          <w:sz w:val="24"/>
          <w:szCs w:val="24"/>
          <w:lang w:val="fr-FR"/>
        </w:rPr>
        <w:t xml:space="preserve"> ou posturale</w:t>
      </w:r>
      <w:r w:rsidR="006A2937" w:rsidRPr="00953692">
        <w:rPr>
          <w:rFonts w:cs="Times New Roman"/>
          <w:sz w:val="24"/>
          <w:szCs w:val="24"/>
          <w:lang w:val="fr-FR"/>
        </w:rPr>
        <w:t xml:space="preserve"> semble flouer </w:t>
      </w:r>
      <w:r w:rsidR="000E7E62" w:rsidRPr="00953692">
        <w:rPr>
          <w:rFonts w:cs="Times New Roman"/>
          <w:sz w:val="24"/>
          <w:szCs w:val="24"/>
          <w:lang w:val="fr-FR"/>
        </w:rPr>
        <w:t xml:space="preserve">et relativiser </w:t>
      </w:r>
      <w:r w:rsidR="00CB08D0" w:rsidRPr="00953692">
        <w:rPr>
          <w:rFonts w:cs="Times New Roman"/>
          <w:sz w:val="24"/>
          <w:szCs w:val="24"/>
          <w:lang w:val="fr-FR"/>
        </w:rPr>
        <w:t>cette conflictualité entre ces deux prérogatives</w:t>
      </w:r>
      <w:r w:rsidR="00DE1C6B" w:rsidRPr="00953692">
        <w:rPr>
          <w:rFonts w:cs="Times New Roman"/>
          <w:sz w:val="24"/>
          <w:szCs w:val="24"/>
          <w:lang w:val="fr-FR"/>
        </w:rPr>
        <w:t xml:space="preserve"> de l’accusé</w:t>
      </w:r>
      <w:r w:rsidR="006C6F4A" w:rsidRPr="00953692">
        <w:rPr>
          <w:rFonts w:cs="Times New Roman"/>
          <w:sz w:val="24"/>
          <w:szCs w:val="24"/>
          <w:lang w:val="fr-FR"/>
        </w:rPr>
        <w:t>,</w:t>
      </w:r>
      <w:r w:rsidR="003C15C0" w:rsidRPr="00953692">
        <w:rPr>
          <w:rFonts w:cs="Times New Roman"/>
          <w:sz w:val="24"/>
          <w:szCs w:val="24"/>
          <w:lang w:val="fr-FR"/>
        </w:rPr>
        <w:t xml:space="preserve"> selon que l’on se situe d’un ou de l’autre côté</w:t>
      </w:r>
      <w:r w:rsidR="00DE1C6B" w:rsidRPr="00953692">
        <w:rPr>
          <w:rFonts w:cs="Times New Roman"/>
          <w:sz w:val="24"/>
          <w:szCs w:val="24"/>
          <w:lang w:val="fr-FR"/>
        </w:rPr>
        <w:t xml:space="preserve"> du tribunal</w:t>
      </w:r>
      <w:r w:rsidR="003C15C0" w:rsidRPr="00953692">
        <w:rPr>
          <w:rFonts w:cs="Times New Roman"/>
          <w:sz w:val="24"/>
          <w:szCs w:val="24"/>
          <w:lang w:val="fr-FR"/>
        </w:rPr>
        <w:t xml:space="preserve">. </w:t>
      </w:r>
      <w:r w:rsidR="00CB08D0" w:rsidRPr="00953692">
        <w:rPr>
          <w:rFonts w:cs="Times New Roman"/>
          <w:sz w:val="24"/>
          <w:szCs w:val="24"/>
          <w:lang w:val="fr-FR"/>
        </w:rPr>
        <w:t xml:space="preserve">Il faut bien le rappeler, dans une logique de combat judiciaire </w:t>
      </w:r>
      <w:r w:rsidR="007C4B53" w:rsidRPr="00953692">
        <w:rPr>
          <w:rFonts w:cs="Times New Roman"/>
          <w:sz w:val="24"/>
          <w:szCs w:val="24"/>
          <w:lang w:val="fr-FR"/>
        </w:rPr>
        <w:t>illustré</w:t>
      </w:r>
      <w:r w:rsidR="00CB08D0" w:rsidRPr="00953692">
        <w:rPr>
          <w:rFonts w:cs="Times New Roman"/>
          <w:sz w:val="24"/>
          <w:szCs w:val="24"/>
          <w:lang w:val="fr-FR"/>
        </w:rPr>
        <w:t xml:space="preserve"> par le </w:t>
      </w:r>
      <w:r w:rsidR="00DE1C6B" w:rsidRPr="00953692">
        <w:rPr>
          <w:rFonts w:cs="Times New Roman"/>
          <w:sz w:val="24"/>
          <w:szCs w:val="24"/>
          <w:lang w:val="fr-FR"/>
        </w:rPr>
        <w:t>principe du</w:t>
      </w:r>
      <w:r w:rsidR="00CB08D0" w:rsidRPr="00953692">
        <w:rPr>
          <w:rFonts w:cs="Times New Roman"/>
          <w:sz w:val="24"/>
          <w:szCs w:val="24"/>
          <w:lang w:val="fr-FR"/>
        </w:rPr>
        <w:t xml:space="preserve"> contradictoire, le Procureur n’a pas grand intérêt </w:t>
      </w:r>
      <w:r w:rsidR="003121D7" w:rsidRPr="00953692">
        <w:rPr>
          <w:rFonts w:cs="Times New Roman"/>
          <w:sz w:val="24"/>
          <w:szCs w:val="24"/>
          <w:lang w:val="fr-FR"/>
        </w:rPr>
        <w:t xml:space="preserve">à ce </w:t>
      </w:r>
      <w:r w:rsidR="00CB08D0" w:rsidRPr="00953692">
        <w:rPr>
          <w:rFonts w:cs="Times New Roman"/>
          <w:sz w:val="24"/>
          <w:szCs w:val="24"/>
          <w:lang w:val="fr-FR"/>
        </w:rPr>
        <w:t>que l’accusé ait suffisamment du temps à la préparation de sa Défense, même s’il devra instruire à charge et à décharge</w:t>
      </w:r>
      <w:r w:rsidR="00AB0082" w:rsidRPr="00953692">
        <w:rPr>
          <w:rFonts w:cs="Times New Roman"/>
          <w:sz w:val="24"/>
          <w:szCs w:val="24"/>
          <w:lang w:val="fr-FR"/>
        </w:rPr>
        <w:t> ; c’est l’adversaire de l’accusé de toute façon</w:t>
      </w:r>
      <w:r w:rsidR="00CB08D0" w:rsidRPr="00953692">
        <w:rPr>
          <w:rFonts w:cs="Times New Roman"/>
          <w:sz w:val="24"/>
          <w:szCs w:val="24"/>
          <w:lang w:val="fr-FR"/>
        </w:rPr>
        <w:t>. Le fait pour l</w:t>
      </w:r>
      <w:r w:rsidR="00AB0082" w:rsidRPr="00953692">
        <w:rPr>
          <w:rFonts w:cs="Times New Roman"/>
          <w:sz w:val="24"/>
          <w:szCs w:val="24"/>
          <w:lang w:val="fr-FR"/>
        </w:rPr>
        <w:t>ui</w:t>
      </w:r>
      <w:r w:rsidR="00CB08D0" w:rsidRPr="00953692">
        <w:rPr>
          <w:rFonts w:cs="Times New Roman"/>
          <w:sz w:val="24"/>
          <w:szCs w:val="24"/>
          <w:lang w:val="fr-FR"/>
        </w:rPr>
        <w:t xml:space="preserve"> de soulever une telle contradiction relève </w:t>
      </w:r>
      <w:r w:rsidR="007C4B53" w:rsidRPr="00953692">
        <w:rPr>
          <w:rFonts w:cs="Times New Roman"/>
          <w:sz w:val="24"/>
          <w:szCs w:val="24"/>
          <w:lang w:val="fr-FR"/>
        </w:rPr>
        <w:t>bien</w:t>
      </w:r>
      <w:r w:rsidR="00CB08D0" w:rsidRPr="00953692">
        <w:rPr>
          <w:rFonts w:cs="Times New Roman"/>
          <w:sz w:val="24"/>
          <w:szCs w:val="24"/>
          <w:lang w:val="fr-FR"/>
        </w:rPr>
        <w:t xml:space="preserve"> de l’ordre de pression</w:t>
      </w:r>
      <w:r w:rsidR="00AB0082" w:rsidRPr="00953692">
        <w:rPr>
          <w:rFonts w:cs="Times New Roman"/>
          <w:sz w:val="24"/>
          <w:szCs w:val="24"/>
          <w:lang w:val="fr-FR"/>
        </w:rPr>
        <w:t xml:space="preserve"> psychologique</w:t>
      </w:r>
      <w:r w:rsidR="00CB08D0" w:rsidRPr="00953692">
        <w:rPr>
          <w:rFonts w:cs="Times New Roman"/>
          <w:sz w:val="24"/>
          <w:szCs w:val="24"/>
          <w:lang w:val="fr-FR"/>
        </w:rPr>
        <w:t xml:space="preserve"> qu’il essaie d’exercer sur la Défense afin de privilégier l’un d’entre ces</w:t>
      </w:r>
      <w:r w:rsidR="00AB0082" w:rsidRPr="00953692">
        <w:rPr>
          <w:rFonts w:cs="Times New Roman"/>
          <w:sz w:val="24"/>
          <w:szCs w:val="24"/>
          <w:lang w:val="fr-FR"/>
        </w:rPr>
        <w:t xml:space="preserve"> (ses)</w:t>
      </w:r>
      <w:r w:rsidR="00CB08D0" w:rsidRPr="00953692">
        <w:rPr>
          <w:rFonts w:cs="Times New Roman"/>
          <w:sz w:val="24"/>
          <w:szCs w:val="24"/>
          <w:lang w:val="fr-FR"/>
        </w:rPr>
        <w:t xml:space="preserve"> droits, alors que la question du délai raisonnable n’avait pas été pertinent</w:t>
      </w:r>
      <w:r w:rsidR="00AB0082" w:rsidRPr="00953692">
        <w:rPr>
          <w:rFonts w:cs="Times New Roman"/>
          <w:sz w:val="24"/>
          <w:szCs w:val="24"/>
          <w:lang w:val="fr-FR"/>
        </w:rPr>
        <w:t>e</w:t>
      </w:r>
      <w:r w:rsidR="00CB08D0" w:rsidRPr="00953692">
        <w:rPr>
          <w:rFonts w:cs="Times New Roman"/>
          <w:sz w:val="24"/>
          <w:szCs w:val="24"/>
          <w:lang w:val="fr-FR"/>
        </w:rPr>
        <w:t xml:space="preserve"> à ce moment-là. </w:t>
      </w:r>
      <w:r w:rsidR="006A566F" w:rsidRPr="00953692">
        <w:rPr>
          <w:rFonts w:cs="Times New Roman"/>
          <w:sz w:val="24"/>
          <w:szCs w:val="24"/>
          <w:lang w:val="fr-FR"/>
        </w:rPr>
        <w:t xml:space="preserve">S’il y a bien un choix à opérer, il faut dire </w:t>
      </w:r>
      <w:r w:rsidR="007C4B53" w:rsidRPr="00953692">
        <w:rPr>
          <w:rFonts w:cs="Times New Roman"/>
          <w:sz w:val="24"/>
          <w:szCs w:val="24"/>
          <w:lang w:val="fr-FR"/>
        </w:rPr>
        <w:t xml:space="preserve">simplement </w:t>
      </w:r>
      <w:r w:rsidR="006A566F" w:rsidRPr="00953692">
        <w:rPr>
          <w:rFonts w:cs="Times New Roman"/>
          <w:sz w:val="24"/>
          <w:szCs w:val="24"/>
          <w:lang w:val="fr-FR"/>
        </w:rPr>
        <w:t>que l’accusé devra en être confronté. Or, à cette étape de la procédure, la seule préoccupation de l’accusé était celle de mieux préparer sa défense que de vouloir prévenir la violation de son droit d’être jugé sans retard excessif</w:t>
      </w:r>
    </w:p>
    <w:p w14:paraId="0997BFF7" w14:textId="09A8BA4C" w:rsidR="007C4B53" w:rsidRPr="00953692" w:rsidRDefault="005577EE" w:rsidP="00864BBF">
      <w:pPr>
        <w:spacing w:after="0" w:line="276" w:lineRule="auto"/>
        <w:ind w:firstLine="1134"/>
        <w:jc w:val="both"/>
        <w:rPr>
          <w:sz w:val="24"/>
          <w:szCs w:val="24"/>
          <w:lang w:val="fr-FR"/>
        </w:rPr>
      </w:pPr>
      <w:r w:rsidRPr="00953692">
        <w:rPr>
          <w:rFonts w:cs="Times New Roman"/>
          <w:b/>
          <w:bCs/>
          <w:sz w:val="24"/>
          <w:szCs w:val="24"/>
          <w:lang w:val="fr-FR"/>
        </w:rPr>
        <w:t>320</w:t>
      </w:r>
      <w:r w:rsidR="007C4B53" w:rsidRPr="00953692">
        <w:rPr>
          <w:rFonts w:cs="Times New Roman"/>
          <w:b/>
          <w:bCs/>
          <w:sz w:val="24"/>
          <w:szCs w:val="24"/>
          <w:lang w:val="fr-FR"/>
        </w:rPr>
        <w:t>.</w:t>
      </w:r>
      <w:r w:rsidR="007C4B53" w:rsidRPr="00953692">
        <w:rPr>
          <w:rFonts w:cs="Times New Roman"/>
          <w:sz w:val="24"/>
          <w:szCs w:val="24"/>
          <w:lang w:val="fr-FR"/>
        </w:rPr>
        <w:t xml:space="preserve"> Ceci revient à dire que, l</w:t>
      </w:r>
      <w:r w:rsidR="005149B7" w:rsidRPr="00953692">
        <w:rPr>
          <w:rFonts w:cs="Times New Roman"/>
          <w:sz w:val="24"/>
          <w:szCs w:val="24"/>
          <w:lang w:val="fr-FR"/>
        </w:rPr>
        <w:t>a conflictualité n’est possible que lorsque l’accusé lui-même revendique à la fois les deux droits sans vouloir faire de concession</w:t>
      </w:r>
      <w:r w:rsidR="0068099F" w:rsidRPr="00953692">
        <w:rPr>
          <w:rFonts w:cs="Times New Roman"/>
          <w:sz w:val="24"/>
          <w:szCs w:val="24"/>
          <w:lang w:val="fr-FR"/>
        </w:rPr>
        <w:t xml:space="preserve">. </w:t>
      </w:r>
      <w:r w:rsidR="00E97BD6" w:rsidRPr="00953692">
        <w:rPr>
          <w:rStyle w:val="misspelling"/>
          <w:rFonts w:cs="Times New Roman"/>
          <w:sz w:val="24"/>
          <w:szCs w:val="24"/>
          <w:lang w:val="fr-FR"/>
        </w:rPr>
        <w:t>Étant</w:t>
      </w:r>
      <w:r w:rsidR="00E97BD6" w:rsidRPr="00953692">
        <w:rPr>
          <w:rFonts w:cs="Times New Roman"/>
          <w:sz w:val="24"/>
          <w:szCs w:val="24"/>
          <w:shd w:val="clear" w:color="auto" w:fill="FFFFFF"/>
          <w:lang w:val="fr-FR"/>
        </w:rPr>
        <w:t xml:space="preserve"> tous</w:t>
      </w:r>
      <w:r w:rsidR="00E97BD6" w:rsidRPr="00953692">
        <w:rPr>
          <w:rFonts w:ascii="Tahoma" w:hAnsi="Tahoma" w:cs="Tahoma"/>
          <w:sz w:val="24"/>
          <w:szCs w:val="24"/>
          <w:shd w:val="clear" w:color="auto" w:fill="FFFFFF"/>
          <w:lang w:val="fr-FR"/>
        </w:rPr>
        <w:t xml:space="preserve"> </w:t>
      </w:r>
      <w:r w:rsidR="00847DFA" w:rsidRPr="00953692">
        <w:rPr>
          <w:rFonts w:cs="Times New Roman"/>
          <w:sz w:val="24"/>
          <w:szCs w:val="24"/>
          <w:lang w:val="fr-FR"/>
        </w:rPr>
        <w:t xml:space="preserve">des droits subjectifs et dont l’application est généralement </w:t>
      </w:r>
      <w:r w:rsidR="00A85390" w:rsidRPr="00953692">
        <w:rPr>
          <w:rFonts w:cs="Times New Roman"/>
          <w:sz w:val="24"/>
          <w:szCs w:val="24"/>
          <w:lang w:val="fr-FR"/>
        </w:rPr>
        <w:t>réclamée</w:t>
      </w:r>
      <w:r w:rsidR="00847DFA" w:rsidRPr="00953692">
        <w:rPr>
          <w:rFonts w:cs="Times New Roman"/>
          <w:sz w:val="24"/>
          <w:szCs w:val="24"/>
          <w:lang w:val="fr-FR"/>
        </w:rPr>
        <w:t xml:space="preserve">, le cas échéant, par l’accusé lui-même, </w:t>
      </w:r>
      <w:r w:rsidR="00A85390" w:rsidRPr="00953692">
        <w:rPr>
          <w:rFonts w:cs="Times New Roman"/>
          <w:sz w:val="24"/>
          <w:szCs w:val="24"/>
          <w:lang w:val="fr-FR"/>
        </w:rPr>
        <w:t xml:space="preserve">l’embarras que suscite leur conflictualité est aussi tout autant subjectif. L’accusé doit lui-même s’en rendre compte </w:t>
      </w:r>
      <w:r w:rsidR="003121D7" w:rsidRPr="00953692">
        <w:rPr>
          <w:rFonts w:cs="Times New Roman"/>
          <w:sz w:val="24"/>
          <w:szCs w:val="24"/>
          <w:lang w:val="fr-FR"/>
        </w:rPr>
        <w:t>à partir du</w:t>
      </w:r>
      <w:r w:rsidR="006B03CF" w:rsidRPr="00953692">
        <w:rPr>
          <w:rFonts w:cs="Times New Roman"/>
          <w:sz w:val="24"/>
          <w:szCs w:val="24"/>
          <w:lang w:val="fr-FR"/>
        </w:rPr>
        <w:t xml:space="preserve"> moment</w:t>
      </w:r>
      <w:r w:rsidR="00A85390" w:rsidRPr="00953692">
        <w:rPr>
          <w:rFonts w:cs="Times New Roman"/>
          <w:sz w:val="24"/>
          <w:szCs w:val="24"/>
          <w:lang w:val="fr-FR"/>
        </w:rPr>
        <w:t xml:space="preserve"> où il aura une vue globale</w:t>
      </w:r>
      <w:r w:rsidR="007C4B53" w:rsidRPr="00953692">
        <w:rPr>
          <w:rFonts w:cs="Times New Roman"/>
          <w:sz w:val="24"/>
          <w:szCs w:val="24"/>
          <w:lang w:val="fr-FR"/>
        </w:rPr>
        <w:t xml:space="preserve"> et prospective</w:t>
      </w:r>
      <w:r w:rsidR="00A85390" w:rsidRPr="00953692">
        <w:rPr>
          <w:rFonts w:cs="Times New Roman"/>
          <w:sz w:val="24"/>
          <w:szCs w:val="24"/>
          <w:lang w:val="fr-FR"/>
        </w:rPr>
        <w:t xml:space="preserve"> plutôt que séquentielle </w:t>
      </w:r>
      <w:r w:rsidR="00AB0082" w:rsidRPr="00953692">
        <w:rPr>
          <w:rFonts w:cs="Times New Roman"/>
          <w:sz w:val="24"/>
          <w:szCs w:val="24"/>
          <w:lang w:val="fr-FR"/>
        </w:rPr>
        <w:t xml:space="preserve">et momentanée </w:t>
      </w:r>
      <w:r w:rsidR="00A85390" w:rsidRPr="00953692">
        <w:rPr>
          <w:rFonts w:cs="Times New Roman"/>
          <w:sz w:val="24"/>
          <w:szCs w:val="24"/>
          <w:lang w:val="fr-FR"/>
        </w:rPr>
        <w:t xml:space="preserve">du procès. </w:t>
      </w:r>
      <w:r w:rsidR="006B03CF" w:rsidRPr="00953692">
        <w:rPr>
          <w:rFonts w:cs="Times New Roman"/>
          <w:sz w:val="24"/>
          <w:szCs w:val="24"/>
          <w:lang w:val="fr-FR"/>
        </w:rPr>
        <w:t>Il se peut qu’il ne s’en rende pas compte aussi tôt,</w:t>
      </w:r>
      <w:r w:rsidR="001524F0" w:rsidRPr="00953692">
        <w:rPr>
          <w:rFonts w:cs="Times New Roman"/>
          <w:sz w:val="24"/>
          <w:szCs w:val="24"/>
          <w:lang w:val="fr-FR"/>
        </w:rPr>
        <w:t xml:space="preserve"> et c</w:t>
      </w:r>
      <w:r w:rsidR="007C4B53" w:rsidRPr="00953692">
        <w:rPr>
          <w:rFonts w:cs="Times New Roman"/>
          <w:sz w:val="24"/>
          <w:szCs w:val="24"/>
          <w:lang w:val="fr-FR"/>
        </w:rPr>
        <w:t>e,</w:t>
      </w:r>
      <w:r w:rsidR="001524F0" w:rsidRPr="00953692">
        <w:rPr>
          <w:rFonts w:cs="Times New Roman"/>
          <w:sz w:val="24"/>
          <w:szCs w:val="24"/>
          <w:lang w:val="fr-FR"/>
        </w:rPr>
        <w:t xml:space="preserve"> bien souvent normalement le cas</w:t>
      </w:r>
      <w:r w:rsidR="007C4B53" w:rsidRPr="00953692">
        <w:rPr>
          <w:rFonts w:cs="Times New Roman"/>
          <w:sz w:val="24"/>
          <w:szCs w:val="24"/>
          <w:lang w:val="fr-FR"/>
        </w:rPr>
        <w:t>, étant donné qu’</w:t>
      </w:r>
      <w:r w:rsidR="001524F0" w:rsidRPr="00953692">
        <w:rPr>
          <w:rFonts w:cs="Times New Roman"/>
          <w:sz w:val="24"/>
          <w:szCs w:val="24"/>
          <w:lang w:val="fr-FR"/>
        </w:rPr>
        <w:t xml:space="preserve">au début de la procédure, </w:t>
      </w:r>
      <w:r w:rsidR="00E516C4" w:rsidRPr="00953692">
        <w:rPr>
          <w:rFonts w:cs="Times New Roman"/>
          <w:sz w:val="24"/>
          <w:szCs w:val="24"/>
          <w:lang w:val="fr-FR"/>
        </w:rPr>
        <w:t>il</w:t>
      </w:r>
      <w:r w:rsidR="001524F0" w:rsidRPr="00953692">
        <w:rPr>
          <w:rFonts w:cs="Times New Roman"/>
          <w:sz w:val="24"/>
          <w:szCs w:val="24"/>
          <w:lang w:val="fr-FR"/>
        </w:rPr>
        <w:t xml:space="preserve"> est </w:t>
      </w:r>
      <w:r w:rsidR="007C4B53" w:rsidRPr="00953692">
        <w:rPr>
          <w:rFonts w:cs="Times New Roman"/>
          <w:sz w:val="24"/>
          <w:szCs w:val="24"/>
          <w:lang w:val="fr-FR"/>
        </w:rPr>
        <w:t xml:space="preserve">avant tout préoccupé par </w:t>
      </w:r>
      <w:r w:rsidR="0052435A" w:rsidRPr="00953692">
        <w:rPr>
          <w:rFonts w:cs="Times New Roman"/>
          <w:sz w:val="24"/>
          <w:szCs w:val="24"/>
          <w:lang w:val="fr-FR"/>
        </w:rPr>
        <w:t>la nécessité d’une</w:t>
      </w:r>
      <w:r w:rsidR="001524F0" w:rsidRPr="00953692">
        <w:rPr>
          <w:rFonts w:cs="Times New Roman"/>
          <w:sz w:val="24"/>
          <w:szCs w:val="24"/>
          <w:lang w:val="fr-FR"/>
        </w:rPr>
        <w:t xml:space="preserve"> bonne préparation de sa défense</w:t>
      </w:r>
      <w:r w:rsidR="00FB0172" w:rsidRPr="00953692">
        <w:rPr>
          <w:rFonts w:cs="Times New Roman"/>
          <w:sz w:val="24"/>
          <w:szCs w:val="24"/>
          <w:lang w:val="fr-FR"/>
        </w:rPr>
        <w:t xml:space="preserve"> que </w:t>
      </w:r>
      <w:r w:rsidR="007C4B53" w:rsidRPr="00953692">
        <w:rPr>
          <w:rFonts w:cs="Times New Roman"/>
          <w:sz w:val="24"/>
          <w:szCs w:val="24"/>
          <w:lang w:val="fr-FR"/>
        </w:rPr>
        <w:t xml:space="preserve">par </w:t>
      </w:r>
      <w:r w:rsidR="00FB0172" w:rsidRPr="00953692">
        <w:rPr>
          <w:rFonts w:cs="Times New Roman"/>
          <w:sz w:val="24"/>
          <w:szCs w:val="24"/>
          <w:lang w:val="fr-FR"/>
        </w:rPr>
        <w:t>la nécessité d’un procès rapide</w:t>
      </w:r>
      <w:r w:rsidR="001524F0" w:rsidRPr="00953692">
        <w:rPr>
          <w:rFonts w:cs="Times New Roman"/>
          <w:sz w:val="24"/>
          <w:szCs w:val="24"/>
          <w:lang w:val="fr-FR"/>
        </w:rPr>
        <w:t>. L’idée d’un surgissement d</w:t>
      </w:r>
      <w:r w:rsidR="00CC4C74" w:rsidRPr="00953692">
        <w:rPr>
          <w:rFonts w:cs="Times New Roman"/>
          <w:sz w:val="24"/>
          <w:szCs w:val="24"/>
          <w:lang w:val="fr-FR"/>
        </w:rPr>
        <w:t>e ce</w:t>
      </w:r>
      <w:r w:rsidR="001524F0" w:rsidRPr="00953692">
        <w:rPr>
          <w:rFonts w:cs="Times New Roman"/>
          <w:sz w:val="24"/>
          <w:szCs w:val="24"/>
          <w:lang w:val="fr-FR"/>
        </w:rPr>
        <w:t xml:space="preserve"> conflit lui est donc</w:t>
      </w:r>
      <w:r w:rsidRPr="00953692">
        <w:rPr>
          <w:rFonts w:cs="Times New Roman"/>
          <w:sz w:val="24"/>
          <w:szCs w:val="24"/>
          <w:lang w:val="fr-FR"/>
        </w:rPr>
        <w:t>,</w:t>
      </w:r>
      <w:r w:rsidR="001524F0" w:rsidRPr="00953692">
        <w:rPr>
          <w:rFonts w:cs="Times New Roman"/>
          <w:sz w:val="24"/>
          <w:szCs w:val="24"/>
          <w:lang w:val="fr-FR"/>
        </w:rPr>
        <w:t xml:space="preserve"> à ce moment-là</w:t>
      </w:r>
      <w:r w:rsidRPr="00953692">
        <w:rPr>
          <w:rFonts w:cs="Times New Roman"/>
          <w:sz w:val="24"/>
          <w:szCs w:val="24"/>
          <w:lang w:val="fr-FR"/>
        </w:rPr>
        <w:t>,</w:t>
      </w:r>
      <w:r w:rsidR="001524F0" w:rsidRPr="00953692">
        <w:rPr>
          <w:rFonts w:cs="Times New Roman"/>
          <w:sz w:val="24"/>
          <w:szCs w:val="24"/>
          <w:lang w:val="fr-FR"/>
        </w:rPr>
        <w:t xml:space="preserve"> </w:t>
      </w:r>
      <w:r w:rsidR="00CC4C74" w:rsidRPr="00953692">
        <w:rPr>
          <w:rFonts w:cs="Times New Roman"/>
          <w:sz w:val="24"/>
          <w:szCs w:val="24"/>
          <w:lang w:val="fr-FR"/>
        </w:rPr>
        <w:t>inenvisageable</w:t>
      </w:r>
      <w:r w:rsidR="001524F0" w:rsidRPr="00953692">
        <w:rPr>
          <w:rFonts w:cs="Times New Roman"/>
          <w:sz w:val="24"/>
          <w:szCs w:val="24"/>
          <w:lang w:val="fr-FR"/>
        </w:rPr>
        <w:t>. C’est ainsi que l’on voit dans l’observation qui a été faite par la Défense d</w:t>
      </w:r>
      <w:r w:rsidR="007C4B53" w:rsidRPr="00953692">
        <w:rPr>
          <w:rFonts w:cs="Times New Roman"/>
          <w:sz w:val="24"/>
          <w:szCs w:val="24"/>
          <w:lang w:val="fr-FR"/>
        </w:rPr>
        <w:t>ans</w:t>
      </w:r>
      <w:r w:rsidR="001524F0" w:rsidRPr="00953692">
        <w:rPr>
          <w:rFonts w:cs="Times New Roman"/>
          <w:sz w:val="24"/>
          <w:szCs w:val="24"/>
          <w:lang w:val="fr-FR"/>
        </w:rPr>
        <w:t xml:space="preserve"> l’affaire Laurent Gbagbo</w:t>
      </w:r>
      <w:r w:rsidR="00E516C4" w:rsidRPr="00953692">
        <w:rPr>
          <w:rFonts w:cs="Times New Roman"/>
          <w:sz w:val="24"/>
          <w:szCs w:val="24"/>
          <w:lang w:val="fr-FR"/>
        </w:rPr>
        <w:t>,</w:t>
      </w:r>
      <w:r w:rsidR="00CC4C74" w:rsidRPr="00953692">
        <w:rPr>
          <w:rFonts w:cs="Times New Roman"/>
          <w:sz w:val="24"/>
          <w:szCs w:val="24"/>
          <w:lang w:val="fr-FR"/>
        </w:rPr>
        <w:t xml:space="preserve"> en</w:t>
      </w:r>
      <w:r w:rsidR="001524F0" w:rsidRPr="00953692">
        <w:rPr>
          <w:rFonts w:cs="Times New Roman"/>
          <w:sz w:val="24"/>
          <w:szCs w:val="24"/>
          <w:lang w:val="fr-FR"/>
        </w:rPr>
        <w:t xml:space="preserve"> </w:t>
      </w:r>
      <w:r w:rsidR="00CC4C74" w:rsidRPr="00953692">
        <w:rPr>
          <w:rFonts w:cs="Times New Roman"/>
          <w:sz w:val="24"/>
          <w:szCs w:val="24"/>
          <w:lang w:val="fr-FR"/>
        </w:rPr>
        <w:t>réponse</w:t>
      </w:r>
      <w:r w:rsidR="001524F0" w:rsidRPr="00953692">
        <w:rPr>
          <w:rFonts w:cs="Times New Roman"/>
          <w:sz w:val="24"/>
          <w:szCs w:val="24"/>
          <w:lang w:val="fr-FR"/>
        </w:rPr>
        <w:t xml:space="preserve"> au Procureur, l’</w:t>
      </w:r>
      <w:r w:rsidR="003121D7" w:rsidRPr="00953692">
        <w:rPr>
          <w:rFonts w:cs="Times New Roman"/>
          <w:sz w:val="24"/>
          <w:szCs w:val="24"/>
          <w:lang w:val="fr-FR"/>
        </w:rPr>
        <w:t>affirmation</w:t>
      </w:r>
      <w:r w:rsidR="001524F0" w:rsidRPr="00953692">
        <w:rPr>
          <w:rFonts w:cs="Times New Roman"/>
          <w:sz w:val="24"/>
          <w:szCs w:val="24"/>
          <w:lang w:val="fr-FR"/>
        </w:rPr>
        <w:t xml:space="preserve"> selon laquelle, « </w:t>
      </w:r>
      <w:r w:rsidR="001524F0" w:rsidRPr="00953692">
        <w:rPr>
          <w:i/>
          <w:iCs/>
          <w:sz w:val="24"/>
          <w:szCs w:val="24"/>
          <w:lang w:val="fr-FR"/>
        </w:rPr>
        <w:t>le seul à déterminer quand et comment exercer ses droits</w:t>
      </w:r>
      <w:r w:rsidR="003121D7" w:rsidRPr="00953692">
        <w:rPr>
          <w:i/>
          <w:iCs/>
          <w:sz w:val="24"/>
          <w:szCs w:val="24"/>
          <w:lang w:val="fr-FR"/>
        </w:rPr>
        <w:t>,</w:t>
      </w:r>
      <w:r w:rsidR="001524F0" w:rsidRPr="00953692">
        <w:rPr>
          <w:i/>
          <w:iCs/>
          <w:sz w:val="24"/>
          <w:szCs w:val="24"/>
          <w:lang w:val="fr-FR"/>
        </w:rPr>
        <w:t xml:space="preserve"> est le titulaire des droits</w:t>
      </w:r>
      <w:r w:rsidR="00CC4C74" w:rsidRPr="00953692">
        <w:rPr>
          <w:sz w:val="24"/>
          <w:szCs w:val="24"/>
          <w:lang w:val="fr-FR"/>
        </w:rPr>
        <w:t> »</w:t>
      </w:r>
      <w:r w:rsidR="00C631C6" w:rsidRPr="00953692">
        <w:rPr>
          <w:rStyle w:val="Appelnotedebasdep"/>
          <w:sz w:val="24"/>
          <w:szCs w:val="24"/>
          <w:lang w:val="fr-FR"/>
        </w:rPr>
        <w:footnoteReference w:customMarkFollows="1" w:id="245"/>
        <w:t>222</w:t>
      </w:r>
      <w:r w:rsidR="001524F0" w:rsidRPr="00953692">
        <w:rPr>
          <w:sz w:val="24"/>
          <w:szCs w:val="24"/>
          <w:lang w:val="fr-FR"/>
        </w:rPr>
        <w:t>.</w:t>
      </w:r>
    </w:p>
    <w:p w14:paraId="64454454" w14:textId="7AA3E419" w:rsidR="00C82DC1" w:rsidRPr="00953692" w:rsidRDefault="005577EE" w:rsidP="00864BBF">
      <w:pPr>
        <w:spacing w:after="0" w:line="276" w:lineRule="auto"/>
        <w:ind w:firstLine="1134"/>
        <w:jc w:val="both"/>
        <w:rPr>
          <w:rFonts w:cs="Times New Roman"/>
          <w:sz w:val="24"/>
          <w:szCs w:val="24"/>
          <w:lang w:val="fr-FR"/>
        </w:rPr>
      </w:pPr>
      <w:r w:rsidRPr="00953692">
        <w:rPr>
          <w:b/>
          <w:bCs/>
          <w:sz w:val="24"/>
          <w:szCs w:val="24"/>
          <w:lang w:val="fr-FR"/>
        </w:rPr>
        <w:t>321</w:t>
      </w:r>
      <w:r w:rsidR="007C4B53" w:rsidRPr="00953692">
        <w:rPr>
          <w:b/>
          <w:bCs/>
          <w:sz w:val="24"/>
          <w:szCs w:val="24"/>
          <w:lang w:val="fr-FR"/>
        </w:rPr>
        <w:t>.</w:t>
      </w:r>
      <w:r w:rsidR="007C4B53" w:rsidRPr="00953692">
        <w:rPr>
          <w:sz w:val="24"/>
          <w:szCs w:val="24"/>
          <w:lang w:val="fr-FR"/>
        </w:rPr>
        <w:t xml:space="preserve"> </w:t>
      </w:r>
      <w:r w:rsidR="00F9547A" w:rsidRPr="00953692">
        <w:rPr>
          <w:sz w:val="24"/>
          <w:szCs w:val="24"/>
          <w:lang w:val="fr-FR"/>
        </w:rPr>
        <w:t>Si une telle affirmation a le mérite de responsabil</w:t>
      </w:r>
      <w:r w:rsidR="008345F1" w:rsidRPr="00953692">
        <w:rPr>
          <w:sz w:val="24"/>
          <w:szCs w:val="24"/>
          <w:lang w:val="fr-FR"/>
        </w:rPr>
        <w:t>iser</w:t>
      </w:r>
      <w:r w:rsidR="00F9547A" w:rsidRPr="00953692">
        <w:rPr>
          <w:sz w:val="24"/>
          <w:szCs w:val="24"/>
          <w:lang w:val="fr-FR"/>
        </w:rPr>
        <w:t xml:space="preserve"> l’accusé dans l’exercice de ses droits, en revanche, elle va à l’encontre de la logique du procès pénal international qui donne au seul juge le pouvoir discrétionnaire</w:t>
      </w:r>
      <w:r w:rsidR="00C631C6" w:rsidRPr="00953692">
        <w:rPr>
          <w:rStyle w:val="Appelnotedebasdep"/>
          <w:sz w:val="24"/>
          <w:szCs w:val="24"/>
          <w:lang w:val="fr-FR"/>
        </w:rPr>
        <w:footnoteReference w:customMarkFollows="1" w:id="246"/>
        <w:t>223</w:t>
      </w:r>
      <w:r w:rsidR="00F9547A" w:rsidRPr="00953692">
        <w:rPr>
          <w:sz w:val="24"/>
          <w:szCs w:val="24"/>
          <w:lang w:val="fr-FR"/>
        </w:rPr>
        <w:t xml:space="preserve"> d</w:t>
      </w:r>
      <w:r w:rsidR="007A7CF1" w:rsidRPr="00953692">
        <w:rPr>
          <w:sz w:val="24"/>
          <w:szCs w:val="24"/>
          <w:lang w:val="fr-FR"/>
        </w:rPr>
        <w:t>’accorder à l’accusé le temps nécessaire à la préparation de sa défense. Ce temps est compté</w:t>
      </w:r>
      <w:r w:rsidR="00CE5294" w:rsidRPr="00953692">
        <w:rPr>
          <w:sz w:val="24"/>
          <w:szCs w:val="24"/>
          <w:lang w:val="fr-FR"/>
        </w:rPr>
        <w:t xml:space="preserve"> et</w:t>
      </w:r>
      <w:r w:rsidR="007A7CF1" w:rsidRPr="00953692">
        <w:rPr>
          <w:sz w:val="24"/>
          <w:szCs w:val="24"/>
          <w:lang w:val="fr-FR"/>
        </w:rPr>
        <w:t xml:space="preserve"> n’est pas laissé à la libre appréciation de l’accusé. D’ailleurs, dès le moment où l’affaire est soumise à un juge, les parties</w:t>
      </w:r>
      <w:r w:rsidR="008345F1" w:rsidRPr="00953692">
        <w:rPr>
          <w:sz w:val="24"/>
          <w:szCs w:val="24"/>
          <w:lang w:val="fr-FR"/>
        </w:rPr>
        <w:t>,</w:t>
      </w:r>
      <w:r w:rsidR="007A7CF1" w:rsidRPr="00953692">
        <w:rPr>
          <w:sz w:val="24"/>
          <w:szCs w:val="24"/>
          <w:lang w:val="fr-FR"/>
        </w:rPr>
        <w:t xml:space="preserve"> en ce compris le Procureur</w:t>
      </w:r>
      <w:r w:rsidR="00FB0172" w:rsidRPr="00953692">
        <w:rPr>
          <w:sz w:val="24"/>
          <w:szCs w:val="24"/>
          <w:lang w:val="fr-FR"/>
        </w:rPr>
        <w:t>,</w:t>
      </w:r>
      <w:r w:rsidR="007A7CF1" w:rsidRPr="00953692">
        <w:rPr>
          <w:sz w:val="24"/>
          <w:szCs w:val="24"/>
          <w:lang w:val="fr-FR"/>
        </w:rPr>
        <w:t xml:space="preserve"> ne sont nullement maitres d</w:t>
      </w:r>
      <w:r w:rsidR="00E516C4" w:rsidRPr="00953692">
        <w:rPr>
          <w:sz w:val="24"/>
          <w:szCs w:val="24"/>
          <w:lang w:val="fr-FR"/>
        </w:rPr>
        <w:t>es horloges</w:t>
      </w:r>
      <w:r w:rsidR="007A7CF1" w:rsidRPr="00953692">
        <w:rPr>
          <w:sz w:val="24"/>
          <w:szCs w:val="24"/>
          <w:lang w:val="fr-FR"/>
        </w:rPr>
        <w:t xml:space="preserve">. </w:t>
      </w:r>
      <w:r w:rsidR="00CE5294" w:rsidRPr="00953692">
        <w:rPr>
          <w:sz w:val="24"/>
          <w:szCs w:val="24"/>
          <w:lang w:val="fr-FR"/>
        </w:rPr>
        <w:t xml:space="preserve">Il </w:t>
      </w:r>
      <w:r w:rsidR="00CE5294" w:rsidRPr="00953692">
        <w:rPr>
          <w:sz w:val="24"/>
          <w:szCs w:val="24"/>
          <w:lang w:val="fr-FR"/>
        </w:rPr>
        <w:lastRenderedPageBreak/>
        <w:t>appartient au juge d’</w:t>
      </w:r>
      <w:r w:rsidR="008345F1" w:rsidRPr="00953692">
        <w:rPr>
          <w:sz w:val="24"/>
          <w:szCs w:val="24"/>
          <w:lang w:val="fr-FR"/>
        </w:rPr>
        <w:t xml:space="preserve">en </w:t>
      </w:r>
      <w:r w:rsidR="00CE5294" w:rsidRPr="00953692">
        <w:rPr>
          <w:sz w:val="24"/>
          <w:szCs w:val="24"/>
          <w:lang w:val="fr-FR"/>
        </w:rPr>
        <w:t xml:space="preserve">apprécier de manière équitable, c’est-à-dire </w:t>
      </w:r>
      <w:r w:rsidR="00E516C4" w:rsidRPr="00953692">
        <w:rPr>
          <w:sz w:val="24"/>
          <w:szCs w:val="24"/>
          <w:lang w:val="fr-FR"/>
        </w:rPr>
        <w:t>en</w:t>
      </w:r>
      <w:r w:rsidR="00CE5294" w:rsidRPr="00953692">
        <w:rPr>
          <w:sz w:val="24"/>
          <w:szCs w:val="24"/>
          <w:lang w:val="fr-FR"/>
        </w:rPr>
        <w:t xml:space="preserve"> garantir aux parties </w:t>
      </w:r>
      <w:r w:rsidR="00E516C4" w:rsidRPr="00953692">
        <w:rPr>
          <w:sz w:val="24"/>
          <w:szCs w:val="24"/>
          <w:lang w:val="fr-FR"/>
        </w:rPr>
        <w:t xml:space="preserve">non seulement </w:t>
      </w:r>
      <w:r w:rsidR="00CE5294" w:rsidRPr="00953692">
        <w:rPr>
          <w:sz w:val="24"/>
          <w:szCs w:val="24"/>
          <w:lang w:val="fr-FR"/>
        </w:rPr>
        <w:t>l’égalité des armes</w:t>
      </w:r>
      <w:r w:rsidR="00E516C4" w:rsidRPr="00953692">
        <w:rPr>
          <w:sz w:val="24"/>
          <w:szCs w:val="24"/>
          <w:lang w:val="fr-FR"/>
        </w:rPr>
        <w:t xml:space="preserve"> mais aussi le temps nécessaire à l’utilisation desdites armes</w:t>
      </w:r>
      <w:r w:rsidR="00CE5294" w:rsidRPr="00953692">
        <w:rPr>
          <w:sz w:val="24"/>
          <w:szCs w:val="24"/>
          <w:lang w:val="fr-FR"/>
        </w:rPr>
        <w:t xml:space="preserve">. </w:t>
      </w:r>
      <w:r w:rsidR="00CE5294" w:rsidRPr="00953692">
        <w:rPr>
          <w:rFonts w:cs="Times New Roman"/>
          <w:sz w:val="24"/>
          <w:szCs w:val="24"/>
          <w:lang w:val="fr-FR"/>
        </w:rPr>
        <w:t>Ainsi, dès</w:t>
      </w:r>
      <w:r w:rsidR="00C64578" w:rsidRPr="00953692">
        <w:rPr>
          <w:rFonts w:cs="Times New Roman"/>
          <w:sz w:val="24"/>
          <w:szCs w:val="24"/>
          <w:lang w:val="fr-FR"/>
        </w:rPr>
        <w:t xml:space="preserve"> </w:t>
      </w:r>
      <w:r w:rsidR="001932E9" w:rsidRPr="00953692">
        <w:rPr>
          <w:rFonts w:cs="Times New Roman"/>
          <w:sz w:val="24"/>
          <w:szCs w:val="24"/>
          <w:lang w:val="fr-FR"/>
        </w:rPr>
        <w:t>lors que</w:t>
      </w:r>
      <w:r w:rsidR="00C64578" w:rsidRPr="00953692">
        <w:rPr>
          <w:rFonts w:cs="Times New Roman"/>
          <w:sz w:val="24"/>
          <w:szCs w:val="24"/>
          <w:lang w:val="fr-FR"/>
        </w:rPr>
        <w:t xml:space="preserve"> le </w:t>
      </w:r>
      <w:r w:rsidR="00451A61" w:rsidRPr="00953692">
        <w:rPr>
          <w:rFonts w:cs="Times New Roman"/>
          <w:sz w:val="24"/>
          <w:szCs w:val="24"/>
          <w:lang w:val="fr-FR"/>
        </w:rPr>
        <w:t>p</w:t>
      </w:r>
      <w:r w:rsidR="00C64578" w:rsidRPr="00953692">
        <w:rPr>
          <w:rFonts w:cs="Times New Roman"/>
          <w:sz w:val="24"/>
          <w:szCs w:val="24"/>
          <w:lang w:val="fr-FR"/>
        </w:rPr>
        <w:t xml:space="preserve">rocureur conclut son dossier et divulgue l’ensemble des preuves </w:t>
      </w:r>
      <w:r w:rsidR="00AB0082" w:rsidRPr="00953692">
        <w:rPr>
          <w:rFonts w:cs="Times New Roman"/>
          <w:sz w:val="24"/>
          <w:szCs w:val="24"/>
          <w:lang w:val="fr-FR"/>
        </w:rPr>
        <w:t xml:space="preserve">sur </w:t>
      </w:r>
      <w:r w:rsidR="00C64578" w:rsidRPr="00953692">
        <w:rPr>
          <w:rFonts w:cs="Times New Roman"/>
          <w:sz w:val="24"/>
          <w:szCs w:val="24"/>
          <w:lang w:val="fr-FR"/>
        </w:rPr>
        <w:t>quel</w:t>
      </w:r>
      <w:r w:rsidR="00CE5294" w:rsidRPr="00953692">
        <w:rPr>
          <w:rFonts w:cs="Times New Roman"/>
          <w:sz w:val="24"/>
          <w:szCs w:val="24"/>
          <w:lang w:val="fr-FR"/>
        </w:rPr>
        <w:t>les</w:t>
      </w:r>
      <w:r w:rsidR="00C64578" w:rsidRPr="00953692">
        <w:rPr>
          <w:rFonts w:cs="Times New Roman"/>
          <w:sz w:val="24"/>
          <w:szCs w:val="24"/>
          <w:lang w:val="fr-FR"/>
        </w:rPr>
        <w:t xml:space="preserve"> il compte s’appuyer</w:t>
      </w:r>
      <w:r w:rsidR="00CD0FB5" w:rsidRPr="00953692">
        <w:rPr>
          <w:rFonts w:cs="Times New Roman"/>
          <w:sz w:val="24"/>
          <w:szCs w:val="24"/>
          <w:lang w:val="fr-FR"/>
        </w:rPr>
        <w:t xml:space="preserve"> devant le juge</w:t>
      </w:r>
      <w:r w:rsidR="00C64578" w:rsidRPr="00953692">
        <w:rPr>
          <w:rFonts w:cs="Times New Roman"/>
          <w:sz w:val="24"/>
          <w:szCs w:val="24"/>
          <w:lang w:val="fr-FR"/>
        </w:rPr>
        <w:t>, il d</w:t>
      </w:r>
      <w:r w:rsidR="00CE5294" w:rsidRPr="00953692">
        <w:rPr>
          <w:rFonts w:cs="Times New Roman"/>
          <w:sz w:val="24"/>
          <w:szCs w:val="24"/>
          <w:lang w:val="fr-FR"/>
        </w:rPr>
        <w:t>oit</w:t>
      </w:r>
      <w:r w:rsidR="00C64578" w:rsidRPr="00953692">
        <w:rPr>
          <w:rFonts w:cs="Times New Roman"/>
          <w:sz w:val="24"/>
          <w:szCs w:val="24"/>
          <w:lang w:val="fr-FR"/>
        </w:rPr>
        <w:t xml:space="preserve"> être accordé à l’accusé ce temps nécessaire à la préparation de sa défense. </w:t>
      </w:r>
      <w:r w:rsidR="00385393" w:rsidRPr="00953692">
        <w:rPr>
          <w:rFonts w:cs="Times New Roman"/>
          <w:sz w:val="24"/>
          <w:szCs w:val="24"/>
          <w:lang w:val="fr-FR"/>
        </w:rPr>
        <w:t>Et</w:t>
      </w:r>
      <w:r w:rsidR="00867340" w:rsidRPr="00953692">
        <w:rPr>
          <w:rFonts w:cs="Times New Roman"/>
          <w:sz w:val="24"/>
          <w:szCs w:val="24"/>
          <w:lang w:val="fr-FR"/>
        </w:rPr>
        <w:t>,</w:t>
      </w:r>
      <w:r w:rsidR="00385393" w:rsidRPr="00953692">
        <w:rPr>
          <w:rFonts w:cs="Times New Roman"/>
          <w:sz w:val="24"/>
          <w:szCs w:val="24"/>
          <w:lang w:val="fr-FR"/>
        </w:rPr>
        <w:t xml:space="preserve"> au cours du procès, à chaque fois que le </w:t>
      </w:r>
      <w:r w:rsidR="00451A61" w:rsidRPr="00953692">
        <w:rPr>
          <w:rFonts w:cs="Times New Roman"/>
          <w:sz w:val="24"/>
          <w:szCs w:val="24"/>
          <w:lang w:val="fr-FR"/>
        </w:rPr>
        <w:t>p</w:t>
      </w:r>
      <w:r w:rsidR="00385393" w:rsidRPr="00953692">
        <w:rPr>
          <w:rFonts w:cs="Times New Roman"/>
          <w:sz w:val="24"/>
          <w:szCs w:val="24"/>
          <w:lang w:val="fr-FR"/>
        </w:rPr>
        <w:t>rocureur apportera des éléments nouveaux ou que ceux-ci provien</w:t>
      </w:r>
      <w:r w:rsidR="006C6F4A" w:rsidRPr="00953692">
        <w:rPr>
          <w:rFonts w:cs="Times New Roman"/>
          <w:sz w:val="24"/>
          <w:szCs w:val="24"/>
          <w:lang w:val="fr-FR"/>
        </w:rPr>
        <w:t>drai</w:t>
      </w:r>
      <w:r w:rsidR="00385393" w:rsidRPr="00953692">
        <w:rPr>
          <w:rFonts w:cs="Times New Roman"/>
          <w:sz w:val="24"/>
          <w:szCs w:val="24"/>
          <w:lang w:val="fr-FR"/>
        </w:rPr>
        <w:t>ent des victimes admises, le juge devra se plier à ce</w:t>
      </w:r>
      <w:r w:rsidR="00CD0FB5" w:rsidRPr="00953692">
        <w:rPr>
          <w:rFonts w:cs="Times New Roman"/>
          <w:sz w:val="24"/>
          <w:szCs w:val="24"/>
          <w:lang w:val="fr-FR"/>
        </w:rPr>
        <w:t xml:space="preserve"> même</w:t>
      </w:r>
      <w:r w:rsidR="00385393" w:rsidRPr="00953692">
        <w:rPr>
          <w:rFonts w:cs="Times New Roman"/>
          <w:sz w:val="24"/>
          <w:szCs w:val="24"/>
          <w:lang w:val="fr-FR"/>
        </w:rPr>
        <w:t xml:space="preserve"> exercice</w:t>
      </w:r>
      <w:r w:rsidR="00994BB8" w:rsidRPr="00953692">
        <w:rPr>
          <w:rFonts w:cs="Times New Roman"/>
          <w:sz w:val="24"/>
          <w:szCs w:val="24"/>
          <w:lang w:val="fr-FR"/>
        </w:rPr>
        <w:t xml:space="preserve">, </w:t>
      </w:r>
      <w:r w:rsidR="009A02F1" w:rsidRPr="00953692">
        <w:rPr>
          <w:rFonts w:cs="Times New Roman"/>
          <w:sz w:val="24"/>
          <w:szCs w:val="24"/>
          <w:lang w:val="fr-FR"/>
        </w:rPr>
        <w:t xml:space="preserve">s’ils sont censés être utilisés au </w:t>
      </w:r>
      <w:r w:rsidRPr="00953692">
        <w:rPr>
          <w:rFonts w:cs="Times New Roman"/>
          <w:sz w:val="24"/>
          <w:szCs w:val="24"/>
          <w:lang w:val="fr-FR"/>
        </w:rPr>
        <w:t xml:space="preserve">procès pour les </w:t>
      </w:r>
      <w:r w:rsidR="009A02F1" w:rsidRPr="00953692">
        <w:rPr>
          <w:rFonts w:cs="Times New Roman"/>
          <w:sz w:val="24"/>
          <w:szCs w:val="24"/>
          <w:lang w:val="fr-FR"/>
        </w:rPr>
        <w:t>intérêts de la Défense</w:t>
      </w:r>
      <w:r w:rsidR="00385393" w:rsidRPr="00953692">
        <w:rPr>
          <w:rFonts w:cs="Times New Roman"/>
          <w:sz w:val="24"/>
          <w:szCs w:val="24"/>
          <w:lang w:val="fr-FR"/>
        </w:rPr>
        <w:t>.</w:t>
      </w:r>
    </w:p>
    <w:p w14:paraId="68FB528B" w14:textId="3C2C01F4" w:rsidR="00CE5294"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322</w:t>
      </w:r>
      <w:r w:rsidR="008345F1" w:rsidRPr="00953692">
        <w:rPr>
          <w:rFonts w:cs="Times New Roman"/>
          <w:b/>
          <w:bCs/>
          <w:sz w:val="24"/>
          <w:szCs w:val="24"/>
          <w:lang w:val="fr-FR"/>
        </w:rPr>
        <w:t>.</w:t>
      </w:r>
      <w:r w:rsidR="008345F1" w:rsidRPr="00953692">
        <w:rPr>
          <w:rFonts w:cs="Times New Roman"/>
          <w:sz w:val="24"/>
          <w:szCs w:val="24"/>
          <w:lang w:val="fr-FR"/>
        </w:rPr>
        <w:t xml:space="preserve"> </w:t>
      </w:r>
      <w:r w:rsidR="00FE17FD">
        <w:rPr>
          <w:rFonts w:cs="Times New Roman"/>
          <w:sz w:val="24"/>
          <w:szCs w:val="24"/>
          <w:lang w:val="fr-FR"/>
        </w:rPr>
        <w:t>C</w:t>
      </w:r>
      <w:r w:rsidR="008B7D12" w:rsidRPr="00953692">
        <w:rPr>
          <w:rFonts w:cs="Times New Roman"/>
          <w:sz w:val="24"/>
          <w:szCs w:val="24"/>
          <w:lang w:val="fr-FR"/>
        </w:rPr>
        <w:t>e temps syncopé de la justice ne fait pas trop les affaires du délai raisonnable</w:t>
      </w:r>
      <w:r w:rsidR="008345F1" w:rsidRPr="00953692">
        <w:rPr>
          <w:rFonts w:cs="Times New Roman"/>
          <w:sz w:val="24"/>
          <w:szCs w:val="24"/>
          <w:lang w:val="fr-FR"/>
        </w:rPr>
        <w:t>.</w:t>
      </w:r>
      <w:r w:rsidR="008B7D12" w:rsidRPr="00953692">
        <w:rPr>
          <w:rFonts w:cs="Times New Roman"/>
          <w:sz w:val="24"/>
          <w:szCs w:val="24"/>
          <w:lang w:val="fr-FR"/>
        </w:rPr>
        <w:t xml:space="preserve"> </w:t>
      </w:r>
      <w:r w:rsidR="008345F1" w:rsidRPr="00953692">
        <w:rPr>
          <w:rFonts w:cs="Times New Roman"/>
          <w:sz w:val="24"/>
          <w:szCs w:val="24"/>
          <w:lang w:val="fr-FR"/>
        </w:rPr>
        <w:t>Car</w:t>
      </w:r>
      <w:r w:rsidR="008B7D12" w:rsidRPr="00953692">
        <w:rPr>
          <w:rFonts w:cs="Times New Roman"/>
          <w:sz w:val="24"/>
          <w:szCs w:val="24"/>
          <w:lang w:val="fr-FR"/>
        </w:rPr>
        <w:t xml:space="preserve"> plus sont des pauses ou suspensions d’audience, plus on aura bien l’impression à un moment donné que le procès a trop duré</w:t>
      </w:r>
      <w:r w:rsidR="009A02F1" w:rsidRPr="00953692">
        <w:rPr>
          <w:rFonts w:cs="Times New Roman"/>
          <w:sz w:val="24"/>
          <w:szCs w:val="24"/>
          <w:lang w:val="fr-FR"/>
        </w:rPr>
        <w:t> : c’est une perception globalement logique de la notion du temps</w:t>
      </w:r>
      <w:r w:rsidR="008B7D12" w:rsidRPr="00953692">
        <w:rPr>
          <w:rFonts w:cs="Times New Roman"/>
          <w:sz w:val="24"/>
          <w:szCs w:val="24"/>
          <w:lang w:val="fr-FR"/>
        </w:rPr>
        <w:t xml:space="preserve">. </w:t>
      </w:r>
      <w:r w:rsidR="009A02F1" w:rsidRPr="00953692">
        <w:rPr>
          <w:rFonts w:cs="Times New Roman"/>
          <w:sz w:val="24"/>
          <w:szCs w:val="24"/>
          <w:lang w:val="fr-FR"/>
        </w:rPr>
        <w:t>Mais</w:t>
      </w:r>
      <w:r w:rsidR="0025497F" w:rsidRPr="00953692">
        <w:rPr>
          <w:rFonts w:cs="Times New Roman"/>
          <w:sz w:val="24"/>
          <w:szCs w:val="24"/>
          <w:lang w:val="fr-FR"/>
        </w:rPr>
        <w:t xml:space="preserve"> parfois, jusqu’à ce moment-là aussi, l’accusé </w:t>
      </w:r>
      <w:r w:rsidR="008345F1" w:rsidRPr="00953692">
        <w:rPr>
          <w:rFonts w:cs="Times New Roman"/>
          <w:sz w:val="24"/>
          <w:szCs w:val="24"/>
          <w:lang w:val="fr-FR"/>
        </w:rPr>
        <w:t>peu</w:t>
      </w:r>
      <w:r w:rsidR="008A2E96" w:rsidRPr="00953692">
        <w:rPr>
          <w:rFonts w:cs="Times New Roman"/>
          <w:sz w:val="24"/>
          <w:szCs w:val="24"/>
          <w:lang w:val="fr-FR"/>
        </w:rPr>
        <w:t>t</w:t>
      </w:r>
      <w:r w:rsidR="008345F1" w:rsidRPr="00953692">
        <w:rPr>
          <w:rFonts w:cs="Times New Roman"/>
          <w:sz w:val="24"/>
          <w:szCs w:val="24"/>
          <w:lang w:val="fr-FR"/>
        </w:rPr>
        <w:t xml:space="preserve"> </w:t>
      </w:r>
      <w:r w:rsidR="0025497F" w:rsidRPr="00953692">
        <w:rPr>
          <w:rFonts w:cs="Times New Roman"/>
          <w:sz w:val="24"/>
          <w:szCs w:val="24"/>
          <w:lang w:val="fr-FR"/>
        </w:rPr>
        <w:t>ou</w:t>
      </w:r>
      <w:r w:rsidR="008345F1" w:rsidRPr="00953692">
        <w:rPr>
          <w:rFonts w:cs="Times New Roman"/>
          <w:sz w:val="24"/>
          <w:szCs w:val="24"/>
          <w:lang w:val="fr-FR"/>
        </w:rPr>
        <w:t xml:space="preserve"> ne</w:t>
      </w:r>
      <w:r w:rsidR="0025497F" w:rsidRPr="00953692">
        <w:rPr>
          <w:rFonts w:cs="Times New Roman"/>
          <w:sz w:val="24"/>
          <w:szCs w:val="24"/>
          <w:lang w:val="fr-FR"/>
        </w:rPr>
        <w:t xml:space="preserve"> pas </w:t>
      </w:r>
      <w:r w:rsidR="008345F1" w:rsidRPr="00953692">
        <w:rPr>
          <w:rFonts w:cs="Times New Roman"/>
          <w:sz w:val="24"/>
          <w:szCs w:val="24"/>
          <w:lang w:val="fr-FR"/>
        </w:rPr>
        <w:t>p</w:t>
      </w:r>
      <w:r w:rsidR="0025497F" w:rsidRPr="00953692">
        <w:rPr>
          <w:rFonts w:cs="Times New Roman"/>
          <w:sz w:val="24"/>
          <w:szCs w:val="24"/>
          <w:lang w:val="fr-FR"/>
        </w:rPr>
        <w:t xml:space="preserve">rendre </w:t>
      </w:r>
      <w:r w:rsidR="008345F1" w:rsidRPr="00953692">
        <w:rPr>
          <w:rFonts w:cs="Times New Roman"/>
          <w:sz w:val="24"/>
          <w:szCs w:val="24"/>
          <w:lang w:val="fr-FR"/>
        </w:rPr>
        <w:t>la mesure de la</w:t>
      </w:r>
      <w:r w:rsidR="0025497F" w:rsidRPr="00953692">
        <w:rPr>
          <w:rFonts w:cs="Times New Roman"/>
          <w:sz w:val="24"/>
          <w:szCs w:val="24"/>
          <w:lang w:val="fr-FR"/>
        </w:rPr>
        <w:t xml:space="preserve"> concurrence de ses droits. Il peut donc oser revendiquer son droit d’être jugé sans retard excessif en mettant en cause </w:t>
      </w:r>
      <w:r w:rsidR="004917AC" w:rsidRPr="00953692">
        <w:rPr>
          <w:rFonts w:cs="Times New Roman"/>
          <w:sz w:val="24"/>
          <w:szCs w:val="24"/>
          <w:lang w:val="fr-FR"/>
        </w:rPr>
        <w:t xml:space="preserve">essentiellement les agissements des organes judiciaires qui ont considérablement retardé le procès, comme on a bien pu le voir dans plusieurs affaires évoquées dans cette étude. </w:t>
      </w:r>
      <w:r w:rsidR="006074D1" w:rsidRPr="00953692">
        <w:rPr>
          <w:rFonts w:cs="Times New Roman"/>
          <w:sz w:val="24"/>
          <w:szCs w:val="24"/>
          <w:lang w:val="fr-FR"/>
        </w:rPr>
        <w:t xml:space="preserve">Rappelons que le comportement des organes judiciaires est l’un des critères d’appréciation de cette notion. </w:t>
      </w:r>
      <w:r w:rsidR="004917AC" w:rsidRPr="00953692">
        <w:rPr>
          <w:rFonts w:cs="Times New Roman"/>
          <w:sz w:val="24"/>
          <w:szCs w:val="24"/>
          <w:lang w:val="fr-FR"/>
        </w:rPr>
        <w:t>Mais en pointant du doigt les actes posés par ces organes, l’accusé devra s’attendre à une réponse</w:t>
      </w:r>
      <w:r w:rsidR="00AB0082" w:rsidRPr="00953692">
        <w:rPr>
          <w:rFonts w:cs="Times New Roman"/>
          <w:sz w:val="24"/>
          <w:szCs w:val="24"/>
          <w:lang w:val="fr-FR"/>
        </w:rPr>
        <w:t> :</w:t>
      </w:r>
      <w:r w:rsidR="004917AC" w:rsidRPr="00953692">
        <w:rPr>
          <w:rFonts w:cs="Times New Roman"/>
          <w:sz w:val="24"/>
          <w:szCs w:val="24"/>
          <w:lang w:val="fr-FR"/>
        </w:rPr>
        <w:t xml:space="preserve"> </w:t>
      </w:r>
      <w:r w:rsidR="00AB0082" w:rsidRPr="00953692">
        <w:rPr>
          <w:rFonts w:cs="Times New Roman"/>
          <w:sz w:val="24"/>
          <w:szCs w:val="24"/>
          <w:lang w:val="fr-FR"/>
        </w:rPr>
        <w:t>la</w:t>
      </w:r>
      <w:r w:rsidR="004917AC" w:rsidRPr="00953692">
        <w:rPr>
          <w:rFonts w:cs="Times New Roman"/>
          <w:sz w:val="24"/>
          <w:szCs w:val="24"/>
          <w:lang w:val="fr-FR"/>
        </w:rPr>
        <w:t xml:space="preserve"> justification.</w:t>
      </w:r>
    </w:p>
    <w:p w14:paraId="2C60BD86" w14:textId="7D89AD7F" w:rsidR="00F64BC2"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323</w:t>
      </w:r>
      <w:r w:rsidR="008345F1" w:rsidRPr="00953692">
        <w:rPr>
          <w:rFonts w:cs="Times New Roman"/>
          <w:b/>
          <w:bCs/>
          <w:sz w:val="24"/>
          <w:szCs w:val="24"/>
          <w:lang w:val="fr-FR"/>
        </w:rPr>
        <w:t>.</w:t>
      </w:r>
      <w:r w:rsidR="008345F1" w:rsidRPr="00953692">
        <w:rPr>
          <w:rFonts w:cs="Times New Roman"/>
          <w:sz w:val="24"/>
          <w:szCs w:val="24"/>
          <w:lang w:val="fr-FR"/>
        </w:rPr>
        <w:t xml:space="preserve"> </w:t>
      </w:r>
      <w:r w:rsidR="00BD13D4" w:rsidRPr="00953692">
        <w:rPr>
          <w:rFonts w:cs="Times New Roman"/>
          <w:sz w:val="24"/>
          <w:szCs w:val="24"/>
          <w:lang w:val="fr-FR"/>
        </w:rPr>
        <w:t>C</w:t>
      </w:r>
      <w:r w:rsidR="008A2E96" w:rsidRPr="00953692">
        <w:rPr>
          <w:rFonts w:cs="Times New Roman"/>
          <w:sz w:val="24"/>
          <w:szCs w:val="24"/>
          <w:lang w:val="fr-FR"/>
        </w:rPr>
        <w:t>eci permet d’aborder le second cas de figure, qui résulte avant tout</w:t>
      </w:r>
      <w:r w:rsidR="008B138F" w:rsidRPr="00953692">
        <w:rPr>
          <w:rFonts w:cs="Times New Roman"/>
          <w:sz w:val="24"/>
          <w:szCs w:val="24"/>
          <w:lang w:val="fr-FR"/>
        </w:rPr>
        <w:t xml:space="preserve"> de l’appréciation même du délai raisonnable. Les retards sont déraisonnables que lorsqu’ils sont injustifiés. </w:t>
      </w:r>
      <w:r w:rsidR="008A2E96" w:rsidRPr="00953692">
        <w:rPr>
          <w:rFonts w:cs="Times New Roman"/>
          <w:sz w:val="24"/>
          <w:szCs w:val="24"/>
          <w:lang w:val="fr-FR"/>
        </w:rPr>
        <w:t>Par exemple, d</w:t>
      </w:r>
      <w:r w:rsidR="002177B1" w:rsidRPr="00953692">
        <w:rPr>
          <w:rFonts w:cs="Times New Roman"/>
          <w:sz w:val="24"/>
          <w:szCs w:val="24"/>
          <w:lang w:val="fr-FR"/>
        </w:rPr>
        <w:t xml:space="preserve">ans la traduction littérale russe des dispositions relatives </w:t>
      </w:r>
      <w:r w:rsidR="00AB0082" w:rsidRPr="00953692">
        <w:rPr>
          <w:rFonts w:cs="Times New Roman"/>
          <w:sz w:val="24"/>
          <w:szCs w:val="24"/>
          <w:lang w:val="fr-FR"/>
        </w:rPr>
        <w:t>à la raisonnabilité du délai</w:t>
      </w:r>
      <w:r w:rsidR="00F32D7A" w:rsidRPr="00953692">
        <w:rPr>
          <w:rFonts w:cs="Times New Roman"/>
          <w:sz w:val="24"/>
          <w:szCs w:val="24"/>
          <w:lang w:val="fr-FR"/>
        </w:rPr>
        <w:t xml:space="preserve"> dans</w:t>
      </w:r>
      <w:r w:rsidR="008A2E96" w:rsidRPr="00953692">
        <w:rPr>
          <w:rFonts w:cs="Times New Roman"/>
          <w:sz w:val="24"/>
          <w:szCs w:val="24"/>
          <w:lang w:val="fr-FR"/>
        </w:rPr>
        <w:t xml:space="preserve"> </w:t>
      </w:r>
      <w:r w:rsidR="00F32D7A" w:rsidRPr="00953692">
        <w:rPr>
          <w:rFonts w:cs="Times New Roman"/>
          <w:sz w:val="24"/>
          <w:szCs w:val="24"/>
          <w:lang w:val="fr-FR"/>
        </w:rPr>
        <w:t>les</w:t>
      </w:r>
      <w:r w:rsidR="002177B1" w:rsidRPr="00953692">
        <w:rPr>
          <w:rFonts w:cs="Times New Roman"/>
          <w:sz w:val="24"/>
          <w:szCs w:val="24"/>
          <w:lang w:val="fr-FR"/>
        </w:rPr>
        <w:t xml:space="preserve"> actes constitutifs des juridictions pénales internationales</w:t>
      </w:r>
      <w:r w:rsidR="008A2E96" w:rsidRPr="00953692">
        <w:rPr>
          <w:rFonts w:cs="Times New Roman"/>
          <w:sz w:val="24"/>
          <w:szCs w:val="24"/>
          <w:lang w:val="fr-FR"/>
        </w:rPr>
        <w:t xml:space="preserve"> et </w:t>
      </w:r>
      <w:r w:rsidR="00F32D7A" w:rsidRPr="00953692">
        <w:rPr>
          <w:rFonts w:cs="Times New Roman"/>
          <w:sz w:val="24"/>
          <w:szCs w:val="24"/>
          <w:lang w:val="fr-FR"/>
        </w:rPr>
        <w:t xml:space="preserve">y </w:t>
      </w:r>
      <w:r w:rsidR="008A2E96" w:rsidRPr="00953692">
        <w:rPr>
          <w:rFonts w:cs="Times New Roman"/>
          <w:sz w:val="24"/>
          <w:szCs w:val="24"/>
          <w:lang w:val="fr-FR"/>
        </w:rPr>
        <w:t xml:space="preserve">compris </w:t>
      </w:r>
      <w:r w:rsidR="00F32D7A" w:rsidRPr="00953692">
        <w:rPr>
          <w:rFonts w:cs="Times New Roman"/>
          <w:sz w:val="24"/>
          <w:szCs w:val="24"/>
          <w:lang w:val="fr-FR"/>
        </w:rPr>
        <w:t xml:space="preserve">dans celles </w:t>
      </w:r>
      <w:r w:rsidR="008A2E96" w:rsidRPr="00953692">
        <w:rPr>
          <w:rFonts w:cs="Times New Roman"/>
          <w:sz w:val="24"/>
          <w:szCs w:val="24"/>
          <w:lang w:val="fr-FR"/>
        </w:rPr>
        <w:t>du PIDCP</w:t>
      </w:r>
      <w:r w:rsidR="002177B1" w:rsidRPr="00953692">
        <w:rPr>
          <w:rFonts w:cs="Times New Roman"/>
          <w:sz w:val="24"/>
          <w:szCs w:val="24"/>
          <w:lang w:val="fr-FR"/>
        </w:rPr>
        <w:t xml:space="preserve">, on trouve exactement : </w:t>
      </w:r>
      <w:r w:rsidR="002177B1" w:rsidRPr="00953692">
        <w:rPr>
          <w:rFonts w:cs="Times New Roman"/>
          <w:i/>
          <w:iCs/>
          <w:sz w:val="24"/>
          <w:szCs w:val="24"/>
          <w:lang w:val="fr-FR"/>
        </w:rPr>
        <w:t>le droit d’être jugé sans retard injustifié</w:t>
      </w:r>
      <w:r w:rsidR="002177B1" w:rsidRPr="00953692">
        <w:rPr>
          <w:rFonts w:cs="Times New Roman"/>
          <w:sz w:val="24"/>
          <w:szCs w:val="24"/>
          <w:lang w:val="fr-FR"/>
        </w:rPr>
        <w:t xml:space="preserve">. </w:t>
      </w:r>
      <w:r w:rsidR="008A2E96" w:rsidRPr="00953692">
        <w:rPr>
          <w:rFonts w:cs="Times New Roman"/>
          <w:sz w:val="24"/>
          <w:szCs w:val="24"/>
          <w:lang w:val="fr-FR"/>
        </w:rPr>
        <w:t>Ce qui signifie que</w:t>
      </w:r>
      <w:r w:rsidR="00D45D8A" w:rsidRPr="00953692">
        <w:rPr>
          <w:rFonts w:cs="Times New Roman"/>
          <w:sz w:val="24"/>
          <w:szCs w:val="24"/>
          <w:lang w:val="fr-FR"/>
        </w:rPr>
        <w:t xml:space="preserve"> le retard doit </w:t>
      </w:r>
      <w:r w:rsidR="002D44DD" w:rsidRPr="00953692">
        <w:rPr>
          <w:rFonts w:cs="Times New Roman"/>
          <w:sz w:val="24"/>
          <w:szCs w:val="24"/>
          <w:lang w:val="fr-FR"/>
        </w:rPr>
        <w:t>être</w:t>
      </w:r>
      <w:r w:rsidR="00D45D8A" w:rsidRPr="00953692">
        <w:rPr>
          <w:rFonts w:cs="Times New Roman"/>
          <w:sz w:val="24"/>
          <w:szCs w:val="24"/>
          <w:lang w:val="fr-FR"/>
        </w:rPr>
        <w:t xml:space="preserve"> justifié, au cas où il y en a eu</w:t>
      </w:r>
      <w:r w:rsidR="00F64BC2" w:rsidRPr="00953692">
        <w:rPr>
          <w:rFonts w:cs="Times New Roman"/>
          <w:sz w:val="24"/>
          <w:szCs w:val="24"/>
          <w:lang w:val="fr-FR"/>
        </w:rPr>
        <w:t xml:space="preserve"> au moins un</w:t>
      </w:r>
      <w:r w:rsidR="00D45D8A" w:rsidRPr="00953692">
        <w:rPr>
          <w:rFonts w:cs="Times New Roman"/>
          <w:sz w:val="24"/>
          <w:szCs w:val="24"/>
          <w:lang w:val="fr-FR"/>
        </w:rPr>
        <w:t xml:space="preserve">. </w:t>
      </w:r>
      <w:r w:rsidR="002D44DD" w:rsidRPr="00953692">
        <w:rPr>
          <w:rFonts w:cs="Times New Roman"/>
          <w:sz w:val="24"/>
          <w:szCs w:val="24"/>
          <w:lang w:val="fr-FR"/>
        </w:rPr>
        <w:t>Dans cette optique, la justification va révéler</w:t>
      </w:r>
      <w:r w:rsidR="008B138F" w:rsidRPr="00953692">
        <w:rPr>
          <w:rFonts w:cs="Times New Roman"/>
          <w:sz w:val="24"/>
          <w:szCs w:val="24"/>
          <w:lang w:val="fr-FR"/>
        </w:rPr>
        <w:t xml:space="preserve"> la conflictualité de ces prérogatives de l’accusé. </w:t>
      </w:r>
      <w:r w:rsidR="00890081" w:rsidRPr="00953692">
        <w:rPr>
          <w:rFonts w:cs="Times New Roman"/>
          <w:sz w:val="24"/>
          <w:szCs w:val="24"/>
          <w:lang w:val="fr-FR"/>
        </w:rPr>
        <w:t>C’est-à-dire, la violation prétendue du délai raisonnable du procès sera justifiée par la nécessité de respecter le droit de l’accusé de disposer du temps nécessaire à la préparation de la défense. Chaque suspension</w:t>
      </w:r>
      <w:r w:rsidR="00F64BC2" w:rsidRPr="00953692">
        <w:rPr>
          <w:rFonts w:cs="Times New Roman"/>
          <w:sz w:val="24"/>
          <w:szCs w:val="24"/>
          <w:lang w:val="fr-FR"/>
        </w:rPr>
        <w:t xml:space="preserve"> ou ajournement</w:t>
      </w:r>
      <w:r w:rsidR="00890081" w:rsidRPr="00953692">
        <w:rPr>
          <w:rFonts w:cs="Times New Roman"/>
          <w:sz w:val="24"/>
          <w:szCs w:val="24"/>
          <w:lang w:val="fr-FR"/>
        </w:rPr>
        <w:t xml:space="preserve"> d’audience ordonnée à cet effet peut être relevé</w:t>
      </w:r>
      <w:r w:rsidR="000967B1" w:rsidRPr="00953692">
        <w:rPr>
          <w:rFonts w:cs="Times New Roman"/>
          <w:sz w:val="24"/>
          <w:szCs w:val="24"/>
          <w:lang w:val="fr-FR"/>
        </w:rPr>
        <w:t>e</w:t>
      </w:r>
      <w:r w:rsidR="00890081" w:rsidRPr="00953692">
        <w:rPr>
          <w:rFonts w:cs="Times New Roman"/>
          <w:sz w:val="24"/>
          <w:szCs w:val="24"/>
          <w:lang w:val="fr-FR"/>
        </w:rPr>
        <w:t xml:space="preserve"> et mis</w:t>
      </w:r>
      <w:r w:rsidR="008A2E96" w:rsidRPr="00953692">
        <w:rPr>
          <w:rFonts w:cs="Times New Roman"/>
          <w:sz w:val="24"/>
          <w:szCs w:val="24"/>
          <w:lang w:val="fr-FR"/>
        </w:rPr>
        <w:t>e</w:t>
      </w:r>
      <w:r w:rsidR="00890081" w:rsidRPr="00953692">
        <w:rPr>
          <w:rFonts w:cs="Times New Roman"/>
          <w:sz w:val="24"/>
          <w:szCs w:val="24"/>
          <w:lang w:val="fr-FR"/>
        </w:rPr>
        <w:t xml:space="preserve"> en avant par les juges afin de démontrer </w:t>
      </w:r>
      <w:r w:rsidR="00EC7393" w:rsidRPr="00953692">
        <w:rPr>
          <w:rFonts w:cs="Times New Roman"/>
          <w:sz w:val="24"/>
          <w:szCs w:val="24"/>
          <w:lang w:val="fr-FR"/>
        </w:rPr>
        <w:t>la raisonnabilité du délai</w:t>
      </w:r>
      <w:r w:rsidR="00F64BC2" w:rsidRPr="00953692">
        <w:rPr>
          <w:rFonts w:cs="Times New Roman"/>
          <w:sz w:val="24"/>
          <w:szCs w:val="24"/>
          <w:lang w:val="fr-FR"/>
        </w:rPr>
        <w:t xml:space="preserve"> de la procédure</w:t>
      </w:r>
      <w:r w:rsidR="00EC7393" w:rsidRPr="00953692">
        <w:rPr>
          <w:rFonts w:cs="Times New Roman"/>
          <w:sz w:val="24"/>
          <w:szCs w:val="24"/>
          <w:lang w:val="fr-FR"/>
        </w:rPr>
        <w:t xml:space="preserve">. </w:t>
      </w:r>
    </w:p>
    <w:p w14:paraId="5A4F879F" w14:textId="272CE3E6" w:rsidR="00EC7393" w:rsidRPr="00953692" w:rsidRDefault="005577EE" w:rsidP="00864BBF">
      <w:pPr>
        <w:spacing w:line="276" w:lineRule="auto"/>
        <w:ind w:firstLine="1134"/>
        <w:jc w:val="both"/>
        <w:rPr>
          <w:rFonts w:cs="Times New Roman"/>
          <w:sz w:val="24"/>
          <w:szCs w:val="24"/>
          <w:lang w:val="fr-FR"/>
        </w:rPr>
      </w:pPr>
      <w:r w:rsidRPr="00953692">
        <w:rPr>
          <w:rFonts w:cs="Times New Roman"/>
          <w:b/>
          <w:bCs/>
          <w:sz w:val="24"/>
          <w:szCs w:val="24"/>
          <w:lang w:val="fr-FR"/>
        </w:rPr>
        <w:t>324</w:t>
      </w:r>
      <w:r w:rsidR="00F64BC2" w:rsidRPr="00953692">
        <w:rPr>
          <w:rFonts w:cs="Times New Roman"/>
          <w:b/>
          <w:bCs/>
          <w:sz w:val="24"/>
          <w:szCs w:val="24"/>
          <w:lang w:val="fr-FR"/>
        </w:rPr>
        <w:t>.</w:t>
      </w:r>
      <w:r w:rsidR="00F64BC2" w:rsidRPr="00953692">
        <w:rPr>
          <w:rFonts w:cs="Times New Roman"/>
          <w:sz w:val="24"/>
          <w:szCs w:val="24"/>
          <w:lang w:val="fr-FR"/>
        </w:rPr>
        <w:t xml:space="preserve"> </w:t>
      </w:r>
      <w:r w:rsidR="009563EC" w:rsidRPr="00953692">
        <w:rPr>
          <w:rFonts w:cs="Times New Roman"/>
          <w:sz w:val="24"/>
          <w:szCs w:val="24"/>
          <w:lang w:val="fr-FR"/>
        </w:rPr>
        <w:t xml:space="preserve">Dans l’affaire </w:t>
      </w:r>
      <w:r w:rsidR="00EC7393" w:rsidRPr="00953692">
        <w:rPr>
          <w:rFonts w:cs="Times New Roman"/>
          <w:sz w:val="24"/>
          <w:szCs w:val="24"/>
          <w:lang w:val="fr-FR"/>
        </w:rPr>
        <w:t>l</w:t>
      </w:r>
      <w:r w:rsidR="009563EC" w:rsidRPr="00953692">
        <w:rPr>
          <w:rFonts w:cs="Times New Roman"/>
          <w:sz w:val="24"/>
          <w:szCs w:val="24"/>
          <w:lang w:val="fr-FR"/>
        </w:rPr>
        <w:t>e Procureur c</w:t>
      </w:r>
      <w:r w:rsidR="008345F1" w:rsidRPr="00953692">
        <w:rPr>
          <w:rFonts w:cs="Times New Roman"/>
          <w:sz w:val="24"/>
          <w:szCs w:val="24"/>
          <w:lang w:val="fr-FR"/>
        </w:rPr>
        <w:t>ontre</w:t>
      </w:r>
      <w:r w:rsidR="009563EC" w:rsidRPr="00953692">
        <w:rPr>
          <w:rFonts w:cs="Times New Roman"/>
          <w:sz w:val="24"/>
          <w:szCs w:val="24"/>
          <w:lang w:val="fr-FR"/>
        </w:rPr>
        <w:t xml:space="preserve"> Théoneste Bagosora et consorts</w:t>
      </w:r>
      <w:r w:rsidR="00F64BC2" w:rsidRPr="00953692">
        <w:rPr>
          <w:rFonts w:cs="Times New Roman"/>
          <w:sz w:val="24"/>
          <w:szCs w:val="24"/>
          <w:lang w:val="fr-FR"/>
        </w:rPr>
        <w:t xml:space="preserve"> devant le TPIR</w:t>
      </w:r>
      <w:r w:rsidR="009563EC" w:rsidRPr="00953692">
        <w:rPr>
          <w:rFonts w:cs="Times New Roman"/>
          <w:sz w:val="24"/>
          <w:szCs w:val="24"/>
          <w:lang w:val="fr-FR"/>
        </w:rPr>
        <w:t xml:space="preserve">, répondant à la </w:t>
      </w:r>
      <w:r w:rsidR="00E64687" w:rsidRPr="00953692">
        <w:rPr>
          <w:rFonts w:cs="Times New Roman"/>
          <w:sz w:val="24"/>
          <w:szCs w:val="24"/>
          <w:lang w:val="fr-FR"/>
        </w:rPr>
        <w:t>requête</w:t>
      </w:r>
      <w:r w:rsidR="009563EC" w:rsidRPr="00953692">
        <w:rPr>
          <w:rFonts w:cs="Times New Roman"/>
          <w:sz w:val="24"/>
          <w:szCs w:val="24"/>
          <w:lang w:val="fr-FR"/>
        </w:rPr>
        <w:t xml:space="preserve"> des parties </w:t>
      </w:r>
      <w:r w:rsidR="00E64687" w:rsidRPr="00953692">
        <w:rPr>
          <w:rFonts w:cs="Times New Roman"/>
          <w:sz w:val="24"/>
          <w:szCs w:val="24"/>
          <w:lang w:val="fr-FR"/>
        </w:rPr>
        <w:t xml:space="preserve">sur la violation du délai raisonnable, la Chambre de première instance a fait savoir qu’elle s’était </w:t>
      </w:r>
      <w:r w:rsidR="00EC7393" w:rsidRPr="00953692">
        <w:rPr>
          <w:rFonts w:cs="Times New Roman"/>
          <w:sz w:val="24"/>
          <w:szCs w:val="24"/>
          <w:lang w:val="fr-FR"/>
        </w:rPr>
        <w:t>vue :</w:t>
      </w:r>
    </w:p>
    <w:p w14:paraId="13CD7491" w14:textId="3A10391E" w:rsidR="00581F47" w:rsidRPr="00953692" w:rsidRDefault="00E64687" w:rsidP="00864BBF">
      <w:pPr>
        <w:spacing w:line="276" w:lineRule="auto"/>
        <w:ind w:left="1134" w:firstLine="1134"/>
        <w:jc w:val="both"/>
        <w:rPr>
          <w:rFonts w:cs="Times New Roman"/>
          <w:sz w:val="20"/>
          <w:szCs w:val="20"/>
          <w:lang w:val="fr-FR"/>
        </w:rPr>
      </w:pPr>
      <w:r w:rsidRPr="00953692">
        <w:rPr>
          <w:rFonts w:cs="Times New Roman"/>
          <w:sz w:val="20"/>
          <w:szCs w:val="20"/>
          <w:lang w:val="fr-FR"/>
        </w:rPr>
        <w:t>«</w:t>
      </w:r>
      <w:r w:rsidR="00EC7393" w:rsidRPr="00953692">
        <w:rPr>
          <w:rFonts w:cs="Times New Roman"/>
          <w:sz w:val="20"/>
          <w:szCs w:val="20"/>
          <w:lang w:val="fr-FR"/>
        </w:rPr>
        <w:t xml:space="preserve"> …</w:t>
      </w:r>
      <w:r w:rsidRPr="00953692">
        <w:rPr>
          <w:rFonts w:cs="Times New Roman"/>
          <w:i/>
          <w:iCs/>
          <w:sz w:val="20"/>
          <w:szCs w:val="20"/>
          <w:lang w:val="fr-FR"/>
        </w:rPr>
        <w:t xml:space="preserve">dans l’obligation </w:t>
      </w:r>
      <w:r w:rsidR="005E619A" w:rsidRPr="00953692">
        <w:rPr>
          <w:rFonts w:cs="Times New Roman"/>
          <w:i/>
          <w:iCs/>
          <w:sz w:val="20"/>
          <w:szCs w:val="20"/>
          <w:lang w:val="fr-FR"/>
        </w:rPr>
        <w:t xml:space="preserve">d’ordonner des suspensions entre les diverses sessions afin de permettre aux parties de se préparer, eu égard, d’une part au nombre colossal de communications à effectuer en l’espèce, et d’autre part, à la nécessité de traduire de nombreux documents, de même que de trouver des témoins et des documents disséminés à travers le monde. Elle constate en outre qu’il avait fallu accorder beaucoup de temps aux </w:t>
      </w:r>
      <w:r w:rsidR="005E619A" w:rsidRPr="00953692">
        <w:rPr>
          <w:rFonts w:cs="Times New Roman"/>
          <w:i/>
          <w:iCs/>
          <w:sz w:val="20"/>
          <w:szCs w:val="20"/>
          <w:lang w:val="fr-FR"/>
        </w:rPr>
        <w:lastRenderedPageBreak/>
        <w:t xml:space="preserve">quatre équipes de défense pour leur permettre de soumettre les témoins à un </w:t>
      </w:r>
      <w:r w:rsidRPr="00953692">
        <w:rPr>
          <w:rFonts w:cs="Times New Roman"/>
          <w:i/>
          <w:iCs/>
          <w:sz w:val="20"/>
          <w:szCs w:val="20"/>
          <w:lang w:val="fr-FR"/>
        </w:rPr>
        <w:t>contre-interrogatoire</w:t>
      </w:r>
      <w:r w:rsidR="005E619A" w:rsidRPr="00953692">
        <w:rPr>
          <w:rFonts w:cs="Times New Roman"/>
          <w:i/>
          <w:iCs/>
          <w:sz w:val="20"/>
          <w:szCs w:val="20"/>
          <w:lang w:val="fr-FR"/>
        </w:rPr>
        <w:t xml:space="preserve"> approfondi</w:t>
      </w:r>
      <w:r w:rsidRPr="00953692">
        <w:rPr>
          <w:rFonts w:cs="Times New Roman"/>
          <w:sz w:val="20"/>
          <w:szCs w:val="20"/>
          <w:lang w:val="fr-FR"/>
        </w:rPr>
        <w:t> »</w:t>
      </w:r>
      <w:r w:rsidR="00C631C6" w:rsidRPr="00953692">
        <w:rPr>
          <w:rStyle w:val="Appelnotedebasdep"/>
          <w:rFonts w:cs="Times New Roman"/>
          <w:sz w:val="20"/>
          <w:szCs w:val="20"/>
          <w:lang w:val="fr-FR"/>
        </w:rPr>
        <w:footnoteReference w:customMarkFollows="1" w:id="247"/>
        <w:t>224</w:t>
      </w:r>
      <w:r w:rsidR="005E619A" w:rsidRPr="00953692">
        <w:rPr>
          <w:rFonts w:cs="Times New Roman"/>
          <w:sz w:val="20"/>
          <w:szCs w:val="20"/>
          <w:lang w:val="fr-FR"/>
        </w:rPr>
        <w:t>.</w:t>
      </w:r>
    </w:p>
    <w:p w14:paraId="70BB45EE" w14:textId="7B2BF8AD" w:rsidR="00186B92"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325</w:t>
      </w:r>
      <w:r w:rsidR="008345F1" w:rsidRPr="00953692">
        <w:rPr>
          <w:rFonts w:cs="Times New Roman"/>
          <w:b/>
          <w:bCs/>
          <w:sz w:val="24"/>
          <w:szCs w:val="24"/>
          <w:lang w:val="fr-FR"/>
        </w:rPr>
        <w:t>.</w:t>
      </w:r>
      <w:r w:rsidR="008345F1" w:rsidRPr="00953692">
        <w:rPr>
          <w:rFonts w:cs="Times New Roman"/>
          <w:sz w:val="24"/>
          <w:szCs w:val="24"/>
          <w:lang w:val="fr-FR"/>
        </w:rPr>
        <w:t xml:space="preserve"> </w:t>
      </w:r>
      <w:r w:rsidR="0080201D" w:rsidRPr="00953692">
        <w:rPr>
          <w:rFonts w:cs="Times New Roman"/>
          <w:sz w:val="24"/>
          <w:szCs w:val="24"/>
          <w:lang w:val="fr-FR"/>
        </w:rPr>
        <w:t xml:space="preserve">Si une telle réponse ne saurait suffire à elle seule pour rejeter le grief soulevé par l’accusé, elle ne constitue pas moins une partie </w:t>
      </w:r>
      <w:r w:rsidR="00F64BC2" w:rsidRPr="00953692">
        <w:rPr>
          <w:rFonts w:cs="Times New Roman"/>
          <w:sz w:val="24"/>
          <w:szCs w:val="24"/>
          <w:lang w:val="fr-FR"/>
        </w:rPr>
        <w:t xml:space="preserve">intéressante </w:t>
      </w:r>
      <w:r w:rsidR="0080201D" w:rsidRPr="00953692">
        <w:rPr>
          <w:rFonts w:cs="Times New Roman"/>
          <w:sz w:val="24"/>
          <w:szCs w:val="24"/>
          <w:lang w:val="fr-FR"/>
        </w:rPr>
        <w:t xml:space="preserve">de la réponse </w:t>
      </w:r>
      <w:r w:rsidR="00186B92" w:rsidRPr="00953692">
        <w:rPr>
          <w:rFonts w:cs="Times New Roman"/>
          <w:sz w:val="24"/>
          <w:szCs w:val="24"/>
          <w:lang w:val="fr-FR"/>
        </w:rPr>
        <w:t>et démontre bien une conflictualité</w:t>
      </w:r>
      <w:r w:rsidR="00F64BC2" w:rsidRPr="00953692">
        <w:rPr>
          <w:rFonts w:cs="Times New Roman"/>
          <w:sz w:val="24"/>
          <w:szCs w:val="24"/>
          <w:lang w:val="fr-FR"/>
        </w:rPr>
        <w:t xml:space="preserve"> entre ces deux droits</w:t>
      </w:r>
      <w:r w:rsidR="00186B92" w:rsidRPr="00953692">
        <w:rPr>
          <w:rFonts w:cs="Times New Roman"/>
          <w:sz w:val="24"/>
          <w:szCs w:val="24"/>
          <w:lang w:val="fr-FR"/>
        </w:rPr>
        <w:t>. Elle permet donc de réaffirmer, c</w:t>
      </w:r>
      <w:r w:rsidR="00E66E92" w:rsidRPr="00953692">
        <w:rPr>
          <w:rFonts w:cs="Times New Roman"/>
          <w:sz w:val="24"/>
          <w:szCs w:val="24"/>
          <w:lang w:val="fr-FR"/>
        </w:rPr>
        <w:t>ontrairement à ce qu</w:t>
      </w:r>
      <w:r w:rsidR="00451A61" w:rsidRPr="00953692">
        <w:rPr>
          <w:rFonts w:cs="Times New Roman"/>
          <w:sz w:val="24"/>
          <w:szCs w:val="24"/>
          <w:lang w:val="fr-FR"/>
        </w:rPr>
        <w:t xml:space="preserve">i </w:t>
      </w:r>
      <w:r w:rsidR="00E66E92" w:rsidRPr="00953692">
        <w:rPr>
          <w:rFonts w:cs="Times New Roman"/>
          <w:sz w:val="24"/>
          <w:szCs w:val="24"/>
          <w:lang w:val="fr-FR"/>
        </w:rPr>
        <w:t xml:space="preserve">avait été déclaré par la </w:t>
      </w:r>
      <w:r w:rsidR="003C2FC8" w:rsidRPr="00953692">
        <w:rPr>
          <w:rFonts w:cs="Times New Roman"/>
          <w:sz w:val="24"/>
          <w:szCs w:val="24"/>
          <w:lang w:val="fr-FR"/>
        </w:rPr>
        <w:t>D</w:t>
      </w:r>
      <w:r w:rsidR="00E66E92" w:rsidRPr="00953692">
        <w:rPr>
          <w:rFonts w:cs="Times New Roman"/>
          <w:sz w:val="24"/>
          <w:szCs w:val="24"/>
          <w:lang w:val="fr-FR"/>
        </w:rPr>
        <w:t xml:space="preserve">éfense de </w:t>
      </w:r>
      <w:r w:rsidR="00186B92" w:rsidRPr="00953692">
        <w:rPr>
          <w:rFonts w:cs="Times New Roman"/>
          <w:sz w:val="24"/>
          <w:szCs w:val="24"/>
          <w:lang w:val="fr-FR"/>
        </w:rPr>
        <w:t>Laurent Gbagbo</w:t>
      </w:r>
      <w:r w:rsidR="00E66E92" w:rsidRPr="00953692">
        <w:rPr>
          <w:rFonts w:cs="Times New Roman"/>
          <w:sz w:val="24"/>
          <w:szCs w:val="24"/>
          <w:lang w:val="fr-FR"/>
        </w:rPr>
        <w:t>,</w:t>
      </w:r>
      <w:r w:rsidR="008345F1" w:rsidRPr="00953692">
        <w:rPr>
          <w:rFonts w:cs="Times New Roman"/>
          <w:sz w:val="24"/>
          <w:szCs w:val="24"/>
          <w:lang w:val="fr-FR"/>
        </w:rPr>
        <w:t xml:space="preserve"> qu’</w:t>
      </w:r>
      <w:r w:rsidR="00E66E92" w:rsidRPr="00953692">
        <w:rPr>
          <w:rFonts w:cs="Times New Roman"/>
          <w:sz w:val="24"/>
          <w:szCs w:val="24"/>
          <w:lang w:val="fr-FR"/>
        </w:rPr>
        <w:t>il existe bel et bien une contradiction</w:t>
      </w:r>
      <w:r w:rsidR="008A2E96" w:rsidRPr="00953692">
        <w:rPr>
          <w:rFonts w:cs="Times New Roman"/>
          <w:sz w:val="24"/>
          <w:szCs w:val="24"/>
          <w:lang w:val="fr-FR"/>
        </w:rPr>
        <w:t>, une concurrence</w:t>
      </w:r>
      <w:r w:rsidR="00E66E92" w:rsidRPr="00953692">
        <w:rPr>
          <w:rFonts w:cs="Times New Roman"/>
          <w:sz w:val="24"/>
          <w:szCs w:val="24"/>
          <w:lang w:val="fr-FR"/>
        </w:rPr>
        <w:t xml:space="preserve"> entre ces deux prérogatives. </w:t>
      </w:r>
      <w:r w:rsidR="00186B92" w:rsidRPr="00953692">
        <w:rPr>
          <w:rFonts w:cs="Times New Roman"/>
          <w:sz w:val="24"/>
          <w:szCs w:val="24"/>
          <w:lang w:val="fr-FR"/>
        </w:rPr>
        <w:t>Cependant, elle</w:t>
      </w:r>
      <w:r w:rsidR="00E66E92" w:rsidRPr="00953692">
        <w:rPr>
          <w:rFonts w:cs="Times New Roman"/>
          <w:sz w:val="24"/>
          <w:szCs w:val="24"/>
          <w:lang w:val="fr-FR"/>
        </w:rPr>
        <w:t xml:space="preserve"> n’est </w:t>
      </w:r>
      <w:r w:rsidR="008345F1" w:rsidRPr="00953692">
        <w:rPr>
          <w:rFonts w:cs="Times New Roman"/>
          <w:sz w:val="24"/>
          <w:szCs w:val="24"/>
          <w:lang w:val="fr-FR"/>
        </w:rPr>
        <w:t xml:space="preserve">pas </w:t>
      </w:r>
      <w:r w:rsidR="00E66E92" w:rsidRPr="00953692">
        <w:rPr>
          <w:rFonts w:cs="Times New Roman"/>
          <w:sz w:val="24"/>
          <w:szCs w:val="24"/>
          <w:lang w:val="fr-FR"/>
        </w:rPr>
        <w:t xml:space="preserve">exclusive, c’est-à-dire qu’elle n’oblige pas l’accusé </w:t>
      </w:r>
      <w:r w:rsidR="008A2E96" w:rsidRPr="00953692">
        <w:rPr>
          <w:rFonts w:cs="Times New Roman"/>
          <w:sz w:val="24"/>
          <w:szCs w:val="24"/>
          <w:lang w:val="fr-FR"/>
        </w:rPr>
        <w:t>à</w:t>
      </w:r>
      <w:r w:rsidR="007B702D" w:rsidRPr="00953692">
        <w:rPr>
          <w:rFonts w:cs="Times New Roman"/>
          <w:sz w:val="24"/>
          <w:szCs w:val="24"/>
          <w:lang w:val="fr-FR"/>
        </w:rPr>
        <w:t xml:space="preserve"> </w:t>
      </w:r>
      <w:r w:rsidR="00E66E92" w:rsidRPr="00953692">
        <w:rPr>
          <w:rFonts w:cs="Times New Roman"/>
          <w:sz w:val="24"/>
          <w:szCs w:val="24"/>
          <w:lang w:val="fr-FR"/>
        </w:rPr>
        <w:t xml:space="preserve">choisir </w:t>
      </w:r>
      <w:r w:rsidR="00BC747C" w:rsidRPr="00953692">
        <w:rPr>
          <w:rFonts w:cs="Times New Roman"/>
          <w:sz w:val="24"/>
          <w:szCs w:val="24"/>
          <w:lang w:val="fr-FR"/>
        </w:rPr>
        <w:t>l’une d’elle</w:t>
      </w:r>
      <w:r w:rsidR="007B702D" w:rsidRPr="00953692">
        <w:rPr>
          <w:rFonts w:cs="Times New Roman"/>
          <w:sz w:val="24"/>
          <w:szCs w:val="24"/>
          <w:lang w:val="fr-FR"/>
        </w:rPr>
        <w:t>s</w:t>
      </w:r>
      <w:r w:rsidR="00BC747C" w:rsidRPr="00953692">
        <w:rPr>
          <w:rFonts w:cs="Times New Roman"/>
          <w:sz w:val="24"/>
          <w:szCs w:val="24"/>
          <w:lang w:val="fr-FR"/>
        </w:rPr>
        <w:t xml:space="preserve">. </w:t>
      </w:r>
      <w:r w:rsidR="004417DF" w:rsidRPr="00953692">
        <w:rPr>
          <w:rFonts w:cs="Times New Roman"/>
          <w:sz w:val="24"/>
          <w:szCs w:val="24"/>
          <w:lang w:val="fr-FR"/>
        </w:rPr>
        <w:t>L’accusé devra</w:t>
      </w:r>
      <w:r w:rsidR="00F64BC2" w:rsidRPr="00953692">
        <w:rPr>
          <w:rFonts w:cs="Times New Roman"/>
          <w:sz w:val="24"/>
          <w:szCs w:val="24"/>
          <w:lang w:val="fr-FR"/>
        </w:rPr>
        <w:t xml:space="preserve"> avant tout</w:t>
      </w:r>
      <w:r w:rsidR="004417DF" w:rsidRPr="00953692">
        <w:rPr>
          <w:rFonts w:cs="Times New Roman"/>
          <w:sz w:val="24"/>
          <w:szCs w:val="24"/>
          <w:lang w:val="fr-FR"/>
        </w:rPr>
        <w:t xml:space="preserve"> vivre avec c</w:t>
      </w:r>
      <w:r w:rsidR="00BC747C" w:rsidRPr="00953692">
        <w:rPr>
          <w:rFonts w:cs="Times New Roman"/>
          <w:sz w:val="24"/>
          <w:szCs w:val="24"/>
          <w:lang w:val="fr-FR"/>
        </w:rPr>
        <w:t>ette contradiction</w:t>
      </w:r>
      <w:r w:rsidR="003C2FC8" w:rsidRPr="00953692">
        <w:rPr>
          <w:rFonts w:cs="Times New Roman"/>
          <w:sz w:val="24"/>
          <w:szCs w:val="24"/>
          <w:lang w:val="fr-FR"/>
        </w:rPr>
        <w:t xml:space="preserve"> tout au long de la procédure</w:t>
      </w:r>
      <w:r w:rsidR="004417DF" w:rsidRPr="00953692">
        <w:rPr>
          <w:rFonts w:cs="Times New Roman"/>
          <w:sz w:val="24"/>
          <w:szCs w:val="24"/>
          <w:lang w:val="fr-FR"/>
        </w:rPr>
        <w:t>, car</w:t>
      </w:r>
      <w:r w:rsidR="00BC747C" w:rsidRPr="00953692">
        <w:rPr>
          <w:rFonts w:cs="Times New Roman"/>
          <w:sz w:val="24"/>
          <w:szCs w:val="24"/>
          <w:lang w:val="fr-FR"/>
        </w:rPr>
        <w:t xml:space="preserve"> </w:t>
      </w:r>
      <w:r w:rsidR="004417DF" w:rsidRPr="00953692">
        <w:rPr>
          <w:rFonts w:cs="Times New Roman"/>
          <w:sz w:val="24"/>
          <w:szCs w:val="24"/>
          <w:lang w:val="fr-FR"/>
        </w:rPr>
        <w:t>s</w:t>
      </w:r>
      <w:r w:rsidR="00BC747C" w:rsidRPr="00953692">
        <w:rPr>
          <w:rFonts w:cs="Times New Roman"/>
          <w:sz w:val="24"/>
          <w:szCs w:val="24"/>
          <w:lang w:val="fr-FR"/>
        </w:rPr>
        <w:t xml:space="preserve">i le délai raisonnable vise </w:t>
      </w:r>
      <w:r w:rsidR="001F5725" w:rsidRPr="00953692">
        <w:rPr>
          <w:rFonts w:cs="Times New Roman"/>
          <w:sz w:val="24"/>
          <w:szCs w:val="24"/>
          <w:lang w:val="fr-FR"/>
        </w:rPr>
        <w:t xml:space="preserve">en réalité </w:t>
      </w:r>
      <w:r w:rsidR="00BC747C" w:rsidRPr="00953692">
        <w:rPr>
          <w:rFonts w:cs="Times New Roman"/>
          <w:sz w:val="24"/>
          <w:szCs w:val="24"/>
          <w:lang w:val="fr-FR"/>
        </w:rPr>
        <w:t xml:space="preserve">une </w:t>
      </w:r>
      <w:r w:rsidR="001F5725" w:rsidRPr="00953692">
        <w:rPr>
          <w:rFonts w:cs="Times New Roman"/>
          <w:sz w:val="24"/>
          <w:szCs w:val="24"/>
          <w:lang w:val="fr-FR"/>
        </w:rPr>
        <w:t>continuation de la procédure en vue d’en éviter des retards excessifs</w:t>
      </w:r>
      <w:r w:rsidR="00BC747C" w:rsidRPr="00953692">
        <w:rPr>
          <w:rFonts w:cs="Times New Roman"/>
          <w:sz w:val="24"/>
          <w:szCs w:val="24"/>
          <w:lang w:val="fr-FR"/>
        </w:rPr>
        <w:t xml:space="preserve">, le droit de disposer d’un temps nécessaire </w:t>
      </w:r>
      <w:r w:rsidR="004417DF" w:rsidRPr="00953692">
        <w:rPr>
          <w:rFonts w:cs="Times New Roman"/>
          <w:sz w:val="24"/>
          <w:szCs w:val="24"/>
          <w:lang w:val="fr-FR"/>
        </w:rPr>
        <w:t>à la</w:t>
      </w:r>
      <w:r w:rsidR="00BC747C" w:rsidRPr="00953692">
        <w:rPr>
          <w:rFonts w:cs="Times New Roman"/>
          <w:sz w:val="24"/>
          <w:szCs w:val="24"/>
          <w:lang w:val="fr-FR"/>
        </w:rPr>
        <w:t xml:space="preserve"> prépar</w:t>
      </w:r>
      <w:r w:rsidR="004417DF" w:rsidRPr="00953692">
        <w:rPr>
          <w:rFonts w:cs="Times New Roman"/>
          <w:sz w:val="24"/>
          <w:szCs w:val="24"/>
          <w:lang w:val="fr-FR"/>
        </w:rPr>
        <w:t>ation de</w:t>
      </w:r>
      <w:r w:rsidR="00BC747C" w:rsidRPr="00953692">
        <w:rPr>
          <w:rFonts w:cs="Times New Roman"/>
          <w:sz w:val="24"/>
          <w:szCs w:val="24"/>
          <w:lang w:val="fr-FR"/>
        </w:rPr>
        <w:t xml:space="preserve"> sa défense est</w:t>
      </w:r>
      <w:r w:rsidR="001F5725" w:rsidRPr="00953692">
        <w:rPr>
          <w:rFonts w:cs="Times New Roman"/>
          <w:sz w:val="24"/>
          <w:szCs w:val="24"/>
          <w:lang w:val="fr-FR"/>
        </w:rPr>
        <w:t xml:space="preserve"> par contre</w:t>
      </w:r>
      <w:r w:rsidR="00186B92" w:rsidRPr="00953692">
        <w:rPr>
          <w:rFonts w:cs="Times New Roman"/>
          <w:sz w:val="24"/>
          <w:szCs w:val="24"/>
          <w:lang w:val="fr-FR"/>
        </w:rPr>
        <w:t xml:space="preserve">, tant soit peu, </w:t>
      </w:r>
      <w:r w:rsidR="00BC747C" w:rsidRPr="00953692">
        <w:rPr>
          <w:rFonts w:cs="Times New Roman"/>
          <w:sz w:val="24"/>
          <w:szCs w:val="24"/>
          <w:lang w:val="fr-FR"/>
        </w:rPr>
        <w:t>suspensif.</w:t>
      </w:r>
      <w:r w:rsidR="001F5725" w:rsidRPr="00953692">
        <w:rPr>
          <w:rFonts w:cs="Times New Roman"/>
          <w:sz w:val="24"/>
          <w:szCs w:val="24"/>
          <w:lang w:val="fr-FR"/>
        </w:rPr>
        <w:t xml:space="preserve"> </w:t>
      </w:r>
      <w:r w:rsidR="0069635D" w:rsidRPr="00953692">
        <w:rPr>
          <w:rFonts w:cs="Times New Roman"/>
          <w:sz w:val="24"/>
          <w:szCs w:val="24"/>
          <w:lang w:val="fr-FR"/>
        </w:rPr>
        <w:t>Son observation</w:t>
      </w:r>
      <w:r w:rsidR="00323F1E" w:rsidRPr="00953692">
        <w:rPr>
          <w:rFonts w:cs="Times New Roman"/>
          <w:sz w:val="24"/>
          <w:szCs w:val="24"/>
          <w:lang w:val="fr-FR"/>
        </w:rPr>
        <w:t>,</w:t>
      </w:r>
      <w:r w:rsidR="00F64BC2" w:rsidRPr="00953692">
        <w:rPr>
          <w:rFonts w:cs="Times New Roman"/>
          <w:sz w:val="24"/>
          <w:szCs w:val="24"/>
          <w:lang w:val="fr-FR"/>
        </w:rPr>
        <w:t xml:space="preserve"> à quelque stade que ce soit</w:t>
      </w:r>
      <w:r w:rsidR="00323F1E" w:rsidRPr="00953692">
        <w:rPr>
          <w:rFonts w:cs="Times New Roman"/>
          <w:sz w:val="24"/>
          <w:szCs w:val="24"/>
          <w:lang w:val="fr-FR"/>
        </w:rPr>
        <w:t>,</w:t>
      </w:r>
      <w:r w:rsidR="0069635D" w:rsidRPr="00953692">
        <w:rPr>
          <w:rFonts w:cs="Times New Roman"/>
          <w:sz w:val="24"/>
          <w:szCs w:val="24"/>
          <w:lang w:val="fr-FR"/>
        </w:rPr>
        <w:t xml:space="preserve"> exige un</w:t>
      </w:r>
      <w:r w:rsidR="00F64BC2" w:rsidRPr="00953692">
        <w:rPr>
          <w:rFonts w:cs="Times New Roman"/>
          <w:sz w:val="24"/>
          <w:szCs w:val="24"/>
          <w:lang w:val="fr-FR"/>
        </w:rPr>
        <w:t>e</w:t>
      </w:r>
      <w:r w:rsidR="0069635D" w:rsidRPr="00953692">
        <w:rPr>
          <w:rFonts w:cs="Times New Roman"/>
          <w:sz w:val="24"/>
          <w:szCs w:val="24"/>
          <w:lang w:val="fr-FR"/>
        </w:rPr>
        <w:t xml:space="preserve"> </w:t>
      </w:r>
      <w:r w:rsidR="00AE1868" w:rsidRPr="00953692">
        <w:rPr>
          <w:rFonts w:cs="Times New Roman"/>
          <w:sz w:val="24"/>
          <w:szCs w:val="24"/>
          <w:lang w:val="fr-FR"/>
        </w:rPr>
        <w:t>discontinuité</w:t>
      </w:r>
      <w:r w:rsidR="0069635D" w:rsidRPr="00953692">
        <w:rPr>
          <w:rFonts w:cs="Times New Roman"/>
          <w:sz w:val="24"/>
          <w:szCs w:val="24"/>
          <w:lang w:val="fr-FR"/>
        </w:rPr>
        <w:t xml:space="preserve">, une pause, </w:t>
      </w:r>
      <w:r w:rsidR="00323F1E" w:rsidRPr="00953692">
        <w:rPr>
          <w:rFonts w:cs="Times New Roman"/>
          <w:sz w:val="24"/>
          <w:szCs w:val="24"/>
          <w:lang w:val="fr-FR"/>
        </w:rPr>
        <w:t>n’étant pas nécessairement</w:t>
      </w:r>
      <w:r w:rsidR="001D5AC6" w:rsidRPr="00953692">
        <w:rPr>
          <w:rFonts w:cs="Times New Roman"/>
          <w:sz w:val="24"/>
          <w:szCs w:val="24"/>
          <w:lang w:val="fr-FR"/>
        </w:rPr>
        <w:t xml:space="preserve"> de nature à </w:t>
      </w:r>
      <w:r w:rsidR="00AE1868" w:rsidRPr="00953692">
        <w:rPr>
          <w:rFonts w:cs="Times New Roman"/>
          <w:sz w:val="24"/>
          <w:szCs w:val="24"/>
          <w:lang w:val="fr-FR"/>
        </w:rPr>
        <w:t>faire le lit</w:t>
      </w:r>
      <w:r w:rsidR="0069635D" w:rsidRPr="00953692">
        <w:rPr>
          <w:rFonts w:cs="Times New Roman"/>
          <w:sz w:val="24"/>
          <w:szCs w:val="24"/>
          <w:lang w:val="fr-FR"/>
        </w:rPr>
        <w:t xml:space="preserve"> du délai raisonnable.</w:t>
      </w:r>
      <w:r w:rsidR="00BC747C" w:rsidRPr="00953692">
        <w:rPr>
          <w:rFonts w:cs="Times New Roman"/>
          <w:sz w:val="24"/>
          <w:szCs w:val="24"/>
          <w:lang w:val="fr-FR"/>
        </w:rPr>
        <w:t xml:space="preserve"> </w:t>
      </w:r>
    </w:p>
    <w:p w14:paraId="6D44E74F" w14:textId="70A8B05E" w:rsidR="007D004B"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w:t>
      </w:r>
      <w:r w:rsidR="007B702D" w:rsidRPr="00953692">
        <w:rPr>
          <w:rFonts w:cs="Times New Roman"/>
          <w:b/>
          <w:bCs/>
          <w:sz w:val="24"/>
          <w:szCs w:val="24"/>
          <w:lang w:val="fr-FR"/>
        </w:rPr>
        <w:t>26.</w:t>
      </w:r>
      <w:r w:rsidR="007B702D" w:rsidRPr="00953692">
        <w:rPr>
          <w:rFonts w:cs="Times New Roman"/>
          <w:sz w:val="24"/>
          <w:szCs w:val="24"/>
          <w:lang w:val="fr-FR"/>
        </w:rPr>
        <w:t xml:space="preserve"> </w:t>
      </w:r>
      <w:r w:rsidR="00BC747C" w:rsidRPr="00953692">
        <w:rPr>
          <w:rFonts w:cs="Times New Roman"/>
          <w:sz w:val="24"/>
          <w:szCs w:val="24"/>
          <w:lang w:val="fr-FR"/>
        </w:rPr>
        <w:t xml:space="preserve">Il va sans dire que, cette discontinuité n’est pas de nature à </w:t>
      </w:r>
      <w:r w:rsidR="006F1CD1" w:rsidRPr="00953692">
        <w:rPr>
          <w:rFonts w:cs="Times New Roman"/>
          <w:sz w:val="24"/>
          <w:szCs w:val="24"/>
          <w:lang w:val="fr-FR"/>
        </w:rPr>
        <w:t>ménager</w:t>
      </w:r>
      <w:r w:rsidR="00BC747C" w:rsidRPr="00953692">
        <w:rPr>
          <w:rFonts w:cs="Times New Roman"/>
          <w:sz w:val="24"/>
          <w:szCs w:val="24"/>
          <w:lang w:val="fr-FR"/>
        </w:rPr>
        <w:t xml:space="preserve"> le délai raisonnable par le seul fait qu’elle rend le procès plus long</w:t>
      </w:r>
      <w:r w:rsidR="00AE1868" w:rsidRPr="00953692">
        <w:rPr>
          <w:rFonts w:cs="Times New Roman"/>
          <w:sz w:val="24"/>
          <w:szCs w:val="24"/>
          <w:lang w:val="fr-FR"/>
        </w:rPr>
        <w:t xml:space="preserve"> (ou un peu plus long)</w:t>
      </w:r>
      <w:r w:rsidR="004417DF" w:rsidRPr="00953692">
        <w:rPr>
          <w:rFonts w:cs="Times New Roman"/>
          <w:sz w:val="24"/>
          <w:szCs w:val="24"/>
          <w:lang w:val="fr-FR"/>
        </w:rPr>
        <w:t xml:space="preserve"> à cause de différentes suspensions d’audience</w:t>
      </w:r>
      <w:r w:rsidR="00BC747C" w:rsidRPr="00953692">
        <w:rPr>
          <w:rFonts w:cs="Times New Roman"/>
          <w:sz w:val="24"/>
          <w:szCs w:val="24"/>
          <w:lang w:val="fr-FR"/>
        </w:rPr>
        <w:t>. L’accusé qui demande plus de temps pour préparer sa défense, serait moins en mesure d’invoquer la violation de son droit à un délai raisonnable</w:t>
      </w:r>
      <w:r w:rsidR="00130333" w:rsidRPr="00953692">
        <w:rPr>
          <w:rFonts w:cs="Times New Roman"/>
          <w:sz w:val="24"/>
          <w:szCs w:val="24"/>
          <w:lang w:val="fr-FR"/>
        </w:rPr>
        <w:t>, p</w:t>
      </w:r>
      <w:r w:rsidR="007B702D" w:rsidRPr="00953692">
        <w:rPr>
          <w:rFonts w:cs="Times New Roman"/>
          <w:sz w:val="24"/>
          <w:szCs w:val="24"/>
          <w:lang w:val="fr-FR"/>
        </w:rPr>
        <w:t>arce que</w:t>
      </w:r>
      <w:r w:rsidR="00130333" w:rsidRPr="00953692">
        <w:rPr>
          <w:rFonts w:cs="Times New Roman"/>
          <w:sz w:val="24"/>
          <w:szCs w:val="24"/>
          <w:lang w:val="fr-FR"/>
        </w:rPr>
        <w:t xml:space="preserve"> t</w:t>
      </w:r>
      <w:r w:rsidR="00A80C33" w:rsidRPr="00953692">
        <w:rPr>
          <w:rFonts w:cs="Times New Roman"/>
          <w:sz w:val="24"/>
          <w:szCs w:val="24"/>
          <w:lang w:val="fr-FR"/>
        </w:rPr>
        <w:t xml:space="preserve">ous les temps accordés à l’accusé dans le cadre de </w:t>
      </w:r>
      <w:r w:rsidR="007D004B" w:rsidRPr="00953692">
        <w:rPr>
          <w:rFonts w:cs="Times New Roman"/>
          <w:sz w:val="24"/>
          <w:szCs w:val="24"/>
          <w:lang w:val="fr-FR"/>
        </w:rPr>
        <w:t>cette prérogative</w:t>
      </w:r>
      <w:r w:rsidR="00A80C33" w:rsidRPr="00953692">
        <w:rPr>
          <w:rFonts w:cs="Times New Roman"/>
          <w:sz w:val="24"/>
          <w:szCs w:val="24"/>
          <w:lang w:val="fr-FR"/>
        </w:rPr>
        <w:t xml:space="preserve"> </w:t>
      </w:r>
      <w:r w:rsidR="007D004B" w:rsidRPr="00953692">
        <w:rPr>
          <w:rFonts w:cs="Times New Roman"/>
          <w:sz w:val="24"/>
          <w:szCs w:val="24"/>
          <w:lang w:val="fr-FR"/>
        </w:rPr>
        <w:t>peuvent</w:t>
      </w:r>
      <w:r w:rsidR="00A80C33" w:rsidRPr="00953692">
        <w:rPr>
          <w:rFonts w:cs="Times New Roman"/>
          <w:sz w:val="24"/>
          <w:szCs w:val="24"/>
          <w:lang w:val="fr-FR"/>
        </w:rPr>
        <w:t xml:space="preserve"> bien constituer un motif pour le Tribunal de justifier la durée globale du procès.</w:t>
      </w:r>
      <w:r w:rsidR="00186B92" w:rsidRPr="00953692">
        <w:rPr>
          <w:rFonts w:cs="Times New Roman"/>
          <w:sz w:val="24"/>
          <w:szCs w:val="24"/>
          <w:lang w:val="fr-FR"/>
        </w:rPr>
        <w:t xml:space="preserve"> Il se peut également qu’après une longue durée</w:t>
      </w:r>
      <w:r w:rsidR="007B702D" w:rsidRPr="00953692">
        <w:rPr>
          <w:rFonts w:cs="Times New Roman"/>
          <w:sz w:val="24"/>
          <w:szCs w:val="24"/>
          <w:lang w:val="fr-FR"/>
        </w:rPr>
        <w:t xml:space="preserve"> du</w:t>
      </w:r>
      <w:r w:rsidR="00186B92" w:rsidRPr="00953692">
        <w:rPr>
          <w:rFonts w:cs="Times New Roman"/>
          <w:sz w:val="24"/>
          <w:szCs w:val="24"/>
          <w:lang w:val="fr-FR"/>
        </w:rPr>
        <w:t xml:space="preserve"> procès</w:t>
      </w:r>
      <w:r w:rsidR="007B702D" w:rsidRPr="00953692">
        <w:rPr>
          <w:rFonts w:cs="Times New Roman"/>
          <w:sz w:val="24"/>
          <w:szCs w:val="24"/>
          <w:lang w:val="fr-FR"/>
        </w:rPr>
        <w:t>,</w:t>
      </w:r>
      <w:r w:rsidR="00186B92" w:rsidRPr="00953692">
        <w:rPr>
          <w:rFonts w:cs="Times New Roman"/>
          <w:sz w:val="24"/>
          <w:szCs w:val="24"/>
          <w:lang w:val="fr-FR"/>
        </w:rPr>
        <w:t xml:space="preserve"> l’accusé ne soulève aucun grief quant à la violation de son droit d’</w:t>
      </w:r>
      <w:r w:rsidR="000032CB" w:rsidRPr="00953692">
        <w:rPr>
          <w:rFonts w:cs="Times New Roman"/>
          <w:sz w:val="24"/>
          <w:szCs w:val="24"/>
          <w:lang w:val="fr-FR"/>
        </w:rPr>
        <w:t>être</w:t>
      </w:r>
      <w:r w:rsidR="00186B92" w:rsidRPr="00953692">
        <w:rPr>
          <w:rFonts w:cs="Times New Roman"/>
          <w:sz w:val="24"/>
          <w:szCs w:val="24"/>
          <w:lang w:val="fr-FR"/>
        </w:rPr>
        <w:t xml:space="preserve"> jugé sans retard excessif. </w:t>
      </w:r>
      <w:r w:rsidR="00CD558F" w:rsidRPr="00953692">
        <w:rPr>
          <w:rFonts w:cs="Times New Roman"/>
          <w:sz w:val="24"/>
          <w:szCs w:val="24"/>
          <w:lang w:val="fr-FR"/>
        </w:rPr>
        <w:t>Ce qui</w:t>
      </w:r>
      <w:r w:rsidR="007907A7" w:rsidRPr="00953692">
        <w:rPr>
          <w:rFonts w:cs="Times New Roman"/>
          <w:sz w:val="24"/>
          <w:szCs w:val="24"/>
          <w:lang w:val="fr-FR"/>
        </w:rPr>
        <w:t xml:space="preserve"> peut signifier</w:t>
      </w:r>
      <w:r w:rsidR="00CD558F" w:rsidRPr="00953692">
        <w:rPr>
          <w:rFonts w:cs="Times New Roman"/>
          <w:sz w:val="24"/>
          <w:szCs w:val="24"/>
          <w:lang w:val="fr-FR"/>
        </w:rPr>
        <w:t xml:space="preserve"> qu</w:t>
      </w:r>
      <w:r w:rsidR="007907A7" w:rsidRPr="00953692">
        <w:rPr>
          <w:rFonts w:cs="Times New Roman"/>
          <w:sz w:val="24"/>
          <w:szCs w:val="24"/>
          <w:lang w:val="fr-FR"/>
        </w:rPr>
        <w:t>’il a</w:t>
      </w:r>
      <w:r w:rsidR="00CD558F" w:rsidRPr="00953692">
        <w:rPr>
          <w:rFonts w:cs="Times New Roman"/>
          <w:sz w:val="24"/>
          <w:szCs w:val="24"/>
          <w:lang w:val="fr-FR"/>
        </w:rPr>
        <w:t xml:space="preserve"> </w:t>
      </w:r>
      <w:r w:rsidR="007907A7" w:rsidRPr="00953692">
        <w:rPr>
          <w:rFonts w:cs="Times New Roman"/>
          <w:sz w:val="24"/>
          <w:szCs w:val="24"/>
          <w:lang w:val="fr-FR"/>
        </w:rPr>
        <w:t>soit</w:t>
      </w:r>
      <w:r w:rsidR="00CD558F" w:rsidRPr="00953692">
        <w:rPr>
          <w:rFonts w:cs="Times New Roman"/>
          <w:sz w:val="24"/>
          <w:szCs w:val="24"/>
          <w:lang w:val="fr-FR"/>
        </w:rPr>
        <w:t xml:space="preserve"> bien compris les raisons des retards</w:t>
      </w:r>
      <w:r w:rsidR="00AE1868" w:rsidRPr="00953692">
        <w:rPr>
          <w:rFonts w:cs="Times New Roman"/>
          <w:sz w:val="24"/>
          <w:szCs w:val="24"/>
          <w:lang w:val="fr-FR"/>
        </w:rPr>
        <w:t>,</w:t>
      </w:r>
      <w:r w:rsidR="00CD558F" w:rsidRPr="00953692">
        <w:rPr>
          <w:rFonts w:cs="Times New Roman"/>
          <w:sz w:val="24"/>
          <w:szCs w:val="24"/>
          <w:lang w:val="fr-FR"/>
        </w:rPr>
        <w:t xml:space="preserve"> soit, </w:t>
      </w:r>
      <w:r w:rsidR="007907A7" w:rsidRPr="00953692">
        <w:rPr>
          <w:rFonts w:cs="Times New Roman"/>
          <w:sz w:val="24"/>
          <w:szCs w:val="24"/>
          <w:lang w:val="fr-FR"/>
        </w:rPr>
        <w:t>qu’</w:t>
      </w:r>
      <w:r w:rsidR="00CD558F" w:rsidRPr="00953692">
        <w:rPr>
          <w:rFonts w:cs="Times New Roman"/>
          <w:sz w:val="24"/>
          <w:szCs w:val="24"/>
          <w:lang w:val="fr-FR"/>
        </w:rPr>
        <w:t>il n’</w:t>
      </w:r>
      <w:r w:rsidR="008A2E96" w:rsidRPr="00953692">
        <w:rPr>
          <w:rFonts w:cs="Times New Roman"/>
          <w:sz w:val="24"/>
          <w:szCs w:val="24"/>
          <w:lang w:val="fr-FR"/>
        </w:rPr>
        <w:t>y</w:t>
      </w:r>
      <w:r w:rsidR="00CD558F" w:rsidRPr="00953692">
        <w:rPr>
          <w:rFonts w:cs="Times New Roman"/>
          <w:sz w:val="24"/>
          <w:szCs w:val="24"/>
          <w:lang w:val="fr-FR"/>
        </w:rPr>
        <w:t xml:space="preserve"> </w:t>
      </w:r>
      <w:r w:rsidR="007B702D" w:rsidRPr="00953692">
        <w:rPr>
          <w:rFonts w:cs="Times New Roman"/>
          <w:sz w:val="24"/>
          <w:szCs w:val="24"/>
          <w:lang w:val="fr-FR"/>
        </w:rPr>
        <w:t>trouve aucun intérêt</w:t>
      </w:r>
      <w:r w:rsidR="00CD558F" w:rsidRPr="00953692">
        <w:rPr>
          <w:rFonts w:cs="Times New Roman"/>
          <w:sz w:val="24"/>
          <w:szCs w:val="24"/>
          <w:lang w:val="fr-FR"/>
        </w:rPr>
        <w:t xml:space="preserve"> généralement quelconque</w:t>
      </w:r>
      <w:r w:rsidR="007B702D" w:rsidRPr="00953692">
        <w:rPr>
          <w:rFonts w:cs="Times New Roman"/>
          <w:sz w:val="24"/>
          <w:szCs w:val="24"/>
          <w:lang w:val="fr-FR"/>
        </w:rPr>
        <w:t xml:space="preserve"> pour lui</w:t>
      </w:r>
      <w:r w:rsidR="00CD558F" w:rsidRPr="00953692">
        <w:rPr>
          <w:rFonts w:cs="Times New Roman"/>
          <w:sz w:val="24"/>
          <w:szCs w:val="24"/>
          <w:lang w:val="fr-FR"/>
        </w:rPr>
        <w:t>.</w:t>
      </w:r>
    </w:p>
    <w:p w14:paraId="3A40522F" w14:textId="5ECB3192" w:rsidR="006A2937"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w:t>
      </w:r>
      <w:r w:rsidR="007B702D" w:rsidRPr="00953692">
        <w:rPr>
          <w:rFonts w:cs="Times New Roman"/>
          <w:b/>
          <w:bCs/>
          <w:sz w:val="24"/>
          <w:szCs w:val="24"/>
          <w:lang w:val="fr-FR"/>
        </w:rPr>
        <w:t>27.</w:t>
      </w:r>
      <w:r w:rsidR="007B702D" w:rsidRPr="00953692">
        <w:rPr>
          <w:rFonts w:cs="Times New Roman"/>
          <w:sz w:val="24"/>
          <w:szCs w:val="24"/>
          <w:lang w:val="fr-FR"/>
        </w:rPr>
        <w:t xml:space="preserve"> </w:t>
      </w:r>
      <w:r w:rsidR="004F062E" w:rsidRPr="00953692">
        <w:rPr>
          <w:rFonts w:cs="Times New Roman"/>
          <w:sz w:val="24"/>
          <w:szCs w:val="24"/>
          <w:lang w:val="fr-FR"/>
        </w:rPr>
        <w:t>Il faut dire aussi que</w:t>
      </w:r>
      <w:r w:rsidR="007B702D" w:rsidRPr="00953692">
        <w:rPr>
          <w:rFonts w:cs="Times New Roman"/>
          <w:sz w:val="24"/>
          <w:szCs w:val="24"/>
          <w:lang w:val="fr-FR"/>
        </w:rPr>
        <w:t>,</w:t>
      </w:r>
      <w:r w:rsidR="007D004B" w:rsidRPr="00953692">
        <w:rPr>
          <w:rFonts w:cs="Times New Roman"/>
          <w:sz w:val="24"/>
          <w:szCs w:val="24"/>
          <w:lang w:val="fr-FR"/>
        </w:rPr>
        <w:t xml:space="preserve"> </w:t>
      </w:r>
      <w:r w:rsidR="003C2FC8" w:rsidRPr="00953692">
        <w:rPr>
          <w:rFonts w:cs="Times New Roman"/>
          <w:sz w:val="24"/>
          <w:szCs w:val="24"/>
          <w:lang w:val="fr-FR"/>
        </w:rPr>
        <w:t>le</w:t>
      </w:r>
      <w:r w:rsidR="007D004B" w:rsidRPr="00953692">
        <w:rPr>
          <w:rFonts w:cs="Times New Roman"/>
          <w:sz w:val="24"/>
          <w:szCs w:val="24"/>
          <w:lang w:val="fr-FR"/>
        </w:rPr>
        <w:t xml:space="preserve"> droit de disposer d’un temps nécessaire</w:t>
      </w:r>
      <w:r w:rsidR="004F062E" w:rsidRPr="00953692">
        <w:rPr>
          <w:rFonts w:cs="Times New Roman"/>
          <w:sz w:val="24"/>
          <w:szCs w:val="24"/>
          <w:lang w:val="fr-FR"/>
        </w:rPr>
        <w:t xml:space="preserve"> </w:t>
      </w:r>
      <w:r w:rsidR="007B702D" w:rsidRPr="00953692">
        <w:rPr>
          <w:rFonts w:cs="Times New Roman"/>
          <w:sz w:val="24"/>
          <w:szCs w:val="24"/>
          <w:lang w:val="fr-FR"/>
        </w:rPr>
        <w:t xml:space="preserve">exerce </w:t>
      </w:r>
      <w:r w:rsidR="004F062E" w:rsidRPr="00953692">
        <w:rPr>
          <w:rFonts w:cs="Times New Roman"/>
          <w:sz w:val="24"/>
          <w:szCs w:val="24"/>
          <w:lang w:val="fr-FR"/>
        </w:rPr>
        <w:t xml:space="preserve">une influence majeure sur la durée globale du procès, non seulement à cause de </w:t>
      </w:r>
      <w:r w:rsidR="007B702D" w:rsidRPr="00953692">
        <w:rPr>
          <w:rFonts w:cs="Times New Roman"/>
          <w:sz w:val="24"/>
          <w:szCs w:val="24"/>
          <w:lang w:val="fr-FR"/>
        </w:rPr>
        <w:t xml:space="preserve">cette </w:t>
      </w:r>
      <w:r w:rsidR="004F062E" w:rsidRPr="00953692">
        <w:rPr>
          <w:rFonts w:cs="Times New Roman"/>
          <w:sz w:val="24"/>
          <w:szCs w:val="24"/>
          <w:lang w:val="fr-FR"/>
        </w:rPr>
        <w:t>intermittence imprévisible</w:t>
      </w:r>
      <w:r w:rsidR="007B702D" w:rsidRPr="00953692">
        <w:rPr>
          <w:rFonts w:cs="Times New Roman"/>
          <w:sz w:val="24"/>
          <w:szCs w:val="24"/>
          <w:lang w:val="fr-FR"/>
        </w:rPr>
        <w:t xml:space="preserve"> qu’il implique</w:t>
      </w:r>
      <w:r w:rsidR="004F062E" w:rsidRPr="00953692">
        <w:rPr>
          <w:rFonts w:cs="Times New Roman"/>
          <w:sz w:val="24"/>
          <w:szCs w:val="24"/>
          <w:lang w:val="fr-FR"/>
        </w:rPr>
        <w:t xml:space="preserve">, mais </w:t>
      </w:r>
      <w:r w:rsidR="00B2650D" w:rsidRPr="00953692">
        <w:rPr>
          <w:rFonts w:cs="Times New Roman"/>
          <w:sz w:val="24"/>
          <w:szCs w:val="24"/>
          <w:lang w:val="fr-FR"/>
        </w:rPr>
        <w:t>aussi</w:t>
      </w:r>
      <w:r w:rsidR="004F062E" w:rsidRPr="00953692">
        <w:rPr>
          <w:rFonts w:cs="Times New Roman"/>
          <w:sz w:val="24"/>
          <w:szCs w:val="24"/>
          <w:lang w:val="fr-FR"/>
        </w:rPr>
        <w:t xml:space="preserve"> en raison de l’exigence des moyens nécessaires à la préparation de cette défense. Il ne suffit pas de disposer d’un temps à la préparation de la défense, encore faut-il en avoir les moyens nécessaires. </w:t>
      </w:r>
      <w:r w:rsidR="002826E6" w:rsidRPr="00953692">
        <w:rPr>
          <w:rFonts w:cs="Times New Roman"/>
          <w:sz w:val="24"/>
          <w:szCs w:val="24"/>
          <w:lang w:val="fr-FR"/>
        </w:rPr>
        <w:t>Comme on le verra dans les lignes qui suivent, l</w:t>
      </w:r>
      <w:r w:rsidR="004F062E" w:rsidRPr="00953692">
        <w:rPr>
          <w:rFonts w:cs="Times New Roman"/>
          <w:sz w:val="24"/>
          <w:szCs w:val="24"/>
          <w:lang w:val="fr-FR"/>
        </w:rPr>
        <w:t>’allusion peut être faite aux ressources financières</w:t>
      </w:r>
      <w:r w:rsidR="007B702D" w:rsidRPr="00953692">
        <w:rPr>
          <w:rFonts w:cs="Times New Roman"/>
          <w:sz w:val="24"/>
          <w:szCs w:val="24"/>
          <w:lang w:val="fr-FR"/>
        </w:rPr>
        <w:t xml:space="preserve"> de l’accusé ou de la juridiction concernée</w:t>
      </w:r>
      <w:r w:rsidR="004F062E" w:rsidRPr="00953692">
        <w:rPr>
          <w:rFonts w:cs="Times New Roman"/>
          <w:sz w:val="24"/>
          <w:szCs w:val="24"/>
          <w:lang w:val="fr-FR"/>
        </w:rPr>
        <w:t xml:space="preserve">, au droit de bénéficier de l’assistance d’un avocat, </w:t>
      </w:r>
      <w:r w:rsidR="007B702D" w:rsidRPr="00953692">
        <w:rPr>
          <w:rFonts w:cs="Times New Roman"/>
          <w:sz w:val="24"/>
          <w:szCs w:val="24"/>
          <w:lang w:val="fr-FR"/>
        </w:rPr>
        <w:t>au</w:t>
      </w:r>
      <w:r w:rsidR="004F062E" w:rsidRPr="00953692">
        <w:rPr>
          <w:rFonts w:cs="Times New Roman"/>
          <w:sz w:val="24"/>
          <w:szCs w:val="24"/>
          <w:lang w:val="fr-FR"/>
        </w:rPr>
        <w:t xml:space="preserve"> droit de faire venir ou revenir les témoins à décharge ou à charge en cas de contre</w:t>
      </w:r>
      <w:r w:rsidR="00F84029" w:rsidRPr="00953692">
        <w:rPr>
          <w:rFonts w:cs="Times New Roman"/>
          <w:sz w:val="24"/>
          <w:szCs w:val="24"/>
          <w:lang w:val="fr-FR"/>
        </w:rPr>
        <w:t>-</w:t>
      </w:r>
      <w:r w:rsidR="004F062E" w:rsidRPr="00953692">
        <w:rPr>
          <w:rFonts w:cs="Times New Roman"/>
          <w:sz w:val="24"/>
          <w:szCs w:val="24"/>
          <w:lang w:val="fr-FR"/>
        </w:rPr>
        <w:t>interrogatoire</w:t>
      </w:r>
      <w:r w:rsidR="008A2E96" w:rsidRPr="00953692">
        <w:rPr>
          <w:rFonts w:cs="Times New Roman"/>
          <w:sz w:val="24"/>
          <w:szCs w:val="24"/>
          <w:lang w:val="fr-FR"/>
        </w:rPr>
        <w:t>,</w:t>
      </w:r>
      <w:r w:rsidR="004F062E" w:rsidRPr="00953692">
        <w:rPr>
          <w:rFonts w:cs="Times New Roman"/>
          <w:sz w:val="24"/>
          <w:szCs w:val="24"/>
          <w:lang w:val="fr-FR"/>
        </w:rPr>
        <w:t xml:space="preserve"> etc. C’est</w:t>
      </w:r>
      <w:r w:rsidR="00896EE8" w:rsidRPr="00953692">
        <w:rPr>
          <w:rFonts w:cs="Times New Roman"/>
          <w:sz w:val="24"/>
          <w:szCs w:val="24"/>
          <w:lang w:val="fr-FR"/>
        </w:rPr>
        <w:t>,</w:t>
      </w:r>
      <w:r w:rsidR="004F062E" w:rsidRPr="00953692">
        <w:rPr>
          <w:rFonts w:cs="Times New Roman"/>
          <w:sz w:val="24"/>
          <w:szCs w:val="24"/>
          <w:lang w:val="fr-FR"/>
        </w:rPr>
        <w:t xml:space="preserve"> en réalité</w:t>
      </w:r>
      <w:r w:rsidR="008A2E96" w:rsidRPr="00953692">
        <w:rPr>
          <w:rFonts w:cs="Times New Roman"/>
          <w:sz w:val="24"/>
          <w:szCs w:val="24"/>
          <w:lang w:val="fr-FR"/>
        </w:rPr>
        <w:t>,</w:t>
      </w:r>
      <w:r w:rsidR="004F062E" w:rsidRPr="00953692">
        <w:rPr>
          <w:rFonts w:cs="Times New Roman"/>
          <w:sz w:val="24"/>
          <w:szCs w:val="24"/>
          <w:lang w:val="fr-FR"/>
        </w:rPr>
        <w:t xml:space="preserve"> les allégations et la preuve qu’apporte le Procureur qui déterminera l’étendue de la préparation de la défense</w:t>
      </w:r>
      <w:r w:rsidR="005D0979" w:rsidRPr="00953692">
        <w:rPr>
          <w:rFonts w:cs="Times New Roman"/>
          <w:sz w:val="24"/>
          <w:szCs w:val="24"/>
          <w:lang w:val="fr-FR"/>
        </w:rPr>
        <w:t xml:space="preserve">. L’accusé devra </w:t>
      </w:r>
      <w:r w:rsidR="00D8715C" w:rsidRPr="00953692">
        <w:rPr>
          <w:rFonts w:cs="Times New Roman"/>
          <w:sz w:val="24"/>
          <w:szCs w:val="24"/>
          <w:lang w:val="fr-FR"/>
        </w:rPr>
        <w:t>disposer du</w:t>
      </w:r>
      <w:r w:rsidR="005D0979" w:rsidRPr="00953692">
        <w:rPr>
          <w:rFonts w:cs="Times New Roman"/>
          <w:sz w:val="24"/>
          <w:szCs w:val="24"/>
          <w:lang w:val="fr-FR"/>
        </w:rPr>
        <w:t xml:space="preserve"> temps </w:t>
      </w:r>
      <w:r w:rsidR="00D8715C" w:rsidRPr="00953692">
        <w:rPr>
          <w:rFonts w:cs="Times New Roman"/>
          <w:sz w:val="24"/>
          <w:szCs w:val="24"/>
          <w:lang w:val="fr-FR"/>
        </w:rPr>
        <w:t>pour</w:t>
      </w:r>
      <w:r w:rsidR="005D0979" w:rsidRPr="00953692">
        <w:rPr>
          <w:rFonts w:cs="Times New Roman"/>
          <w:sz w:val="24"/>
          <w:szCs w:val="24"/>
          <w:lang w:val="fr-FR"/>
        </w:rPr>
        <w:t xml:space="preserve"> rencontre</w:t>
      </w:r>
      <w:r w:rsidR="007B702D" w:rsidRPr="00953692">
        <w:rPr>
          <w:rFonts w:cs="Times New Roman"/>
          <w:sz w:val="24"/>
          <w:szCs w:val="24"/>
          <w:lang w:val="fr-FR"/>
        </w:rPr>
        <w:t>r</w:t>
      </w:r>
      <w:r w:rsidR="005D0979" w:rsidRPr="00953692">
        <w:rPr>
          <w:rFonts w:cs="Times New Roman"/>
          <w:sz w:val="24"/>
          <w:szCs w:val="24"/>
          <w:lang w:val="fr-FR"/>
        </w:rPr>
        <w:t xml:space="preserve"> chacune des preuves fournies par le procureur</w:t>
      </w:r>
      <w:r w:rsidR="009F56D9" w:rsidRPr="00953692">
        <w:rPr>
          <w:rFonts w:cs="Times New Roman"/>
          <w:sz w:val="24"/>
          <w:szCs w:val="24"/>
          <w:lang w:val="fr-FR"/>
        </w:rPr>
        <w:t>, car comme le dit très bien la défense de Laurent Gbagbo, « </w:t>
      </w:r>
      <w:r w:rsidR="009F56D9" w:rsidRPr="00953692">
        <w:rPr>
          <w:rFonts w:cs="Times New Roman"/>
          <w:i/>
          <w:iCs/>
          <w:sz w:val="24"/>
          <w:szCs w:val="24"/>
          <w:lang w:val="fr-FR"/>
        </w:rPr>
        <w:t>la preuve du Procureur au sens large doit être saisie comme un tout : si une partie du tout manque ou s’il est ajouté une partie au tout, cela change le sens du tout </w:t>
      </w:r>
      <w:r w:rsidR="009F56D9" w:rsidRPr="00953692">
        <w:rPr>
          <w:rFonts w:cs="Times New Roman"/>
          <w:sz w:val="24"/>
          <w:szCs w:val="24"/>
          <w:lang w:val="fr-FR"/>
        </w:rPr>
        <w:t>»</w:t>
      </w:r>
      <w:r w:rsidR="00C631C6" w:rsidRPr="00953692">
        <w:rPr>
          <w:rStyle w:val="Appelnotedebasdep"/>
          <w:rFonts w:cs="Times New Roman"/>
          <w:sz w:val="24"/>
          <w:szCs w:val="24"/>
          <w:lang w:val="fr-FR"/>
        </w:rPr>
        <w:footnoteReference w:customMarkFollows="1" w:id="248"/>
        <w:t>225</w:t>
      </w:r>
      <w:r w:rsidR="009F56D9" w:rsidRPr="00953692">
        <w:rPr>
          <w:rFonts w:cs="Times New Roman"/>
          <w:sz w:val="24"/>
          <w:szCs w:val="24"/>
          <w:lang w:val="fr-FR"/>
        </w:rPr>
        <w:t>.</w:t>
      </w:r>
    </w:p>
    <w:p w14:paraId="40E21FBA" w14:textId="472E440F" w:rsidR="005D0979"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lastRenderedPageBreak/>
        <w:t>3</w:t>
      </w:r>
      <w:r w:rsidR="007B702D" w:rsidRPr="00953692">
        <w:rPr>
          <w:rFonts w:cs="Times New Roman"/>
          <w:b/>
          <w:bCs/>
          <w:sz w:val="24"/>
          <w:szCs w:val="24"/>
          <w:lang w:val="fr-FR"/>
        </w:rPr>
        <w:t>28.</w:t>
      </w:r>
      <w:r w:rsidR="007B702D" w:rsidRPr="00953692">
        <w:rPr>
          <w:rFonts w:cs="Times New Roman"/>
          <w:sz w:val="24"/>
          <w:szCs w:val="24"/>
          <w:lang w:val="fr-FR"/>
        </w:rPr>
        <w:t xml:space="preserve"> </w:t>
      </w:r>
      <w:r w:rsidR="00115FD4" w:rsidRPr="00953692">
        <w:rPr>
          <w:rFonts w:cs="Times New Roman"/>
          <w:sz w:val="24"/>
          <w:szCs w:val="24"/>
          <w:lang w:val="fr-FR"/>
        </w:rPr>
        <w:t>Le travail s’annonce alors plus complexe qu’une simple détermination d’un délai de préparation, car il implique un ensemble d’actes coordonnés et surtout décalés dans le temps</w:t>
      </w:r>
      <w:r w:rsidR="00196694" w:rsidRPr="00953692">
        <w:rPr>
          <w:rFonts w:cs="Times New Roman"/>
          <w:sz w:val="24"/>
          <w:szCs w:val="24"/>
          <w:lang w:val="fr-FR"/>
        </w:rPr>
        <w:t>.</w:t>
      </w:r>
      <w:r w:rsidR="005D0979" w:rsidRPr="00953692">
        <w:rPr>
          <w:rFonts w:cs="Times New Roman"/>
          <w:sz w:val="24"/>
          <w:szCs w:val="24"/>
          <w:lang w:val="fr-FR"/>
        </w:rPr>
        <w:t xml:space="preserve"> En pratique, on retrouve par exemple les actions telles que, </w:t>
      </w:r>
      <w:r w:rsidR="00B84741" w:rsidRPr="00953692">
        <w:rPr>
          <w:rFonts w:cs="Times New Roman"/>
          <w:sz w:val="24"/>
          <w:szCs w:val="24"/>
          <w:lang w:val="fr-FR"/>
        </w:rPr>
        <w:t>« </w:t>
      </w:r>
      <w:r w:rsidR="00115FD4" w:rsidRPr="00953692">
        <w:rPr>
          <w:rFonts w:cs="Times New Roman"/>
          <w:i/>
          <w:iCs/>
          <w:sz w:val="24"/>
          <w:szCs w:val="24"/>
          <w:lang w:val="fr-FR"/>
        </w:rPr>
        <w:t>l’analyse et l’évaluation d’éléments transmis par le procureur, le vi</w:t>
      </w:r>
      <w:r w:rsidR="00CA1D6F" w:rsidRPr="00953692">
        <w:rPr>
          <w:rFonts w:cs="Times New Roman"/>
          <w:i/>
          <w:iCs/>
          <w:sz w:val="24"/>
          <w:szCs w:val="24"/>
          <w:lang w:val="fr-FR"/>
        </w:rPr>
        <w:t>sionnage des vidéos, l’enquête à mener sur terrain, la préparation des contre-interrogatoires ou encore l’analyse et l’évaluation des documents transmis par les victimes admises à participer au procès</w:t>
      </w:r>
      <w:r w:rsidR="00B84741" w:rsidRPr="00953692">
        <w:rPr>
          <w:rFonts w:cs="Times New Roman"/>
          <w:sz w:val="24"/>
          <w:szCs w:val="24"/>
          <w:lang w:val="fr-FR"/>
        </w:rPr>
        <w:t> »</w:t>
      </w:r>
      <w:r w:rsidR="00C631C6" w:rsidRPr="00953692">
        <w:rPr>
          <w:rStyle w:val="Appelnotedebasdep"/>
          <w:rFonts w:cs="Times New Roman"/>
          <w:sz w:val="24"/>
          <w:szCs w:val="24"/>
          <w:lang w:val="fr-FR"/>
        </w:rPr>
        <w:footnoteReference w:customMarkFollows="1" w:id="249"/>
        <w:t>226</w:t>
      </w:r>
      <w:r w:rsidR="00CA1D6F" w:rsidRPr="00953692">
        <w:rPr>
          <w:rFonts w:cs="Times New Roman"/>
          <w:sz w:val="24"/>
          <w:szCs w:val="24"/>
          <w:lang w:val="fr-FR"/>
        </w:rPr>
        <w:t>, la traduction des documents</w:t>
      </w:r>
      <w:r w:rsidR="00B84741" w:rsidRPr="00953692">
        <w:rPr>
          <w:rFonts w:cs="Times New Roman"/>
          <w:sz w:val="24"/>
          <w:szCs w:val="24"/>
          <w:lang w:val="fr-FR"/>
        </w:rPr>
        <w:t xml:space="preserve"> dans la langue que l</w:t>
      </w:r>
      <w:r w:rsidR="003C2FC8" w:rsidRPr="00953692">
        <w:rPr>
          <w:rFonts w:cs="Times New Roman"/>
          <w:sz w:val="24"/>
          <w:szCs w:val="24"/>
          <w:lang w:val="fr-FR"/>
        </w:rPr>
        <w:t>’accusé</w:t>
      </w:r>
      <w:r w:rsidR="00B84741" w:rsidRPr="00953692">
        <w:rPr>
          <w:rFonts w:cs="Times New Roman"/>
          <w:sz w:val="24"/>
          <w:szCs w:val="24"/>
          <w:lang w:val="fr-FR"/>
        </w:rPr>
        <w:t xml:space="preserve"> comprend</w:t>
      </w:r>
      <w:r w:rsidR="005D0979" w:rsidRPr="00953692">
        <w:rPr>
          <w:rFonts w:cs="Times New Roman"/>
          <w:sz w:val="24"/>
          <w:szCs w:val="24"/>
          <w:lang w:val="fr-FR"/>
        </w:rPr>
        <w:t xml:space="preserve">, </w:t>
      </w:r>
      <w:r w:rsidR="00CA1D6F" w:rsidRPr="00953692">
        <w:rPr>
          <w:rFonts w:cs="Times New Roman"/>
          <w:sz w:val="24"/>
          <w:szCs w:val="24"/>
          <w:lang w:val="fr-FR"/>
        </w:rPr>
        <w:t xml:space="preserve">etc. </w:t>
      </w:r>
      <w:r w:rsidR="00B2650D" w:rsidRPr="00953692">
        <w:rPr>
          <w:rStyle w:val="grammar"/>
          <w:rFonts w:cs="Times New Roman"/>
          <w:sz w:val="24"/>
          <w:szCs w:val="24"/>
          <w:lang w:val="fr-FR"/>
        </w:rPr>
        <w:t>À</w:t>
      </w:r>
      <w:r w:rsidR="00B2650D" w:rsidRPr="00953692">
        <w:rPr>
          <w:rFonts w:cs="Times New Roman"/>
          <w:sz w:val="24"/>
          <w:szCs w:val="24"/>
          <w:shd w:val="clear" w:color="auto" w:fill="FFFFFF"/>
          <w:lang w:val="fr-FR"/>
        </w:rPr>
        <w:t xml:space="preserve"> ceci</w:t>
      </w:r>
      <w:r w:rsidR="00B2650D" w:rsidRPr="00953692">
        <w:rPr>
          <w:rStyle w:val="grammar"/>
          <w:rFonts w:cs="Times New Roman"/>
          <w:sz w:val="24"/>
          <w:szCs w:val="24"/>
          <w:lang w:val="fr-FR"/>
        </w:rPr>
        <w:t xml:space="preserve">, il </w:t>
      </w:r>
      <w:r w:rsidR="005D0979" w:rsidRPr="00953692">
        <w:rPr>
          <w:rFonts w:cs="Times New Roman"/>
          <w:sz w:val="24"/>
          <w:szCs w:val="24"/>
          <w:lang w:val="fr-FR"/>
        </w:rPr>
        <w:t>faut ajouter les difficultés structurelles inhérentes aux juridictions hors-sols</w:t>
      </w:r>
      <w:r w:rsidR="007B702D" w:rsidRPr="00953692">
        <w:rPr>
          <w:rFonts w:cs="Times New Roman"/>
          <w:sz w:val="24"/>
          <w:szCs w:val="24"/>
          <w:lang w:val="fr-FR"/>
        </w:rPr>
        <w:t>. M</w:t>
      </w:r>
      <w:r w:rsidR="005D0979" w:rsidRPr="00953692">
        <w:rPr>
          <w:rFonts w:cs="Times New Roman"/>
          <w:sz w:val="24"/>
          <w:szCs w:val="24"/>
          <w:lang w:val="fr-FR"/>
        </w:rPr>
        <w:t>ais</w:t>
      </w:r>
      <w:r w:rsidR="007B702D" w:rsidRPr="00953692">
        <w:rPr>
          <w:rFonts w:cs="Times New Roman"/>
          <w:sz w:val="24"/>
          <w:szCs w:val="24"/>
          <w:lang w:val="fr-FR"/>
        </w:rPr>
        <w:t xml:space="preserve"> il y a</w:t>
      </w:r>
      <w:r w:rsidR="005D0979" w:rsidRPr="00953692">
        <w:rPr>
          <w:rFonts w:cs="Times New Roman"/>
          <w:sz w:val="24"/>
          <w:szCs w:val="24"/>
          <w:lang w:val="fr-FR"/>
        </w:rPr>
        <w:t xml:space="preserve"> aussi d’autres cas de force majeur</w:t>
      </w:r>
      <w:r w:rsidR="007B702D" w:rsidRPr="00953692">
        <w:rPr>
          <w:rFonts w:cs="Times New Roman"/>
          <w:sz w:val="24"/>
          <w:szCs w:val="24"/>
          <w:lang w:val="fr-FR"/>
        </w:rPr>
        <w:t>e</w:t>
      </w:r>
      <w:r w:rsidR="005D0979" w:rsidRPr="00953692">
        <w:rPr>
          <w:rFonts w:cs="Times New Roman"/>
          <w:sz w:val="24"/>
          <w:szCs w:val="24"/>
          <w:lang w:val="fr-FR"/>
        </w:rPr>
        <w:t xml:space="preserve"> qui p</w:t>
      </w:r>
      <w:r w:rsidR="007B702D" w:rsidRPr="00953692">
        <w:rPr>
          <w:rFonts w:cs="Times New Roman"/>
          <w:sz w:val="24"/>
          <w:szCs w:val="24"/>
          <w:lang w:val="fr-FR"/>
        </w:rPr>
        <w:t>ourraient</w:t>
      </w:r>
      <w:r w:rsidR="005D0979" w:rsidRPr="00953692">
        <w:rPr>
          <w:rFonts w:cs="Times New Roman"/>
          <w:sz w:val="24"/>
          <w:szCs w:val="24"/>
          <w:lang w:val="fr-FR"/>
        </w:rPr>
        <w:t xml:space="preserve"> empêcher ou retarder le procès au motif que l’accusé n’a pas eu suffisamment le temps et moyens nécessaires à la préparation de sa défense.</w:t>
      </w:r>
    </w:p>
    <w:p w14:paraId="24A82C35" w14:textId="44E597CE" w:rsidR="00671D38"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w:t>
      </w:r>
      <w:r w:rsidR="007B702D" w:rsidRPr="00953692">
        <w:rPr>
          <w:rFonts w:cs="Times New Roman"/>
          <w:b/>
          <w:bCs/>
          <w:sz w:val="24"/>
          <w:szCs w:val="24"/>
          <w:lang w:val="fr-FR"/>
        </w:rPr>
        <w:t>29.</w:t>
      </w:r>
      <w:r w:rsidR="007B702D" w:rsidRPr="00953692">
        <w:rPr>
          <w:rFonts w:cs="Times New Roman"/>
          <w:sz w:val="24"/>
          <w:szCs w:val="24"/>
          <w:lang w:val="fr-FR"/>
        </w:rPr>
        <w:t xml:space="preserve"> </w:t>
      </w:r>
      <w:r w:rsidR="00BE2CCC" w:rsidRPr="00953692">
        <w:rPr>
          <w:rFonts w:cs="Times New Roman"/>
          <w:sz w:val="24"/>
          <w:szCs w:val="24"/>
          <w:lang w:val="fr-FR"/>
        </w:rPr>
        <w:t>Par exemple</w:t>
      </w:r>
      <w:r w:rsidR="006C2F60" w:rsidRPr="00953692">
        <w:rPr>
          <w:rFonts w:cs="Times New Roman"/>
          <w:sz w:val="24"/>
          <w:szCs w:val="24"/>
          <w:lang w:val="fr-FR"/>
        </w:rPr>
        <w:t>,</w:t>
      </w:r>
      <w:r w:rsidR="00BE2CCC" w:rsidRPr="00953692">
        <w:rPr>
          <w:rFonts w:cs="Times New Roman"/>
          <w:sz w:val="24"/>
          <w:szCs w:val="24"/>
          <w:lang w:val="fr-FR"/>
        </w:rPr>
        <w:t xml:space="preserve"> dans l’affaire Salim Jamil Ayyash devant le T</w:t>
      </w:r>
      <w:r w:rsidR="003B2A99" w:rsidRPr="00953692">
        <w:rPr>
          <w:rFonts w:cs="Times New Roman"/>
          <w:sz w:val="24"/>
          <w:szCs w:val="24"/>
          <w:lang w:val="fr-FR"/>
        </w:rPr>
        <w:t>ribunal spécial pour le Liban</w:t>
      </w:r>
      <w:r w:rsidR="00BE2CCC" w:rsidRPr="00953692">
        <w:rPr>
          <w:rFonts w:cs="Times New Roman"/>
          <w:sz w:val="24"/>
          <w:szCs w:val="24"/>
          <w:lang w:val="fr-FR"/>
        </w:rPr>
        <w:t>, le juge de la mise en état a bien constaté, dans son ordonnance de fixation de la date provisoire du procès, que la pandémie du Covid-19 constitua</w:t>
      </w:r>
      <w:r w:rsidR="00196694" w:rsidRPr="00953692">
        <w:rPr>
          <w:rFonts w:cs="Times New Roman"/>
          <w:sz w:val="24"/>
          <w:szCs w:val="24"/>
          <w:lang w:val="fr-FR"/>
        </w:rPr>
        <w:t>i</w:t>
      </w:r>
      <w:r w:rsidR="00BE2CCC" w:rsidRPr="00953692">
        <w:rPr>
          <w:rFonts w:cs="Times New Roman"/>
          <w:sz w:val="24"/>
          <w:szCs w:val="24"/>
          <w:lang w:val="fr-FR"/>
        </w:rPr>
        <w:t xml:space="preserve">t </w:t>
      </w:r>
      <w:r w:rsidR="003B2A99" w:rsidRPr="00953692">
        <w:rPr>
          <w:rFonts w:cs="Times New Roman"/>
          <w:sz w:val="24"/>
          <w:szCs w:val="24"/>
          <w:lang w:val="fr-FR"/>
        </w:rPr>
        <w:t xml:space="preserve">un </w:t>
      </w:r>
      <w:r w:rsidR="00BE2CCC" w:rsidRPr="00953692">
        <w:rPr>
          <w:rFonts w:cs="Times New Roman"/>
          <w:sz w:val="24"/>
          <w:szCs w:val="24"/>
          <w:lang w:val="fr-FR"/>
        </w:rPr>
        <w:t>obstacle à la réalisation de ce droit</w:t>
      </w:r>
      <w:r w:rsidR="00C623E8" w:rsidRPr="00953692">
        <w:rPr>
          <w:rFonts w:cs="Times New Roman"/>
          <w:sz w:val="24"/>
          <w:szCs w:val="24"/>
          <w:lang w:val="fr-FR"/>
        </w:rPr>
        <w:t>, tel qu’invoqué par l’accusé lui-même</w:t>
      </w:r>
      <w:r w:rsidR="00C631C6" w:rsidRPr="00953692">
        <w:rPr>
          <w:rStyle w:val="Appelnotedebasdep"/>
          <w:rFonts w:cs="Times New Roman"/>
          <w:sz w:val="24"/>
          <w:szCs w:val="24"/>
          <w:lang w:val="fr-FR"/>
        </w:rPr>
        <w:footnoteReference w:customMarkFollows="1" w:id="250"/>
        <w:t>227</w:t>
      </w:r>
      <w:r w:rsidR="00BE2CCC" w:rsidRPr="00953692">
        <w:rPr>
          <w:rFonts w:cs="Times New Roman"/>
          <w:sz w:val="24"/>
          <w:szCs w:val="24"/>
          <w:lang w:val="fr-FR"/>
        </w:rPr>
        <w:t>.</w:t>
      </w:r>
      <w:r w:rsidR="005D0979" w:rsidRPr="00953692">
        <w:rPr>
          <w:rFonts w:cs="Times New Roman"/>
          <w:sz w:val="24"/>
          <w:szCs w:val="24"/>
          <w:lang w:val="fr-FR"/>
        </w:rPr>
        <w:t xml:space="preserve"> C</w:t>
      </w:r>
      <w:r w:rsidR="00BE2CCC" w:rsidRPr="00953692">
        <w:rPr>
          <w:rFonts w:cs="Times New Roman"/>
          <w:sz w:val="24"/>
          <w:szCs w:val="24"/>
          <w:lang w:val="fr-FR"/>
        </w:rPr>
        <w:t xml:space="preserve">e qui semble intéressant dans cette ordonnance, le juge a tenu à réconcilier ce droit </w:t>
      </w:r>
      <w:r w:rsidR="00B84741" w:rsidRPr="00953692">
        <w:rPr>
          <w:rFonts w:cs="Times New Roman"/>
          <w:sz w:val="24"/>
          <w:szCs w:val="24"/>
          <w:lang w:val="fr-FR"/>
        </w:rPr>
        <w:t>avec</w:t>
      </w:r>
      <w:r w:rsidR="00BE2CCC" w:rsidRPr="00953692">
        <w:rPr>
          <w:rFonts w:cs="Times New Roman"/>
          <w:sz w:val="24"/>
          <w:szCs w:val="24"/>
          <w:lang w:val="fr-FR"/>
        </w:rPr>
        <w:t xml:space="preserve"> l’obligation qui </w:t>
      </w:r>
      <w:r w:rsidR="00C623E8" w:rsidRPr="00953692">
        <w:rPr>
          <w:rFonts w:cs="Times New Roman"/>
          <w:sz w:val="24"/>
          <w:szCs w:val="24"/>
          <w:lang w:val="fr-FR"/>
        </w:rPr>
        <w:t xml:space="preserve">lui </w:t>
      </w:r>
      <w:r w:rsidR="006074D1" w:rsidRPr="00953692">
        <w:rPr>
          <w:rFonts w:cs="Times New Roman"/>
          <w:sz w:val="24"/>
          <w:szCs w:val="24"/>
          <w:lang w:val="fr-FR"/>
        </w:rPr>
        <w:t>incombait</w:t>
      </w:r>
      <w:r w:rsidR="00C623E8" w:rsidRPr="00953692">
        <w:rPr>
          <w:rFonts w:cs="Times New Roman"/>
          <w:sz w:val="24"/>
          <w:szCs w:val="24"/>
          <w:lang w:val="fr-FR"/>
        </w:rPr>
        <w:t xml:space="preserve">, </w:t>
      </w:r>
      <w:r w:rsidR="00C623E8" w:rsidRPr="00953692">
        <w:rPr>
          <w:rFonts w:cs="Times New Roman"/>
          <w:i/>
          <w:iCs/>
          <w:sz w:val="24"/>
          <w:szCs w:val="24"/>
          <w:lang w:val="fr-FR"/>
        </w:rPr>
        <w:t>celle d’assurer un procès rapide et équitable</w:t>
      </w:r>
      <w:r w:rsidR="00C623E8" w:rsidRPr="00953692">
        <w:rPr>
          <w:rFonts w:cs="Times New Roman"/>
          <w:sz w:val="24"/>
          <w:szCs w:val="24"/>
          <w:lang w:val="fr-FR"/>
        </w:rPr>
        <w:t xml:space="preserve">. En rappelant cette obligation afin de trouver une raison de fixer provisoirement la date d’audience, </w:t>
      </w:r>
      <w:r w:rsidR="000173E7" w:rsidRPr="00953692">
        <w:rPr>
          <w:rFonts w:cs="Times New Roman"/>
          <w:sz w:val="24"/>
          <w:szCs w:val="24"/>
          <w:lang w:val="fr-FR"/>
        </w:rPr>
        <w:t xml:space="preserve">le juge de la mise en état relève en filigrane </w:t>
      </w:r>
      <w:r w:rsidR="000173E7" w:rsidRPr="00953692">
        <w:rPr>
          <w:rFonts w:cs="Times New Roman"/>
          <w:i/>
          <w:iCs/>
          <w:sz w:val="24"/>
          <w:szCs w:val="24"/>
          <w:lang w:val="fr-FR"/>
        </w:rPr>
        <w:t>l’effet de cette prérogative sur la durée du procès</w:t>
      </w:r>
      <w:r w:rsidR="00C631C6" w:rsidRPr="00953692">
        <w:rPr>
          <w:rStyle w:val="Appelnotedebasdep"/>
          <w:rFonts w:cs="Times New Roman"/>
          <w:i/>
          <w:iCs/>
          <w:sz w:val="24"/>
          <w:szCs w:val="24"/>
          <w:lang w:val="fr-FR"/>
        </w:rPr>
        <w:footnoteReference w:customMarkFollows="1" w:id="251"/>
        <w:t>228</w:t>
      </w:r>
      <w:r w:rsidR="000173E7" w:rsidRPr="00953692">
        <w:rPr>
          <w:rFonts w:cs="Times New Roman"/>
          <w:i/>
          <w:iCs/>
          <w:sz w:val="24"/>
          <w:szCs w:val="24"/>
          <w:lang w:val="fr-FR"/>
        </w:rPr>
        <w:t xml:space="preserve">, </w:t>
      </w:r>
      <w:r w:rsidR="000173E7" w:rsidRPr="00953692">
        <w:rPr>
          <w:rFonts w:cs="Times New Roman"/>
          <w:sz w:val="24"/>
          <w:szCs w:val="24"/>
          <w:lang w:val="fr-FR"/>
        </w:rPr>
        <w:t xml:space="preserve">dont le délai raisonnable en est le garant. </w:t>
      </w:r>
      <w:r w:rsidR="00FC61F3" w:rsidRPr="00953692">
        <w:rPr>
          <w:rFonts w:cs="Times New Roman"/>
          <w:sz w:val="24"/>
          <w:szCs w:val="24"/>
          <w:lang w:val="fr-FR"/>
        </w:rPr>
        <w:t>E</w:t>
      </w:r>
      <w:r w:rsidR="000173E7" w:rsidRPr="00953692">
        <w:rPr>
          <w:rFonts w:cs="Times New Roman"/>
          <w:sz w:val="24"/>
          <w:szCs w:val="24"/>
          <w:lang w:val="fr-FR"/>
        </w:rPr>
        <w:t>n fixant la date d’audience, parce qu’il était impossible de prévoir la période durant laquelle ces difficultés allaient être résolues, le juge n’a pas</w:t>
      </w:r>
      <w:r w:rsidR="00D72F37" w:rsidRPr="00953692">
        <w:rPr>
          <w:rFonts w:cs="Times New Roman"/>
          <w:sz w:val="24"/>
          <w:szCs w:val="24"/>
          <w:lang w:val="fr-FR"/>
        </w:rPr>
        <w:t xml:space="preserve"> ignoré le droit de l’accusé de disposer d</w:t>
      </w:r>
      <w:r w:rsidR="00EE5601" w:rsidRPr="00953692">
        <w:rPr>
          <w:rFonts w:cs="Times New Roman"/>
          <w:sz w:val="24"/>
          <w:szCs w:val="24"/>
          <w:lang w:val="fr-FR"/>
        </w:rPr>
        <w:t>u</w:t>
      </w:r>
      <w:r w:rsidR="00D72F37" w:rsidRPr="00953692">
        <w:rPr>
          <w:rFonts w:cs="Times New Roman"/>
          <w:sz w:val="24"/>
          <w:szCs w:val="24"/>
          <w:lang w:val="fr-FR"/>
        </w:rPr>
        <w:t xml:space="preserve"> temps, car il a été précis</w:t>
      </w:r>
      <w:r w:rsidR="003B2A99" w:rsidRPr="00953692">
        <w:rPr>
          <w:rFonts w:cs="Times New Roman"/>
          <w:sz w:val="24"/>
          <w:szCs w:val="24"/>
          <w:lang w:val="fr-FR"/>
        </w:rPr>
        <w:t>é</w:t>
      </w:r>
      <w:r w:rsidR="00D72F37" w:rsidRPr="00953692">
        <w:rPr>
          <w:rFonts w:cs="Times New Roman"/>
          <w:sz w:val="24"/>
          <w:szCs w:val="24"/>
          <w:lang w:val="fr-FR"/>
        </w:rPr>
        <w:t xml:space="preserve"> qu’il pourrait l’utiliser postérieurement devant le juge de la première instance.</w:t>
      </w:r>
    </w:p>
    <w:p w14:paraId="4FE7CA68" w14:textId="2AE133A2" w:rsidR="009147A0"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w:t>
      </w:r>
      <w:r w:rsidR="000D3538" w:rsidRPr="00953692">
        <w:rPr>
          <w:rFonts w:cs="Times New Roman"/>
          <w:b/>
          <w:bCs/>
          <w:sz w:val="24"/>
          <w:szCs w:val="24"/>
          <w:lang w:val="fr-FR"/>
        </w:rPr>
        <w:t>30.</w:t>
      </w:r>
      <w:r w:rsidR="000D3538" w:rsidRPr="00953692">
        <w:rPr>
          <w:rFonts w:cs="Times New Roman"/>
          <w:sz w:val="24"/>
          <w:szCs w:val="24"/>
          <w:lang w:val="fr-FR"/>
        </w:rPr>
        <w:t xml:space="preserve"> I</w:t>
      </w:r>
      <w:r w:rsidR="00C73272" w:rsidRPr="00953692">
        <w:rPr>
          <w:rFonts w:cs="Times New Roman"/>
          <w:sz w:val="24"/>
          <w:szCs w:val="24"/>
          <w:lang w:val="fr-FR"/>
        </w:rPr>
        <w:t>l ressort</w:t>
      </w:r>
      <w:r w:rsidR="000D3538" w:rsidRPr="00953692">
        <w:rPr>
          <w:rFonts w:cs="Times New Roman"/>
          <w:sz w:val="24"/>
          <w:szCs w:val="24"/>
          <w:lang w:val="fr-FR"/>
        </w:rPr>
        <w:t xml:space="preserve"> enfin </w:t>
      </w:r>
      <w:r w:rsidR="00C73272" w:rsidRPr="00953692">
        <w:rPr>
          <w:rFonts w:cs="Times New Roman"/>
          <w:sz w:val="24"/>
          <w:szCs w:val="24"/>
          <w:lang w:val="fr-FR"/>
        </w:rPr>
        <w:t>de cette affaire</w:t>
      </w:r>
      <w:r w:rsidR="000D3538" w:rsidRPr="00953692">
        <w:rPr>
          <w:rFonts w:cs="Times New Roman"/>
          <w:sz w:val="24"/>
          <w:szCs w:val="24"/>
          <w:lang w:val="fr-FR"/>
        </w:rPr>
        <w:t>,</w:t>
      </w:r>
      <w:r w:rsidR="00921421" w:rsidRPr="00953692">
        <w:rPr>
          <w:rFonts w:cs="Times New Roman"/>
          <w:sz w:val="24"/>
          <w:szCs w:val="24"/>
          <w:lang w:val="fr-FR"/>
        </w:rPr>
        <w:t xml:space="preserve"> la nécessité d’organiser un procès équitable dans le respect de tous les droits de l’accusé. </w:t>
      </w:r>
      <w:r w:rsidR="00D0426C" w:rsidRPr="00953692">
        <w:rPr>
          <w:rFonts w:cs="Times New Roman"/>
          <w:sz w:val="24"/>
          <w:szCs w:val="24"/>
          <w:lang w:val="fr-FR"/>
        </w:rPr>
        <w:t>C’est d’ailleurs</w:t>
      </w:r>
      <w:r w:rsidRPr="00953692">
        <w:rPr>
          <w:rFonts w:cs="Times New Roman"/>
          <w:sz w:val="24"/>
          <w:szCs w:val="24"/>
          <w:lang w:val="fr-FR"/>
        </w:rPr>
        <w:t>,</w:t>
      </w:r>
      <w:r w:rsidR="00D0426C" w:rsidRPr="00953692">
        <w:rPr>
          <w:rFonts w:cs="Times New Roman"/>
          <w:sz w:val="24"/>
          <w:szCs w:val="24"/>
          <w:lang w:val="fr-FR"/>
        </w:rPr>
        <w:t xml:space="preserve"> en principe</w:t>
      </w:r>
      <w:r w:rsidRPr="00953692">
        <w:rPr>
          <w:rFonts w:cs="Times New Roman"/>
          <w:sz w:val="24"/>
          <w:szCs w:val="24"/>
          <w:lang w:val="fr-FR"/>
        </w:rPr>
        <w:t>,</w:t>
      </w:r>
      <w:r w:rsidR="00D0426C" w:rsidRPr="00953692">
        <w:rPr>
          <w:rFonts w:cs="Times New Roman"/>
          <w:sz w:val="24"/>
          <w:szCs w:val="24"/>
          <w:lang w:val="fr-FR"/>
        </w:rPr>
        <w:t xml:space="preserve"> le but à atteindre</w:t>
      </w:r>
      <w:r w:rsidR="006C2F60" w:rsidRPr="00953692">
        <w:rPr>
          <w:rFonts w:cs="Times New Roman"/>
          <w:sz w:val="24"/>
          <w:szCs w:val="24"/>
          <w:lang w:val="fr-FR"/>
        </w:rPr>
        <w:t>, c’est à dire</w:t>
      </w:r>
      <w:r w:rsidR="00D0426C" w:rsidRPr="00953692">
        <w:rPr>
          <w:rFonts w:cs="Times New Roman"/>
          <w:sz w:val="24"/>
          <w:szCs w:val="24"/>
          <w:lang w:val="fr-FR"/>
        </w:rPr>
        <w:t xml:space="preserve"> un procès </w:t>
      </w:r>
      <w:r w:rsidR="006A66FE" w:rsidRPr="00953692">
        <w:rPr>
          <w:rFonts w:cs="Times New Roman"/>
          <w:sz w:val="24"/>
          <w:szCs w:val="24"/>
          <w:lang w:val="fr-FR"/>
        </w:rPr>
        <w:t>au terme duquel</w:t>
      </w:r>
      <w:r w:rsidR="00D0426C" w:rsidRPr="00953692">
        <w:rPr>
          <w:rFonts w:cs="Times New Roman"/>
          <w:sz w:val="24"/>
          <w:szCs w:val="24"/>
          <w:lang w:val="fr-FR"/>
        </w:rPr>
        <w:t xml:space="preserve"> tous les droits de l’accusé ont été scrupuleusement respectés. </w:t>
      </w:r>
      <w:r w:rsidR="006A66FE" w:rsidRPr="00953692">
        <w:rPr>
          <w:rFonts w:cs="Times New Roman"/>
          <w:sz w:val="24"/>
          <w:szCs w:val="24"/>
          <w:lang w:val="fr-FR"/>
        </w:rPr>
        <w:t>Si les deux prérogatives qui nous concernent sont donc censées cohabiter et être respect</w:t>
      </w:r>
      <w:r w:rsidR="006C2F60" w:rsidRPr="00953692">
        <w:rPr>
          <w:rFonts w:cs="Times New Roman"/>
          <w:sz w:val="24"/>
          <w:szCs w:val="24"/>
          <w:lang w:val="fr-FR"/>
        </w:rPr>
        <w:t>ées</w:t>
      </w:r>
      <w:r w:rsidR="006A66FE" w:rsidRPr="00953692">
        <w:rPr>
          <w:rFonts w:cs="Times New Roman"/>
          <w:sz w:val="24"/>
          <w:szCs w:val="24"/>
          <w:lang w:val="fr-FR"/>
        </w:rPr>
        <w:t>, leur mise en œuvre montre bien les marques d’une</w:t>
      </w:r>
      <w:r w:rsidR="00D0426C" w:rsidRPr="00953692">
        <w:rPr>
          <w:rFonts w:cs="Times New Roman"/>
          <w:sz w:val="24"/>
          <w:szCs w:val="24"/>
          <w:lang w:val="fr-FR"/>
        </w:rPr>
        <w:t xml:space="preserve"> conflictualité</w:t>
      </w:r>
      <w:r w:rsidR="00921421" w:rsidRPr="00953692">
        <w:rPr>
          <w:rFonts w:cs="Times New Roman"/>
          <w:sz w:val="24"/>
          <w:szCs w:val="24"/>
          <w:lang w:val="fr-FR"/>
        </w:rPr>
        <w:t xml:space="preserve"> qui placerait l’un</w:t>
      </w:r>
      <w:r w:rsidR="006A66FE" w:rsidRPr="00953692">
        <w:rPr>
          <w:rFonts w:cs="Times New Roman"/>
          <w:sz w:val="24"/>
          <w:szCs w:val="24"/>
          <w:lang w:val="fr-FR"/>
        </w:rPr>
        <w:t>e</w:t>
      </w:r>
      <w:r w:rsidR="00921421" w:rsidRPr="00953692">
        <w:rPr>
          <w:rFonts w:cs="Times New Roman"/>
          <w:sz w:val="24"/>
          <w:szCs w:val="24"/>
          <w:lang w:val="fr-FR"/>
        </w:rPr>
        <w:t xml:space="preserve"> à la suite de l’autre.</w:t>
      </w:r>
      <w:r w:rsidR="003949C7" w:rsidRPr="00953692">
        <w:rPr>
          <w:rFonts w:cs="Times New Roman"/>
          <w:sz w:val="24"/>
          <w:szCs w:val="24"/>
          <w:lang w:val="fr-FR"/>
        </w:rPr>
        <w:t xml:space="preserve"> Cette conflictualité va déboucher </w:t>
      </w:r>
      <w:r w:rsidR="003949C7" w:rsidRPr="00953692">
        <w:rPr>
          <w:rFonts w:cs="Times New Roman"/>
          <w:i/>
          <w:iCs/>
          <w:sz w:val="24"/>
          <w:szCs w:val="24"/>
          <w:lang w:val="fr-FR"/>
        </w:rPr>
        <w:t>in fine</w:t>
      </w:r>
      <w:r w:rsidR="003949C7" w:rsidRPr="00953692">
        <w:rPr>
          <w:rFonts w:cs="Times New Roman"/>
          <w:sz w:val="24"/>
          <w:szCs w:val="24"/>
          <w:lang w:val="fr-FR"/>
        </w:rPr>
        <w:t xml:space="preserve"> sur une interdépendance,</w:t>
      </w:r>
      <w:r w:rsidR="004C76AA" w:rsidRPr="00953692">
        <w:rPr>
          <w:rFonts w:cs="Times New Roman"/>
          <w:sz w:val="24"/>
          <w:szCs w:val="24"/>
          <w:lang w:val="fr-FR"/>
        </w:rPr>
        <w:t xml:space="preserve"> ou une forme de complémentarité entre ces deux règles qui n’en reste pas moins problématique</w:t>
      </w:r>
      <w:r w:rsidRPr="00953692">
        <w:rPr>
          <w:rFonts w:cs="Times New Roman"/>
          <w:sz w:val="24"/>
          <w:szCs w:val="24"/>
          <w:lang w:val="fr-FR"/>
        </w:rPr>
        <w:t xml:space="preserve"> </w:t>
      </w:r>
      <w:r w:rsidR="00C631C6" w:rsidRPr="00953692">
        <w:rPr>
          <w:rFonts w:cs="Times New Roman"/>
          <w:sz w:val="24"/>
          <w:szCs w:val="24"/>
          <w:lang w:val="fr-FR"/>
        </w:rPr>
        <w:t>dans leur</w:t>
      </w:r>
      <w:r w:rsidRPr="00953692">
        <w:rPr>
          <w:rFonts w:cs="Times New Roman"/>
          <w:sz w:val="24"/>
          <w:szCs w:val="24"/>
          <w:lang w:val="fr-FR"/>
        </w:rPr>
        <w:t xml:space="preserve"> réalisation respective.</w:t>
      </w:r>
    </w:p>
    <w:p w14:paraId="417142A8" w14:textId="59F30990" w:rsidR="009147A0" w:rsidRPr="00953692" w:rsidRDefault="00FE17FD" w:rsidP="00BC1362">
      <w:pPr>
        <w:pStyle w:val="Titre3"/>
        <w:ind w:left="1134"/>
        <w:rPr>
          <w:rFonts w:ascii="Times New Roman" w:hAnsi="Times New Roman"/>
          <w:b w:val="0"/>
          <w:i/>
          <w:iCs/>
          <w:color w:val="auto"/>
          <w:sz w:val="24"/>
          <w:szCs w:val="24"/>
          <w:lang w:val="fr-FR"/>
        </w:rPr>
      </w:pPr>
      <w:bookmarkStart w:id="73" w:name="_Toc195179436"/>
      <w:r>
        <w:rPr>
          <w:rFonts w:ascii="Times New Roman" w:hAnsi="Times New Roman"/>
          <w:b w:val="0"/>
          <w:i/>
          <w:iCs/>
          <w:color w:val="auto"/>
          <w:sz w:val="24"/>
          <w:szCs w:val="24"/>
          <w:lang w:val="fr-FR"/>
        </w:rPr>
        <w:t xml:space="preserve">Paragraphe </w:t>
      </w:r>
      <w:r w:rsidR="0042546A" w:rsidRPr="00953692">
        <w:rPr>
          <w:rFonts w:ascii="Times New Roman" w:hAnsi="Times New Roman"/>
          <w:b w:val="0"/>
          <w:i/>
          <w:iCs/>
          <w:color w:val="auto"/>
          <w:sz w:val="24"/>
          <w:szCs w:val="24"/>
          <w:lang w:val="fr-FR"/>
        </w:rPr>
        <w:t>2.</w:t>
      </w:r>
      <w:r w:rsidR="00AC2701" w:rsidRPr="00953692">
        <w:rPr>
          <w:rFonts w:ascii="Times New Roman" w:hAnsi="Times New Roman"/>
          <w:b w:val="0"/>
          <w:i/>
          <w:iCs/>
          <w:color w:val="auto"/>
          <w:sz w:val="24"/>
          <w:szCs w:val="24"/>
          <w:lang w:val="fr-FR"/>
        </w:rPr>
        <w:t xml:space="preserve"> Interdépendance </w:t>
      </w:r>
      <w:r w:rsidR="004C76AA" w:rsidRPr="00953692">
        <w:rPr>
          <w:rFonts w:ascii="Times New Roman" w:hAnsi="Times New Roman"/>
          <w:b w:val="0"/>
          <w:i/>
          <w:iCs/>
          <w:color w:val="auto"/>
          <w:sz w:val="24"/>
          <w:szCs w:val="24"/>
          <w:lang w:val="fr-FR"/>
        </w:rPr>
        <w:t xml:space="preserve">révélatrice des germes de la conflictualité </w:t>
      </w:r>
      <w:r w:rsidR="00F0169B" w:rsidRPr="00953692">
        <w:rPr>
          <w:rFonts w:ascii="Times New Roman" w:hAnsi="Times New Roman"/>
          <w:b w:val="0"/>
          <w:i/>
          <w:iCs/>
          <w:color w:val="auto"/>
          <w:sz w:val="24"/>
          <w:szCs w:val="24"/>
          <w:lang w:val="fr-FR"/>
        </w:rPr>
        <w:t>entre le</w:t>
      </w:r>
      <w:r w:rsidR="004C76AA" w:rsidRPr="00953692">
        <w:rPr>
          <w:rFonts w:ascii="Times New Roman" w:hAnsi="Times New Roman"/>
          <w:b w:val="0"/>
          <w:i/>
          <w:iCs/>
          <w:color w:val="auto"/>
          <w:sz w:val="24"/>
          <w:szCs w:val="24"/>
          <w:lang w:val="fr-FR"/>
        </w:rPr>
        <w:t xml:space="preserve"> droit d’être jugé sans retard excessif et le droit de disposer du temps nécessaire à la préparation de sa défense</w:t>
      </w:r>
      <w:bookmarkEnd w:id="73"/>
    </w:p>
    <w:p w14:paraId="363AEB66" w14:textId="40001A34" w:rsidR="009147A0" w:rsidRPr="00953692" w:rsidRDefault="005577EE" w:rsidP="00864BBF">
      <w:pPr>
        <w:spacing w:before="240" w:line="276" w:lineRule="auto"/>
        <w:ind w:firstLine="1134"/>
        <w:jc w:val="both"/>
        <w:rPr>
          <w:rFonts w:cs="Times New Roman"/>
          <w:sz w:val="24"/>
          <w:szCs w:val="24"/>
          <w:lang w:val="fr-FR"/>
        </w:rPr>
      </w:pPr>
      <w:r w:rsidRPr="00953692">
        <w:rPr>
          <w:rFonts w:cs="Times New Roman"/>
          <w:b/>
          <w:bCs/>
          <w:sz w:val="24"/>
          <w:szCs w:val="24"/>
          <w:lang w:val="fr-FR"/>
        </w:rPr>
        <w:t>3</w:t>
      </w:r>
      <w:r w:rsidR="00F0169B" w:rsidRPr="00953692">
        <w:rPr>
          <w:rFonts w:cs="Times New Roman"/>
          <w:b/>
          <w:bCs/>
          <w:sz w:val="24"/>
          <w:szCs w:val="24"/>
          <w:lang w:val="fr-FR"/>
        </w:rPr>
        <w:t>31.</w:t>
      </w:r>
      <w:r w:rsidR="00F0169B" w:rsidRPr="00953692">
        <w:rPr>
          <w:rFonts w:cs="Times New Roman"/>
          <w:sz w:val="24"/>
          <w:szCs w:val="24"/>
          <w:lang w:val="fr-FR"/>
        </w:rPr>
        <w:t xml:space="preserve"> </w:t>
      </w:r>
      <w:r w:rsidR="003949C7" w:rsidRPr="00953692">
        <w:rPr>
          <w:rFonts w:cs="Times New Roman"/>
          <w:sz w:val="24"/>
          <w:szCs w:val="24"/>
          <w:lang w:val="fr-FR"/>
        </w:rPr>
        <w:t>D’un côté, l</w:t>
      </w:r>
      <w:r w:rsidR="002415CA" w:rsidRPr="00953692">
        <w:rPr>
          <w:rFonts w:cs="Times New Roman"/>
          <w:sz w:val="24"/>
          <w:szCs w:val="24"/>
          <w:lang w:val="fr-FR"/>
        </w:rPr>
        <w:t>a violation du délai raisonnable signifie en pratique que la durée du procès a été longue, tandis que</w:t>
      </w:r>
      <w:r w:rsidR="003949C7" w:rsidRPr="00953692">
        <w:rPr>
          <w:rFonts w:cs="Times New Roman"/>
          <w:sz w:val="24"/>
          <w:szCs w:val="24"/>
          <w:lang w:val="fr-FR"/>
        </w:rPr>
        <w:t xml:space="preserve"> de l’autre côté,</w:t>
      </w:r>
      <w:r w:rsidR="002415CA" w:rsidRPr="00953692">
        <w:rPr>
          <w:rFonts w:cs="Times New Roman"/>
          <w:sz w:val="24"/>
          <w:szCs w:val="24"/>
          <w:lang w:val="fr-FR"/>
        </w:rPr>
        <w:t xml:space="preserve"> celle du droit de disposer du </w:t>
      </w:r>
      <w:r w:rsidR="002415CA" w:rsidRPr="00953692">
        <w:rPr>
          <w:rFonts w:cs="Times New Roman"/>
          <w:sz w:val="24"/>
          <w:szCs w:val="24"/>
          <w:lang w:val="fr-FR"/>
        </w:rPr>
        <w:lastRenderedPageBreak/>
        <w:t>temps</w:t>
      </w:r>
      <w:r w:rsidR="007D11F7" w:rsidRPr="00953692">
        <w:rPr>
          <w:rFonts w:cs="Times New Roman"/>
          <w:sz w:val="24"/>
          <w:szCs w:val="24"/>
          <w:lang w:val="fr-FR"/>
        </w:rPr>
        <w:t xml:space="preserve">… nécessaire </w:t>
      </w:r>
      <w:r w:rsidR="002415CA" w:rsidRPr="00953692">
        <w:rPr>
          <w:rFonts w:cs="Times New Roman"/>
          <w:sz w:val="24"/>
          <w:szCs w:val="24"/>
          <w:lang w:val="fr-FR"/>
        </w:rPr>
        <w:t>à la préparation de sa défense présuppose que le temps a été si court que l’accusé n’</w:t>
      </w:r>
      <w:r w:rsidR="003949C7" w:rsidRPr="00953692">
        <w:rPr>
          <w:rFonts w:cs="Times New Roman"/>
          <w:sz w:val="24"/>
          <w:szCs w:val="24"/>
          <w:lang w:val="fr-FR"/>
        </w:rPr>
        <w:t xml:space="preserve">en </w:t>
      </w:r>
      <w:r w:rsidR="002415CA" w:rsidRPr="00953692">
        <w:rPr>
          <w:rFonts w:cs="Times New Roman"/>
          <w:sz w:val="24"/>
          <w:szCs w:val="24"/>
          <w:lang w:val="fr-FR"/>
        </w:rPr>
        <w:t>a p</w:t>
      </w:r>
      <w:r w:rsidR="003949C7" w:rsidRPr="00953692">
        <w:rPr>
          <w:rFonts w:cs="Times New Roman"/>
          <w:sz w:val="24"/>
          <w:szCs w:val="24"/>
          <w:lang w:val="fr-FR"/>
        </w:rPr>
        <w:t>as</w:t>
      </w:r>
      <w:r w:rsidR="002415CA" w:rsidRPr="00953692">
        <w:rPr>
          <w:rFonts w:cs="Times New Roman"/>
          <w:sz w:val="24"/>
          <w:szCs w:val="24"/>
          <w:lang w:val="fr-FR"/>
        </w:rPr>
        <w:t xml:space="preserve"> profit</w:t>
      </w:r>
      <w:r w:rsidR="003949C7" w:rsidRPr="00953692">
        <w:rPr>
          <w:rFonts w:cs="Times New Roman"/>
          <w:sz w:val="24"/>
          <w:szCs w:val="24"/>
          <w:lang w:val="fr-FR"/>
        </w:rPr>
        <w:t>é</w:t>
      </w:r>
      <w:r w:rsidR="002415CA" w:rsidRPr="00953692">
        <w:rPr>
          <w:rFonts w:cs="Times New Roman"/>
          <w:sz w:val="24"/>
          <w:szCs w:val="24"/>
          <w:lang w:val="fr-FR"/>
        </w:rPr>
        <w:t xml:space="preserve"> pour se préparer</w:t>
      </w:r>
      <w:r w:rsidR="002E3E43" w:rsidRPr="00953692">
        <w:rPr>
          <w:rFonts w:cs="Times New Roman"/>
          <w:sz w:val="24"/>
          <w:szCs w:val="24"/>
          <w:lang w:val="fr-FR"/>
        </w:rPr>
        <w:t xml:space="preserve"> (équitablement à l’égard du procureur)</w:t>
      </w:r>
      <w:r w:rsidR="002415CA" w:rsidRPr="00953692">
        <w:rPr>
          <w:rFonts w:cs="Times New Roman"/>
          <w:sz w:val="24"/>
          <w:szCs w:val="24"/>
          <w:lang w:val="fr-FR"/>
        </w:rPr>
        <w:t>. Ces deux prérogatives ressortent une complicité en forme de tenaille pour saisir d’un bout à l’autre la temporalité de la justice pénale</w:t>
      </w:r>
      <w:r w:rsidR="007D11F7" w:rsidRPr="00953692">
        <w:rPr>
          <w:rFonts w:cs="Times New Roman"/>
          <w:sz w:val="24"/>
          <w:szCs w:val="24"/>
          <w:lang w:val="fr-FR"/>
        </w:rPr>
        <w:t> :</w:t>
      </w:r>
      <w:r w:rsidR="002415CA" w:rsidRPr="00953692">
        <w:rPr>
          <w:rFonts w:cs="Times New Roman"/>
          <w:sz w:val="24"/>
          <w:szCs w:val="24"/>
          <w:lang w:val="fr-FR"/>
        </w:rPr>
        <w:t xml:space="preserve"> </w:t>
      </w:r>
      <w:r w:rsidR="007D11F7" w:rsidRPr="00953692">
        <w:rPr>
          <w:rFonts w:cs="Times New Roman"/>
          <w:sz w:val="24"/>
          <w:szCs w:val="24"/>
          <w:lang w:val="fr-FR"/>
        </w:rPr>
        <w:t>l</w:t>
      </w:r>
      <w:r w:rsidR="002415CA" w:rsidRPr="00953692">
        <w:rPr>
          <w:rFonts w:cs="Times New Roman"/>
          <w:sz w:val="24"/>
          <w:szCs w:val="24"/>
          <w:lang w:val="fr-FR"/>
        </w:rPr>
        <w:t xml:space="preserve">e délai ne doit pas </w:t>
      </w:r>
      <w:r w:rsidR="003949C7" w:rsidRPr="00953692">
        <w:rPr>
          <w:rFonts w:cs="Times New Roman"/>
          <w:sz w:val="24"/>
          <w:szCs w:val="24"/>
          <w:lang w:val="fr-FR"/>
        </w:rPr>
        <w:t>être</w:t>
      </w:r>
      <w:r w:rsidR="002415CA" w:rsidRPr="00953692">
        <w:rPr>
          <w:rFonts w:cs="Times New Roman"/>
          <w:sz w:val="24"/>
          <w:szCs w:val="24"/>
          <w:lang w:val="fr-FR"/>
        </w:rPr>
        <w:t xml:space="preserve"> si long et non plus si court.</w:t>
      </w:r>
      <w:r w:rsidR="007D11F7" w:rsidRPr="00953692">
        <w:rPr>
          <w:rFonts w:cs="Times New Roman"/>
          <w:sz w:val="24"/>
          <w:szCs w:val="24"/>
          <w:lang w:val="fr-FR"/>
        </w:rPr>
        <w:t xml:space="preserve"> Dans ce sens, l</w:t>
      </w:r>
      <w:r w:rsidR="00014047" w:rsidRPr="00953692">
        <w:rPr>
          <w:rFonts w:cs="Times New Roman"/>
          <w:sz w:val="24"/>
          <w:szCs w:val="24"/>
          <w:lang w:val="fr-FR"/>
        </w:rPr>
        <w:t>’interdépendance</w:t>
      </w:r>
      <w:r w:rsidR="003949C7" w:rsidRPr="00953692">
        <w:rPr>
          <w:rFonts w:cs="Times New Roman"/>
          <w:sz w:val="24"/>
          <w:szCs w:val="24"/>
          <w:lang w:val="fr-FR"/>
        </w:rPr>
        <w:t xml:space="preserve"> fai</w:t>
      </w:r>
      <w:r w:rsidR="0074786C" w:rsidRPr="00953692">
        <w:rPr>
          <w:rFonts w:cs="Times New Roman"/>
          <w:sz w:val="24"/>
          <w:szCs w:val="24"/>
          <w:lang w:val="fr-FR"/>
        </w:rPr>
        <w:t>t</w:t>
      </w:r>
      <w:r w:rsidR="00014047" w:rsidRPr="00953692">
        <w:rPr>
          <w:rFonts w:cs="Times New Roman"/>
          <w:sz w:val="24"/>
          <w:szCs w:val="24"/>
          <w:lang w:val="fr-FR"/>
        </w:rPr>
        <w:t xml:space="preserve"> allusion au fait que,</w:t>
      </w:r>
      <w:r w:rsidR="00AC2701" w:rsidRPr="00953692">
        <w:rPr>
          <w:rFonts w:cs="Times New Roman"/>
          <w:sz w:val="24"/>
          <w:szCs w:val="24"/>
          <w:lang w:val="fr-FR"/>
        </w:rPr>
        <w:t xml:space="preserve"> </w:t>
      </w:r>
      <w:r w:rsidR="00014047" w:rsidRPr="00953692">
        <w:rPr>
          <w:rFonts w:cs="Times New Roman"/>
          <w:sz w:val="24"/>
          <w:szCs w:val="24"/>
          <w:lang w:val="fr-FR"/>
        </w:rPr>
        <w:t xml:space="preserve">d’une part, </w:t>
      </w:r>
      <w:r w:rsidR="00AC2701" w:rsidRPr="00953692">
        <w:rPr>
          <w:rFonts w:cs="Times New Roman"/>
          <w:sz w:val="24"/>
          <w:szCs w:val="24"/>
          <w:lang w:val="fr-FR"/>
        </w:rPr>
        <w:t xml:space="preserve">le non-respect ou la violation du droit </w:t>
      </w:r>
      <w:r w:rsidR="0074786C" w:rsidRPr="00953692">
        <w:rPr>
          <w:rFonts w:cs="Times New Roman"/>
          <w:sz w:val="24"/>
          <w:szCs w:val="24"/>
          <w:lang w:val="fr-FR"/>
        </w:rPr>
        <w:t xml:space="preserve">de l’accusé </w:t>
      </w:r>
      <w:r w:rsidR="00AC2701" w:rsidRPr="00953692">
        <w:rPr>
          <w:rFonts w:cs="Times New Roman"/>
          <w:sz w:val="24"/>
          <w:szCs w:val="24"/>
          <w:lang w:val="fr-FR"/>
        </w:rPr>
        <w:t xml:space="preserve">de disposer du temps </w:t>
      </w:r>
      <w:r w:rsidR="00014047" w:rsidRPr="00953692">
        <w:rPr>
          <w:rFonts w:cs="Times New Roman"/>
          <w:sz w:val="24"/>
          <w:szCs w:val="24"/>
          <w:lang w:val="fr-FR"/>
        </w:rPr>
        <w:t xml:space="preserve">et des moyens nécessaires à la préparation de sa défense </w:t>
      </w:r>
      <w:r w:rsidR="00AC2701" w:rsidRPr="00953692">
        <w:rPr>
          <w:rFonts w:cs="Times New Roman"/>
          <w:sz w:val="24"/>
          <w:szCs w:val="24"/>
          <w:lang w:val="fr-FR"/>
        </w:rPr>
        <w:t xml:space="preserve">peut </w:t>
      </w:r>
      <w:r w:rsidR="00014047" w:rsidRPr="00953692">
        <w:rPr>
          <w:rFonts w:cs="Times New Roman"/>
          <w:sz w:val="24"/>
          <w:szCs w:val="24"/>
          <w:lang w:val="fr-FR"/>
        </w:rPr>
        <w:t xml:space="preserve">nécessiter un procès beaucoup plus long, et </w:t>
      </w:r>
      <w:r w:rsidR="003949C7" w:rsidRPr="00953692">
        <w:rPr>
          <w:rFonts w:cs="Times New Roman"/>
          <w:sz w:val="24"/>
          <w:szCs w:val="24"/>
          <w:lang w:val="fr-FR"/>
        </w:rPr>
        <w:t>par-là</w:t>
      </w:r>
      <w:r w:rsidR="00014047" w:rsidRPr="00953692">
        <w:rPr>
          <w:rFonts w:cs="Times New Roman"/>
          <w:sz w:val="24"/>
          <w:szCs w:val="24"/>
          <w:lang w:val="fr-FR"/>
        </w:rPr>
        <w:t xml:space="preserve"> </w:t>
      </w:r>
      <w:r w:rsidR="003949C7" w:rsidRPr="00953692">
        <w:rPr>
          <w:rFonts w:cs="Times New Roman"/>
          <w:sz w:val="24"/>
          <w:szCs w:val="24"/>
          <w:lang w:val="fr-FR"/>
        </w:rPr>
        <w:t>donner l’occasion</w:t>
      </w:r>
      <w:r w:rsidR="00014047" w:rsidRPr="00953692">
        <w:rPr>
          <w:rFonts w:cs="Times New Roman"/>
          <w:sz w:val="24"/>
          <w:szCs w:val="24"/>
          <w:lang w:val="fr-FR"/>
        </w:rPr>
        <w:t xml:space="preserve"> à l’accusé d’invoquer la violation de son droit à un délai raisonnable</w:t>
      </w:r>
      <w:r w:rsidR="00F0169B" w:rsidRPr="00953692">
        <w:rPr>
          <w:rFonts w:cs="Times New Roman"/>
          <w:sz w:val="24"/>
          <w:szCs w:val="24"/>
          <w:lang w:val="fr-FR"/>
        </w:rPr>
        <w:t xml:space="preserve"> (A). </w:t>
      </w:r>
      <w:r w:rsidR="003949C7" w:rsidRPr="00953692">
        <w:rPr>
          <w:rFonts w:cs="Times New Roman"/>
          <w:sz w:val="24"/>
          <w:szCs w:val="24"/>
          <w:lang w:val="fr-FR"/>
        </w:rPr>
        <w:t xml:space="preserve">D’autre part, la violation du délai raisonnable, qui </w:t>
      </w:r>
      <w:r w:rsidR="002E3E43" w:rsidRPr="00953692">
        <w:rPr>
          <w:rFonts w:cs="Times New Roman"/>
          <w:sz w:val="24"/>
          <w:szCs w:val="24"/>
          <w:lang w:val="fr-FR"/>
        </w:rPr>
        <w:t xml:space="preserve">est </w:t>
      </w:r>
      <w:r w:rsidR="003949C7" w:rsidRPr="00953692">
        <w:rPr>
          <w:rFonts w:cs="Times New Roman"/>
          <w:sz w:val="24"/>
          <w:szCs w:val="24"/>
          <w:lang w:val="fr-FR"/>
        </w:rPr>
        <w:t>marqué</w:t>
      </w:r>
      <w:r w:rsidR="002E3E43" w:rsidRPr="00953692">
        <w:rPr>
          <w:rFonts w:cs="Times New Roman"/>
          <w:sz w:val="24"/>
          <w:szCs w:val="24"/>
          <w:lang w:val="fr-FR"/>
        </w:rPr>
        <w:t>e</w:t>
      </w:r>
      <w:r w:rsidR="003949C7" w:rsidRPr="00953692">
        <w:rPr>
          <w:rFonts w:cs="Times New Roman"/>
          <w:sz w:val="24"/>
          <w:szCs w:val="24"/>
          <w:lang w:val="fr-FR"/>
        </w:rPr>
        <w:t xml:space="preserve"> par un procès plus long, peut provoquer, chez l’accusé, des difficultés majeures de bien préparer sa défense (B).</w:t>
      </w:r>
    </w:p>
    <w:p w14:paraId="4B598637" w14:textId="5285647B" w:rsidR="009147A0" w:rsidRPr="00953692" w:rsidRDefault="00014047" w:rsidP="00BC1362">
      <w:pPr>
        <w:pStyle w:val="Paragraphedeliste"/>
        <w:numPr>
          <w:ilvl w:val="0"/>
          <w:numId w:val="8"/>
        </w:numPr>
        <w:spacing w:before="240" w:line="276" w:lineRule="auto"/>
        <w:jc w:val="both"/>
        <w:outlineLvl w:val="2"/>
        <w:rPr>
          <w:rFonts w:cs="Times New Roman"/>
          <w:bCs/>
          <w:sz w:val="24"/>
          <w:szCs w:val="24"/>
          <w:lang w:val="fr-FR"/>
        </w:rPr>
      </w:pPr>
      <w:bookmarkStart w:id="74" w:name="_Toc195179437"/>
      <w:r w:rsidRPr="00953692">
        <w:rPr>
          <w:rFonts w:cs="Times New Roman"/>
          <w:bCs/>
          <w:i/>
          <w:iCs/>
          <w:sz w:val="24"/>
          <w:szCs w:val="24"/>
          <w:lang w:val="fr-FR"/>
        </w:rPr>
        <w:t>Le non-respect du droit de disposer du temps et des moyens nécessaires à la préparation de sa défense comme fondement d</w:t>
      </w:r>
      <w:r w:rsidR="0004789E" w:rsidRPr="00953692">
        <w:rPr>
          <w:rFonts w:cs="Times New Roman"/>
          <w:bCs/>
          <w:i/>
          <w:iCs/>
          <w:sz w:val="24"/>
          <w:szCs w:val="24"/>
          <w:lang w:val="fr-FR"/>
        </w:rPr>
        <w:t>e la prétention de la violation du droit d’être jugé sans retard excessif ?</w:t>
      </w:r>
      <w:bookmarkEnd w:id="74"/>
    </w:p>
    <w:p w14:paraId="687E1D1F" w14:textId="15AD9FD5" w:rsidR="00757E6C" w:rsidRPr="00953692" w:rsidRDefault="005577EE" w:rsidP="00864BBF">
      <w:pPr>
        <w:spacing w:before="240" w:after="0" w:line="276" w:lineRule="auto"/>
        <w:ind w:firstLine="1134"/>
        <w:jc w:val="both"/>
        <w:rPr>
          <w:rFonts w:cs="Times New Roman"/>
          <w:sz w:val="24"/>
          <w:szCs w:val="24"/>
          <w:lang w:val="fr-FR"/>
        </w:rPr>
      </w:pPr>
      <w:r w:rsidRPr="00953692">
        <w:rPr>
          <w:rFonts w:cs="Times New Roman"/>
          <w:b/>
          <w:bCs/>
          <w:sz w:val="24"/>
          <w:szCs w:val="24"/>
          <w:lang w:val="fr-FR"/>
        </w:rPr>
        <w:t>3</w:t>
      </w:r>
      <w:r w:rsidR="00E618B8" w:rsidRPr="00953692">
        <w:rPr>
          <w:rFonts w:cs="Times New Roman"/>
          <w:b/>
          <w:bCs/>
          <w:sz w:val="24"/>
          <w:szCs w:val="24"/>
          <w:lang w:val="fr-FR"/>
        </w:rPr>
        <w:t>32.</w:t>
      </w:r>
      <w:r w:rsidR="00E618B8" w:rsidRPr="00953692">
        <w:rPr>
          <w:rFonts w:cs="Times New Roman"/>
          <w:sz w:val="24"/>
          <w:szCs w:val="24"/>
          <w:lang w:val="fr-FR"/>
        </w:rPr>
        <w:t xml:space="preserve"> </w:t>
      </w:r>
      <w:r w:rsidR="00DB11D0" w:rsidRPr="00953692">
        <w:rPr>
          <w:rFonts w:cs="Times New Roman"/>
          <w:sz w:val="24"/>
          <w:szCs w:val="24"/>
          <w:lang w:val="fr-FR"/>
        </w:rPr>
        <w:t xml:space="preserve">Demeurant dans la </w:t>
      </w:r>
      <w:r w:rsidR="00E618B8" w:rsidRPr="00953692">
        <w:rPr>
          <w:rFonts w:cs="Times New Roman"/>
          <w:sz w:val="24"/>
          <w:szCs w:val="24"/>
          <w:lang w:val="fr-FR"/>
        </w:rPr>
        <w:t xml:space="preserve">droite </w:t>
      </w:r>
      <w:r w:rsidR="00DB11D0" w:rsidRPr="00953692">
        <w:rPr>
          <w:rFonts w:cs="Times New Roman"/>
          <w:sz w:val="24"/>
          <w:szCs w:val="24"/>
          <w:lang w:val="fr-FR"/>
        </w:rPr>
        <w:t xml:space="preserve">ligne d’un procès équitable, il </w:t>
      </w:r>
      <w:r w:rsidR="00A77DDE" w:rsidRPr="00953692">
        <w:rPr>
          <w:rFonts w:cs="Times New Roman"/>
          <w:sz w:val="24"/>
          <w:szCs w:val="24"/>
          <w:lang w:val="fr-FR"/>
        </w:rPr>
        <w:t xml:space="preserve">est évident </w:t>
      </w:r>
      <w:r w:rsidR="00E618B8" w:rsidRPr="00953692">
        <w:rPr>
          <w:rFonts w:cs="Times New Roman"/>
          <w:sz w:val="24"/>
          <w:szCs w:val="24"/>
          <w:lang w:val="fr-FR"/>
        </w:rPr>
        <w:t xml:space="preserve">de </w:t>
      </w:r>
      <w:r w:rsidR="00A77DDE" w:rsidRPr="00953692">
        <w:rPr>
          <w:rFonts w:cs="Times New Roman"/>
          <w:sz w:val="24"/>
          <w:szCs w:val="24"/>
          <w:lang w:val="fr-FR"/>
        </w:rPr>
        <w:t>rappeler que</w:t>
      </w:r>
      <w:r w:rsidR="00E618B8" w:rsidRPr="00953692">
        <w:rPr>
          <w:rFonts w:cs="Times New Roman"/>
          <w:sz w:val="24"/>
          <w:szCs w:val="24"/>
          <w:lang w:val="fr-FR"/>
        </w:rPr>
        <w:t>,</w:t>
      </w:r>
      <w:r w:rsidR="00A77DDE" w:rsidRPr="00953692">
        <w:rPr>
          <w:rFonts w:cs="Times New Roman"/>
          <w:sz w:val="24"/>
          <w:szCs w:val="24"/>
          <w:lang w:val="fr-FR"/>
        </w:rPr>
        <w:t xml:space="preserve"> lorsque l’accusé ne peut pas librement et équitablement</w:t>
      </w:r>
      <w:r w:rsidR="00E618B8" w:rsidRPr="00953692">
        <w:rPr>
          <w:rFonts w:cs="Times New Roman"/>
          <w:sz w:val="24"/>
          <w:szCs w:val="24"/>
          <w:lang w:val="fr-FR"/>
        </w:rPr>
        <w:t xml:space="preserve"> préparer sa défense,</w:t>
      </w:r>
      <w:r w:rsidR="00A77DDE" w:rsidRPr="00953692">
        <w:rPr>
          <w:rFonts w:cs="Times New Roman"/>
          <w:sz w:val="24"/>
          <w:szCs w:val="24"/>
          <w:lang w:val="fr-FR"/>
        </w:rPr>
        <w:t xml:space="preserve"> le procès ne saurait en </w:t>
      </w:r>
      <w:r w:rsidR="006D1A41" w:rsidRPr="00953692">
        <w:rPr>
          <w:rFonts w:cs="Times New Roman"/>
          <w:sz w:val="24"/>
          <w:szCs w:val="24"/>
          <w:lang w:val="fr-FR"/>
        </w:rPr>
        <w:t>effet commencer</w:t>
      </w:r>
      <w:r w:rsidR="00A77DDE" w:rsidRPr="00953692">
        <w:rPr>
          <w:rFonts w:cs="Times New Roman"/>
          <w:sz w:val="24"/>
          <w:szCs w:val="24"/>
          <w:lang w:val="fr-FR"/>
        </w:rPr>
        <w:t xml:space="preserve">. </w:t>
      </w:r>
      <w:r w:rsidR="006D1A41" w:rsidRPr="00953692">
        <w:rPr>
          <w:rFonts w:cs="Times New Roman"/>
          <w:sz w:val="24"/>
          <w:szCs w:val="24"/>
          <w:lang w:val="fr-FR"/>
        </w:rPr>
        <w:t>Comme le précise bien la Défense de Laurent Gbagbo dans son observation du 14 avril 2015, « ce droit est à la base du procès équitable »</w:t>
      </w:r>
      <w:r w:rsidR="00C631C6" w:rsidRPr="00953692">
        <w:rPr>
          <w:rStyle w:val="Appelnotedebasdep"/>
          <w:rFonts w:cs="Times New Roman"/>
          <w:sz w:val="24"/>
          <w:szCs w:val="24"/>
          <w:lang w:val="fr-FR"/>
        </w:rPr>
        <w:footnoteReference w:customMarkFollows="1" w:id="252"/>
        <w:t>229</w:t>
      </w:r>
      <w:r w:rsidR="006D1A41" w:rsidRPr="00953692">
        <w:rPr>
          <w:rFonts w:cs="Times New Roman"/>
          <w:sz w:val="24"/>
          <w:szCs w:val="24"/>
          <w:lang w:val="fr-FR"/>
        </w:rPr>
        <w:t xml:space="preserve">, car elle permet notamment de vérifier le respect des autres droits tels que la présomption d’innocence, l’égalité des armes ou encore la communication des pièces que nous verrons plus loin. </w:t>
      </w:r>
      <w:r w:rsidR="00471ABB" w:rsidRPr="00953692">
        <w:rPr>
          <w:rFonts w:cs="Times New Roman"/>
          <w:sz w:val="24"/>
          <w:szCs w:val="24"/>
          <w:lang w:val="fr-FR"/>
        </w:rPr>
        <w:t>Alors, plus le début du procès n’intervient pas</w:t>
      </w:r>
      <w:r w:rsidR="009A7C06" w:rsidRPr="00953692">
        <w:rPr>
          <w:rFonts w:cs="Times New Roman"/>
          <w:sz w:val="24"/>
          <w:szCs w:val="24"/>
          <w:lang w:val="fr-FR"/>
        </w:rPr>
        <w:t xml:space="preserve"> si tôt</w:t>
      </w:r>
      <w:r w:rsidR="00471ABB" w:rsidRPr="00953692">
        <w:rPr>
          <w:rFonts w:cs="Times New Roman"/>
          <w:sz w:val="24"/>
          <w:szCs w:val="24"/>
          <w:lang w:val="fr-FR"/>
        </w:rPr>
        <w:t xml:space="preserve">, moins l’accusé aura l’occasion </w:t>
      </w:r>
      <w:r w:rsidR="009A7C06" w:rsidRPr="00953692">
        <w:rPr>
          <w:rFonts w:cs="Times New Roman"/>
          <w:sz w:val="24"/>
          <w:szCs w:val="24"/>
          <w:lang w:val="fr-FR"/>
        </w:rPr>
        <w:t>d’être jugé</w:t>
      </w:r>
      <w:r w:rsidR="00471ABB" w:rsidRPr="00953692">
        <w:rPr>
          <w:rFonts w:cs="Times New Roman"/>
          <w:sz w:val="24"/>
          <w:szCs w:val="24"/>
          <w:lang w:val="fr-FR"/>
        </w:rPr>
        <w:t xml:space="preserve"> sans retard excessif.</w:t>
      </w:r>
      <w:r w:rsidR="009A7C06" w:rsidRPr="00953692">
        <w:rPr>
          <w:rFonts w:cs="Times New Roman"/>
          <w:sz w:val="24"/>
          <w:szCs w:val="24"/>
          <w:lang w:val="fr-FR"/>
        </w:rPr>
        <w:t xml:space="preserve"> En fait, du point de vue temporel, le début d’un procès pénal international </w:t>
      </w:r>
      <w:r w:rsidR="004C76AA" w:rsidRPr="00953692">
        <w:rPr>
          <w:rFonts w:cs="Times New Roman"/>
          <w:sz w:val="24"/>
          <w:szCs w:val="24"/>
          <w:lang w:val="fr-FR"/>
        </w:rPr>
        <w:t>semble être</w:t>
      </w:r>
      <w:r w:rsidR="009A7C06" w:rsidRPr="00953692">
        <w:rPr>
          <w:rFonts w:cs="Times New Roman"/>
          <w:sz w:val="24"/>
          <w:szCs w:val="24"/>
          <w:lang w:val="fr-FR"/>
        </w:rPr>
        <w:t xml:space="preserve"> plus problématisant que le procès en soi. </w:t>
      </w:r>
      <w:r w:rsidR="00757E6C" w:rsidRPr="00953692">
        <w:rPr>
          <w:rFonts w:cs="Times New Roman"/>
          <w:sz w:val="24"/>
          <w:szCs w:val="24"/>
          <w:lang w:val="fr-FR"/>
        </w:rPr>
        <w:t>Ces difficultés du commencement sont autant moins négligeables que les juridictions pénales internationales ont institué des conférences de mise en état de l’affaire afin notamment</w:t>
      </w:r>
      <w:r w:rsidR="00F1047E" w:rsidRPr="00953692">
        <w:rPr>
          <w:rFonts w:cs="Times New Roman"/>
          <w:sz w:val="24"/>
          <w:szCs w:val="24"/>
          <w:lang w:val="fr-FR"/>
        </w:rPr>
        <w:t>,</w:t>
      </w:r>
      <w:r w:rsidR="00757E6C" w:rsidRPr="00953692">
        <w:rPr>
          <w:rFonts w:cs="Times New Roman"/>
          <w:sz w:val="24"/>
          <w:szCs w:val="24"/>
          <w:lang w:val="fr-FR"/>
        </w:rPr>
        <w:t xml:space="preserve"> d’</w:t>
      </w:r>
      <w:r w:rsidR="00A96B7B" w:rsidRPr="00953692">
        <w:rPr>
          <w:rFonts w:cs="Times New Roman"/>
          <w:sz w:val="24"/>
          <w:szCs w:val="24"/>
          <w:lang w:val="fr-FR"/>
        </w:rPr>
        <w:t>en extirper</w:t>
      </w:r>
      <w:r w:rsidR="00757E6C" w:rsidRPr="00953692">
        <w:rPr>
          <w:rFonts w:cs="Times New Roman"/>
          <w:sz w:val="24"/>
          <w:szCs w:val="24"/>
          <w:lang w:val="fr-FR"/>
        </w:rPr>
        <w:t xml:space="preserve"> tout ce qui pourrait, sans constituer une question de fond, causer un retard au déroulement du procès</w:t>
      </w:r>
      <w:r w:rsidR="00C631C6" w:rsidRPr="00953692">
        <w:rPr>
          <w:rStyle w:val="Appelnotedebasdep"/>
          <w:rFonts w:cs="Times New Roman"/>
          <w:sz w:val="24"/>
          <w:szCs w:val="24"/>
          <w:lang w:val="fr-FR"/>
        </w:rPr>
        <w:footnoteReference w:customMarkFollows="1" w:id="253"/>
        <w:t>230</w:t>
      </w:r>
      <w:r w:rsidR="00757E6C" w:rsidRPr="00953692">
        <w:rPr>
          <w:rFonts w:cs="Times New Roman"/>
          <w:sz w:val="24"/>
          <w:szCs w:val="24"/>
          <w:lang w:val="fr-FR"/>
        </w:rPr>
        <w:t>.</w:t>
      </w:r>
    </w:p>
    <w:p w14:paraId="6145DC6F" w14:textId="6F2311B2" w:rsidR="00AF4276"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w:t>
      </w:r>
      <w:r w:rsidR="00A96B7B" w:rsidRPr="00953692">
        <w:rPr>
          <w:rFonts w:cs="Times New Roman"/>
          <w:b/>
          <w:bCs/>
          <w:sz w:val="24"/>
          <w:szCs w:val="24"/>
          <w:lang w:val="fr-FR"/>
        </w:rPr>
        <w:t>33.</w:t>
      </w:r>
      <w:r w:rsidR="00A96B7B" w:rsidRPr="00953692">
        <w:rPr>
          <w:rFonts w:cs="Times New Roman"/>
          <w:sz w:val="24"/>
          <w:szCs w:val="24"/>
          <w:lang w:val="fr-FR"/>
        </w:rPr>
        <w:t xml:space="preserve"> </w:t>
      </w:r>
      <w:r w:rsidR="00071C71" w:rsidRPr="00953692">
        <w:rPr>
          <w:rFonts w:cs="Times New Roman"/>
          <w:sz w:val="24"/>
          <w:szCs w:val="24"/>
          <w:lang w:val="fr-FR"/>
        </w:rPr>
        <w:t xml:space="preserve">Pour mieux comprendre le nœud du problème ou d’où pourrait en </w:t>
      </w:r>
      <w:r w:rsidR="00A96B7B" w:rsidRPr="00953692">
        <w:rPr>
          <w:rFonts w:cs="Times New Roman"/>
          <w:sz w:val="24"/>
          <w:szCs w:val="24"/>
          <w:lang w:val="fr-FR"/>
        </w:rPr>
        <w:t>provenir</w:t>
      </w:r>
      <w:r w:rsidR="00071C71" w:rsidRPr="00953692">
        <w:rPr>
          <w:rFonts w:cs="Times New Roman"/>
          <w:sz w:val="24"/>
          <w:szCs w:val="24"/>
          <w:lang w:val="fr-FR"/>
        </w:rPr>
        <w:t xml:space="preserve">, il est impérieux de saisir apriori la phase préalable </w:t>
      </w:r>
      <w:r w:rsidR="005E6330" w:rsidRPr="00953692">
        <w:rPr>
          <w:rFonts w:cs="Times New Roman"/>
          <w:sz w:val="24"/>
          <w:szCs w:val="24"/>
          <w:lang w:val="fr-FR"/>
        </w:rPr>
        <w:t>d</w:t>
      </w:r>
      <w:r w:rsidR="00071C71" w:rsidRPr="00953692">
        <w:rPr>
          <w:rFonts w:cs="Times New Roman"/>
          <w:sz w:val="24"/>
          <w:szCs w:val="24"/>
          <w:lang w:val="fr-FR"/>
        </w:rPr>
        <w:t xml:space="preserve">u procès. On est ici loin de l’enquête du procureur, marquée par sa liberté qui est elle-même encadrée par l’obligation d’agir avec diligence ; </w:t>
      </w:r>
      <w:r w:rsidR="00F1047E" w:rsidRPr="00953692">
        <w:rPr>
          <w:rFonts w:cs="Times New Roman"/>
          <w:sz w:val="24"/>
          <w:szCs w:val="24"/>
          <w:lang w:val="fr-FR"/>
        </w:rPr>
        <w:t>se trouvant</w:t>
      </w:r>
      <w:r w:rsidR="00E44411" w:rsidRPr="00953692">
        <w:rPr>
          <w:rFonts w:cs="Times New Roman"/>
          <w:sz w:val="24"/>
          <w:szCs w:val="24"/>
          <w:lang w:val="fr-FR"/>
        </w:rPr>
        <w:t xml:space="preserve"> également</w:t>
      </w:r>
      <w:r w:rsidR="00071C71" w:rsidRPr="00953692">
        <w:rPr>
          <w:rFonts w:cs="Times New Roman"/>
          <w:sz w:val="24"/>
          <w:szCs w:val="24"/>
          <w:lang w:val="fr-FR"/>
        </w:rPr>
        <w:t xml:space="preserve"> au-delà de la</w:t>
      </w:r>
      <w:r w:rsidR="004713E6" w:rsidRPr="00953692">
        <w:rPr>
          <w:rFonts w:cs="Times New Roman"/>
          <w:sz w:val="24"/>
          <w:szCs w:val="24"/>
          <w:lang w:val="fr-FR"/>
        </w:rPr>
        <w:t xml:space="preserve"> procédure de</w:t>
      </w:r>
      <w:r w:rsidR="00071C71" w:rsidRPr="00953692">
        <w:rPr>
          <w:rFonts w:cs="Times New Roman"/>
          <w:sz w:val="24"/>
          <w:szCs w:val="24"/>
          <w:lang w:val="fr-FR"/>
        </w:rPr>
        <w:t xml:space="preserve"> confirmation de l’acte d’accusation</w:t>
      </w:r>
      <w:r w:rsidR="00F1047E" w:rsidRPr="00953692">
        <w:rPr>
          <w:rFonts w:cs="Times New Roman"/>
          <w:sz w:val="24"/>
          <w:szCs w:val="24"/>
          <w:lang w:val="fr-FR"/>
        </w:rPr>
        <w:t xml:space="preserve"> ou des charges</w:t>
      </w:r>
      <w:r w:rsidR="00AF4276" w:rsidRPr="00953692">
        <w:rPr>
          <w:rFonts w:cs="Times New Roman"/>
          <w:sz w:val="24"/>
          <w:szCs w:val="24"/>
          <w:lang w:val="fr-FR"/>
        </w:rPr>
        <w:t xml:space="preserve"> ; </w:t>
      </w:r>
      <w:r w:rsidR="00F1047E" w:rsidRPr="00953692">
        <w:rPr>
          <w:rFonts w:cs="Times New Roman"/>
          <w:sz w:val="24"/>
          <w:szCs w:val="24"/>
          <w:lang w:val="fr-FR"/>
        </w:rPr>
        <w:t>car étant</w:t>
      </w:r>
      <w:r w:rsidR="000564F6" w:rsidRPr="00953692">
        <w:rPr>
          <w:rFonts w:cs="Times New Roman"/>
          <w:sz w:val="24"/>
          <w:szCs w:val="24"/>
          <w:lang w:val="fr-FR"/>
        </w:rPr>
        <w:t xml:space="preserve"> plus exactement </w:t>
      </w:r>
      <w:r w:rsidR="004713E6" w:rsidRPr="00953692">
        <w:rPr>
          <w:rFonts w:cs="Times New Roman"/>
          <w:sz w:val="24"/>
          <w:szCs w:val="24"/>
          <w:lang w:val="fr-FR"/>
        </w:rPr>
        <w:t>au seuil</w:t>
      </w:r>
      <w:r w:rsidR="000564F6" w:rsidRPr="00953692">
        <w:rPr>
          <w:rFonts w:cs="Times New Roman"/>
          <w:sz w:val="24"/>
          <w:szCs w:val="24"/>
          <w:lang w:val="fr-FR"/>
        </w:rPr>
        <w:t xml:space="preserve"> du</w:t>
      </w:r>
      <w:r w:rsidR="00071C71" w:rsidRPr="00953692">
        <w:rPr>
          <w:rFonts w:cs="Times New Roman"/>
          <w:sz w:val="24"/>
          <w:szCs w:val="24"/>
          <w:lang w:val="fr-FR"/>
        </w:rPr>
        <w:t xml:space="preserve"> procès </w:t>
      </w:r>
      <w:r w:rsidR="000564F6" w:rsidRPr="00953692">
        <w:rPr>
          <w:rFonts w:cs="Times New Roman"/>
          <w:sz w:val="24"/>
          <w:szCs w:val="24"/>
          <w:lang w:val="fr-FR"/>
        </w:rPr>
        <w:t>en</w:t>
      </w:r>
      <w:r w:rsidR="00071C71" w:rsidRPr="00953692">
        <w:rPr>
          <w:rFonts w:cs="Times New Roman"/>
          <w:sz w:val="24"/>
          <w:szCs w:val="24"/>
          <w:lang w:val="fr-FR"/>
        </w:rPr>
        <w:t xml:space="preserve"> </w:t>
      </w:r>
      <w:r w:rsidR="00071C71" w:rsidRPr="00953692">
        <w:rPr>
          <w:rFonts w:cs="Times New Roman"/>
          <w:sz w:val="24"/>
          <w:szCs w:val="24"/>
          <w:lang w:val="fr-FR"/>
        </w:rPr>
        <w:lastRenderedPageBreak/>
        <w:t>première instance</w:t>
      </w:r>
      <w:r w:rsidR="00F1047E" w:rsidRPr="00953692">
        <w:rPr>
          <w:rFonts w:cs="Times New Roman"/>
          <w:sz w:val="24"/>
          <w:szCs w:val="24"/>
          <w:lang w:val="fr-FR"/>
        </w:rPr>
        <w:t xml:space="preserve"> (ou en seconde instance le cas échéant)</w:t>
      </w:r>
      <w:r w:rsidR="00071C71" w:rsidRPr="00953692">
        <w:rPr>
          <w:rFonts w:cs="Times New Roman"/>
          <w:sz w:val="24"/>
          <w:szCs w:val="24"/>
          <w:lang w:val="fr-FR"/>
        </w:rPr>
        <w:t xml:space="preserve">. </w:t>
      </w:r>
      <w:r w:rsidR="00A07095" w:rsidRPr="00953692">
        <w:rPr>
          <w:rFonts w:cs="Times New Roman"/>
          <w:sz w:val="24"/>
          <w:szCs w:val="24"/>
          <w:lang w:val="fr-FR"/>
        </w:rPr>
        <w:t>Ce qui a de particulier</w:t>
      </w:r>
      <w:r w:rsidR="00AF4276" w:rsidRPr="00953692">
        <w:rPr>
          <w:rFonts w:cs="Times New Roman"/>
          <w:sz w:val="24"/>
          <w:szCs w:val="24"/>
          <w:lang w:val="fr-FR"/>
        </w:rPr>
        <w:t xml:space="preserve"> dans cette étape de la procédure pénale internationale</w:t>
      </w:r>
      <w:r w:rsidR="00A07095" w:rsidRPr="00953692">
        <w:rPr>
          <w:rFonts w:cs="Times New Roman"/>
          <w:sz w:val="24"/>
          <w:szCs w:val="24"/>
          <w:lang w:val="fr-FR"/>
        </w:rPr>
        <w:t>, ce sont les droits de l’accusé qui se trouve</w:t>
      </w:r>
      <w:r w:rsidR="005C3FEB" w:rsidRPr="00953692">
        <w:rPr>
          <w:rFonts w:cs="Times New Roman"/>
          <w:sz w:val="24"/>
          <w:szCs w:val="24"/>
          <w:lang w:val="fr-FR"/>
        </w:rPr>
        <w:t>nt</w:t>
      </w:r>
      <w:r w:rsidR="00A07095" w:rsidRPr="00953692">
        <w:rPr>
          <w:rFonts w:cs="Times New Roman"/>
          <w:sz w:val="24"/>
          <w:szCs w:val="24"/>
          <w:lang w:val="fr-FR"/>
        </w:rPr>
        <w:t xml:space="preserve"> renforcés par le caractère contradictoire</w:t>
      </w:r>
      <w:r w:rsidR="00AF4276" w:rsidRPr="00953692">
        <w:rPr>
          <w:rFonts w:cs="Times New Roman"/>
          <w:sz w:val="24"/>
          <w:szCs w:val="24"/>
          <w:lang w:val="fr-FR"/>
        </w:rPr>
        <w:t>,</w:t>
      </w:r>
      <w:r w:rsidR="00A07095" w:rsidRPr="00953692">
        <w:rPr>
          <w:rFonts w:cs="Times New Roman"/>
          <w:sz w:val="24"/>
          <w:szCs w:val="24"/>
          <w:lang w:val="fr-FR"/>
        </w:rPr>
        <w:t xml:space="preserve"> </w:t>
      </w:r>
      <w:r w:rsidR="00451A65" w:rsidRPr="00953692">
        <w:rPr>
          <w:rFonts w:cs="Times New Roman"/>
          <w:sz w:val="24"/>
          <w:szCs w:val="24"/>
          <w:lang w:val="fr-FR"/>
        </w:rPr>
        <w:t>sous-tend</w:t>
      </w:r>
      <w:r w:rsidR="00AF4276" w:rsidRPr="00953692">
        <w:rPr>
          <w:rFonts w:cs="Times New Roman"/>
          <w:sz w:val="24"/>
          <w:szCs w:val="24"/>
          <w:lang w:val="fr-FR"/>
        </w:rPr>
        <w:t>ant</w:t>
      </w:r>
      <w:r w:rsidR="00A07095" w:rsidRPr="00953692">
        <w:rPr>
          <w:rFonts w:cs="Times New Roman"/>
          <w:sz w:val="24"/>
          <w:szCs w:val="24"/>
          <w:lang w:val="fr-FR"/>
        </w:rPr>
        <w:t xml:space="preserve"> le procès</w:t>
      </w:r>
      <w:r w:rsidR="00E44411" w:rsidRPr="00953692">
        <w:rPr>
          <w:rFonts w:cs="Times New Roman"/>
          <w:sz w:val="24"/>
          <w:szCs w:val="24"/>
          <w:lang w:val="fr-FR"/>
        </w:rPr>
        <w:t>.</w:t>
      </w:r>
      <w:r w:rsidR="0007787A" w:rsidRPr="00953692">
        <w:rPr>
          <w:rFonts w:cs="Times New Roman"/>
          <w:sz w:val="24"/>
          <w:szCs w:val="24"/>
          <w:lang w:val="fr-FR"/>
        </w:rPr>
        <w:t xml:space="preserve"> </w:t>
      </w:r>
      <w:r w:rsidR="00E44411" w:rsidRPr="00953692">
        <w:rPr>
          <w:rFonts w:cs="Times New Roman"/>
          <w:sz w:val="24"/>
          <w:szCs w:val="24"/>
          <w:lang w:val="fr-FR"/>
        </w:rPr>
        <w:t>Ceci</w:t>
      </w:r>
      <w:r w:rsidR="0007787A" w:rsidRPr="00953692">
        <w:rPr>
          <w:rFonts w:cs="Times New Roman"/>
          <w:sz w:val="24"/>
          <w:szCs w:val="24"/>
          <w:lang w:val="fr-FR"/>
        </w:rPr>
        <w:t xml:space="preserve"> étant le moment culminant</w:t>
      </w:r>
      <w:r w:rsidR="00C631C6" w:rsidRPr="00953692">
        <w:rPr>
          <w:rStyle w:val="Appelnotedebasdep"/>
          <w:rFonts w:cs="Times New Roman"/>
          <w:sz w:val="24"/>
          <w:szCs w:val="24"/>
          <w:lang w:val="fr-FR"/>
        </w:rPr>
        <w:footnoteReference w:customMarkFollows="1" w:id="254"/>
        <w:t>231</w:t>
      </w:r>
      <w:r w:rsidR="0007787A" w:rsidRPr="00953692">
        <w:rPr>
          <w:rFonts w:cs="Times New Roman"/>
          <w:sz w:val="24"/>
          <w:szCs w:val="24"/>
          <w:lang w:val="fr-FR"/>
        </w:rPr>
        <w:t xml:space="preserve"> durant lequel les parties devront s’affronter et se soumettre à un organe impartial</w:t>
      </w:r>
      <w:r w:rsidR="00A07095" w:rsidRPr="00953692">
        <w:rPr>
          <w:rFonts w:cs="Times New Roman"/>
          <w:sz w:val="24"/>
          <w:szCs w:val="24"/>
          <w:lang w:val="fr-FR"/>
        </w:rPr>
        <w:t xml:space="preserve">. </w:t>
      </w:r>
    </w:p>
    <w:p w14:paraId="53354AD7" w14:textId="6656EC08" w:rsidR="00C86C1E" w:rsidRPr="00953692" w:rsidRDefault="005577EE"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w:t>
      </w:r>
      <w:r w:rsidR="00AF4276" w:rsidRPr="00953692">
        <w:rPr>
          <w:rFonts w:cs="Times New Roman"/>
          <w:b/>
          <w:bCs/>
          <w:sz w:val="24"/>
          <w:szCs w:val="24"/>
          <w:lang w:val="fr-FR"/>
        </w:rPr>
        <w:t>3</w:t>
      </w:r>
      <w:r w:rsidR="00C35B73" w:rsidRPr="00953692">
        <w:rPr>
          <w:rFonts w:cs="Times New Roman"/>
          <w:b/>
          <w:bCs/>
          <w:sz w:val="24"/>
          <w:szCs w:val="24"/>
          <w:lang w:val="fr-FR"/>
        </w:rPr>
        <w:t>4</w:t>
      </w:r>
      <w:r w:rsidR="00AF4276" w:rsidRPr="00953692">
        <w:rPr>
          <w:rFonts w:cs="Times New Roman"/>
          <w:b/>
          <w:bCs/>
          <w:sz w:val="24"/>
          <w:szCs w:val="24"/>
          <w:lang w:val="fr-FR"/>
        </w:rPr>
        <w:t>.</w:t>
      </w:r>
      <w:r w:rsidR="00AF4276" w:rsidRPr="00953692">
        <w:rPr>
          <w:rFonts w:cs="Times New Roman"/>
          <w:sz w:val="24"/>
          <w:szCs w:val="24"/>
          <w:lang w:val="fr-FR"/>
        </w:rPr>
        <w:t xml:space="preserve"> </w:t>
      </w:r>
      <w:r w:rsidR="00A07095" w:rsidRPr="00953692">
        <w:rPr>
          <w:rFonts w:cs="Times New Roman"/>
          <w:sz w:val="24"/>
          <w:szCs w:val="24"/>
          <w:lang w:val="fr-FR"/>
        </w:rPr>
        <w:t xml:space="preserve">Une autre remarque, est celle relative à cette indispensable possibilité offerte à l’accusé de présenter ses moyens de défense, qui nécessitent </w:t>
      </w:r>
      <w:r w:rsidR="00C86C1E" w:rsidRPr="00953692">
        <w:rPr>
          <w:rFonts w:cs="Times New Roman"/>
          <w:sz w:val="24"/>
          <w:szCs w:val="24"/>
          <w:lang w:val="fr-FR"/>
        </w:rPr>
        <w:t xml:space="preserve">forcément </w:t>
      </w:r>
      <w:r w:rsidR="00A07095" w:rsidRPr="00953692">
        <w:rPr>
          <w:rFonts w:cs="Times New Roman"/>
          <w:sz w:val="24"/>
          <w:szCs w:val="24"/>
          <w:lang w:val="fr-FR"/>
        </w:rPr>
        <w:t xml:space="preserve">en effet </w:t>
      </w:r>
      <w:r w:rsidR="00C86C1E" w:rsidRPr="00953692">
        <w:rPr>
          <w:rFonts w:cs="Times New Roman"/>
          <w:sz w:val="24"/>
          <w:szCs w:val="24"/>
          <w:lang w:val="fr-FR"/>
        </w:rPr>
        <w:t>du</w:t>
      </w:r>
      <w:r w:rsidR="00A07095" w:rsidRPr="00953692">
        <w:rPr>
          <w:rFonts w:cs="Times New Roman"/>
          <w:sz w:val="24"/>
          <w:szCs w:val="24"/>
          <w:lang w:val="fr-FR"/>
        </w:rPr>
        <w:t xml:space="preserve"> temps et des moyens nécessaires.</w:t>
      </w:r>
      <w:r w:rsidR="00C86C1E" w:rsidRPr="00953692">
        <w:rPr>
          <w:rFonts w:cs="Times New Roman"/>
          <w:sz w:val="24"/>
          <w:szCs w:val="24"/>
          <w:lang w:val="fr-FR"/>
        </w:rPr>
        <w:t xml:space="preserve"> Ainsi d</w:t>
      </w:r>
      <w:r w:rsidR="00065C7D" w:rsidRPr="00953692">
        <w:rPr>
          <w:rFonts w:cs="Times New Roman"/>
          <w:sz w:val="24"/>
          <w:szCs w:val="24"/>
          <w:lang w:val="fr-FR"/>
        </w:rPr>
        <w:t>onc</w:t>
      </w:r>
      <w:r w:rsidR="006C2F60" w:rsidRPr="00953692">
        <w:rPr>
          <w:rFonts w:cs="Times New Roman"/>
          <w:sz w:val="24"/>
          <w:szCs w:val="24"/>
          <w:lang w:val="fr-FR"/>
        </w:rPr>
        <w:t>,</w:t>
      </w:r>
      <w:r w:rsidR="00065C7D" w:rsidRPr="00953692">
        <w:rPr>
          <w:rFonts w:cs="Times New Roman"/>
          <w:sz w:val="24"/>
          <w:szCs w:val="24"/>
          <w:lang w:val="fr-FR"/>
        </w:rPr>
        <w:t xml:space="preserve"> </w:t>
      </w:r>
      <w:r w:rsidR="00FE7279" w:rsidRPr="00953692">
        <w:rPr>
          <w:rFonts w:cs="Times New Roman"/>
          <w:sz w:val="24"/>
          <w:szCs w:val="24"/>
          <w:lang w:val="fr-FR"/>
        </w:rPr>
        <w:t>avant le début effectif</w:t>
      </w:r>
      <w:r w:rsidR="00065C7D" w:rsidRPr="00953692">
        <w:rPr>
          <w:rFonts w:cs="Times New Roman"/>
          <w:sz w:val="24"/>
          <w:szCs w:val="24"/>
          <w:lang w:val="fr-FR"/>
        </w:rPr>
        <w:t xml:space="preserve"> du procès</w:t>
      </w:r>
      <w:r w:rsidR="00FE7279" w:rsidRPr="00953692">
        <w:rPr>
          <w:rFonts w:cs="Times New Roman"/>
          <w:sz w:val="24"/>
          <w:szCs w:val="24"/>
          <w:lang w:val="fr-FR"/>
        </w:rPr>
        <w:t>,</w:t>
      </w:r>
      <w:r w:rsidR="00065C7D" w:rsidRPr="00953692">
        <w:rPr>
          <w:rFonts w:cs="Times New Roman"/>
          <w:sz w:val="24"/>
          <w:szCs w:val="24"/>
          <w:lang w:val="fr-FR"/>
        </w:rPr>
        <w:t xml:space="preserve"> </w:t>
      </w:r>
      <w:r w:rsidR="00FE7279" w:rsidRPr="00953692">
        <w:rPr>
          <w:rFonts w:cs="Times New Roman"/>
          <w:sz w:val="24"/>
          <w:szCs w:val="24"/>
          <w:lang w:val="fr-FR"/>
        </w:rPr>
        <w:t>c’</w:t>
      </w:r>
      <w:r w:rsidR="00065C7D" w:rsidRPr="00953692">
        <w:rPr>
          <w:rFonts w:cs="Times New Roman"/>
          <w:sz w:val="24"/>
          <w:szCs w:val="24"/>
          <w:lang w:val="fr-FR"/>
        </w:rPr>
        <w:t>est aussi le moment où les parties affutent leurs armes</w:t>
      </w:r>
      <w:r w:rsidR="00FE7279" w:rsidRPr="00953692">
        <w:rPr>
          <w:rFonts w:cs="Times New Roman"/>
          <w:sz w:val="24"/>
          <w:szCs w:val="24"/>
          <w:lang w:val="fr-FR"/>
        </w:rPr>
        <w:t xml:space="preserve"> pour les débats qui s’annoncent</w:t>
      </w:r>
      <w:r w:rsidR="00A64A4A" w:rsidRPr="00953692">
        <w:rPr>
          <w:rFonts w:cs="Times New Roman"/>
          <w:sz w:val="24"/>
          <w:szCs w:val="24"/>
          <w:lang w:val="fr-FR"/>
        </w:rPr>
        <w:t>, et les</w:t>
      </w:r>
      <w:r w:rsidR="00FE7279" w:rsidRPr="00953692">
        <w:rPr>
          <w:rFonts w:cs="Times New Roman"/>
          <w:sz w:val="24"/>
          <w:szCs w:val="24"/>
          <w:lang w:val="fr-FR"/>
        </w:rPr>
        <w:t xml:space="preserve"> conférences de mise en état</w:t>
      </w:r>
      <w:r w:rsidR="00A64A4A" w:rsidRPr="00953692">
        <w:rPr>
          <w:rFonts w:cs="Times New Roman"/>
          <w:sz w:val="24"/>
          <w:szCs w:val="24"/>
          <w:lang w:val="fr-FR"/>
        </w:rPr>
        <w:t xml:space="preserve"> permettent à la </w:t>
      </w:r>
      <w:r w:rsidR="00F018FE" w:rsidRPr="00953692">
        <w:rPr>
          <w:rFonts w:cs="Times New Roman"/>
          <w:sz w:val="24"/>
          <w:szCs w:val="24"/>
          <w:lang w:val="fr-FR"/>
        </w:rPr>
        <w:t>C</w:t>
      </w:r>
      <w:r w:rsidR="00A64A4A" w:rsidRPr="00953692">
        <w:rPr>
          <w:rFonts w:cs="Times New Roman"/>
          <w:sz w:val="24"/>
          <w:szCs w:val="24"/>
          <w:lang w:val="fr-FR"/>
        </w:rPr>
        <w:t xml:space="preserve">hambre </w:t>
      </w:r>
      <w:r w:rsidR="00C86C1E" w:rsidRPr="00953692">
        <w:rPr>
          <w:rFonts w:cs="Times New Roman"/>
          <w:sz w:val="24"/>
          <w:szCs w:val="24"/>
          <w:lang w:val="fr-FR"/>
        </w:rPr>
        <w:t xml:space="preserve">de première instance </w:t>
      </w:r>
      <w:r w:rsidR="00E44411" w:rsidRPr="00953692">
        <w:rPr>
          <w:rFonts w:cs="Times New Roman"/>
          <w:sz w:val="24"/>
          <w:szCs w:val="24"/>
          <w:lang w:val="fr-FR"/>
        </w:rPr>
        <w:t xml:space="preserve">ou au juge </w:t>
      </w:r>
      <w:r w:rsidR="00AF4276" w:rsidRPr="00953692">
        <w:rPr>
          <w:rFonts w:cs="Times New Roman"/>
          <w:sz w:val="24"/>
          <w:szCs w:val="24"/>
          <w:lang w:val="fr-FR"/>
        </w:rPr>
        <w:t xml:space="preserve">qui en est chargé </w:t>
      </w:r>
      <w:r w:rsidR="00A64A4A" w:rsidRPr="00953692">
        <w:rPr>
          <w:rFonts w:cs="Times New Roman"/>
          <w:sz w:val="24"/>
          <w:szCs w:val="24"/>
          <w:lang w:val="fr-FR"/>
        </w:rPr>
        <w:t xml:space="preserve">de s’en assurer. </w:t>
      </w:r>
    </w:p>
    <w:p w14:paraId="1580B85C" w14:textId="0DFEA733" w:rsidR="003E0957" w:rsidRPr="00953692" w:rsidRDefault="00C35B73"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w:t>
      </w:r>
      <w:r w:rsidR="00C86C1E" w:rsidRPr="00953692">
        <w:rPr>
          <w:rFonts w:cs="Times New Roman"/>
          <w:b/>
          <w:bCs/>
          <w:sz w:val="24"/>
          <w:szCs w:val="24"/>
          <w:lang w:val="fr-FR"/>
        </w:rPr>
        <w:t>3</w:t>
      </w:r>
      <w:r w:rsidRPr="00953692">
        <w:rPr>
          <w:rFonts w:cs="Times New Roman"/>
          <w:b/>
          <w:bCs/>
          <w:sz w:val="24"/>
          <w:szCs w:val="24"/>
          <w:lang w:val="fr-FR"/>
        </w:rPr>
        <w:t>5</w:t>
      </w:r>
      <w:r w:rsidR="00C86C1E" w:rsidRPr="00953692">
        <w:rPr>
          <w:rFonts w:cs="Times New Roman"/>
          <w:b/>
          <w:bCs/>
          <w:sz w:val="24"/>
          <w:szCs w:val="24"/>
          <w:lang w:val="fr-FR"/>
        </w:rPr>
        <w:t>.</w:t>
      </w:r>
      <w:r w:rsidR="00C86C1E" w:rsidRPr="00953692">
        <w:rPr>
          <w:rFonts w:cs="Times New Roman"/>
          <w:sz w:val="24"/>
          <w:szCs w:val="24"/>
          <w:lang w:val="fr-FR"/>
        </w:rPr>
        <w:t xml:space="preserve"> </w:t>
      </w:r>
      <w:r w:rsidR="00F7458F" w:rsidRPr="00953692">
        <w:rPr>
          <w:rFonts w:cs="Times New Roman"/>
          <w:sz w:val="24"/>
          <w:szCs w:val="24"/>
          <w:lang w:val="fr-FR"/>
        </w:rPr>
        <w:t>Cette étape préalable au procès n’avait pas été prévue par les actes constitutifs du TPIY, considéré ici comme précurseur des procédures pénales internationales</w:t>
      </w:r>
      <w:r w:rsidR="00E44411" w:rsidRPr="00953692">
        <w:rPr>
          <w:rFonts w:cs="Times New Roman"/>
          <w:sz w:val="24"/>
          <w:szCs w:val="24"/>
          <w:lang w:val="fr-FR"/>
        </w:rPr>
        <w:t xml:space="preserve"> modernes</w:t>
      </w:r>
      <w:r w:rsidR="00F7458F" w:rsidRPr="00953692">
        <w:rPr>
          <w:rFonts w:cs="Times New Roman"/>
          <w:sz w:val="24"/>
          <w:szCs w:val="24"/>
          <w:lang w:val="fr-FR"/>
        </w:rPr>
        <w:t>. C’est en 1997 et 1998 qu’il eut été nécessaire de l’envisager</w:t>
      </w:r>
      <w:r w:rsidR="00AF4276" w:rsidRPr="00953692">
        <w:rPr>
          <w:rFonts w:cs="Times New Roman"/>
          <w:sz w:val="24"/>
          <w:szCs w:val="24"/>
          <w:lang w:val="fr-FR"/>
        </w:rPr>
        <w:t xml:space="preserve"> à travers le Règlement du Tribunal</w:t>
      </w:r>
      <w:r w:rsidR="00F7458F" w:rsidRPr="00953692">
        <w:rPr>
          <w:rFonts w:cs="Times New Roman"/>
          <w:sz w:val="24"/>
          <w:szCs w:val="24"/>
          <w:lang w:val="fr-FR"/>
        </w:rPr>
        <w:t xml:space="preserve"> en vue notamment de faciliter un proc</w:t>
      </w:r>
      <w:r w:rsidR="00167F1C" w:rsidRPr="00953692">
        <w:rPr>
          <w:rFonts w:cs="Times New Roman"/>
          <w:sz w:val="24"/>
          <w:szCs w:val="24"/>
          <w:lang w:val="fr-FR"/>
        </w:rPr>
        <w:t>ès</w:t>
      </w:r>
      <w:r w:rsidR="00F7458F" w:rsidRPr="00953692">
        <w:rPr>
          <w:rFonts w:cs="Times New Roman"/>
          <w:sz w:val="24"/>
          <w:szCs w:val="24"/>
          <w:lang w:val="fr-FR"/>
        </w:rPr>
        <w:t xml:space="preserve"> plutôt rapide. </w:t>
      </w:r>
      <w:r w:rsidR="005B54A2" w:rsidRPr="00953692">
        <w:rPr>
          <w:rFonts w:cs="Times New Roman"/>
          <w:sz w:val="24"/>
          <w:szCs w:val="24"/>
          <w:lang w:val="fr-FR"/>
        </w:rPr>
        <w:t xml:space="preserve">Dans l’affaire Sefer </w:t>
      </w:r>
      <w:r w:rsidR="005B54A2" w:rsidRPr="00953692">
        <w:rPr>
          <w:rFonts w:cs="Times New Roman"/>
          <w:sz w:val="24"/>
          <w:szCs w:val="24"/>
          <w:shd w:val="clear" w:color="auto" w:fill="FFFFFF"/>
          <w:lang w:val="fr-FR"/>
        </w:rPr>
        <w:t>Halilovic</w:t>
      </w:r>
      <w:r w:rsidR="00E44411" w:rsidRPr="00953692">
        <w:rPr>
          <w:rFonts w:cs="Times New Roman"/>
          <w:sz w:val="24"/>
          <w:szCs w:val="24"/>
          <w:shd w:val="clear" w:color="auto" w:fill="FFFFFF"/>
          <w:lang w:val="fr-FR"/>
        </w:rPr>
        <w:t xml:space="preserve"> devant le TPIY</w:t>
      </w:r>
      <w:r w:rsidR="001F6C3A" w:rsidRPr="00953692">
        <w:rPr>
          <w:rFonts w:cs="Times New Roman"/>
          <w:sz w:val="24"/>
          <w:szCs w:val="24"/>
          <w:shd w:val="clear" w:color="auto" w:fill="FFFFFF"/>
          <w:lang w:val="fr-FR"/>
        </w:rPr>
        <w:t xml:space="preserve">, la Chambre de première instance, </w:t>
      </w:r>
      <w:r w:rsidR="004E08B7" w:rsidRPr="00953692">
        <w:rPr>
          <w:rFonts w:cs="Times New Roman"/>
          <w:sz w:val="24"/>
          <w:szCs w:val="24"/>
          <w:shd w:val="clear" w:color="auto" w:fill="FFFFFF"/>
          <w:lang w:val="fr-FR"/>
        </w:rPr>
        <w:t>répondant par le rejet</w:t>
      </w:r>
      <w:r w:rsidR="00E44411" w:rsidRPr="00953692">
        <w:rPr>
          <w:rFonts w:cs="Times New Roman"/>
          <w:sz w:val="24"/>
          <w:szCs w:val="24"/>
          <w:shd w:val="clear" w:color="auto" w:fill="FFFFFF"/>
          <w:lang w:val="fr-FR"/>
        </w:rPr>
        <w:t xml:space="preserve"> de</w:t>
      </w:r>
      <w:r w:rsidR="004E08B7" w:rsidRPr="00953692">
        <w:rPr>
          <w:rFonts w:cs="Times New Roman"/>
          <w:sz w:val="24"/>
          <w:szCs w:val="24"/>
          <w:shd w:val="clear" w:color="auto" w:fill="FFFFFF"/>
          <w:lang w:val="fr-FR"/>
        </w:rPr>
        <w:t xml:space="preserve"> la requête de l’accusé aux fins du report de la conférence préalable au procès, a eu l’occasion de préciser, que « l’un</w:t>
      </w:r>
      <w:r w:rsidR="004E08B7" w:rsidRPr="00953692">
        <w:rPr>
          <w:rFonts w:eastAsia="Times New Roman" w:cs="Times New Roman"/>
          <w:sz w:val="24"/>
          <w:szCs w:val="24"/>
          <w:lang w:val="fr-FR" w:eastAsia="ru-RU"/>
        </w:rPr>
        <w:t xml:space="preserve"> des objectifs principaux de la conférence préalable au procès qui doit se tenir en application de l'article 73 bis du RPP est de s'assurer que</w:t>
      </w:r>
      <w:r w:rsidR="00E44411" w:rsidRPr="00953692">
        <w:rPr>
          <w:rFonts w:eastAsia="Times New Roman" w:cs="Times New Roman"/>
          <w:sz w:val="24"/>
          <w:szCs w:val="24"/>
          <w:lang w:val="fr-FR" w:eastAsia="ru-RU"/>
        </w:rPr>
        <w:t>,</w:t>
      </w:r>
      <w:r w:rsidR="004E08B7" w:rsidRPr="00953692">
        <w:rPr>
          <w:rFonts w:eastAsia="Times New Roman" w:cs="Times New Roman"/>
          <w:sz w:val="24"/>
          <w:szCs w:val="24"/>
          <w:lang w:val="fr-FR" w:eastAsia="ru-RU"/>
        </w:rPr>
        <w:t xml:space="preserve"> l'Accusation est prête pour présenter ses moyens de preuve au procès et, quand cela est possible, de fixer la date d'ouverture des débats après avoir pris en compte les exigences raisonnables de la Défense »</w:t>
      </w:r>
      <w:r w:rsidR="00C631C6" w:rsidRPr="00953692">
        <w:rPr>
          <w:rStyle w:val="Appelnotedebasdep"/>
          <w:rFonts w:eastAsia="Times New Roman" w:cs="Times New Roman"/>
          <w:sz w:val="24"/>
          <w:szCs w:val="24"/>
          <w:lang w:val="fr-FR" w:eastAsia="ru-RU"/>
        </w:rPr>
        <w:footnoteReference w:customMarkFollows="1" w:id="255"/>
        <w:t>232</w:t>
      </w:r>
      <w:r w:rsidR="004E08B7" w:rsidRPr="00953692">
        <w:rPr>
          <w:rFonts w:eastAsia="Times New Roman" w:cs="Times New Roman"/>
          <w:sz w:val="24"/>
          <w:szCs w:val="24"/>
          <w:lang w:val="fr-FR" w:eastAsia="ru-RU"/>
        </w:rPr>
        <w:t>.</w:t>
      </w:r>
    </w:p>
    <w:p w14:paraId="5B8AC8C7" w14:textId="1E1DC471" w:rsidR="00F31709" w:rsidRPr="00953692" w:rsidRDefault="00C35B73" w:rsidP="00864BBF">
      <w:pPr>
        <w:spacing w:after="0" w:line="276" w:lineRule="auto"/>
        <w:ind w:firstLine="1134"/>
        <w:jc w:val="both"/>
        <w:rPr>
          <w:rFonts w:eastAsia="Times New Roman" w:cs="Times New Roman"/>
          <w:sz w:val="24"/>
          <w:szCs w:val="24"/>
          <w:lang w:val="fr-FR" w:eastAsia="ru-RU"/>
        </w:rPr>
      </w:pPr>
      <w:r w:rsidRPr="00953692">
        <w:rPr>
          <w:rFonts w:eastAsia="Times New Roman" w:cs="Times New Roman"/>
          <w:b/>
          <w:bCs/>
          <w:sz w:val="24"/>
          <w:szCs w:val="24"/>
          <w:lang w:val="fr-FR" w:eastAsia="ru-RU"/>
        </w:rPr>
        <w:t>336</w:t>
      </w:r>
      <w:r w:rsidR="00BE3B9B" w:rsidRPr="00953692">
        <w:rPr>
          <w:rFonts w:eastAsia="Times New Roman" w:cs="Times New Roman"/>
          <w:b/>
          <w:bCs/>
          <w:sz w:val="24"/>
          <w:szCs w:val="24"/>
          <w:lang w:val="fr-FR" w:eastAsia="ru-RU"/>
        </w:rPr>
        <w:t>.</w:t>
      </w:r>
      <w:r w:rsidR="00BE3B9B" w:rsidRPr="00953692">
        <w:rPr>
          <w:rFonts w:eastAsia="Times New Roman" w:cs="Times New Roman"/>
          <w:sz w:val="24"/>
          <w:szCs w:val="24"/>
          <w:lang w:val="fr-FR" w:eastAsia="ru-RU"/>
        </w:rPr>
        <w:t xml:space="preserve"> </w:t>
      </w:r>
      <w:r w:rsidR="000A0265" w:rsidRPr="00953692">
        <w:rPr>
          <w:rFonts w:eastAsia="Times New Roman" w:cs="Times New Roman"/>
          <w:sz w:val="24"/>
          <w:szCs w:val="24"/>
          <w:lang w:val="fr-FR" w:eastAsia="ru-RU"/>
        </w:rPr>
        <w:t>Mais déjà e</w:t>
      </w:r>
      <w:r w:rsidR="00080F42" w:rsidRPr="00953692">
        <w:rPr>
          <w:rFonts w:eastAsia="Times New Roman" w:cs="Times New Roman"/>
          <w:sz w:val="24"/>
          <w:szCs w:val="24"/>
          <w:lang w:val="fr-FR" w:eastAsia="ru-RU"/>
        </w:rPr>
        <w:t xml:space="preserve">n 1997, l’idée était de permettre à la </w:t>
      </w:r>
      <w:r w:rsidR="00117F80" w:rsidRPr="00953692">
        <w:rPr>
          <w:rFonts w:eastAsia="Times New Roman" w:cs="Times New Roman"/>
          <w:sz w:val="24"/>
          <w:szCs w:val="24"/>
          <w:lang w:val="fr-FR" w:eastAsia="ru-RU"/>
        </w:rPr>
        <w:t>C</w:t>
      </w:r>
      <w:r w:rsidR="00080F42" w:rsidRPr="00953692">
        <w:rPr>
          <w:rFonts w:eastAsia="Times New Roman" w:cs="Times New Roman"/>
          <w:sz w:val="24"/>
          <w:szCs w:val="24"/>
          <w:lang w:val="fr-FR" w:eastAsia="ru-RU"/>
        </w:rPr>
        <w:t>hambre de première instance de recevoir du procureur un dossier déblayé des questions préliminaires ou des incohérences dans l’acte d’accusation. Mais on ne</w:t>
      </w:r>
      <w:r w:rsidR="00117F80" w:rsidRPr="00953692">
        <w:rPr>
          <w:rFonts w:eastAsia="Times New Roman" w:cs="Times New Roman"/>
          <w:sz w:val="24"/>
          <w:szCs w:val="24"/>
          <w:lang w:val="fr-FR" w:eastAsia="ru-RU"/>
        </w:rPr>
        <w:t xml:space="preserve"> </w:t>
      </w:r>
      <w:r w:rsidR="00080F42" w:rsidRPr="00953692">
        <w:rPr>
          <w:rFonts w:eastAsia="Times New Roman" w:cs="Times New Roman"/>
          <w:sz w:val="24"/>
          <w:szCs w:val="24"/>
          <w:lang w:val="fr-FR" w:eastAsia="ru-RU"/>
        </w:rPr>
        <w:t>devait</w:t>
      </w:r>
      <w:r w:rsidR="00451A65" w:rsidRPr="00953692">
        <w:rPr>
          <w:rFonts w:eastAsia="Times New Roman" w:cs="Times New Roman"/>
          <w:sz w:val="24"/>
          <w:szCs w:val="24"/>
          <w:lang w:val="fr-FR" w:eastAsia="ru-RU"/>
        </w:rPr>
        <w:t xml:space="preserve"> pas</w:t>
      </w:r>
      <w:r w:rsidR="00080F42" w:rsidRPr="00953692">
        <w:rPr>
          <w:rFonts w:eastAsia="Times New Roman" w:cs="Times New Roman"/>
          <w:sz w:val="24"/>
          <w:szCs w:val="24"/>
          <w:lang w:val="fr-FR" w:eastAsia="ru-RU"/>
        </w:rPr>
        <w:t xml:space="preserve"> en rester là, étant donné qu’il y avait déjà à ce </w:t>
      </w:r>
      <w:r w:rsidR="00117F80" w:rsidRPr="00953692">
        <w:rPr>
          <w:rFonts w:eastAsia="Times New Roman" w:cs="Times New Roman"/>
          <w:sz w:val="24"/>
          <w:szCs w:val="24"/>
          <w:lang w:val="fr-FR" w:eastAsia="ru-RU"/>
        </w:rPr>
        <w:t>moment-là</w:t>
      </w:r>
      <w:r w:rsidR="00F1047E" w:rsidRPr="00953692">
        <w:rPr>
          <w:rFonts w:eastAsia="Times New Roman" w:cs="Times New Roman"/>
          <w:sz w:val="24"/>
          <w:szCs w:val="24"/>
          <w:lang w:val="fr-FR" w:eastAsia="ru-RU"/>
        </w:rPr>
        <w:t>,</w:t>
      </w:r>
      <w:r w:rsidR="00080F42" w:rsidRPr="00953692">
        <w:rPr>
          <w:rFonts w:eastAsia="Times New Roman" w:cs="Times New Roman"/>
          <w:sz w:val="24"/>
          <w:szCs w:val="24"/>
          <w:lang w:val="fr-FR" w:eastAsia="ru-RU"/>
        </w:rPr>
        <w:t xml:space="preserve"> la présence de l’accusé qui soulevait de plus en plus </w:t>
      </w:r>
      <w:r w:rsidR="00451A65" w:rsidRPr="00953692">
        <w:rPr>
          <w:rFonts w:eastAsia="Times New Roman" w:cs="Times New Roman"/>
          <w:sz w:val="24"/>
          <w:szCs w:val="24"/>
          <w:lang w:val="fr-FR" w:eastAsia="ru-RU"/>
        </w:rPr>
        <w:t>des questions pertinentes</w:t>
      </w:r>
      <w:r w:rsidR="00AF4276" w:rsidRPr="00953692">
        <w:rPr>
          <w:rFonts w:eastAsia="Times New Roman" w:cs="Times New Roman"/>
          <w:sz w:val="24"/>
          <w:szCs w:val="24"/>
          <w:lang w:val="fr-FR" w:eastAsia="ru-RU"/>
        </w:rPr>
        <w:t xml:space="preserve"> susceptibles</w:t>
      </w:r>
      <w:r w:rsidR="00080F42" w:rsidRPr="00953692">
        <w:rPr>
          <w:rFonts w:eastAsia="Times New Roman" w:cs="Times New Roman"/>
          <w:sz w:val="24"/>
          <w:szCs w:val="24"/>
          <w:lang w:val="fr-FR" w:eastAsia="ru-RU"/>
        </w:rPr>
        <w:t xml:space="preserve"> </w:t>
      </w:r>
      <w:r w:rsidR="00AF4276" w:rsidRPr="00953692">
        <w:rPr>
          <w:rFonts w:eastAsia="Times New Roman" w:cs="Times New Roman"/>
          <w:sz w:val="24"/>
          <w:szCs w:val="24"/>
          <w:lang w:val="fr-FR" w:eastAsia="ru-RU"/>
        </w:rPr>
        <w:t>d’</w:t>
      </w:r>
      <w:r w:rsidR="00080F42" w:rsidRPr="00953692">
        <w:rPr>
          <w:rFonts w:eastAsia="Times New Roman" w:cs="Times New Roman"/>
          <w:sz w:val="24"/>
          <w:szCs w:val="24"/>
          <w:lang w:val="fr-FR" w:eastAsia="ru-RU"/>
        </w:rPr>
        <w:t>empêch</w:t>
      </w:r>
      <w:r w:rsidR="00AF4276" w:rsidRPr="00953692">
        <w:rPr>
          <w:rFonts w:eastAsia="Times New Roman" w:cs="Times New Roman"/>
          <w:sz w:val="24"/>
          <w:szCs w:val="24"/>
          <w:lang w:val="fr-FR" w:eastAsia="ru-RU"/>
        </w:rPr>
        <w:t>er</w:t>
      </w:r>
      <w:r w:rsidR="00080F42" w:rsidRPr="00953692">
        <w:rPr>
          <w:rFonts w:eastAsia="Times New Roman" w:cs="Times New Roman"/>
          <w:sz w:val="24"/>
          <w:szCs w:val="24"/>
          <w:lang w:val="fr-FR" w:eastAsia="ru-RU"/>
        </w:rPr>
        <w:t xml:space="preserve"> un avancement rapide d</w:t>
      </w:r>
      <w:r w:rsidR="00117F80" w:rsidRPr="00953692">
        <w:rPr>
          <w:rFonts w:eastAsia="Times New Roman" w:cs="Times New Roman"/>
          <w:sz w:val="24"/>
          <w:szCs w:val="24"/>
          <w:lang w:val="fr-FR" w:eastAsia="ru-RU"/>
        </w:rPr>
        <w:t>e l’instance</w:t>
      </w:r>
      <w:r w:rsidR="00322C27" w:rsidRPr="00953692">
        <w:rPr>
          <w:rFonts w:eastAsia="Times New Roman" w:cs="Times New Roman"/>
          <w:sz w:val="24"/>
          <w:szCs w:val="24"/>
          <w:lang w:val="fr-FR" w:eastAsia="ru-RU"/>
        </w:rPr>
        <w:t xml:space="preserve"> ou de son début</w:t>
      </w:r>
      <w:r w:rsidR="00080F42" w:rsidRPr="00953692">
        <w:rPr>
          <w:rFonts w:eastAsia="Times New Roman" w:cs="Times New Roman"/>
          <w:sz w:val="24"/>
          <w:szCs w:val="24"/>
          <w:lang w:val="fr-FR" w:eastAsia="ru-RU"/>
        </w:rPr>
        <w:t xml:space="preserve">. Très vite, en décembre 1998, les juges ont amendé leur RPP </w:t>
      </w:r>
      <w:r w:rsidR="00C95F39" w:rsidRPr="00953692">
        <w:rPr>
          <w:rFonts w:eastAsia="Times New Roman" w:cs="Times New Roman"/>
          <w:sz w:val="24"/>
          <w:szCs w:val="24"/>
          <w:lang w:val="fr-FR" w:eastAsia="ru-RU"/>
        </w:rPr>
        <w:t xml:space="preserve">en y insérant l’article 65 </w:t>
      </w:r>
      <w:r w:rsidR="00F86097" w:rsidRPr="00953692">
        <w:rPr>
          <w:rFonts w:eastAsia="Times New Roman" w:cs="Times New Roman"/>
          <w:sz w:val="24"/>
          <w:szCs w:val="24"/>
          <w:lang w:val="fr-FR" w:eastAsia="ru-RU"/>
        </w:rPr>
        <w:t>bis</w:t>
      </w:r>
      <w:r w:rsidR="00C95F39" w:rsidRPr="00953692">
        <w:rPr>
          <w:rFonts w:eastAsia="Times New Roman" w:cs="Times New Roman"/>
          <w:sz w:val="24"/>
          <w:szCs w:val="24"/>
          <w:lang w:val="fr-FR" w:eastAsia="ru-RU"/>
        </w:rPr>
        <w:t xml:space="preserve"> </w:t>
      </w:r>
      <w:r w:rsidR="00080F42" w:rsidRPr="00953692">
        <w:rPr>
          <w:rFonts w:eastAsia="Times New Roman" w:cs="Times New Roman"/>
          <w:sz w:val="24"/>
          <w:szCs w:val="24"/>
          <w:lang w:val="fr-FR" w:eastAsia="ru-RU"/>
        </w:rPr>
        <w:t xml:space="preserve">pour assigner à la conférence de mise en état </w:t>
      </w:r>
      <w:r w:rsidR="00117F80" w:rsidRPr="00953692">
        <w:rPr>
          <w:rFonts w:eastAsia="Times New Roman" w:cs="Times New Roman"/>
          <w:sz w:val="24"/>
          <w:szCs w:val="24"/>
          <w:lang w:val="fr-FR" w:eastAsia="ru-RU"/>
        </w:rPr>
        <w:t>l’</w:t>
      </w:r>
      <w:r w:rsidR="00080F42" w:rsidRPr="00953692">
        <w:rPr>
          <w:rFonts w:eastAsia="Times New Roman" w:cs="Times New Roman"/>
          <w:sz w:val="24"/>
          <w:szCs w:val="24"/>
          <w:lang w:val="fr-FR" w:eastAsia="ru-RU"/>
        </w:rPr>
        <w:t>objectif</w:t>
      </w:r>
      <w:r w:rsidR="00C95F39" w:rsidRPr="00953692">
        <w:rPr>
          <w:rFonts w:eastAsia="Times New Roman" w:cs="Times New Roman"/>
          <w:sz w:val="24"/>
          <w:szCs w:val="24"/>
          <w:lang w:val="fr-FR" w:eastAsia="ru-RU"/>
        </w:rPr>
        <w:t xml:space="preserve"> </w:t>
      </w:r>
      <w:r w:rsidR="00322C27" w:rsidRPr="00953692">
        <w:rPr>
          <w:rFonts w:eastAsia="Times New Roman" w:cs="Times New Roman"/>
          <w:sz w:val="24"/>
          <w:szCs w:val="24"/>
          <w:lang w:val="fr-FR" w:eastAsia="ru-RU"/>
        </w:rPr>
        <w:t>« </w:t>
      </w:r>
      <w:r w:rsidR="00117F80" w:rsidRPr="00953692">
        <w:rPr>
          <w:rFonts w:eastAsia="Times New Roman" w:cs="Times New Roman"/>
          <w:i/>
          <w:iCs/>
          <w:sz w:val="24"/>
          <w:szCs w:val="24"/>
          <w:lang w:val="fr-FR" w:eastAsia="ru-RU"/>
        </w:rPr>
        <w:t>d</w:t>
      </w:r>
      <w:r w:rsidR="00C95F39" w:rsidRPr="00953692">
        <w:rPr>
          <w:rFonts w:eastAsia="Times New Roman" w:cs="Times New Roman"/>
          <w:i/>
          <w:iCs/>
          <w:sz w:val="24"/>
          <w:szCs w:val="24"/>
          <w:lang w:val="fr-FR" w:eastAsia="ru-RU"/>
        </w:rPr>
        <w:t xml:space="preserve">’organisation des échanges entre les parties de façon à assurer la préparation rapide du procès ; et l’examen de l’état d’avancement de l’affaire et de donner à l’accusé la </w:t>
      </w:r>
      <w:r w:rsidR="00C95F39" w:rsidRPr="00953692">
        <w:rPr>
          <w:i/>
          <w:iCs/>
          <w:sz w:val="24"/>
          <w:szCs w:val="24"/>
          <w:lang w:val="fr-FR"/>
        </w:rPr>
        <w:t>possibilité de soulever des questions s’y rapportant, notamment son état de santé mentale et physique</w:t>
      </w:r>
      <w:r w:rsidR="00C95F39" w:rsidRPr="00953692">
        <w:rPr>
          <w:sz w:val="24"/>
          <w:szCs w:val="24"/>
          <w:lang w:val="fr-FR"/>
        </w:rPr>
        <w:t>.</w:t>
      </w:r>
      <w:r w:rsidR="00F3455B" w:rsidRPr="00953692">
        <w:rPr>
          <w:sz w:val="24"/>
          <w:szCs w:val="24"/>
          <w:lang w:val="fr-FR"/>
        </w:rPr>
        <w:t xml:space="preserve"> On peut donc remarquer que l’accusé ou la préparation de sa défense prend alors une place importante au même titre que celle de l’Accusation dans un échange mutuel d’éléments devant faire objet des débats.</w:t>
      </w:r>
    </w:p>
    <w:p w14:paraId="0548346D" w14:textId="10DDCC72" w:rsidR="0021388B" w:rsidRPr="00953692" w:rsidRDefault="00C35B73" w:rsidP="00864BBF">
      <w:pPr>
        <w:spacing w:after="0" w:line="276" w:lineRule="auto"/>
        <w:ind w:firstLine="1134"/>
        <w:jc w:val="both"/>
        <w:rPr>
          <w:sz w:val="24"/>
          <w:szCs w:val="24"/>
          <w:lang w:val="fr-FR"/>
        </w:rPr>
      </w:pPr>
      <w:r w:rsidRPr="00953692">
        <w:rPr>
          <w:b/>
          <w:bCs/>
          <w:sz w:val="24"/>
          <w:szCs w:val="24"/>
          <w:lang w:val="fr-FR"/>
        </w:rPr>
        <w:lastRenderedPageBreak/>
        <w:t>337</w:t>
      </w:r>
      <w:r w:rsidR="00BE3B9B" w:rsidRPr="00953692">
        <w:rPr>
          <w:b/>
          <w:bCs/>
          <w:sz w:val="24"/>
          <w:szCs w:val="24"/>
          <w:lang w:val="fr-FR"/>
        </w:rPr>
        <w:t>.</w:t>
      </w:r>
      <w:r w:rsidR="00BE3B9B" w:rsidRPr="00953692">
        <w:rPr>
          <w:sz w:val="24"/>
          <w:szCs w:val="24"/>
          <w:lang w:val="fr-FR"/>
        </w:rPr>
        <w:t xml:space="preserve"> </w:t>
      </w:r>
      <w:r w:rsidR="0037652E" w:rsidRPr="00953692">
        <w:rPr>
          <w:sz w:val="24"/>
          <w:szCs w:val="24"/>
          <w:lang w:val="fr-FR"/>
        </w:rPr>
        <w:t xml:space="preserve">Sans surprise, cette procédure a été </w:t>
      </w:r>
      <w:r w:rsidR="00FA22F4" w:rsidRPr="00953692">
        <w:rPr>
          <w:sz w:val="24"/>
          <w:szCs w:val="24"/>
          <w:lang w:val="fr-FR"/>
        </w:rPr>
        <w:t xml:space="preserve">celle </w:t>
      </w:r>
      <w:r w:rsidR="0037652E" w:rsidRPr="00953692">
        <w:rPr>
          <w:sz w:val="24"/>
          <w:szCs w:val="24"/>
          <w:lang w:val="fr-FR"/>
        </w:rPr>
        <w:t>adoptée par les autres</w:t>
      </w:r>
      <w:r w:rsidR="00FA22F4" w:rsidRPr="00953692">
        <w:rPr>
          <w:sz w:val="24"/>
          <w:szCs w:val="24"/>
          <w:lang w:val="fr-FR"/>
        </w:rPr>
        <w:t xml:space="preserve"> juridictions pénales internationales telles que</w:t>
      </w:r>
      <w:r w:rsidR="0037652E" w:rsidRPr="00953692">
        <w:rPr>
          <w:sz w:val="24"/>
          <w:szCs w:val="24"/>
          <w:lang w:val="fr-FR"/>
        </w:rPr>
        <w:t xml:space="preserve"> </w:t>
      </w:r>
      <w:r w:rsidR="00660416" w:rsidRPr="00953692">
        <w:rPr>
          <w:sz w:val="24"/>
          <w:szCs w:val="24"/>
          <w:lang w:val="fr-FR"/>
        </w:rPr>
        <w:t>le TPIR</w:t>
      </w:r>
      <w:r w:rsidR="00FA22F4" w:rsidRPr="00953692">
        <w:rPr>
          <w:sz w:val="24"/>
          <w:szCs w:val="24"/>
          <w:lang w:val="fr-FR"/>
        </w:rPr>
        <w:t xml:space="preserve"> et</w:t>
      </w:r>
      <w:r w:rsidR="00660416" w:rsidRPr="00953692">
        <w:rPr>
          <w:sz w:val="24"/>
          <w:szCs w:val="24"/>
          <w:lang w:val="fr-FR"/>
        </w:rPr>
        <w:t xml:space="preserve"> le TSSL</w:t>
      </w:r>
      <w:r w:rsidR="00FA22F4" w:rsidRPr="00953692">
        <w:rPr>
          <w:sz w:val="24"/>
          <w:szCs w:val="24"/>
          <w:lang w:val="fr-FR"/>
        </w:rPr>
        <w:t>. L</w:t>
      </w:r>
      <w:r w:rsidR="00660416" w:rsidRPr="00953692">
        <w:rPr>
          <w:sz w:val="24"/>
          <w:szCs w:val="24"/>
          <w:lang w:val="fr-FR"/>
        </w:rPr>
        <w:t>e</w:t>
      </w:r>
      <w:r w:rsidR="00FA22F4" w:rsidRPr="00953692">
        <w:rPr>
          <w:sz w:val="24"/>
          <w:szCs w:val="24"/>
          <w:lang w:val="fr-FR"/>
        </w:rPr>
        <w:t xml:space="preserve"> RPP du </w:t>
      </w:r>
      <w:r w:rsidR="00660416" w:rsidRPr="00953692">
        <w:rPr>
          <w:sz w:val="24"/>
          <w:szCs w:val="24"/>
          <w:lang w:val="fr-FR"/>
        </w:rPr>
        <w:t>TSL</w:t>
      </w:r>
      <w:r w:rsidR="00FA22F4" w:rsidRPr="00953692">
        <w:rPr>
          <w:sz w:val="24"/>
          <w:szCs w:val="24"/>
          <w:lang w:val="fr-FR"/>
        </w:rPr>
        <w:t xml:space="preserve"> prévoit</w:t>
      </w:r>
      <w:r w:rsidR="003D034B" w:rsidRPr="00953692">
        <w:rPr>
          <w:sz w:val="24"/>
          <w:szCs w:val="24"/>
          <w:lang w:val="fr-FR"/>
        </w:rPr>
        <w:t>,</w:t>
      </w:r>
      <w:r w:rsidR="00FA22F4" w:rsidRPr="00953692">
        <w:rPr>
          <w:sz w:val="24"/>
          <w:szCs w:val="24"/>
          <w:lang w:val="fr-FR"/>
        </w:rPr>
        <w:t xml:space="preserve"> en son article 89, que </w:t>
      </w:r>
      <w:r w:rsidR="00FA22F4" w:rsidRPr="00953692">
        <w:rPr>
          <w:i/>
          <w:iCs/>
          <w:sz w:val="24"/>
          <w:szCs w:val="24"/>
          <w:lang w:val="fr-FR"/>
        </w:rPr>
        <w:t xml:space="preserve">le juge de la mise en état coordonne les échanges entre les parties durant la phase de la mise en état. Il </w:t>
      </w:r>
      <w:r w:rsidR="00660416" w:rsidRPr="00953692">
        <w:rPr>
          <w:i/>
          <w:iCs/>
          <w:sz w:val="24"/>
          <w:szCs w:val="24"/>
          <w:lang w:val="fr-FR"/>
        </w:rPr>
        <w:t>s’assure que la procédure ne prend aucun retard injustifié.</w:t>
      </w:r>
      <w:r w:rsidR="003D034B" w:rsidRPr="00953692">
        <w:rPr>
          <w:i/>
          <w:iCs/>
          <w:sz w:val="24"/>
          <w:szCs w:val="24"/>
          <w:lang w:val="fr-FR"/>
        </w:rPr>
        <w:t xml:space="preserve"> </w:t>
      </w:r>
      <w:r w:rsidR="00660416" w:rsidRPr="00953692">
        <w:rPr>
          <w:i/>
          <w:iCs/>
          <w:sz w:val="24"/>
          <w:szCs w:val="24"/>
          <w:lang w:val="fr-FR"/>
        </w:rPr>
        <w:t>Il prend toutes les mesures nécessaires afin que l’affaire soit en état en vue d’un procès équitable et rapide</w:t>
      </w:r>
      <w:r w:rsidR="00660416" w:rsidRPr="00953692">
        <w:rPr>
          <w:sz w:val="24"/>
          <w:szCs w:val="24"/>
          <w:lang w:val="fr-FR"/>
        </w:rPr>
        <w:t>.</w:t>
      </w:r>
      <w:r w:rsidR="00032372" w:rsidRPr="00953692">
        <w:rPr>
          <w:sz w:val="24"/>
          <w:szCs w:val="24"/>
          <w:lang w:val="fr-FR"/>
        </w:rPr>
        <w:t xml:space="preserve"> </w:t>
      </w:r>
      <w:r w:rsidR="00322C27" w:rsidRPr="00953692">
        <w:rPr>
          <w:sz w:val="24"/>
          <w:szCs w:val="24"/>
          <w:lang w:val="fr-FR"/>
        </w:rPr>
        <w:t>Il en est de même de l</w:t>
      </w:r>
      <w:r w:rsidR="00032372" w:rsidRPr="00953692">
        <w:rPr>
          <w:sz w:val="24"/>
          <w:szCs w:val="24"/>
          <w:lang w:val="fr-FR"/>
        </w:rPr>
        <w:t xml:space="preserve">’article 79.7 du Règlement du CETC </w:t>
      </w:r>
      <w:r w:rsidR="00322C27" w:rsidRPr="00953692">
        <w:rPr>
          <w:sz w:val="24"/>
          <w:szCs w:val="24"/>
          <w:lang w:val="fr-FR"/>
        </w:rPr>
        <w:t xml:space="preserve">qui </w:t>
      </w:r>
      <w:r w:rsidR="00032372" w:rsidRPr="00953692">
        <w:rPr>
          <w:sz w:val="24"/>
          <w:szCs w:val="24"/>
          <w:lang w:val="fr-FR"/>
        </w:rPr>
        <w:t>dispose que</w:t>
      </w:r>
      <w:r w:rsidR="00322C27" w:rsidRPr="00953692">
        <w:rPr>
          <w:sz w:val="24"/>
          <w:szCs w:val="24"/>
          <w:lang w:val="fr-FR"/>
        </w:rPr>
        <w:t>,</w:t>
      </w:r>
      <w:r w:rsidR="00032372" w:rsidRPr="00953692">
        <w:rPr>
          <w:sz w:val="24"/>
          <w:szCs w:val="24"/>
          <w:lang w:val="fr-FR"/>
        </w:rPr>
        <w:t xml:space="preserve"> </w:t>
      </w:r>
      <w:r w:rsidR="00322C27" w:rsidRPr="00953692">
        <w:rPr>
          <w:sz w:val="24"/>
          <w:szCs w:val="24"/>
          <w:lang w:val="fr-FR"/>
        </w:rPr>
        <w:t>« </w:t>
      </w:r>
      <w:r w:rsidR="00032372" w:rsidRPr="00953692">
        <w:rPr>
          <w:i/>
          <w:iCs/>
          <w:sz w:val="24"/>
          <w:szCs w:val="24"/>
          <w:lang w:val="fr-FR"/>
        </w:rPr>
        <w:t>pour faciliter un déroulement rapide et équitable de la procédure, la Chambre de première instance peut consulter les parties ou leurs conseils, selon le cas, dans le cadre d’une réunion de mise en état, en vue notamment de permettre des échanges entre les parties, de faciliter la fixation des dates des audiences initiale ou sur le fond, ainsi que d’examiner l’état d’avancement du dossier en donnant à l’accusé la possibilité de soulever des questions s’y rapportant, notamment sur son état de santé mentale et physique</w:t>
      </w:r>
      <w:r w:rsidR="00322C27" w:rsidRPr="00953692">
        <w:rPr>
          <w:i/>
          <w:iCs/>
          <w:sz w:val="24"/>
          <w:szCs w:val="24"/>
          <w:lang w:val="fr-FR"/>
        </w:rPr>
        <w:t> »</w:t>
      </w:r>
      <w:r w:rsidR="00032372" w:rsidRPr="00953692">
        <w:rPr>
          <w:sz w:val="24"/>
          <w:szCs w:val="24"/>
          <w:lang w:val="fr-FR"/>
        </w:rPr>
        <w:t>.</w:t>
      </w:r>
    </w:p>
    <w:p w14:paraId="5F89420D" w14:textId="5C4957F1" w:rsidR="003E404C" w:rsidRPr="00953692" w:rsidRDefault="00C35B73" w:rsidP="00864BBF">
      <w:pPr>
        <w:spacing w:after="0" w:line="276" w:lineRule="auto"/>
        <w:ind w:firstLine="1134"/>
        <w:jc w:val="both"/>
        <w:rPr>
          <w:sz w:val="24"/>
          <w:szCs w:val="24"/>
          <w:lang w:val="fr-FR"/>
        </w:rPr>
      </w:pPr>
      <w:r w:rsidRPr="00953692">
        <w:rPr>
          <w:b/>
          <w:bCs/>
          <w:sz w:val="24"/>
          <w:szCs w:val="24"/>
          <w:lang w:val="fr-FR"/>
        </w:rPr>
        <w:t>338</w:t>
      </w:r>
      <w:r w:rsidR="00CA64C6" w:rsidRPr="00953692">
        <w:rPr>
          <w:b/>
          <w:bCs/>
          <w:sz w:val="24"/>
          <w:szCs w:val="24"/>
          <w:lang w:val="fr-FR"/>
        </w:rPr>
        <w:t>.</w:t>
      </w:r>
      <w:r w:rsidR="00CA64C6" w:rsidRPr="00953692">
        <w:rPr>
          <w:sz w:val="24"/>
          <w:szCs w:val="24"/>
          <w:lang w:val="fr-FR"/>
        </w:rPr>
        <w:t xml:space="preserve"> </w:t>
      </w:r>
      <w:r w:rsidR="00EE43B4" w:rsidRPr="00953692">
        <w:rPr>
          <w:sz w:val="24"/>
          <w:szCs w:val="24"/>
          <w:lang w:val="fr-FR"/>
        </w:rPr>
        <w:t>L’article 117 du RPP du CPS centrafricaine prévoit également une telle procédure</w:t>
      </w:r>
      <w:r w:rsidR="00322C27" w:rsidRPr="00953692">
        <w:rPr>
          <w:sz w:val="24"/>
          <w:szCs w:val="24"/>
          <w:lang w:val="fr-FR"/>
        </w:rPr>
        <w:t xml:space="preserve"> qu’il</w:t>
      </w:r>
      <w:r w:rsidR="00EE43B4" w:rsidRPr="00953692">
        <w:rPr>
          <w:sz w:val="24"/>
          <w:szCs w:val="24"/>
          <w:lang w:val="fr-FR"/>
        </w:rPr>
        <w:t xml:space="preserve"> confie </w:t>
      </w:r>
      <w:r w:rsidR="00EE43B4" w:rsidRPr="00953692">
        <w:rPr>
          <w:i/>
          <w:iCs/>
          <w:sz w:val="24"/>
          <w:szCs w:val="24"/>
          <w:lang w:val="fr-FR"/>
        </w:rPr>
        <w:t>à la section d’assises</w:t>
      </w:r>
      <w:r w:rsidR="00CA64C6" w:rsidRPr="00953692">
        <w:rPr>
          <w:i/>
          <w:iCs/>
          <w:sz w:val="24"/>
          <w:szCs w:val="24"/>
          <w:lang w:val="fr-FR"/>
        </w:rPr>
        <w:t xml:space="preserve"> les pouvoirs de prendre</w:t>
      </w:r>
      <w:r w:rsidR="00EE43B4" w:rsidRPr="00953692">
        <w:rPr>
          <w:i/>
          <w:iCs/>
          <w:sz w:val="24"/>
          <w:szCs w:val="24"/>
          <w:lang w:val="fr-FR"/>
        </w:rPr>
        <w:t xml:space="preserve"> </w:t>
      </w:r>
      <w:r w:rsidR="00CA64C6" w:rsidRPr="00953692">
        <w:rPr>
          <w:i/>
          <w:iCs/>
          <w:sz w:val="24"/>
          <w:szCs w:val="24"/>
          <w:lang w:val="fr-FR"/>
        </w:rPr>
        <w:t>des</w:t>
      </w:r>
      <w:r w:rsidR="003E404C" w:rsidRPr="00953692">
        <w:rPr>
          <w:i/>
          <w:iCs/>
          <w:sz w:val="24"/>
          <w:szCs w:val="24"/>
          <w:lang w:val="fr-FR"/>
        </w:rPr>
        <w:t xml:space="preserve"> mesures préparatoires requises aux fins de permettre au procès de se dérouler avec célérité et dans le respect des droits fondamentaux de l’accusé et des parties civiles</w:t>
      </w:r>
      <w:r w:rsidR="003E404C" w:rsidRPr="00953692">
        <w:rPr>
          <w:sz w:val="24"/>
          <w:szCs w:val="24"/>
          <w:lang w:val="fr-FR"/>
        </w:rPr>
        <w:t xml:space="preserve">. </w:t>
      </w:r>
      <w:r w:rsidR="003D034B" w:rsidRPr="00953692">
        <w:rPr>
          <w:rStyle w:val="grammar"/>
          <w:rFonts w:cs="Times New Roman"/>
          <w:sz w:val="24"/>
          <w:szCs w:val="24"/>
          <w:lang w:val="fr-FR"/>
        </w:rPr>
        <w:t>À</w:t>
      </w:r>
      <w:r w:rsidR="003D034B" w:rsidRPr="00953692">
        <w:rPr>
          <w:rFonts w:cs="Times New Roman"/>
          <w:sz w:val="24"/>
          <w:szCs w:val="24"/>
          <w:shd w:val="clear" w:color="auto" w:fill="FFFFFF"/>
          <w:lang w:val="fr-FR"/>
        </w:rPr>
        <w:t xml:space="preserve"> cet effet,</w:t>
      </w:r>
      <w:r w:rsidR="003D034B" w:rsidRPr="00953692">
        <w:rPr>
          <w:rFonts w:ascii="Tahoma" w:hAnsi="Tahoma" w:cs="Tahoma"/>
          <w:sz w:val="24"/>
          <w:szCs w:val="24"/>
          <w:shd w:val="clear" w:color="auto" w:fill="FFFFFF"/>
          <w:lang w:val="fr-FR"/>
        </w:rPr>
        <w:t xml:space="preserve"> </w:t>
      </w:r>
      <w:r w:rsidR="0021388B" w:rsidRPr="00953692">
        <w:rPr>
          <w:i/>
          <w:iCs/>
          <w:sz w:val="24"/>
          <w:szCs w:val="24"/>
          <w:lang w:val="fr-FR"/>
        </w:rPr>
        <w:t>a</w:t>
      </w:r>
      <w:r w:rsidR="003E404C" w:rsidRPr="00953692">
        <w:rPr>
          <w:i/>
          <w:iCs/>
          <w:sz w:val="24"/>
          <w:szCs w:val="24"/>
          <w:lang w:val="fr-FR"/>
        </w:rPr>
        <w:t>vant l’ouverture des débats, la Section d’assises peut convoquer des conférences de mise en état aux fins de préparer le procès et, notamment, d’établir la liste des témoins et experts appelés à comparaître et de déterminer l’ordre de leur comparution</w:t>
      </w:r>
      <w:r w:rsidR="003E404C" w:rsidRPr="00953692">
        <w:rPr>
          <w:sz w:val="24"/>
          <w:szCs w:val="24"/>
          <w:lang w:val="fr-FR"/>
        </w:rPr>
        <w:t>.</w:t>
      </w:r>
      <w:r w:rsidR="00DB054F" w:rsidRPr="00953692">
        <w:rPr>
          <w:sz w:val="24"/>
          <w:szCs w:val="24"/>
          <w:lang w:val="fr-FR"/>
        </w:rPr>
        <w:t xml:space="preserve"> Et la règle 95 du R</w:t>
      </w:r>
      <w:r w:rsidR="00CA64C6" w:rsidRPr="00953692">
        <w:rPr>
          <w:sz w:val="24"/>
          <w:szCs w:val="24"/>
          <w:lang w:val="fr-FR"/>
        </w:rPr>
        <w:t>èglement de procédure</w:t>
      </w:r>
      <w:r w:rsidR="00DB054F" w:rsidRPr="00953692">
        <w:rPr>
          <w:sz w:val="24"/>
          <w:szCs w:val="24"/>
          <w:lang w:val="fr-FR"/>
        </w:rPr>
        <w:t xml:space="preserve"> des Chambres spéciales pour le Kosovo dispose qu’</w:t>
      </w:r>
      <w:r w:rsidR="00DB054F" w:rsidRPr="00953692">
        <w:rPr>
          <w:i/>
          <w:iCs/>
          <w:sz w:val="24"/>
          <w:szCs w:val="24"/>
          <w:lang w:val="fr-FR"/>
        </w:rPr>
        <w:t>après la confirmation de l’acte d’accusa</w:t>
      </w:r>
      <w:r w:rsidR="00CF4FFA" w:rsidRPr="00953692">
        <w:rPr>
          <w:i/>
          <w:iCs/>
          <w:sz w:val="24"/>
          <w:szCs w:val="24"/>
          <w:lang w:val="fr-FR"/>
        </w:rPr>
        <w:t>t</w:t>
      </w:r>
      <w:r w:rsidR="00DB054F" w:rsidRPr="00953692">
        <w:rPr>
          <w:i/>
          <w:iCs/>
          <w:sz w:val="24"/>
          <w:szCs w:val="24"/>
          <w:lang w:val="fr-FR"/>
        </w:rPr>
        <w:t>i</w:t>
      </w:r>
      <w:r w:rsidR="00CF4FFA" w:rsidRPr="00953692">
        <w:rPr>
          <w:i/>
          <w:iCs/>
          <w:sz w:val="24"/>
          <w:szCs w:val="24"/>
          <w:lang w:val="fr-FR"/>
        </w:rPr>
        <w:t>o</w:t>
      </w:r>
      <w:r w:rsidR="00DB054F" w:rsidRPr="00953692">
        <w:rPr>
          <w:i/>
          <w:iCs/>
          <w:sz w:val="24"/>
          <w:szCs w:val="24"/>
          <w:lang w:val="fr-FR"/>
        </w:rPr>
        <w:t>n et la comparu</w:t>
      </w:r>
      <w:r w:rsidR="00CF4FFA" w:rsidRPr="00953692">
        <w:rPr>
          <w:i/>
          <w:iCs/>
          <w:sz w:val="24"/>
          <w:szCs w:val="24"/>
          <w:lang w:val="fr-FR"/>
        </w:rPr>
        <w:t>t</w:t>
      </w:r>
      <w:r w:rsidR="00DB054F" w:rsidRPr="00953692">
        <w:rPr>
          <w:i/>
          <w:iCs/>
          <w:sz w:val="24"/>
          <w:szCs w:val="24"/>
          <w:lang w:val="fr-FR"/>
        </w:rPr>
        <w:t>ion initiale</w:t>
      </w:r>
      <w:r w:rsidR="00CF4FFA" w:rsidRPr="00953692">
        <w:rPr>
          <w:i/>
          <w:iCs/>
          <w:sz w:val="24"/>
          <w:szCs w:val="24"/>
          <w:lang w:val="fr-FR"/>
        </w:rPr>
        <w:t>, les juge de la mise en état coordonne les communications entre les parties jusqu’à ce que l’affaire soit transmise à la Chambre de première instance</w:t>
      </w:r>
      <w:r w:rsidR="00CF4FFA" w:rsidRPr="00953692">
        <w:rPr>
          <w:sz w:val="24"/>
          <w:szCs w:val="24"/>
          <w:lang w:val="fr-FR"/>
        </w:rPr>
        <w:t>.</w:t>
      </w:r>
    </w:p>
    <w:p w14:paraId="189F4966" w14:textId="36F6E5BB" w:rsidR="000D5531" w:rsidRPr="00953692" w:rsidRDefault="00C35B73" w:rsidP="00864BBF">
      <w:pPr>
        <w:spacing w:after="0" w:line="276" w:lineRule="auto"/>
        <w:ind w:firstLine="1134"/>
        <w:jc w:val="both"/>
        <w:rPr>
          <w:sz w:val="24"/>
          <w:szCs w:val="24"/>
          <w:lang w:val="fr-FR"/>
        </w:rPr>
      </w:pPr>
      <w:r w:rsidRPr="00953692">
        <w:rPr>
          <w:b/>
          <w:bCs/>
          <w:sz w:val="24"/>
          <w:szCs w:val="24"/>
          <w:lang w:val="fr-FR"/>
        </w:rPr>
        <w:t>339</w:t>
      </w:r>
      <w:r w:rsidR="00C54CF3" w:rsidRPr="00953692">
        <w:rPr>
          <w:b/>
          <w:bCs/>
          <w:sz w:val="24"/>
          <w:szCs w:val="24"/>
          <w:lang w:val="fr-FR"/>
        </w:rPr>
        <w:t>.</w:t>
      </w:r>
      <w:r w:rsidR="00C54CF3" w:rsidRPr="00953692">
        <w:rPr>
          <w:sz w:val="24"/>
          <w:szCs w:val="24"/>
          <w:lang w:val="fr-FR"/>
        </w:rPr>
        <w:t xml:space="preserve"> </w:t>
      </w:r>
      <w:r w:rsidR="00120BBA" w:rsidRPr="00953692">
        <w:rPr>
          <w:sz w:val="24"/>
          <w:szCs w:val="24"/>
          <w:lang w:val="fr-FR"/>
        </w:rPr>
        <w:t>Il y a enfin l</w:t>
      </w:r>
      <w:r w:rsidR="000D5531" w:rsidRPr="00953692">
        <w:rPr>
          <w:sz w:val="24"/>
          <w:szCs w:val="24"/>
          <w:lang w:val="fr-FR"/>
        </w:rPr>
        <w:t>a règle 132 du</w:t>
      </w:r>
      <w:r w:rsidR="00120BBA" w:rsidRPr="00953692">
        <w:rPr>
          <w:sz w:val="24"/>
          <w:szCs w:val="24"/>
          <w:lang w:val="fr-FR"/>
        </w:rPr>
        <w:t xml:space="preserve"> RPP</w:t>
      </w:r>
      <w:r w:rsidR="00CF116C" w:rsidRPr="00953692">
        <w:rPr>
          <w:sz w:val="24"/>
          <w:szCs w:val="24"/>
          <w:lang w:val="fr-FR"/>
        </w:rPr>
        <w:t xml:space="preserve"> de la CPI</w:t>
      </w:r>
      <w:r w:rsidR="00120BBA" w:rsidRPr="00953692">
        <w:rPr>
          <w:sz w:val="24"/>
          <w:szCs w:val="24"/>
          <w:lang w:val="fr-FR"/>
        </w:rPr>
        <w:t xml:space="preserve"> qui </w:t>
      </w:r>
      <w:r w:rsidR="000D5531" w:rsidRPr="00953692">
        <w:rPr>
          <w:sz w:val="24"/>
          <w:szCs w:val="24"/>
          <w:lang w:val="fr-FR"/>
        </w:rPr>
        <w:t xml:space="preserve">prévoit également, </w:t>
      </w:r>
      <w:r w:rsidR="00CA64C6" w:rsidRPr="00953692">
        <w:rPr>
          <w:i/>
          <w:iCs/>
          <w:sz w:val="24"/>
          <w:szCs w:val="24"/>
          <w:lang w:val="fr-FR"/>
        </w:rPr>
        <w:t>qu’</w:t>
      </w:r>
      <w:r w:rsidR="000D5531" w:rsidRPr="00953692">
        <w:rPr>
          <w:i/>
          <w:iCs/>
          <w:sz w:val="24"/>
          <w:szCs w:val="24"/>
          <w:lang w:val="fr-FR"/>
        </w:rPr>
        <w:t xml:space="preserve">aussitôt après la constitution de la Chambre de première instance, une conférence de mise en état pour fixer la date du procès. </w:t>
      </w:r>
      <w:r w:rsidR="00C54CF3" w:rsidRPr="00953692">
        <w:rPr>
          <w:sz w:val="24"/>
          <w:szCs w:val="24"/>
          <w:lang w:val="fr-FR"/>
        </w:rPr>
        <w:t>En outre</w:t>
      </w:r>
      <w:r w:rsidR="000D5531" w:rsidRPr="00953692">
        <w:rPr>
          <w:sz w:val="24"/>
          <w:szCs w:val="24"/>
          <w:lang w:val="fr-FR"/>
        </w:rPr>
        <w:t>,</w:t>
      </w:r>
      <w:r w:rsidR="00C54CF3" w:rsidRPr="00953692">
        <w:rPr>
          <w:sz w:val="24"/>
          <w:szCs w:val="24"/>
          <w:lang w:val="fr-FR"/>
        </w:rPr>
        <w:t xml:space="preserve"> le point 2 de l’article 132bis dudit Règlement précise que</w:t>
      </w:r>
      <w:r w:rsidR="00C54CF3" w:rsidRPr="00953692">
        <w:rPr>
          <w:i/>
          <w:iCs/>
          <w:sz w:val="24"/>
          <w:szCs w:val="24"/>
          <w:lang w:val="fr-FR"/>
        </w:rPr>
        <w:t>,</w:t>
      </w:r>
      <w:r w:rsidR="000D5531" w:rsidRPr="00953692">
        <w:rPr>
          <w:i/>
          <w:iCs/>
          <w:sz w:val="24"/>
          <w:szCs w:val="24"/>
          <w:lang w:val="fr-FR"/>
        </w:rPr>
        <w:t xml:space="preserve"> pour faciliter le déroulement équitable et rapide du procès, la Chambre de première instance peut consulter les parties lors de conférences de mise en état tenues selon que de besoin</w:t>
      </w:r>
      <w:r w:rsidR="000D5531" w:rsidRPr="00953692">
        <w:rPr>
          <w:rFonts w:cs="Times New Roman"/>
          <w:sz w:val="24"/>
          <w:szCs w:val="24"/>
          <w:lang w:val="fr-FR"/>
        </w:rPr>
        <w:t xml:space="preserve">. </w:t>
      </w:r>
      <w:r w:rsidR="000A4DD8" w:rsidRPr="00953692">
        <w:rPr>
          <w:rStyle w:val="grammar"/>
          <w:rFonts w:cs="Times New Roman"/>
          <w:sz w:val="24"/>
          <w:szCs w:val="24"/>
          <w:lang w:val="fr-FR"/>
        </w:rPr>
        <w:t>À</w:t>
      </w:r>
      <w:r w:rsidR="000A4DD8" w:rsidRPr="00953692">
        <w:rPr>
          <w:rFonts w:cs="Times New Roman"/>
          <w:sz w:val="24"/>
          <w:szCs w:val="24"/>
          <w:shd w:val="clear" w:color="auto" w:fill="FFFFFF"/>
          <w:lang w:val="fr-FR"/>
        </w:rPr>
        <w:t xml:space="preserve"> cet effet</w:t>
      </w:r>
      <w:r w:rsidR="000D5531" w:rsidRPr="00953692">
        <w:rPr>
          <w:rFonts w:cs="Times New Roman"/>
          <w:sz w:val="24"/>
          <w:szCs w:val="24"/>
          <w:lang w:val="fr-FR"/>
        </w:rPr>
        <w:t>, il</w:t>
      </w:r>
      <w:r w:rsidR="000D5531" w:rsidRPr="00953692">
        <w:rPr>
          <w:sz w:val="24"/>
          <w:szCs w:val="24"/>
          <w:lang w:val="fr-FR"/>
        </w:rPr>
        <w:t xml:space="preserve"> peut être désigné un ou plusieurs juges</w:t>
      </w:r>
      <w:r w:rsidR="00F148B5" w:rsidRPr="00953692">
        <w:rPr>
          <w:sz w:val="24"/>
          <w:szCs w:val="24"/>
          <w:lang w:val="fr-FR"/>
        </w:rPr>
        <w:t xml:space="preserve"> pour la préparation du procès, ayant pour fonctions notamment de garantir un échange adéquat des pièces entre les parties.</w:t>
      </w:r>
    </w:p>
    <w:p w14:paraId="7CDB60CE" w14:textId="203F7BDB" w:rsidR="00C05AAD" w:rsidRPr="00953692" w:rsidRDefault="00C35B73" w:rsidP="00864BBF">
      <w:pPr>
        <w:spacing w:after="0" w:line="276" w:lineRule="auto"/>
        <w:ind w:firstLine="1134"/>
        <w:jc w:val="both"/>
        <w:rPr>
          <w:sz w:val="24"/>
          <w:szCs w:val="24"/>
          <w:lang w:val="fr-FR"/>
        </w:rPr>
      </w:pPr>
      <w:r w:rsidRPr="00953692">
        <w:rPr>
          <w:b/>
          <w:bCs/>
          <w:sz w:val="24"/>
          <w:szCs w:val="24"/>
          <w:lang w:val="fr-FR"/>
        </w:rPr>
        <w:t>340</w:t>
      </w:r>
      <w:r w:rsidR="00C54CF3" w:rsidRPr="00953692">
        <w:rPr>
          <w:b/>
          <w:bCs/>
          <w:sz w:val="24"/>
          <w:szCs w:val="24"/>
          <w:lang w:val="fr-FR"/>
        </w:rPr>
        <w:t>.</w:t>
      </w:r>
      <w:r w:rsidR="00C54CF3" w:rsidRPr="00953692">
        <w:rPr>
          <w:sz w:val="24"/>
          <w:szCs w:val="24"/>
          <w:lang w:val="fr-FR"/>
        </w:rPr>
        <w:t xml:space="preserve"> </w:t>
      </w:r>
      <w:r w:rsidR="009B42FA" w:rsidRPr="00953692">
        <w:rPr>
          <w:sz w:val="24"/>
          <w:szCs w:val="24"/>
          <w:lang w:val="fr-FR"/>
        </w:rPr>
        <w:t xml:space="preserve">Force est de constater que ces juridictions accordent beaucoup d’importance à </w:t>
      </w:r>
      <w:r w:rsidR="00E65A8F" w:rsidRPr="00953692">
        <w:rPr>
          <w:sz w:val="24"/>
          <w:szCs w:val="24"/>
          <w:lang w:val="fr-FR"/>
        </w:rPr>
        <w:t xml:space="preserve">cette étape, qui permet d’assurer un procès équitable et rapide. </w:t>
      </w:r>
      <w:r w:rsidR="00C615CF" w:rsidRPr="00953692">
        <w:rPr>
          <w:sz w:val="24"/>
          <w:szCs w:val="24"/>
          <w:lang w:val="fr-FR"/>
        </w:rPr>
        <w:t>La liaison</w:t>
      </w:r>
      <w:r w:rsidR="00E65A8F" w:rsidRPr="00953692">
        <w:rPr>
          <w:sz w:val="24"/>
          <w:szCs w:val="24"/>
          <w:lang w:val="fr-FR"/>
        </w:rPr>
        <w:t xml:space="preserve"> </w:t>
      </w:r>
      <w:r w:rsidR="007D3F42" w:rsidRPr="00953692">
        <w:rPr>
          <w:sz w:val="24"/>
          <w:szCs w:val="24"/>
          <w:lang w:val="fr-FR"/>
        </w:rPr>
        <w:t xml:space="preserve">et surtout la succession des </w:t>
      </w:r>
      <w:r w:rsidR="00E65A8F" w:rsidRPr="00953692">
        <w:rPr>
          <w:sz w:val="24"/>
          <w:szCs w:val="24"/>
          <w:lang w:val="fr-FR"/>
        </w:rPr>
        <w:t>adjectif</w:t>
      </w:r>
      <w:r w:rsidR="007D3F42" w:rsidRPr="00953692">
        <w:rPr>
          <w:sz w:val="24"/>
          <w:szCs w:val="24"/>
          <w:lang w:val="fr-FR"/>
        </w:rPr>
        <w:t>s</w:t>
      </w:r>
      <w:r w:rsidR="00E65A8F" w:rsidRPr="00953692">
        <w:rPr>
          <w:sz w:val="24"/>
          <w:szCs w:val="24"/>
          <w:lang w:val="fr-FR"/>
        </w:rPr>
        <w:t xml:space="preserve"> équitable</w:t>
      </w:r>
      <w:r w:rsidR="007D3F42" w:rsidRPr="00953692">
        <w:rPr>
          <w:sz w:val="24"/>
          <w:szCs w:val="24"/>
          <w:lang w:val="fr-FR"/>
        </w:rPr>
        <w:t xml:space="preserve"> et rapide (ou diligent) sont remarquables</w:t>
      </w:r>
      <w:r w:rsidR="00E65A8F" w:rsidRPr="00953692">
        <w:rPr>
          <w:sz w:val="24"/>
          <w:szCs w:val="24"/>
          <w:lang w:val="fr-FR"/>
        </w:rPr>
        <w:t>. Il y a, sauf une précision banale, une suggestion subtile selon laquelle</w:t>
      </w:r>
      <w:r w:rsidR="00322C27" w:rsidRPr="00953692">
        <w:rPr>
          <w:sz w:val="24"/>
          <w:szCs w:val="24"/>
          <w:lang w:val="fr-FR"/>
        </w:rPr>
        <w:t>,</w:t>
      </w:r>
      <w:r w:rsidR="00E65A8F" w:rsidRPr="00953692">
        <w:rPr>
          <w:sz w:val="24"/>
          <w:szCs w:val="24"/>
          <w:lang w:val="fr-FR"/>
        </w:rPr>
        <w:t xml:space="preserve"> un procès équitable, c’est-à-dire </w:t>
      </w:r>
      <w:r w:rsidR="005C10CD" w:rsidRPr="00953692">
        <w:rPr>
          <w:sz w:val="24"/>
          <w:szCs w:val="24"/>
          <w:lang w:val="fr-FR"/>
        </w:rPr>
        <w:t xml:space="preserve">ce </w:t>
      </w:r>
      <w:r w:rsidR="00E65A8F" w:rsidRPr="00953692">
        <w:rPr>
          <w:sz w:val="24"/>
          <w:szCs w:val="24"/>
          <w:lang w:val="fr-FR"/>
        </w:rPr>
        <w:t>dont les parties sont presque toutes traitées de manière égale</w:t>
      </w:r>
      <w:r w:rsidR="00322C27" w:rsidRPr="00953692">
        <w:rPr>
          <w:sz w:val="24"/>
          <w:szCs w:val="24"/>
          <w:lang w:val="fr-FR"/>
        </w:rPr>
        <w:t xml:space="preserve"> ou presque</w:t>
      </w:r>
      <w:r w:rsidR="00E65A8F" w:rsidRPr="00953692">
        <w:rPr>
          <w:sz w:val="24"/>
          <w:szCs w:val="24"/>
          <w:lang w:val="fr-FR"/>
        </w:rPr>
        <w:t>, ouvre</w:t>
      </w:r>
      <w:r w:rsidR="00322C27" w:rsidRPr="00953692">
        <w:rPr>
          <w:sz w:val="24"/>
          <w:szCs w:val="24"/>
          <w:lang w:val="fr-FR"/>
        </w:rPr>
        <w:t xml:space="preserve"> évidement</w:t>
      </w:r>
      <w:r w:rsidR="00E65A8F" w:rsidRPr="00953692">
        <w:rPr>
          <w:sz w:val="24"/>
          <w:szCs w:val="24"/>
          <w:lang w:val="fr-FR"/>
        </w:rPr>
        <w:t xml:space="preserve"> la voie à un procès rapide</w:t>
      </w:r>
      <w:r w:rsidR="00DD6E61" w:rsidRPr="00953692">
        <w:rPr>
          <w:sz w:val="24"/>
          <w:szCs w:val="24"/>
          <w:lang w:val="fr-FR"/>
        </w:rPr>
        <w:t xml:space="preserve">. </w:t>
      </w:r>
      <w:r w:rsidR="000A4DD8" w:rsidRPr="00953692">
        <w:rPr>
          <w:sz w:val="24"/>
          <w:szCs w:val="24"/>
          <w:lang w:val="fr-FR"/>
        </w:rPr>
        <w:t>Autrement-dit,</w:t>
      </w:r>
      <w:r w:rsidR="00E65A8F" w:rsidRPr="00953692">
        <w:rPr>
          <w:sz w:val="24"/>
          <w:szCs w:val="24"/>
          <w:lang w:val="fr-FR"/>
        </w:rPr>
        <w:t xml:space="preserve"> un procès débridé des multiples contestations périphériques</w:t>
      </w:r>
      <w:r w:rsidR="00DD6E61" w:rsidRPr="00953692">
        <w:rPr>
          <w:sz w:val="24"/>
          <w:szCs w:val="24"/>
          <w:lang w:val="fr-FR"/>
        </w:rPr>
        <w:t>, dilatoires</w:t>
      </w:r>
      <w:r w:rsidR="003067EC" w:rsidRPr="00953692">
        <w:rPr>
          <w:sz w:val="24"/>
          <w:szCs w:val="24"/>
          <w:lang w:val="fr-FR"/>
        </w:rPr>
        <w:t>,</w:t>
      </w:r>
      <w:r w:rsidR="00E65A8F" w:rsidRPr="00953692">
        <w:rPr>
          <w:sz w:val="24"/>
          <w:szCs w:val="24"/>
          <w:lang w:val="fr-FR"/>
        </w:rPr>
        <w:t xml:space="preserve"> susceptibles de rendre impossible </w:t>
      </w:r>
      <w:r w:rsidR="00DD6E61" w:rsidRPr="00953692">
        <w:rPr>
          <w:sz w:val="24"/>
          <w:szCs w:val="24"/>
          <w:lang w:val="fr-FR"/>
        </w:rPr>
        <w:t>une rapide</w:t>
      </w:r>
      <w:r w:rsidR="00E65A8F" w:rsidRPr="00953692">
        <w:rPr>
          <w:sz w:val="24"/>
          <w:szCs w:val="24"/>
          <w:lang w:val="fr-FR"/>
        </w:rPr>
        <w:t xml:space="preserve"> résolution de la question </w:t>
      </w:r>
      <w:r w:rsidR="00CA64C6" w:rsidRPr="00953692">
        <w:rPr>
          <w:sz w:val="24"/>
          <w:szCs w:val="24"/>
          <w:lang w:val="fr-FR"/>
        </w:rPr>
        <w:t>au</w:t>
      </w:r>
      <w:r w:rsidR="00E65A8F" w:rsidRPr="00953692">
        <w:rPr>
          <w:sz w:val="24"/>
          <w:szCs w:val="24"/>
          <w:lang w:val="fr-FR"/>
        </w:rPr>
        <w:t xml:space="preserve"> fond, à savoir la responsabilité pénale de l’accusé. </w:t>
      </w:r>
      <w:r w:rsidR="000F7F06" w:rsidRPr="00953692">
        <w:rPr>
          <w:sz w:val="24"/>
          <w:szCs w:val="24"/>
          <w:lang w:val="fr-FR"/>
        </w:rPr>
        <w:t xml:space="preserve">C’est ainsi qu’on parle de la préparation du procès qui implique plusieurs questions </w:t>
      </w:r>
      <w:r w:rsidR="000F7F06" w:rsidRPr="00953692">
        <w:rPr>
          <w:sz w:val="24"/>
          <w:szCs w:val="24"/>
          <w:lang w:val="fr-FR"/>
        </w:rPr>
        <w:lastRenderedPageBreak/>
        <w:t>considérées comme préalables pouvant provenir de toutes les parties et victimes</w:t>
      </w:r>
      <w:r w:rsidR="003067EC" w:rsidRPr="00953692">
        <w:rPr>
          <w:sz w:val="24"/>
          <w:szCs w:val="24"/>
          <w:lang w:val="fr-FR"/>
        </w:rPr>
        <w:t>,</w:t>
      </w:r>
      <w:r w:rsidR="000F7F06" w:rsidRPr="00953692">
        <w:rPr>
          <w:sz w:val="24"/>
          <w:szCs w:val="24"/>
          <w:lang w:val="fr-FR"/>
        </w:rPr>
        <w:t xml:space="preserve"> y compris</w:t>
      </w:r>
      <w:r w:rsidR="003067EC" w:rsidRPr="00953692">
        <w:rPr>
          <w:sz w:val="24"/>
          <w:szCs w:val="24"/>
          <w:lang w:val="fr-FR"/>
        </w:rPr>
        <w:t>,</w:t>
      </w:r>
      <w:r w:rsidR="000F7F06" w:rsidRPr="00953692">
        <w:rPr>
          <w:sz w:val="24"/>
          <w:szCs w:val="24"/>
          <w:lang w:val="fr-FR"/>
        </w:rPr>
        <w:t xml:space="preserve"> le juge de la mise en état. </w:t>
      </w:r>
    </w:p>
    <w:p w14:paraId="18168F6D" w14:textId="13278250" w:rsidR="001E09EA" w:rsidRPr="00953692" w:rsidRDefault="00C35B73" w:rsidP="00864BBF">
      <w:pPr>
        <w:spacing w:after="0" w:line="276" w:lineRule="auto"/>
        <w:ind w:firstLine="1134"/>
        <w:jc w:val="both"/>
        <w:rPr>
          <w:sz w:val="24"/>
          <w:szCs w:val="24"/>
          <w:lang w:val="fr-FR"/>
        </w:rPr>
      </w:pPr>
      <w:r w:rsidRPr="00953692">
        <w:rPr>
          <w:b/>
          <w:bCs/>
          <w:sz w:val="24"/>
          <w:szCs w:val="24"/>
          <w:lang w:val="fr-FR"/>
        </w:rPr>
        <w:t>341</w:t>
      </w:r>
      <w:r w:rsidR="007D3F42" w:rsidRPr="00953692">
        <w:rPr>
          <w:b/>
          <w:bCs/>
          <w:sz w:val="24"/>
          <w:szCs w:val="24"/>
          <w:lang w:val="fr-FR"/>
        </w:rPr>
        <w:t>.</w:t>
      </w:r>
      <w:r w:rsidR="007D3F42" w:rsidRPr="00953692">
        <w:rPr>
          <w:sz w:val="24"/>
          <w:szCs w:val="24"/>
          <w:lang w:val="fr-FR"/>
        </w:rPr>
        <w:t xml:space="preserve"> </w:t>
      </w:r>
      <w:r w:rsidR="000F7F06" w:rsidRPr="00953692">
        <w:rPr>
          <w:sz w:val="24"/>
          <w:szCs w:val="24"/>
          <w:lang w:val="fr-FR"/>
        </w:rPr>
        <w:t>C’est exactement durant ce moment que l’accusé prépare sa défense à travers les pièces qu’il reçoit du procureur</w:t>
      </w:r>
      <w:r w:rsidR="00C50C2A" w:rsidRPr="00953692">
        <w:rPr>
          <w:sz w:val="24"/>
          <w:szCs w:val="24"/>
          <w:lang w:val="fr-FR"/>
        </w:rPr>
        <w:t> ; en</w:t>
      </w:r>
      <w:r w:rsidR="00D255B8" w:rsidRPr="00953692">
        <w:rPr>
          <w:sz w:val="24"/>
          <w:szCs w:val="24"/>
          <w:lang w:val="fr-FR"/>
        </w:rPr>
        <w:t xml:space="preserve"> soulevant </w:t>
      </w:r>
      <w:r w:rsidR="00C50C2A" w:rsidRPr="00953692">
        <w:rPr>
          <w:sz w:val="24"/>
          <w:szCs w:val="24"/>
          <w:lang w:val="fr-FR"/>
        </w:rPr>
        <w:t>diverses</w:t>
      </w:r>
      <w:r w:rsidR="00D255B8" w:rsidRPr="00953692">
        <w:rPr>
          <w:sz w:val="24"/>
          <w:szCs w:val="24"/>
          <w:lang w:val="fr-FR"/>
        </w:rPr>
        <w:t xml:space="preserve"> questions liées</w:t>
      </w:r>
      <w:r w:rsidR="00C50C2A" w:rsidRPr="00953692">
        <w:rPr>
          <w:sz w:val="24"/>
          <w:szCs w:val="24"/>
          <w:lang w:val="fr-FR"/>
        </w:rPr>
        <w:t xml:space="preserve"> notamment</w:t>
      </w:r>
      <w:r w:rsidR="00D255B8" w:rsidRPr="00953692">
        <w:rPr>
          <w:sz w:val="24"/>
          <w:szCs w:val="24"/>
          <w:lang w:val="fr-FR"/>
        </w:rPr>
        <w:t xml:space="preserve"> à la régularité de l’acte d’accusation ou d’éléments de preuve que produit le procureur</w:t>
      </w:r>
      <w:r w:rsidR="00322C27" w:rsidRPr="00953692">
        <w:rPr>
          <w:sz w:val="24"/>
          <w:szCs w:val="24"/>
          <w:lang w:val="fr-FR"/>
        </w:rPr>
        <w:t xml:space="preserve"> (éventuellement provenant des victimes)</w:t>
      </w:r>
      <w:r w:rsidR="00D255B8" w:rsidRPr="00953692">
        <w:rPr>
          <w:sz w:val="24"/>
          <w:szCs w:val="24"/>
          <w:lang w:val="fr-FR"/>
        </w:rPr>
        <w:t xml:space="preserve">, </w:t>
      </w:r>
      <w:r w:rsidR="00C50C2A" w:rsidRPr="00953692">
        <w:rPr>
          <w:sz w:val="24"/>
          <w:szCs w:val="24"/>
          <w:lang w:val="fr-FR"/>
        </w:rPr>
        <w:t>ou encore des problèmes inhérents à</w:t>
      </w:r>
      <w:r w:rsidR="00D255B8" w:rsidRPr="00953692">
        <w:rPr>
          <w:sz w:val="24"/>
          <w:szCs w:val="24"/>
          <w:lang w:val="fr-FR"/>
        </w:rPr>
        <w:t xml:space="preserve"> son état physique et mental ou de sa liberté restreinte, etc.</w:t>
      </w:r>
      <w:r w:rsidR="000E735F" w:rsidRPr="00953692">
        <w:rPr>
          <w:sz w:val="24"/>
          <w:szCs w:val="24"/>
          <w:lang w:val="fr-FR"/>
        </w:rPr>
        <w:t xml:space="preserve"> </w:t>
      </w:r>
      <w:r w:rsidR="00DD6E61" w:rsidRPr="00953692">
        <w:rPr>
          <w:sz w:val="24"/>
          <w:szCs w:val="24"/>
          <w:lang w:val="fr-FR"/>
        </w:rPr>
        <w:t>L</w:t>
      </w:r>
      <w:r w:rsidR="000E735F" w:rsidRPr="00953692">
        <w:rPr>
          <w:sz w:val="24"/>
          <w:szCs w:val="24"/>
          <w:lang w:val="fr-FR"/>
        </w:rPr>
        <w:t xml:space="preserve">’accusé a toujours besoin du temps et </w:t>
      </w:r>
      <w:r w:rsidR="005A3562" w:rsidRPr="00953692">
        <w:rPr>
          <w:sz w:val="24"/>
          <w:szCs w:val="24"/>
          <w:lang w:val="fr-FR"/>
        </w:rPr>
        <w:t xml:space="preserve">des </w:t>
      </w:r>
      <w:r w:rsidR="000E735F" w:rsidRPr="00953692">
        <w:rPr>
          <w:sz w:val="24"/>
          <w:szCs w:val="24"/>
          <w:lang w:val="fr-FR"/>
        </w:rPr>
        <w:t xml:space="preserve">moyens nécessaires pour préparer non seulement sa défense, mais aussi se préparer lui-même à affronter le procès. </w:t>
      </w:r>
    </w:p>
    <w:p w14:paraId="0AF701C4" w14:textId="014736A7" w:rsidR="009C4547" w:rsidRPr="00953692" w:rsidRDefault="00C35B73" w:rsidP="00864BBF">
      <w:pPr>
        <w:spacing w:after="0" w:line="276" w:lineRule="auto"/>
        <w:ind w:firstLine="1134"/>
        <w:jc w:val="both"/>
        <w:rPr>
          <w:sz w:val="24"/>
          <w:szCs w:val="24"/>
          <w:lang w:val="fr-FR"/>
        </w:rPr>
      </w:pPr>
      <w:r w:rsidRPr="00953692">
        <w:rPr>
          <w:b/>
          <w:bCs/>
          <w:sz w:val="24"/>
          <w:szCs w:val="24"/>
          <w:lang w:val="fr-FR"/>
        </w:rPr>
        <w:t>342.</w:t>
      </w:r>
      <w:r w:rsidRPr="00953692">
        <w:rPr>
          <w:sz w:val="24"/>
          <w:szCs w:val="24"/>
          <w:lang w:val="fr-FR"/>
        </w:rPr>
        <w:t xml:space="preserve"> </w:t>
      </w:r>
      <w:r w:rsidR="000E735F" w:rsidRPr="00953692">
        <w:rPr>
          <w:sz w:val="24"/>
          <w:szCs w:val="24"/>
          <w:lang w:val="fr-FR"/>
        </w:rPr>
        <w:t xml:space="preserve">Dans tous les cas, </w:t>
      </w:r>
      <w:r w:rsidR="00426725" w:rsidRPr="00953692">
        <w:rPr>
          <w:sz w:val="24"/>
          <w:szCs w:val="24"/>
          <w:lang w:val="fr-FR"/>
        </w:rPr>
        <w:t xml:space="preserve">il a bien le droit, </w:t>
      </w:r>
      <w:r w:rsidR="003169F5" w:rsidRPr="00953692">
        <w:rPr>
          <w:sz w:val="24"/>
          <w:szCs w:val="24"/>
          <w:lang w:val="fr-FR"/>
        </w:rPr>
        <w:t>à la mesure où</w:t>
      </w:r>
      <w:r w:rsidR="00426725" w:rsidRPr="00953692">
        <w:rPr>
          <w:sz w:val="24"/>
          <w:szCs w:val="24"/>
          <w:lang w:val="fr-FR"/>
        </w:rPr>
        <w:t xml:space="preserve"> les actes constitutifs de ces juridictions le permettent, de demander à chaque </w:t>
      </w:r>
      <w:r w:rsidR="00DD6E61" w:rsidRPr="00953692">
        <w:rPr>
          <w:sz w:val="24"/>
          <w:szCs w:val="24"/>
          <w:lang w:val="fr-FR"/>
        </w:rPr>
        <w:t xml:space="preserve">fois </w:t>
      </w:r>
      <w:r w:rsidR="00426725" w:rsidRPr="00953692">
        <w:rPr>
          <w:sz w:val="24"/>
          <w:szCs w:val="24"/>
          <w:lang w:val="fr-FR"/>
        </w:rPr>
        <w:t xml:space="preserve">qu’il l’estime nécessaire un report ou une prorogation du délai afin de mieux préparer ses moyens de défense ou se soigner le cas échéant. Il appartient </w:t>
      </w:r>
      <w:r w:rsidR="00C50C2A" w:rsidRPr="00953692">
        <w:rPr>
          <w:sz w:val="24"/>
          <w:szCs w:val="24"/>
          <w:lang w:val="fr-FR"/>
        </w:rPr>
        <w:t xml:space="preserve">donc </w:t>
      </w:r>
      <w:r w:rsidR="00426725" w:rsidRPr="00953692">
        <w:rPr>
          <w:sz w:val="24"/>
          <w:szCs w:val="24"/>
          <w:lang w:val="fr-FR"/>
        </w:rPr>
        <w:t>au juge d’</w:t>
      </w:r>
      <w:r w:rsidR="001172ED" w:rsidRPr="00953692">
        <w:rPr>
          <w:sz w:val="24"/>
          <w:szCs w:val="24"/>
          <w:lang w:val="fr-FR"/>
        </w:rPr>
        <w:t xml:space="preserve">en </w:t>
      </w:r>
      <w:r w:rsidR="00426725" w:rsidRPr="00953692">
        <w:rPr>
          <w:sz w:val="24"/>
          <w:szCs w:val="24"/>
          <w:lang w:val="fr-FR"/>
        </w:rPr>
        <w:t>apprécier</w:t>
      </w:r>
      <w:r w:rsidR="00046016" w:rsidRPr="00953692">
        <w:rPr>
          <w:sz w:val="24"/>
          <w:szCs w:val="24"/>
          <w:lang w:val="fr-FR"/>
        </w:rPr>
        <w:t xml:space="preserve"> notamment</w:t>
      </w:r>
      <w:r w:rsidR="00426725" w:rsidRPr="00953692">
        <w:rPr>
          <w:sz w:val="24"/>
          <w:szCs w:val="24"/>
          <w:lang w:val="fr-FR"/>
        </w:rPr>
        <w:t xml:space="preserve"> </w:t>
      </w:r>
      <w:r w:rsidR="003169F5" w:rsidRPr="00953692">
        <w:rPr>
          <w:sz w:val="24"/>
          <w:szCs w:val="24"/>
          <w:lang w:val="fr-FR"/>
        </w:rPr>
        <w:t>sur fondement</w:t>
      </w:r>
      <w:r w:rsidR="00426725" w:rsidRPr="00953692">
        <w:rPr>
          <w:sz w:val="24"/>
          <w:szCs w:val="24"/>
          <w:lang w:val="fr-FR"/>
        </w:rPr>
        <w:t xml:space="preserve"> du droit de l’accusé de disposer du temps nécessaire à la préparation de sa défense qui entre dans le domaine de l’équité, mais aussi </w:t>
      </w:r>
      <w:r w:rsidR="003169F5" w:rsidRPr="00953692">
        <w:rPr>
          <w:sz w:val="24"/>
          <w:szCs w:val="24"/>
          <w:lang w:val="fr-FR"/>
        </w:rPr>
        <w:t>étroitement lié à</w:t>
      </w:r>
      <w:r w:rsidR="00426725" w:rsidRPr="00953692">
        <w:rPr>
          <w:sz w:val="24"/>
          <w:szCs w:val="24"/>
          <w:lang w:val="fr-FR"/>
        </w:rPr>
        <w:t xml:space="preserve"> </w:t>
      </w:r>
      <w:r w:rsidR="003169F5" w:rsidRPr="00953692">
        <w:rPr>
          <w:sz w:val="24"/>
          <w:szCs w:val="24"/>
          <w:lang w:val="fr-FR"/>
        </w:rPr>
        <w:t>l’</w:t>
      </w:r>
      <w:r w:rsidR="00426725" w:rsidRPr="00953692">
        <w:rPr>
          <w:sz w:val="24"/>
          <w:szCs w:val="24"/>
          <w:lang w:val="fr-FR"/>
        </w:rPr>
        <w:t xml:space="preserve">obligation </w:t>
      </w:r>
      <w:r w:rsidR="00046016" w:rsidRPr="00953692">
        <w:rPr>
          <w:sz w:val="24"/>
          <w:szCs w:val="24"/>
          <w:lang w:val="fr-FR"/>
        </w:rPr>
        <w:t>de</w:t>
      </w:r>
      <w:r w:rsidR="00426725" w:rsidRPr="00953692">
        <w:rPr>
          <w:sz w:val="24"/>
          <w:szCs w:val="24"/>
          <w:lang w:val="fr-FR"/>
        </w:rPr>
        <w:t xml:space="preserve"> conduire l’affaire avec célérité.</w:t>
      </w:r>
      <w:r w:rsidR="003457F5" w:rsidRPr="00953692">
        <w:rPr>
          <w:sz w:val="24"/>
          <w:szCs w:val="24"/>
          <w:lang w:val="fr-FR"/>
        </w:rPr>
        <w:t xml:space="preserve"> </w:t>
      </w:r>
    </w:p>
    <w:p w14:paraId="1A1329A8" w14:textId="1BF9C0F5" w:rsidR="00C62DA9" w:rsidRPr="00953692" w:rsidRDefault="00C35B73" w:rsidP="00864BBF">
      <w:pPr>
        <w:spacing w:after="0" w:line="276" w:lineRule="auto"/>
        <w:ind w:firstLine="1134"/>
        <w:jc w:val="both"/>
        <w:rPr>
          <w:sz w:val="24"/>
          <w:szCs w:val="24"/>
          <w:lang w:val="fr-FR"/>
        </w:rPr>
      </w:pPr>
      <w:r w:rsidRPr="00953692">
        <w:rPr>
          <w:b/>
          <w:bCs/>
          <w:sz w:val="24"/>
          <w:szCs w:val="24"/>
          <w:lang w:val="fr-FR"/>
        </w:rPr>
        <w:t>343</w:t>
      </w:r>
      <w:r w:rsidR="009C4547" w:rsidRPr="00953692">
        <w:rPr>
          <w:b/>
          <w:bCs/>
          <w:sz w:val="24"/>
          <w:szCs w:val="24"/>
          <w:lang w:val="fr-FR"/>
        </w:rPr>
        <w:t>.</w:t>
      </w:r>
      <w:r w:rsidR="009C4547" w:rsidRPr="00953692">
        <w:rPr>
          <w:sz w:val="24"/>
          <w:szCs w:val="24"/>
          <w:lang w:val="fr-FR"/>
        </w:rPr>
        <w:t xml:space="preserve"> </w:t>
      </w:r>
      <w:r w:rsidR="003457F5" w:rsidRPr="00953692">
        <w:rPr>
          <w:sz w:val="24"/>
          <w:szCs w:val="24"/>
          <w:lang w:val="fr-FR"/>
        </w:rPr>
        <w:t xml:space="preserve">L’interdépendance entre le droit de disposer du temps à la préparation et le droit d’être jugé sans retard excessif </w:t>
      </w:r>
      <w:r w:rsidR="00046016" w:rsidRPr="00953692">
        <w:rPr>
          <w:sz w:val="24"/>
          <w:szCs w:val="24"/>
          <w:lang w:val="fr-FR"/>
        </w:rPr>
        <w:t xml:space="preserve">y </w:t>
      </w:r>
      <w:r w:rsidR="003457F5" w:rsidRPr="00953692">
        <w:rPr>
          <w:sz w:val="24"/>
          <w:szCs w:val="24"/>
          <w:lang w:val="fr-FR"/>
        </w:rPr>
        <w:t xml:space="preserve">est difficile à déterminer dans la mesure </w:t>
      </w:r>
      <w:r w:rsidR="00364572" w:rsidRPr="00953692">
        <w:rPr>
          <w:sz w:val="24"/>
          <w:szCs w:val="24"/>
          <w:lang w:val="fr-FR"/>
        </w:rPr>
        <w:t xml:space="preserve">où </w:t>
      </w:r>
      <w:r w:rsidR="003457F5" w:rsidRPr="00953692">
        <w:rPr>
          <w:sz w:val="24"/>
          <w:szCs w:val="24"/>
          <w:lang w:val="fr-FR"/>
        </w:rPr>
        <w:t xml:space="preserve">l’accusé, assisté </w:t>
      </w:r>
      <w:r w:rsidR="00322C27" w:rsidRPr="00953692">
        <w:rPr>
          <w:sz w:val="24"/>
          <w:szCs w:val="24"/>
          <w:lang w:val="fr-FR"/>
        </w:rPr>
        <w:t>de</w:t>
      </w:r>
      <w:r w:rsidR="003457F5" w:rsidRPr="00953692">
        <w:rPr>
          <w:sz w:val="24"/>
          <w:szCs w:val="24"/>
          <w:lang w:val="fr-FR"/>
        </w:rPr>
        <w:t xml:space="preserve"> ses conseils aguerris, a bien conscience de l’effet dilatoire de son action. </w:t>
      </w:r>
      <w:r w:rsidR="0015066F" w:rsidRPr="00953692">
        <w:rPr>
          <w:sz w:val="24"/>
          <w:szCs w:val="24"/>
          <w:lang w:val="fr-FR"/>
        </w:rPr>
        <w:t>On a vu dans l’affaire Gbagbo comment la Défense réfut</w:t>
      </w:r>
      <w:r w:rsidR="00322C27" w:rsidRPr="00953692">
        <w:rPr>
          <w:sz w:val="24"/>
          <w:szCs w:val="24"/>
          <w:lang w:val="fr-FR"/>
        </w:rPr>
        <w:t>ait</w:t>
      </w:r>
      <w:r w:rsidR="0015066F" w:rsidRPr="00953692">
        <w:rPr>
          <w:sz w:val="24"/>
          <w:szCs w:val="24"/>
          <w:lang w:val="fr-FR"/>
        </w:rPr>
        <w:t xml:space="preserve"> fermement tout</w:t>
      </w:r>
      <w:r w:rsidR="00322C27" w:rsidRPr="00953692">
        <w:rPr>
          <w:sz w:val="24"/>
          <w:szCs w:val="24"/>
          <w:lang w:val="fr-FR"/>
        </w:rPr>
        <w:t>e</w:t>
      </w:r>
      <w:r w:rsidR="0015066F" w:rsidRPr="00953692">
        <w:rPr>
          <w:sz w:val="24"/>
          <w:szCs w:val="24"/>
          <w:lang w:val="fr-FR"/>
        </w:rPr>
        <w:t xml:space="preserve"> idée selon laquelle ces reports sollicités en vue de préparer sa défense pourraient transgresser le droit d’être jugé sans retard excessif. </w:t>
      </w:r>
      <w:r w:rsidR="00046016" w:rsidRPr="00953692">
        <w:rPr>
          <w:sz w:val="24"/>
          <w:szCs w:val="24"/>
          <w:lang w:val="fr-FR"/>
        </w:rPr>
        <w:t>Dans cette même affaire et un peu plus tard, l</w:t>
      </w:r>
      <w:r w:rsidR="0015066F" w:rsidRPr="00953692">
        <w:rPr>
          <w:sz w:val="24"/>
          <w:szCs w:val="24"/>
          <w:lang w:val="fr-FR"/>
        </w:rPr>
        <w:t xml:space="preserve">es victimes également s’en étaient plaint, en </w:t>
      </w:r>
      <w:r w:rsidR="00046016" w:rsidRPr="00953692">
        <w:rPr>
          <w:sz w:val="24"/>
          <w:szCs w:val="24"/>
          <w:lang w:val="fr-FR"/>
        </w:rPr>
        <w:t xml:space="preserve">ayant </w:t>
      </w:r>
      <w:r w:rsidR="0015066F" w:rsidRPr="00953692">
        <w:rPr>
          <w:sz w:val="24"/>
          <w:szCs w:val="24"/>
          <w:lang w:val="fr-FR"/>
        </w:rPr>
        <w:t>estim</w:t>
      </w:r>
      <w:r w:rsidR="00046016" w:rsidRPr="00953692">
        <w:rPr>
          <w:sz w:val="24"/>
          <w:szCs w:val="24"/>
          <w:lang w:val="fr-FR"/>
        </w:rPr>
        <w:t>é</w:t>
      </w:r>
      <w:r w:rsidR="0015066F" w:rsidRPr="00953692">
        <w:rPr>
          <w:sz w:val="24"/>
          <w:szCs w:val="24"/>
          <w:lang w:val="fr-FR"/>
        </w:rPr>
        <w:t xml:space="preserve"> que la stratégie de l’accusé était de nature à violer son propre droit</w:t>
      </w:r>
      <w:r w:rsidR="00C631C6" w:rsidRPr="00953692">
        <w:rPr>
          <w:rStyle w:val="Appelnotedebasdep"/>
          <w:sz w:val="24"/>
          <w:szCs w:val="24"/>
          <w:lang w:val="fr-FR"/>
        </w:rPr>
        <w:footnoteReference w:customMarkFollows="1" w:id="256"/>
        <w:t>233</w:t>
      </w:r>
      <w:r w:rsidR="0015066F" w:rsidRPr="00953692">
        <w:rPr>
          <w:sz w:val="24"/>
          <w:szCs w:val="24"/>
          <w:lang w:val="fr-FR"/>
        </w:rPr>
        <w:t>.</w:t>
      </w:r>
      <w:r w:rsidR="00C62DA9" w:rsidRPr="00953692">
        <w:rPr>
          <w:sz w:val="24"/>
          <w:szCs w:val="24"/>
          <w:lang w:val="fr-FR"/>
        </w:rPr>
        <w:t xml:space="preserve"> </w:t>
      </w:r>
      <w:r w:rsidR="00EF7DED" w:rsidRPr="00953692">
        <w:rPr>
          <w:sz w:val="24"/>
          <w:szCs w:val="24"/>
          <w:lang w:val="fr-FR"/>
        </w:rPr>
        <w:t>Mais cette ignorance</w:t>
      </w:r>
      <w:r w:rsidR="00364572" w:rsidRPr="00953692">
        <w:rPr>
          <w:sz w:val="24"/>
          <w:szCs w:val="24"/>
          <w:lang w:val="fr-FR"/>
        </w:rPr>
        <w:t xml:space="preserve">, </w:t>
      </w:r>
      <w:r w:rsidR="00EF7DED" w:rsidRPr="00953692">
        <w:rPr>
          <w:sz w:val="24"/>
          <w:szCs w:val="24"/>
          <w:lang w:val="fr-FR"/>
        </w:rPr>
        <w:t>ce refus</w:t>
      </w:r>
      <w:r w:rsidR="00364572" w:rsidRPr="00953692">
        <w:rPr>
          <w:sz w:val="24"/>
          <w:szCs w:val="24"/>
          <w:lang w:val="fr-FR"/>
        </w:rPr>
        <w:t xml:space="preserve"> ou ce déni</w:t>
      </w:r>
      <w:r w:rsidR="00EF7DED" w:rsidRPr="00953692">
        <w:rPr>
          <w:sz w:val="24"/>
          <w:szCs w:val="24"/>
          <w:lang w:val="fr-FR"/>
        </w:rPr>
        <w:t xml:space="preserve"> d’accepter cette interdépendance </w:t>
      </w:r>
      <w:r w:rsidR="002165DF" w:rsidRPr="00953692">
        <w:rPr>
          <w:sz w:val="24"/>
          <w:szCs w:val="24"/>
          <w:lang w:val="fr-FR"/>
        </w:rPr>
        <w:t>n’échappe pas à la réalité du temps</w:t>
      </w:r>
      <w:r w:rsidR="005D2E49" w:rsidRPr="00953692">
        <w:rPr>
          <w:sz w:val="24"/>
          <w:szCs w:val="24"/>
          <w:lang w:val="fr-FR"/>
        </w:rPr>
        <w:t xml:space="preserve">, </w:t>
      </w:r>
      <w:r w:rsidR="002165DF" w:rsidRPr="00953692">
        <w:rPr>
          <w:sz w:val="24"/>
          <w:szCs w:val="24"/>
          <w:lang w:val="fr-FR"/>
        </w:rPr>
        <w:t>qui se prolonge et finit par s’imposer d’en haut</w:t>
      </w:r>
      <w:r w:rsidR="00C62DA9" w:rsidRPr="00953692">
        <w:rPr>
          <w:sz w:val="24"/>
          <w:szCs w:val="24"/>
          <w:lang w:val="fr-FR"/>
        </w:rPr>
        <w:t xml:space="preserve">, indépendamment des parties et </w:t>
      </w:r>
      <w:r w:rsidR="00046016" w:rsidRPr="00953692">
        <w:rPr>
          <w:sz w:val="24"/>
          <w:szCs w:val="24"/>
          <w:lang w:val="fr-FR"/>
        </w:rPr>
        <w:t>quelle qu’en soit la</w:t>
      </w:r>
      <w:r w:rsidR="00C62DA9" w:rsidRPr="00953692">
        <w:rPr>
          <w:sz w:val="24"/>
          <w:szCs w:val="24"/>
          <w:lang w:val="fr-FR"/>
        </w:rPr>
        <w:t xml:space="preserve"> cause</w:t>
      </w:r>
      <w:r w:rsidR="002165DF" w:rsidRPr="00953692">
        <w:rPr>
          <w:sz w:val="24"/>
          <w:szCs w:val="24"/>
          <w:lang w:val="fr-FR"/>
        </w:rPr>
        <w:t>.</w:t>
      </w:r>
      <w:r w:rsidR="00C56BE1" w:rsidRPr="00953692">
        <w:rPr>
          <w:sz w:val="24"/>
          <w:szCs w:val="24"/>
          <w:lang w:val="fr-FR"/>
        </w:rPr>
        <w:t xml:space="preserve"> Dans cette affaire, on peut entrevoir précisément une forme de prévalenc</w:t>
      </w:r>
      <w:r w:rsidR="00617CFB" w:rsidRPr="00953692">
        <w:rPr>
          <w:sz w:val="24"/>
          <w:szCs w:val="24"/>
          <w:lang w:val="fr-FR"/>
        </w:rPr>
        <w:t>e (apriori logique)</w:t>
      </w:r>
      <w:r w:rsidR="00C56BE1" w:rsidRPr="00953692">
        <w:rPr>
          <w:sz w:val="24"/>
          <w:szCs w:val="24"/>
          <w:lang w:val="fr-FR"/>
        </w:rPr>
        <w:t xml:space="preserve"> du droit de disposer du temps nécessaire à la préparation de sa défense sur le droit d’être jugé sans retard excessif, qui préoccupe par ailleurs les autres parties au procès</w:t>
      </w:r>
      <w:r w:rsidR="00617CFB" w:rsidRPr="00953692">
        <w:rPr>
          <w:sz w:val="24"/>
          <w:szCs w:val="24"/>
          <w:lang w:val="fr-FR"/>
        </w:rPr>
        <w:t>,</w:t>
      </w:r>
      <w:r w:rsidR="00B66247" w:rsidRPr="00953692">
        <w:rPr>
          <w:sz w:val="24"/>
          <w:szCs w:val="24"/>
          <w:lang w:val="fr-FR"/>
        </w:rPr>
        <w:t xml:space="preserve"> mais</w:t>
      </w:r>
      <w:r w:rsidR="00617CFB" w:rsidRPr="00953692">
        <w:rPr>
          <w:sz w:val="24"/>
          <w:szCs w:val="24"/>
          <w:lang w:val="fr-FR"/>
        </w:rPr>
        <w:t xml:space="preserve"> pas l’accusé lui-même</w:t>
      </w:r>
      <w:r w:rsidR="00C56BE1" w:rsidRPr="00953692">
        <w:rPr>
          <w:sz w:val="24"/>
          <w:szCs w:val="24"/>
          <w:lang w:val="fr-FR"/>
        </w:rPr>
        <w:t>.</w:t>
      </w:r>
    </w:p>
    <w:p w14:paraId="32778E08" w14:textId="485FEB88" w:rsidR="00C550FC" w:rsidRPr="00953692" w:rsidRDefault="00C35B73" w:rsidP="00864BBF">
      <w:pPr>
        <w:spacing w:after="0" w:line="276" w:lineRule="auto"/>
        <w:ind w:firstLine="1134"/>
        <w:jc w:val="both"/>
        <w:rPr>
          <w:sz w:val="24"/>
          <w:szCs w:val="24"/>
          <w:lang w:val="fr-FR"/>
        </w:rPr>
      </w:pPr>
      <w:bookmarkStart w:id="75" w:name="_Hlk116853308"/>
      <w:r w:rsidRPr="00953692">
        <w:rPr>
          <w:b/>
          <w:bCs/>
          <w:sz w:val="24"/>
          <w:szCs w:val="24"/>
          <w:lang w:val="fr-FR"/>
        </w:rPr>
        <w:t>344</w:t>
      </w:r>
      <w:r w:rsidR="00617CFB" w:rsidRPr="00953692">
        <w:rPr>
          <w:b/>
          <w:bCs/>
          <w:sz w:val="24"/>
          <w:szCs w:val="24"/>
          <w:lang w:val="fr-FR"/>
        </w:rPr>
        <w:t>.</w:t>
      </w:r>
      <w:r w:rsidR="00617CFB" w:rsidRPr="00953692">
        <w:rPr>
          <w:sz w:val="24"/>
          <w:szCs w:val="24"/>
          <w:lang w:val="fr-FR"/>
        </w:rPr>
        <w:t xml:space="preserve"> Mais ce dernier n</w:t>
      </w:r>
      <w:r w:rsidR="00B66247" w:rsidRPr="00953692">
        <w:rPr>
          <w:sz w:val="24"/>
          <w:szCs w:val="24"/>
          <w:lang w:val="fr-FR"/>
        </w:rPr>
        <w:t>’</w:t>
      </w:r>
      <w:r w:rsidR="00617CFB" w:rsidRPr="00953692">
        <w:rPr>
          <w:sz w:val="24"/>
          <w:szCs w:val="24"/>
          <w:lang w:val="fr-FR"/>
        </w:rPr>
        <w:t>e</w:t>
      </w:r>
      <w:r w:rsidR="00B66247" w:rsidRPr="00953692">
        <w:rPr>
          <w:sz w:val="24"/>
          <w:szCs w:val="24"/>
          <w:lang w:val="fr-FR"/>
        </w:rPr>
        <w:t>n</w:t>
      </w:r>
      <w:r w:rsidR="00617CFB" w:rsidRPr="00953692">
        <w:rPr>
          <w:sz w:val="24"/>
          <w:szCs w:val="24"/>
          <w:lang w:val="fr-FR"/>
        </w:rPr>
        <w:t xml:space="preserve"> sera toujours pas insoucieux</w:t>
      </w:r>
      <w:r w:rsidR="00B66247" w:rsidRPr="00953692">
        <w:rPr>
          <w:sz w:val="24"/>
          <w:szCs w:val="24"/>
          <w:lang w:val="fr-FR"/>
        </w:rPr>
        <w:t>. Il y a des cas où il se retrouve astreint à un temps supplémentaire de préparation de sa défense, menaçant à cet effet son droit d’être jugé sans retard excessif.</w:t>
      </w:r>
      <w:r w:rsidR="00C550FC" w:rsidRPr="00953692">
        <w:rPr>
          <w:sz w:val="24"/>
          <w:szCs w:val="24"/>
          <w:lang w:val="fr-FR"/>
        </w:rPr>
        <w:t xml:space="preserve"> Il aura donc le choix entre les deux prérogatives</w:t>
      </w:r>
      <w:r w:rsidR="00F1047E" w:rsidRPr="00953692">
        <w:rPr>
          <w:sz w:val="24"/>
          <w:szCs w:val="24"/>
          <w:lang w:val="fr-FR"/>
        </w:rPr>
        <w:t> :</w:t>
      </w:r>
      <w:r w:rsidR="00C550FC" w:rsidRPr="00953692">
        <w:rPr>
          <w:sz w:val="24"/>
          <w:szCs w:val="24"/>
          <w:lang w:val="fr-FR"/>
        </w:rPr>
        <w:t xml:space="preserve"> ce qui illustre bien la conflictualité.</w:t>
      </w:r>
      <w:r w:rsidR="00617CFB" w:rsidRPr="00953692">
        <w:rPr>
          <w:sz w:val="24"/>
          <w:szCs w:val="24"/>
          <w:lang w:val="fr-FR"/>
        </w:rPr>
        <w:t xml:space="preserve"> </w:t>
      </w:r>
      <w:r w:rsidR="00AE39DB" w:rsidRPr="00953692">
        <w:rPr>
          <w:sz w:val="24"/>
          <w:szCs w:val="24"/>
          <w:lang w:val="fr-FR"/>
        </w:rPr>
        <w:t>Voyons par exemple d</w:t>
      </w:r>
      <w:r w:rsidR="00C56BE1" w:rsidRPr="00953692">
        <w:rPr>
          <w:sz w:val="24"/>
          <w:szCs w:val="24"/>
          <w:lang w:val="fr-FR"/>
        </w:rPr>
        <w:t>ans l’affaire Gotovina et consorts devant le TPIY, on retrouve</w:t>
      </w:r>
      <w:r w:rsidR="00C550FC" w:rsidRPr="00953692">
        <w:rPr>
          <w:sz w:val="24"/>
          <w:szCs w:val="24"/>
          <w:lang w:val="fr-FR"/>
        </w:rPr>
        <w:t xml:space="preserve"> d’abord</w:t>
      </w:r>
      <w:r w:rsidR="00C56BE1" w:rsidRPr="00953692">
        <w:rPr>
          <w:sz w:val="24"/>
          <w:szCs w:val="24"/>
          <w:lang w:val="fr-FR"/>
        </w:rPr>
        <w:t xml:space="preserve"> un parallèle entre le droit d’être jugé sans retard excessif et le droit de disposer du temps nécessaire à la préparation de sa </w:t>
      </w:r>
      <w:r w:rsidR="00C56BE1" w:rsidRPr="00953692">
        <w:rPr>
          <w:sz w:val="24"/>
          <w:szCs w:val="24"/>
          <w:lang w:val="fr-FR"/>
        </w:rPr>
        <w:lastRenderedPageBreak/>
        <w:t xml:space="preserve">défense. Comme nous le verrons plus amplement dans les lignes qui suivent, les accusés, qui protestaient contre la Décision de la Chambre de première instance de rouvrir le procès afin de permettre au </w:t>
      </w:r>
      <w:r w:rsidR="00C550FC" w:rsidRPr="00953692">
        <w:rPr>
          <w:sz w:val="24"/>
          <w:szCs w:val="24"/>
          <w:lang w:val="fr-FR"/>
        </w:rPr>
        <w:t>P</w:t>
      </w:r>
      <w:r w:rsidR="00C56BE1" w:rsidRPr="00953692">
        <w:rPr>
          <w:sz w:val="24"/>
          <w:szCs w:val="24"/>
          <w:lang w:val="fr-FR"/>
        </w:rPr>
        <w:t xml:space="preserve">rocureur de présenter des nouveaux éléments, ont fait savoir que les conséquences logiques de cette décision attenteront notamment </w:t>
      </w:r>
      <w:r w:rsidR="00C550FC" w:rsidRPr="00953692">
        <w:rPr>
          <w:sz w:val="24"/>
          <w:szCs w:val="24"/>
          <w:lang w:val="fr-FR"/>
        </w:rPr>
        <w:t xml:space="preserve">à </w:t>
      </w:r>
      <w:r w:rsidR="00C56BE1" w:rsidRPr="00953692">
        <w:rPr>
          <w:sz w:val="24"/>
          <w:szCs w:val="24"/>
          <w:lang w:val="fr-FR"/>
        </w:rPr>
        <w:t>leur droit d’être jugé sans retard excessif et</w:t>
      </w:r>
      <w:r w:rsidR="00C550FC" w:rsidRPr="00953692">
        <w:rPr>
          <w:sz w:val="24"/>
          <w:szCs w:val="24"/>
          <w:lang w:val="fr-FR"/>
        </w:rPr>
        <w:t xml:space="preserve"> à celui</w:t>
      </w:r>
      <w:r w:rsidR="00C56BE1" w:rsidRPr="00953692">
        <w:rPr>
          <w:sz w:val="24"/>
          <w:szCs w:val="24"/>
          <w:lang w:val="fr-FR"/>
        </w:rPr>
        <w:t xml:space="preserve"> de disposer du temps à la préparation de leurs défenses. Ils ont à cet effet demandé une certification d’appel afin d’interjeter appel contre cette décision</w:t>
      </w:r>
      <w:r w:rsidR="00C631C6" w:rsidRPr="00953692">
        <w:rPr>
          <w:rStyle w:val="Appelnotedebasdep"/>
          <w:sz w:val="24"/>
          <w:szCs w:val="24"/>
          <w:lang w:val="fr-FR"/>
        </w:rPr>
        <w:footnoteReference w:customMarkFollows="1" w:id="257"/>
        <w:t>234</w:t>
      </w:r>
      <w:r w:rsidR="00C56BE1" w:rsidRPr="00953692">
        <w:rPr>
          <w:sz w:val="24"/>
          <w:szCs w:val="24"/>
          <w:lang w:val="fr-FR"/>
        </w:rPr>
        <w:t>.</w:t>
      </w:r>
    </w:p>
    <w:p w14:paraId="17A94AEA" w14:textId="24211E52" w:rsidR="00C56BE1" w:rsidRPr="00953692" w:rsidRDefault="00C35B73" w:rsidP="00864BBF">
      <w:pPr>
        <w:spacing w:after="0" w:line="276" w:lineRule="auto"/>
        <w:ind w:firstLine="1134"/>
        <w:jc w:val="both"/>
        <w:rPr>
          <w:sz w:val="24"/>
          <w:szCs w:val="24"/>
          <w:lang w:val="fr-FR"/>
        </w:rPr>
      </w:pPr>
      <w:r w:rsidRPr="00953692">
        <w:rPr>
          <w:b/>
          <w:bCs/>
          <w:sz w:val="24"/>
          <w:szCs w:val="24"/>
          <w:lang w:val="fr-FR"/>
        </w:rPr>
        <w:t>345</w:t>
      </w:r>
      <w:r w:rsidR="000812FD" w:rsidRPr="00953692">
        <w:rPr>
          <w:b/>
          <w:bCs/>
          <w:sz w:val="24"/>
          <w:szCs w:val="24"/>
          <w:lang w:val="fr-FR"/>
        </w:rPr>
        <w:t>.</w:t>
      </w:r>
      <w:r w:rsidR="000812FD" w:rsidRPr="00953692">
        <w:rPr>
          <w:sz w:val="24"/>
          <w:szCs w:val="24"/>
          <w:lang w:val="fr-FR"/>
        </w:rPr>
        <w:t xml:space="preserve"> </w:t>
      </w:r>
      <w:r w:rsidR="00C550FC" w:rsidRPr="00953692">
        <w:rPr>
          <w:sz w:val="24"/>
          <w:szCs w:val="24"/>
          <w:lang w:val="fr-FR"/>
        </w:rPr>
        <w:t>Ensuite,</w:t>
      </w:r>
      <w:r w:rsidR="00C56BE1" w:rsidRPr="00953692">
        <w:rPr>
          <w:sz w:val="24"/>
          <w:szCs w:val="24"/>
          <w:lang w:val="fr-FR"/>
        </w:rPr>
        <w:t xml:space="preserve"> l’un des accusés, en l’occurrence Gotovina, qui ne s’est pas opposé à la </w:t>
      </w:r>
      <w:r w:rsidR="00C550FC" w:rsidRPr="00953692">
        <w:rPr>
          <w:sz w:val="24"/>
          <w:szCs w:val="24"/>
          <w:lang w:val="fr-FR"/>
        </w:rPr>
        <w:t>D</w:t>
      </w:r>
      <w:r w:rsidR="00C56BE1" w:rsidRPr="00953692">
        <w:rPr>
          <w:sz w:val="24"/>
          <w:szCs w:val="24"/>
          <w:lang w:val="fr-FR"/>
        </w:rPr>
        <w:t>écision</w:t>
      </w:r>
      <w:r w:rsidR="00C550FC" w:rsidRPr="00953692">
        <w:rPr>
          <w:sz w:val="24"/>
          <w:szCs w:val="24"/>
          <w:lang w:val="fr-FR"/>
        </w:rPr>
        <w:t xml:space="preserve"> de la Chambre</w:t>
      </w:r>
      <w:r w:rsidR="00C50C2A" w:rsidRPr="00953692">
        <w:rPr>
          <w:sz w:val="24"/>
          <w:szCs w:val="24"/>
          <w:lang w:val="fr-FR"/>
        </w:rPr>
        <w:t>,</w:t>
      </w:r>
      <w:r w:rsidR="00C56BE1" w:rsidRPr="00953692">
        <w:rPr>
          <w:sz w:val="24"/>
          <w:szCs w:val="24"/>
          <w:lang w:val="fr-FR"/>
        </w:rPr>
        <w:t xml:space="preserve"> a plutôt fait savoir sa crainte de voir le procès suspendu, ce qui </w:t>
      </w:r>
      <w:r w:rsidR="00AE39DB" w:rsidRPr="00953692">
        <w:rPr>
          <w:sz w:val="24"/>
          <w:szCs w:val="24"/>
          <w:lang w:val="fr-FR"/>
        </w:rPr>
        <w:t>l’</w:t>
      </w:r>
      <w:r w:rsidR="00C56BE1" w:rsidRPr="00953692">
        <w:rPr>
          <w:sz w:val="24"/>
          <w:szCs w:val="24"/>
          <w:lang w:val="fr-FR"/>
        </w:rPr>
        <w:t xml:space="preserve">en </w:t>
      </w:r>
      <w:r w:rsidR="00F1047E" w:rsidRPr="00953692">
        <w:rPr>
          <w:sz w:val="24"/>
          <w:szCs w:val="24"/>
          <w:lang w:val="fr-FR"/>
        </w:rPr>
        <w:t xml:space="preserve">aurait </w:t>
      </w:r>
      <w:r w:rsidR="00C56BE1" w:rsidRPr="00953692">
        <w:rPr>
          <w:sz w:val="24"/>
          <w:szCs w:val="24"/>
          <w:lang w:val="fr-FR"/>
        </w:rPr>
        <w:t>retard</w:t>
      </w:r>
      <w:r w:rsidR="00F1047E" w:rsidRPr="00953692">
        <w:rPr>
          <w:sz w:val="24"/>
          <w:szCs w:val="24"/>
          <w:lang w:val="fr-FR"/>
        </w:rPr>
        <w:t>é</w:t>
      </w:r>
      <w:r w:rsidR="00C56BE1" w:rsidRPr="00953692">
        <w:rPr>
          <w:sz w:val="24"/>
          <w:szCs w:val="24"/>
          <w:lang w:val="fr-FR"/>
        </w:rPr>
        <w:t xml:space="preserve"> davantage</w:t>
      </w:r>
      <w:r w:rsidR="00C631C6" w:rsidRPr="00953692">
        <w:rPr>
          <w:rStyle w:val="Appelnotedebasdep"/>
          <w:sz w:val="24"/>
          <w:szCs w:val="24"/>
          <w:lang w:val="fr-FR"/>
        </w:rPr>
        <w:footnoteReference w:customMarkFollows="1" w:id="258"/>
        <w:t>235</w:t>
      </w:r>
      <w:r w:rsidR="00C56BE1" w:rsidRPr="00953692">
        <w:rPr>
          <w:sz w:val="24"/>
          <w:szCs w:val="24"/>
          <w:lang w:val="fr-FR"/>
        </w:rPr>
        <w:t xml:space="preserve">. </w:t>
      </w:r>
      <w:r w:rsidR="000812FD" w:rsidRPr="00953692">
        <w:rPr>
          <w:sz w:val="24"/>
          <w:szCs w:val="24"/>
          <w:lang w:val="fr-FR"/>
        </w:rPr>
        <w:t>Dans le même ordre d’idées, l</w:t>
      </w:r>
      <w:r w:rsidR="00C56BE1" w:rsidRPr="00953692">
        <w:rPr>
          <w:sz w:val="24"/>
          <w:szCs w:val="24"/>
          <w:lang w:val="fr-FR"/>
        </w:rPr>
        <w:t xml:space="preserve">e </w:t>
      </w:r>
      <w:r w:rsidR="000812FD" w:rsidRPr="00953692">
        <w:rPr>
          <w:sz w:val="24"/>
          <w:szCs w:val="24"/>
          <w:lang w:val="fr-FR"/>
        </w:rPr>
        <w:t>P</w:t>
      </w:r>
      <w:r w:rsidR="00C56BE1" w:rsidRPr="00953692">
        <w:rPr>
          <w:sz w:val="24"/>
          <w:szCs w:val="24"/>
          <w:lang w:val="fr-FR"/>
        </w:rPr>
        <w:t xml:space="preserve">rocureur a également demandé à la Chambre de première instance, au cas où elle ferait droit à cette </w:t>
      </w:r>
      <w:r w:rsidR="002159B2" w:rsidRPr="00953692">
        <w:rPr>
          <w:sz w:val="24"/>
          <w:szCs w:val="24"/>
          <w:lang w:val="fr-FR"/>
        </w:rPr>
        <w:t>requête</w:t>
      </w:r>
      <w:r w:rsidR="00C56BE1" w:rsidRPr="00953692">
        <w:rPr>
          <w:sz w:val="24"/>
          <w:szCs w:val="24"/>
          <w:lang w:val="fr-FR"/>
        </w:rPr>
        <w:t>, de ne pas procéder à la suspension du procès en attendant le règlement de l’affaire par la Chambre d’appel</w:t>
      </w:r>
      <w:r w:rsidR="00C631C6" w:rsidRPr="00953692">
        <w:rPr>
          <w:rStyle w:val="Appelnotedebasdep"/>
          <w:sz w:val="24"/>
          <w:szCs w:val="24"/>
          <w:lang w:val="fr-FR"/>
        </w:rPr>
        <w:footnoteReference w:customMarkFollows="1" w:id="259"/>
        <w:t>236</w:t>
      </w:r>
      <w:r w:rsidR="00C56BE1" w:rsidRPr="00953692">
        <w:rPr>
          <w:sz w:val="24"/>
          <w:szCs w:val="24"/>
          <w:lang w:val="fr-FR"/>
        </w:rPr>
        <w:t>. Alors qu’un autre accusé, Markač</w:t>
      </w:r>
      <w:r w:rsidR="002159B2" w:rsidRPr="00953692">
        <w:rPr>
          <w:sz w:val="24"/>
          <w:szCs w:val="24"/>
          <w:lang w:val="fr-FR"/>
        </w:rPr>
        <w:t>,</w:t>
      </w:r>
      <w:r w:rsidR="00C56BE1" w:rsidRPr="00953692">
        <w:rPr>
          <w:sz w:val="24"/>
          <w:szCs w:val="24"/>
          <w:lang w:val="fr-FR"/>
        </w:rPr>
        <w:t xml:space="preserve"> avait indiqué </w:t>
      </w:r>
      <w:r w:rsidR="00C56BE1" w:rsidRPr="00953692">
        <w:rPr>
          <w:i/>
          <w:iCs/>
          <w:sz w:val="24"/>
          <w:szCs w:val="24"/>
          <w:lang w:val="fr-FR"/>
        </w:rPr>
        <w:t>qu’il eut demandé une suspension des débats pour examiner les nouveaux éléments de preuve en cas de refus de la certification d’appel</w:t>
      </w:r>
      <w:r w:rsidR="00C9258D" w:rsidRPr="00953692">
        <w:rPr>
          <w:rStyle w:val="Appelnotedebasdep"/>
          <w:sz w:val="24"/>
          <w:szCs w:val="24"/>
          <w:lang w:val="fr-FR"/>
        </w:rPr>
        <w:footnoteReference w:customMarkFollows="1" w:id="260"/>
        <w:t>237</w:t>
      </w:r>
      <w:r w:rsidR="00C56BE1" w:rsidRPr="00953692">
        <w:rPr>
          <w:sz w:val="24"/>
          <w:szCs w:val="24"/>
          <w:lang w:val="fr-FR"/>
        </w:rPr>
        <w:t>. En clair, une possible mise en œuvre du droit de disposer du temps nécessaire devient dans ce cas redoutable face à la nécessité de conduire le procès avec rapidité ou dans un délai raisonnable.</w:t>
      </w:r>
    </w:p>
    <w:p w14:paraId="54ABBE29" w14:textId="430E1EE5" w:rsidR="00C56BE1" w:rsidRPr="00953692" w:rsidRDefault="00C35B73" w:rsidP="00864BBF">
      <w:pPr>
        <w:spacing w:after="0" w:line="276" w:lineRule="auto"/>
        <w:ind w:firstLine="1134"/>
        <w:jc w:val="both"/>
        <w:rPr>
          <w:sz w:val="24"/>
          <w:szCs w:val="24"/>
          <w:lang w:val="fr-FR"/>
        </w:rPr>
      </w:pPr>
      <w:r w:rsidRPr="00953692">
        <w:rPr>
          <w:b/>
          <w:bCs/>
          <w:sz w:val="24"/>
          <w:szCs w:val="24"/>
          <w:lang w:val="fr-FR"/>
        </w:rPr>
        <w:t>346</w:t>
      </w:r>
      <w:r w:rsidR="000812FD" w:rsidRPr="00953692">
        <w:rPr>
          <w:b/>
          <w:bCs/>
          <w:sz w:val="24"/>
          <w:szCs w:val="24"/>
          <w:lang w:val="fr-FR"/>
        </w:rPr>
        <w:t>.</w:t>
      </w:r>
      <w:r w:rsidR="000812FD" w:rsidRPr="00953692">
        <w:rPr>
          <w:sz w:val="24"/>
          <w:szCs w:val="24"/>
          <w:lang w:val="fr-FR"/>
        </w:rPr>
        <w:t xml:space="preserve"> </w:t>
      </w:r>
      <w:r w:rsidR="00C56BE1" w:rsidRPr="00953692">
        <w:rPr>
          <w:sz w:val="24"/>
          <w:szCs w:val="24"/>
          <w:lang w:val="fr-FR"/>
        </w:rPr>
        <w:t>La Chambre de première instance, ayant examiné les conditions de l’article 73 du RPP que nous verrons plus loin, a indiqué</w:t>
      </w:r>
      <w:r w:rsidR="00C50C2A" w:rsidRPr="00953692">
        <w:rPr>
          <w:sz w:val="24"/>
          <w:szCs w:val="24"/>
          <w:lang w:val="fr-FR"/>
        </w:rPr>
        <w:t>,</w:t>
      </w:r>
      <w:r w:rsidR="00C56BE1" w:rsidRPr="00953692">
        <w:rPr>
          <w:sz w:val="24"/>
          <w:szCs w:val="24"/>
          <w:lang w:val="fr-FR"/>
        </w:rPr>
        <w:t xml:space="preserve"> d’une part, </w:t>
      </w:r>
      <w:r w:rsidR="00C56BE1" w:rsidRPr="00953692">
        <w:rPr>
          <w:i/>
          <w:iCs/>
          <w:sz w:val="24"/>
          <w:szCs w:val="24"/>
          <w:lang w:val="fr-FR"/>
        </w:rPr>
        <w:t>l’importance potentielle de ces nouveaux éléments de preuve quant à leur influence sur l’issue du procès</w:t>
      </w:r>
      <w:r w:rsidR="00C56BE1" w:rsidRPr="00953692">
        <w:rPr>
          <w:sz w:val="24"/>
          <w:szCs w:val="24"/>
          <w:lang w:val="fr-FR"/>
        </w:rPr>
        <w:t xml:space="preserve">. D’autre part, </w:t>
      </w:r>
      <w:r w:rsidR="00C56BE1" w:rsidRPr="00953692">
        <w:rPr>
          <w:i/>
          <w:iCs/>
          <w:sz w:val="24"/>
          <w:szCs w:val="24"/>
          <w:lang w:val="fr-FR"/>
        </w:rPr>
        <w:t>la décision de la Chambre d’appel à ce stade de la procédure permettrait de faire progresser concrètement la procédure dans son ensemble</w:t>
      </w:r>
      <w:r w:rsidR="00536514" w:rsidRPr="00953692">
        <w:rPr>
          <w:i/>
          <w:iCs/>
          <w:sz w:val="24"/>
          <w:szCs w:val="24"/>
          <w:lang w:val="fr-FR"/>
        </w:rPr>
        <w:t>,</w:t>
      </w:r>
      <w:r w:rsidR="00C56BE1" w:rsidRPr="00953692">
        <w:rPr>
          <w:i/>
          <w:iCs/>
          <w:sz w:val="24"/>
          <w:szCs w:val="24"/>
          <w:lang w:val="fr-FR"/>
        </w:rPr>
        <w:t xml:space="preserve"> y compris l’étape d’appel</w:t>
      </w:r>
      <w:r w:rsidR="000812FD" w:rsidRPr="00953692">
        <w:rPr>
          <w:i/>
          <w:iCs/>
          <w:sz w:val="24"/>
          <w:szCs w:val="24"/>
          <w:lang w:val="fr-FR"/>
        </w:rPr>
        <w:t xml:space="preserve"> (principal)</w:t>
      </w:r>
      <w:r w:rsidR="00C56BE1" w:rsidRPr="00953692">
        <w:rPr>
          <w:i/>
          <w:iCs/>
          <w:sz w:val="24"/>
          <w:szCs w:val="24"/>
          <w:lang w:val="fr-FR"/>
        </w:rPr>
        <w:t xml:space="preserve"> éventuel du jugement</w:t>
      </w:r>
      <w:r w:rsidR="000812FD" w:rsidRPr="00953692">
        <w:rPr>
          <w:i/>
          <w:iCs/>
          <w:sz w:val="24"/>
          <w:szCs w:val="24"/>
          <w:lang w:val="fr-FR"/>
        </w:rPr>
        <w:t xml:space="preserve"> définitif</w:t>
      </w:r>
      <w:r w:rsidR="00C9258D" w:rsidRPr="00953692">
        <w:rPr>
          <w:rStyle w:val="Appelnotedebasdep"/>
          <w:sz w:val="24"/>
          <w:szCs w:val="24"/>
          <w:lang w:val="fr-FR"/>
        </w:rPr>
        <w:footnoteReference w:customMarkFollows="1" w:id="261"/>
        <w:t>238</w:t>
      </w:r>
      <w:r w:rsidR="00C56BE1" w:rsidRPr="00953692">
        <w:rPr>
          <w:sz w:val="24"/>
          <w:szCs w:val="24"/>
          <w:lang w:val="fr-FR"/>
        </w:rPr>
        <w:t xml:space="preserve">. </w:t>
      </w:r>
      <w:r w:rsidR="000812FD" w:rsidRPr="00953692">
        <w:rPr>
          <w:sz w:val="24"/>
          <w:szCs w:val="24"/>
          <w:lang w:val="fr-FR"/>
        </w:rPr>
        <w:t>Les lignes qui suivent expliqueront un peu</w:t>
      </w:r>
      <w:r w:rsidR="00C56BE1" w:rsidRPr="00953692">
        <w:rPr>
          <w:sz w:val="24"/>
          <w:szCs w:val="24"/>
          <w:lang w:val="fr-FR"/>
        </w:rPr>
        <w:t xml:space="preserve"> plus la quintessence de ce raisonnement en cette matière. En attendant, compte tenu de ces conclusions, la Chambre de première instance a fait droit à la demande de certification d’appel</w:t>
      </w:r>
      <w:r w:rsidR="00A65ADD" w:rsidRPr="00953692">
        <w:rPr>
          <w:sz w:val="24"/>
          <w:szCs w:val="24"/>
          <w:lang w:val="fr-FR"/>
        </w:rPr>
        <w:t>, faisant remarquer</w:t>
      </w:r>
      <w:r w:rsidR="00C56BE1" w:rsidRPr="00953692">
        <w:rPr>
          <w:sz w:val="24"/>
          <w:szCs w:val="24"/>
          <w:lang w:val="fr-FR"/>
        </w:rPr>
        <w:t xml:space="preserve"> </w:t>
      </w:r>
      <w:r w:rsidR="00AE39DB" w:rsidRPr="00953692">
        <w:rPr>
          <w:sz w:val="24"/>
          <w:szCs w:val="24"/>
          <w:lang w:val="fr-FR"/>
        </w:rPr>
        <w:t xml:space="preserve">en outre </w:t>
      </w:r>
      <w:r w:rsidR="00C56BE1" w:rsidRPr="00953692">
        <w:rPr>
          <w:sz w:val="24"/>
          <w:szCs w:val="24"/>
          <w:lang w:val="fr-FR"/>
        </w:rPr>
        <w:t>qu’aucune des parties n’avait jusque-là demandé une suspension du procès</w:t>
      </w:r>
      <w:r w:rsidR="00C9258D" w:rsidRPr="00953692">
        <w:rPr>
          <w:rStyle w:val="Appelnotedebasdep"/>
          <w:sz w:val="24"/>
          <w:szCs w:val="24"/>
          <w:lang w:val="fr-FR"/>
        </w:rPr>
        <w:footnoteReference w:customMarkFollows="1" w:id="262"/>
        <w:t>239</w:t>
      </w:r>
      <w:r w:rsidR="00A65ADD" w:rsidRPr="00953692">
        <w:rPr>
          <w:sz w:val="24"/>
          <w:szCs w:val="24"/>
          <w:lang w:val="fr-FR"/>
        </w:rPr>
        <w:t>. De ce fait, la menace</w:t>
      </w:r>
      <w:r w:rsidR="00C56BE1" w:rsidRPr="00953692">
        <w:rPr>
          <w:sz w:val="24"/>
          <w:szCs w:val="24"/>
          <w:lang w:val="fr-FR"/>
        </w:rPr>
        <w:t xml:space="preserve"> que faisait peser le droit de disposer du temps et des moyens nécessaires à la préparation de la défense sur la durée globale du procès</w:t>
      </w:r>
      <w:r w:rsidR="000812FD" w:rsidRPr="00953692">
        <w:rPr>
          <w:sz w:val="24"/>
          <w:szCs w:val="24"/>
          <w:lang w:val="fr-FR"/>
        </w:rPr>
        <w:t>,</w:t>
      </w:r>
      <w:r w:rsidR="00A65ADD" w:rsidRPr="00953692">
        <w:rPr>
          <w:sz w:val="24"/>
          <w:szCs w:val="24"/>
          <w:lang w:val="fr-FR"/>
        </w:rPr>
        <w:t xml:space="preserve"> et </w:t>
      </w:r>
      <w:r w:rsidR="000812FD" w:rsidRPr="00953692">
        <w:rPr>
          <w:sz w:val="24"/>
          <w:szCs w:val="24"/>
          <w:lang w:val="fr-FR"/>
        </w:rPr>
        <w:t xml:space="preserve">donc relativement </w:t>
      </w:r>
      <w:r w:rsidR="00A65ADD" w:rsidRPr="00953692">
        <w:rPr>
          <w:sz w:val="24"/>
          <w:szCs w:val="24"/>
          <w:lang w:val="fr-FR"/>
        </w:rPr>
        <w:t>sur le</w:t>
      </w:r>
      <w:r w:rsidR="000812FD" w:rsidRPr="00953692">
        <w:rPr>
          <w:sz w:val="24"/>
          <w:szCs w:val="24"/>
          <w:lang w:val="fr-FR"/>
        </w:rPr>
        <w:t xml:space="preserve"> droit d’être jugé sans retard excessif</w:t>
      </w:r>
      <w:r w:rsidR="00AE39DB" w:rsidRPr="00953692">
        <w:rPr>
          <w:sz w:val="24"/>
          <w:szCs w:val="24"/>
          <w:lang w:val="fr-FR"/>
        </w:rPr>
        <w:t xml:space="preserve"> des accusés inquiets</w:t>
      </w:r>
      <w:r w:rsidR="001932CF" w:rsidRPr="00953692">
        <w:rPr>
          <w:sz w:val="24"/>
          <w:szCs w:val="24"/>
          <w:lang w:val="fr-FR"/>
        </w:rPr>
        <w:t>,</w:t>
      </w:r>
      <w:r w:rsidR="00A65ADD" w:rsidRPr="00953692">
        <w:rPr>
          <w:sz w:val="24"/>
          <w:szCs w:val="24"/>
          <w:lang w:val="fr-FR"/>
        </w:rPr>
        <w:t xml:space="preserve"> avait été écartée</w:t>
      </w:r>
      <w:r w:rsidR="00C56BE1" w:rsidRPr="00953692">
        <w:rPr>
          <w:sz w:val="24"/>
          <w:szCs w:val="24"/>
          <w:lang w:val="fr-FR"/>
        </w:rPr>
        <w:t>.</w:t>
      </w:r>
    </w:p>
    <w:p w14:paraId="088E3BCF" w14:textId="06422DA4" w:rsidR="001E09EA" w:rsidRPr="00953692" w:rsidRDefault="00C35B73" w:rsidP="00864BBF">
      <w:pPr>
        <w:spacing w:after="0" w:line="276" w:lineRule="auto"/>
        <w:ind w:firstLine="1134"/>
        <w:jc w:val="both"/>
        <w:rPr>
          <w:sz w:val="24"/>
          <w:szCs w:val="24"/>
          <w:lang w:val="fr-FR"/>
        </w:rPr>
      </w:pPr>
      <w:r w:rsidRPr="00953692">
        <w:rPr>
          <w:b/>
          <w:bCs/>
          <w:sz w:val="24"/>
          <w:szCs w:val="24"/>
          <w:lang w:val="fr-FR"/>
        </w:rPr>
        <w:t>347</w:t>
      </w:r>
      <w:r w:rsidR="00F06398" w:rsidRPr="00953692">
        <w:rPr>
          <w:b/>
          <w:bCs/>
          <w:sz w:val="24"/>
          <w:szCs w:val="24"/>
          <w:lang w:val="fr-FR"/>
        </w:rPr>
        <w:t>.</w:t>
      </w:r>
      <w:r w:rsidR="00F06398" w:rsidRPr="00953692">
        <w:rPr>
          <w:sz w:val="24"/>
          <w:szCs w:val="24"/>
          <w:lang w:val="fr-FR"/>
        </w:rPr>
        <w:t xml:space="preserve"> </w:t>
      </w:r>
      <w:r w:rsidR="00D27196" w:rsidRPr="00953692">
        <w:rPr>
          <w:sz w:val="24"/>
          <w:szCs w:val="24"/>
          <w:lang w:val="fr-FR"/>
        </w:rPr>
        <w:t>Cette affaire élucide davantage la conflictualité entre ces deux prérogatives</w:t>
      </w:r>
      <w:r w:rsidR="00A03670" w:rsidRPr="00953692">
        <w:rPr>
          <w:sz w:val="24"/>
          <w:szCs w:val="24"/>
          <w:lang w:val="fr-FR"/>
        </w:rPr>
        <w:t xml:space="preserve">, car son fond portait principalement sur le sort de l’instance en cours. Autoriser le Procureur à apporter des nouveaux éléments, l’un des coaccusés </w:t>
      </w:r>
      <w:r w:rsidR="001E4E9F" w:rsidRPr="00953692">
        <w:rPr>
          <w:sz w:val="24"/>
          <w:szCs w:val="24"/>
          <w:lang w:val="fr-FR"/>
        </w:rPr>
        <w:t xml:space="preserve">a précisé </w:t>
      </w:r>
      <w:r w:rsidR="001E4E9F" w:rsidRPr="00953692">
        <w:rPr>
          <w:sz w:val="24"/>
          <w:szCs w:val="24"/>
          <w:lang w:val="fr-FR"/>
        </w:rPr>
        <w:lastRenderedPageBreak/>
        <w:t xml:space="preserve">qu’il eût demandé une suspension d’instance afin de disposer du temps nécessaire à la préparation de sa défense, alors qu’en même temps presque toutes les parties au procès souhaitaient clairement à ce que l’affaire ne connaisse pas de retard pour ce motif-là. </w:t>
      </w:r>
    </w:p>
    <w:p w14:paraId="1506B3EC" w14:textId="15BA8042" w:rsidR="00C56BE1" w:rsidRPr="00953692" w:rsidRDefault="00C35B73" w:rsidP="00864BBF">
      <w:pPr>
        <w:spacing w:after="0" w:line="276" w:lineRule="auto"/>
        <w:ind w:firstLine="1134"/>
        <w:jc w:val="both"/>
        <w:rPr>
          <w:sz w:val="24"/>
          <w:szCs w:val="24"/>
          <w:lang w:val="fr-FR"/>
        </w:rPr>
      </w:pPr>
      <w:r w:rsidRPr="00953692">
        <w:rPr>
          <w:b/>
          <w:bCs/>
          <w:sz w:val="24"/>
          <w:szCs w:val="24"/>
          <w:lang w:val="fr-FR"/>
        </w:rPr>
        <w:t>348.</w:t>
      </w:r>
      <w:r w:rsidRPr="00953692">
        <w:rPr>
          <w:sz w:val="24"/>
          <w:szCs w:val="24"/>
          <w:lang w:val="fr-FR"/>
        </w:rPr>
        <w:t xml:space="preserve"> </w:t>
      </w:r>
      <w:r w:rsidR="00F06398" w:rsidRPr="00953692">
        <w:rPr>
          <w:sz w:val="24"/>
          <w:szCs w:val="24"/>
          <w:lang w:val="fr-FR"/>
        </w:rPr>
        <w:t>On voit que la mise en œuvre par l’accusé d’un tel droit entre en conflit avec la lig</w:t>
      </w:r>
      <w:r w:rsidR="001932CF" w:rsidRPr="00953692">
        <w:rPr>
          <w:sz w:val="24"/>
          <w:szCs w:val="24"/>
          <w:lang w:val="fr-FR"/>
        </w:rPr>
        <w:t>ne droite</w:t>
      </w:r>
      <w:r w:rsidR="00F06398" w:rsidRPr="00953692">
        <w:rPr>
          <w:sz w:val="24"/>
          <w:szCs w:val="24"/>
          <w:lang w:val="fr-FR"/>
        </w:rPr>
        <w:t xml:space="preserve"> de son droit d’être jugé sans retard excessif, mais comme nous l’avons dit ci-haut, il s’agirait d’un choix qu’il devra assumer, d’autant plus que le temps et moyens nécessaires à la préparation de sa défense est aussi un droit in</w:t>
      </w:r>
      <w:r w:rsidR="001932CF" w:rsidRPr="00953692">
        <w:rPr>
          <w:sz w:val="24"/>
          <w:szCs w:val="24"/>
          <w:lang w:val="fr-FR"/>
        </w:rPr>
        <w:t>éluctable</w:t>
      </w:r>
      <w:r w:rsidR="00F06398" w:rsidRPr="00953692">
        <w:rPr>
          <w:sz w:val="24"/>
          <w:szCs w:val="24"/>
          <w:lang w:val="fr-FR"/>
        </w:rPr>
        <w:t xml:space="preserve"> dans le cadre d’un procès équitable. </w:t>
      </w:r>
      <w:bookmarkEnd w:id="75"/>
      <w:r w:rsidR="00387AD8" w:rsidRPr="00953692">
        <w:rPr>
          <w:sz w:val="24"/>
          <w:szCs w:val="24"/>
          <w:lang w:val="fr-FR"/>
        </w:rPr>
        <w:t xml:space="preserve">Assumer son choix revient à renoncer à son droit d’être jugé sans retard excessif, car il ne peut vouloir le beurre et l’argent du beurre. Il a été démontré </w:t>
      </w:r>
      <w:r w:rsidR="00A31BDB" w:rsidRPr="00953692">
        <w:rPr>
          <w:sz w:val="24"/>
          <w:szCs w:val="24"/>
          <w:lang w:val="fr-FR"/>
        </w:rPr>
        <w:t>précédemment</w:t>
      </w:r>
      <w:r w:rsidR="00387AD8" w:rsidRPr="00953692">
        <w:rPr>
          <w:sz w:val="24"/>
          <w:szCs w:val="24"/>
          <w:lang w:val="fr-FR"/>
        </w:rPr>
        <w:t xml:space="preserve"> que</w:t>
      </w:r>
      <w:r w:rsidR="00A31BDB" w:rsidRPr="00953692">
        <w:rPr>
          <w:sz w:val="24"/>
          <w:szCs w:val="24"/>
          <w:lang w:val="fr-FR"/>
        </w:rPr>
        <w:t>,</w:t>
      </w:r>
      <w:r w:rsidR="00387AD8" w:rsidRPr="00953692">
        <w:rPr>
          <w:sz w:val="24"/>
          <w:szCs w:val="24"/>
          <w:lang w:val="fr-FR"/>
        </w:rPr>
        <w:t xml:space="preserve"> les juges ne tergiversent pas à se servir de la mise en œuvre par l’accusé de ce droit pour finalement justifier les retards que le procès aura connus et mis en cause par l’accusé</w:t>
      </w:r>
      <w:r w:rsidR="00C9258D" w:rsidRPr="00953692">
        <w:rPr>
          <w:rStyle w:val="Appelnotedebasdep"/>
          <w:sz w:val="24"/>
          <w:szCs w:val="24"/>
          <w:lang w:val="fr-FR"/>
        </w:rPr>
        <w:footnoteReference w:customMarkFollows="1" w:id="263"/>
        <w:t>240</w:t>
      </w:r>
      <w:r w:rsidR="00387AD8" w:rsidRPr="00953692">
        <w:rPr>
          <w:sz w:val="24"/>
          <w:szCs w:val="24"/>
          <w:lang w:val="fr-FR"/>
        </w:rPr>
        <w:t>.</w:t>
      </w:r>
    </w:p>
    <w:p w14:paraId="5A3DD9B9" w14:textId="582BC7A8" w:rsidR="00EF7DED" w:rsidRPr="00953692" w:rsidRDefault="00C35B73" w:rsidP="00864BBF">
      <w:pPr>
        <w:spacing w:after="0" w:line="276" w:lineRule="auto"/>
        <w:ind w:firstLine="1134"/>
        <w:jc w:val="both"/>
        <w:rPr>
          <w:sz w:val="24"/>
          <w:szCs w:val="24"/>
          <w:lang w:val="fr-FR"/>
        </w:rPr>
      </w:pPr>
      <w:r w:rsidRPr="00953692">
        <w:rPr>
          <w:b/>
          <w:bCs/>
          <w:sz w:val="24"/>
          <w:szCs w:val="24"/>
          <w:lang w:val="fr-FR"/>
        </w:rPr>
        <w:t>349</w:t>
      </w:r>
      <w:r w:rsidR="00046016" w:rsidRPr="00953692">
        <w:rPr>
          <w:b/>
          <w:bCs/>
          <w:sz w:val="24"/>
          <w:szCs w:val="24"/>
          <w:lang w:val="fr-FR"/>
        </w:rPr>
        <w:t>.</w:t>
      </w:r>
      <w:r w:rsidR="00046016" w:rsidRPr="00953692">
        <w:rPr>
          <w:sz w:val="24"/>
          <w:szCs w:val="24"/>
          <w:lang w:val="fr-FR"/>
        </w:rPr>
        <w:t xml:space="preserve"> </w:t>
      </w:r>
      <w:r w:rsidR="00387AD8" w:rsidRPr="00953692">
        <w:rPr>
          <w:sz w:val="24"/>
          <w:szCs w:val="24"/>
          <w:lang w:val="fr-FR"/>
        </w:rPr>
        <w:t>Cependant, i</w:t>
      </w:r>
      <w:r w:rsidR="00622F4E" w:rsidRPr="00953692">
        <w:rPr>
          <w:sz w:val="24"/>
          <w:szCs w:val="24"/>
          <w:lang w:val="fr-FR"/>
        </w:rPr>
        <w:t>l y a aussi des cas où l’accusé</w:t>
      </w:r>
      <w:r w:rsidR="00010BF3" w:rsidRPr="00953692">
        <w:rPr>
          <w:sz w:val="24"/>
          <w:szCs w:val="24"/>
          <w:lang w:val="fr-FR"/>
        </w:rPr>
        <w:t xml:space="preserve"> ne choisit pas d’exiger un temps pour préparer sa </w:t>
      </w:r>
      <w:r w:rsidR="00FE17FD" w:rsidRPr="00953692">
        <w:rPr>
          <w:sz w:val="24"/>
          <w:szCs w:val="24"/>
          <w:lang w:val="fr-FR"/>
        </w:rPr>
        <w:t>défense</w:t>
      </w:r>
      <w:r w:rsidR="00010BF3" w:rsidRPr="00953692">
        <w:rPr>
          <w:sz w:val="24"/>
          <w:szCs w:val="24"/>
          <w:lang w:val="fr-FR"/>
        </w:rPr>
        <w:t>, mais le</w:t>
      </w:r>
      <w:r w:rsidR="00622F4E" w:rsidRPr="00953692">
        <w:rPr>
          <w:sz w:val="24"/>
          <w:szCs w:val="24"/>
          <w:lang w:val="fr-FR"/>
        </w:rPr>
        <w:t xml:space="preserve"> subit</w:t>
      </w:r>
      <w:r w:rsidR="00010BF3" w:rsidRPr="00953692">
        <w:rPr>
          <w:sz w:val="24"/>
          <w:szCs w:val="24"/>
          <w:lang w:val="fr-FR"/>
        </w:rPr>
        <w:t xml:space="preserve"> en raison du comportement ou des actions </w:t>
      </w:r>
      <w:r w:rsidR="001B5B1A" w:rsidRPr="00953692">
        <w:rPr>
          <w:sz w:val="24"/>
          <w:szCs w:val="24"/>
          <w:lang w:val="fr-FR"/>
        </w:rPr>
        <w:t>conséquentes</w:t>
      </w:r>
      <w:r w:rsidR="00010BF3" w:rsidRPr="00953692">
        <w:rPr>
          <w:sz w:val="24"/>
          <w:szCs w:val="24"/>
          <w:lang w:val="fr-FR"/>
        </w:rPr>
        <w:t xml:space="preserve"> des organes judiciaires.</w:t>
      </w:r>
      <w:r w:rsidR="00246A07" w:rsidRPr="00953692">
        <w:rPr>
          <w:sz w:val="24"/>
          <w:szCs w:val="24"/>
          <w:lang w:val="fr-FR"/>
        </w:rPr>
        <w:t xml:space="preserve"> </w:t>
      </w:r>
      <w:r w:rsidR="00CD67B0" w:rsidRPr="00953692">
        <w:rPr>
          <w:sz w:val="24"/>
          <w:szCs w:val="24"/>
          <w:lang w:val="fr-FR"/>
        </w:rPr>
        <w:t>On retrouve</w:t>
      </w:r>
      <w:r w:rsidR="00BF2A79" w:rsidRPr="00953692">
        <w:rPr>
          <w:sz w:val="24"/>
          <w:szCs w:val="24"/>
          <w:lang w:val="fr-FR"/>
        </w:rPr>
        <w:t>,</w:t>
      </w:r>
      <w:r w:rsidR="00CD67B0" w:rsidRPr="00953692">
        <w:rPr>
          <w:sz w:val="24"/>
          <w:szCs w:val="24"/>
          <w:lang w:val="fr-FR"/>
        </w:rPr>
        <w:t xml:space="preserve"> par exemple</w:t>
      </w:r>
      <w:r w:rsidR="00BF2A79" w:rsidRPr="00953692">
        <w:rPr>
          <w:sz w:val="24"/>
          <w:szCs w:val="24"/>
          <w:lang w:val="fr-FR"/>
        </w:rPr>
        <w:t>,</w:t>
      </w:r>
      <w:r w:rsidR="00CD67B0" w:rsidRPr="00953692">
        <w:rPr>
          <w:sz w:val="24"/>
          <w:szCs w:val="24"/>
          <w:lang w:val="fr-FR"/>
        </w:rPr>
        <w:t xml:space="preserve"> </w:t>
      </w:r>
      <w:r w:rsidR="00BF2A79" w:rsidRPr="00953692">
        <w:rPr>
          <w:sz w:val="24"/>
          <w:szCs w:val="24"/>
          <w:lang w:val="fr-FR"/>
        </w:rPr>
        <w:t xml:space="preserve">devant le TPIY </w:t>
      </w:r>
      <w:r w:rsidR="00CD67B0" w:rsidRPr="00953692">
        <w:rPr>
          <w:sz w:val="24"/>
          <w:szCs w:val="24"/>
          <w:lang w:val="fr-FR"/>
        </w:rPr>
        <w:t>l’affaire Vojislav Seselj qui s’est plaint devant la Chambre de première instance d’une durée de huit ans sans qu’il ait eu un jugement au fond</w:t>
      </w:r>
      <w:r w:rsidR="00C9258D" w:rsidRPr="00953692">
        <w:rPr>
          <w:rStyle w:val="Appelnotedebasdep"/>
          <w:sz w:val="24"/>
          <w:szCs w:val="24"/>
          <w:lang w:val="fr-FR"/>
        </w:rPr>
        <w:footnoteReference w:customMarkFollows="1" w:id="264"/>
        <w:t>241</w:t>
      </w:r>
      <w:r w:rsidR="00CD67B0" w:rsidRPr="00953692">
        <w:rPr>
          <w:sz w:val="24"/>
          <w:szCs w:val="24"/>
          <w:lang w:val="fr-FR"/>
        </w:rPr>
        <w:t xml:space="preserve">. Et pourtant, </w:t>
      </w:r>
      <w:r w:rsidR="005F1727" w:rsidRPr="00953692">
        <w:rPr>
          <w:sz w:val="24"/>
          <w:szCs w:val="24"/>
          <w:lang w:val="fr-FR"/>
        </w:rPr>
        <w:t xml:space="preserve">dans cette durée mise en cause, constitutive de la violation du délai raisonnable, </w:t>
      </w:r>
      <w:r w:rsidR="0029643E" w:rsidRPr="00953692">
        <w:rPr>
          <w:sz w:val="24"/>
          <w:szCs w:val="24"/>
          <w:lang w:val="fr-FR"/>
        </w:rPr>
        <w:t xml:space="preserve">il s’est avéré que le droit de l’accusé de disposer du temps et moyens nécessaires n’a pas été </w:t>
      </w:r>
      <w:r w:rsidR="00177F84" w:rsidRPr="00953692">
        <w:rPr>
          <w:sz w:val="24"/>
          <w:szCs w:val="24"/>
          <w:lang w:val="fr-FR"/>
        </w:rPr>
        <w:t xml:space="preserve">indirectement </w:t>
      </w:r>
      <w:r w:rsidR="0029643E" w:rsidRPr="00953692">
        <w:rPr>
          <w:sz w:val="24"/>
          <w:szCs w:val="24"/>
          <w:lang w:val="fr-FR"/>
        </w:rPr>
        <w:t xml:space="preserve">respecté, contribuant ainsi à la complication dans la gestion du temps de cette affaire. </w:t>
      </w:r>
      <w:r w:rsidR="009C59BE" w:rsidRPr="00953692">
        <w:rPr>
          <w:sz w:val="24"/>
          <w:szCs w:val="24"/>
          <w:lang w:val="fr-FR"/>
        </w:rPr>
        <w:t>Si l’accusé lui-même n’</w:t>
      </w:r>
      <w:r w:rsidR="006672F9" w:rsidRPr="00953692">
        <w:rPr>
          <w:sz w:val="24"/>
          <w:szCs w:val="24"/>
          <w:lang w:val="fr-FR"/>
        </w:rPr>
        <w:t xml:space="preserve">en </w:t>
      </w:r>
      <w:r w:rsidR="009C59BE" w:rsidRPr="00953692">
        <w:rPr>
          <w:sz w:val="24"/>
          <w:szCs w:val="24"/>
          <w:lang w:val="fr-FR"/>
        </w:rPr>
        <w:t xml:space="preserve">a </w:t>
      </w:r>
      <w:r w:rsidR="00BF2A79" w:rsidRPr="00953692">
        <w:rPr>
          <w:sz w:val="24"/>
          <w:szCs w:val="24"/>
          <w:lang w:val="fr-FR"/>
        </w:rPr>
        <w:t>pas</w:t>
      </w:r>
      <w:r w:rsidR="006672F9" w:rsidRPr="00953692">
        <w:rPr>
          <w:sz w:val="24"/>
          <w:szCs w:val="24"/>
          <w:lang w:val="fr-FR"/>
        </w:rPr>
        <w:t xml:space="preserve"> fait état </w:t>
      </w:r>
      <w:r w:rsidR="00177F84" w:rsidRPr="00953692">
        <w:rPr>
          <w:sz w:val="24"/>
          <w:szCs w:val="24"/>
          <w:lang w:val="fr-FR"/>
        </w:rPr>
        <w:t xml:space="preserve">comme </w:t>
      </w:r>
      <w:r w:rsidR="00BF2A79" w:rsidRPr="00953692">
        <w:rPr>
          <w:sz w:val="24"/>
          <w:szCs w:val="24"/>
          <w:lang w:val="fr-FR"/>
        </w:rPr>
        <w:t xml:space="preserve">étant une </w:t>
      </w:r>
      <w:r w:rsidR="00177F84" w:rsidRPr="00953692">
        <w:rPr>
          <w:sz w:val="24"/>
          <w:szCs w:val="24"/>
          <w:lang w:val="fr-FR"/>
        </w:rPr>
        <w:t>cause du prolongement de la durée qu’il a mise en cause</w:t>
      </w:r>
      <w:r w:rsidR="006672F9" w:rsidRPr="00953692">
        <w:rPr>
          <w:sz w:val="24"/>
          <w:szCs w:val="24"/>
          <w:lang w:val="fr-FR"/>
        </w:rPr>
        <w:t xml:space="preserve"> dans sa requête</w:t>
      </w:r>
      <w:r w:rsidR="00177F84" w:rsidRPr="00953692">
        <w:rPr>
          <w:sz w:val="24"/>
          <w:szCs w:val="24"/>
          <w:lang w:val="fr-FR"/>
        </w:rPr>
        <w:t>,</w:t>
      </w:r>
      <w:r w:rsidR="009C59BE" w:rsidRPr="00953692">
        <w:rPr>
          <w:sz w:val="24"/>
          <w:szCs w:val="24"/>
          <w:lang w:val="fr-FR"/>
        </w:rPr>
        <w:t xml:space="preserve"> le juge Antonetti, lui, a </w:t>
      </w:r>
      <w:r w:rsidR="006672F9" w:rsidRPr="00953692">
        <w:rPr>
          <w:sz w:val="24"/>
          <w:szCs w:val="24"/>
          <w:lang w:val="fr-FR"/>
        </w:rPr>
        <w:t xml:space="preserve">bien </w:t>
      </w:r>
      <w:r w:rsidR="009C59BE" w:rsidRPr="00953692">
        <w:rPr>
          <w:sz w:val="24"/>
          <w:szCs w:val="24"/>
          <w:lang w:val="fr-FR"/>
        </w:rPr>
        <w:t>pris le soin d</w:t>
      </w:r>
      <w:r w:rsidR="006672F9" w:rsidRPr="00953692">
        <w:rPr>
          <w:sz w:val="24"/>
          <w:szCs w:val="24"/>
          <w:lang w:val="fr-FR"/>
        </w:rPr>
        <w:t xml:space="preserve">e nous </w:t>
      </w:r>
      <w:r w:rsidR="009C59BE" w:rsidRPr="00953692">
        <w:rPr>
          <w:sz w:val="24"/>
          <w:szCs w:val="24"/>
          <w:lang w:val="fr-FR"/>
        </w:rPr>
        <w:t>en révéler</w:t>
      </w:r>
      <w:r w:rsidR="00BF2A79" w:rsidRPr="00953692">
        <w:rPr>
          <w:sz w:val="24"/>
          <w:szCs w:val="24"/>
          <w:lang w:val="fr-FR"/>
        </w:rPr>
        <w:t xml:space="preserve"> la pertinence</w:t>
      </w:r>
      <w:r w:rsidR="009C59BE" w:rsidRPr="00953692">
        <w:rPr>
          <w:sz w:val="24"/>
          <w:szCs w:val="24"/>
          <w:lang w:val="fr-FR"/>
        </w:rPr>
        <w:t xml:space="preserve"> à travers son opinion individuelle</w:t>
      </w:r>
      <w:r w:rsidR="00AE39DB" w:rsidRPr="00953692">
        <w:rPr>
          <w:sz w:val="24"/>
          <w:szCs w:val="24"/>
          <w:lang w:val="fr-FR"/>
        </w:rPr>
        <w:t xml:space="preserve"> qu’il a jointe à la Décision collégiale de la Chambre de première instance</w:t>
      </w:r>
      <w:r w:rsidR="00C9258D" w:rsidRPr="00953692">
        <w:rPr>
          <w:rStyle w:val="Appelnotedebasdep"/>
          <w:sz w:val="24"/>
          <w:szCs w:val="24"/>
          <w:lang w:val="fr-FR"/>
        </w:rPr>
        <w:footnoteReference w:customMarkFollows="1" w:id="265"/>
        <w:t>242</w:t>
      </w:r>
      <w:r w:rsidR="009C59BE" w:rsidRPr="00953692">
        <w:rPr>
          <w:sz w:val="24"/>
          <w:szCs w:val="24"/>
          <w:lang w:val="fr-FR"/>
        </w:rPr>
        <w:t>.</w:t>
      </w:r>
    </w:p>
    <w:p w14:paraId="2762B15A" w14:textId="48E4DF1C" w:rsidR="00166B94" w:rsidRPr="00953692" w:rsidRDefault="00C35B73" w:rsidP="00864BBF">
      <w:pPr>
        <w:spacing w:after="0" w:line="276" w:lineRule="auto"/>
        <w:ind w:firstLine="1134"/>
        <w:jc w:val="both"/>
        <w:rPr>
          <w:sz w:val="24"/>
          <w:szCs w:val="24"/>
          <w:lang w:val="fr-FR"/>
        </w:rPr>
      </w:pPr>
      <w:r w:rsidRPr="00953692">
        <w:rPr>
          <w:b/>
          <w:bCs/>
          <w:sz w:val="24"/>
          <w:szCs w:val="24"/>
          <w:lang w:val="fr-FR"/>
        </w:rPr>
        <w:t>350</w:t>
      </w:r>
      <w:r w:rsidR="006755D7" w:rsidRPr="00953692">
        <w:rPr>
          <w:b/>
          <w:bCs/>
          <w:sz w:val="24"/>
          <w:szCs w:val="24"/>
          <w:lang w:val="fr-FR"/>
        </w:rPr>
        <w:t>.</w:t>
      </w:r>
      <w:r w:rsidR="006755D7" w:rsidRPr="00953692">
        <w:rPr>
          <w:sz w:val="24"/>
          <w:szCs w:val="24"/>
          <w:lang w:val="fr-FR"/>
        </w:rPr>
        <w:t xml:space="preserve"> </w:t>
      </w:r>
      <w:r w:rsidR="00484670" w:rsidRPr="00953692">
        <w:rPr>
          <w:sz w:val="24"/>
          <w:szCs w:val="24"/>
          <w:lang w:val="fr-FR"/>
        </w:rPr>
        <w:t xml:space="preserve">En fait, le 21 aout 2006, la Chambre de première instance avait commis d’office un conseil à la défense de l’accusé au motif que, </w:t>
      </w:r>
      <w:r w:rsidR="00FE12E5" w:rsidRPr="00953692">
        <w:rPr>
          <w:sz w:val="24"/>
          <w:szCs w:val="24"/>
          <w:lang w:val="fr-FR"/>
        </w:rPr>
        <w:t>« </w:t>
      </w:r>
      <w:r w:rsidR="00484670" w:rsidRPr="00953692">
        <w:rPr>
          <w:sz w:val="24"/>
          <w:szCs w:val="24"/>
          <w:lang w:val="fr-FR"/>
        </w:rPr>
        <w:t xml:space="preserve">le comportement de l’accusé considéré dans son ensemble comme étant obstructionniste et perturbateur, un manque de respect à l’égard du Règlement, des menaces et calomnies visant des témoins, </w:t>
      </w:r>
      <w:r w:rsidR="00FE12E5" w:rsidRPr="00953692">
        <w:rPr>
          <w:sz w:val="24"/>
          <w:szCs w:val="24"/>
          <w:lang w:val="fr-FR"/>
        </w:rPr>
        <w:t>risquait de faire sérieusement et durablement obstacle à la bonne marche du procès et à une issue rapide »</w:t>
      </w:r>
      <w:r w:rsidR="00C9258D" w:rsidRPr="00953692">
        <w:rPr>
          <w:rStyle w:val="Appelnotedebasdep"/>
          <w:sz w:val="24"/>
          <w:szCs w:val="24"/>
          <w:lang w:val="fr-FR"/>
        </w:rPr>
        <w:footnoteReference w:customMarkFollows="1" w:id="266"/>
        <w:t>243</w:t>
      </w:r>
      <w:r w:rsidR="00FE12E5" w:rsidRPr="00953692">
        <w:rPr>
          <w:sz w:val="24"/>
          <w:szCs w:val="24"/>
          <w:lang w:val="fr-FR"/>
        </w:rPr>
        <w:t xml:space="preserve">. </w:t>
      </w:r>
      <w:r w:rsidR="003E5E45" w:rsidRPr="00953692">
        <w:rPr>
          <w:sz w:val="24"/>
          <w:szCs w:val="24"/>
          <w:lang w:val="fr-FR"/>
        </w:rPr>
        <w:t xml:space="preserve">Sur appel interjeté par l’accusé, la Chambre d’appel avait infirmé cette décision au motif que la </w:t>
      </w:r>
      <w:r w:rsidR="00364572" w:rsidRPr="00953692">
        <w:rPr>
          <w:sz w:val="24"/>
          <w:szCs w:val="24"/>
          <w:lang w:val="fr-FR"/>
        </w:rPr>
        <w:t>C</w:t>
      </w:r>
      <w:r w:rsidR="003E5E45" w:rsidRPr="00953692">
        <w:rPr>
          <w:sz w:val="24"/>
          <w:szCs w:val="24"/>
          <w:lang w:val="fr-FR"/>
        </w:rPr>
        <w:t xml:space="preserve">hambre de première instance aurait dû préalablement avertir formellement l’accusé d’une telle décision si et seulement </w:t>
      </w:r>
      <w:r w:rsidR="00166B94" w:rsidRPr="00953692">
        <w:rPr>
          <w:sz w:val="24"/>
          <w:szCs w:val="24"/>
          <w:lang w:val="fr-FR"/>
        </w:rPr>
        <w:t>s’il</w:t>
      </w:r>
      <w:r w:rsidR="003E5E45" w:rsidRPr="00953692">
        <w:rPr>
          <w:sz w:val="24"/>
          <w:szCs w:val="24"/>
          <w:lang w:val="fr-FR"/>
        </w:rPr>
        <w:t xml:space="preserve"> continuait dans cette logique de trouble</w:t>
      </w:r>
      <w:r w:rsidR="00C9258D" w:rsidRPr="00953692">
        <w:rPr>
          <w:rStyle w:val="Appelnotedebasdep"/>
          <w:sz w:val="24"/>
          <w:szCs w:val="24"/>
          <w:lang w:val="fr-FR"/>
        </w:rPr>
        <w:footnoteReference w:customMarkFollows="1" w:id="267"/>
        <w:t>244</w:t>
      </w:r>
      <w:r w:rsidR="003E5E45" w:rsidRPr="00953692">
        <w:rPr>
          <w:sz w:val="24"/>
          <w:szCs w:val="24"/>
          <w:lang w:val="fr-FR"/>
        </w:rPr>
        <w:t xml:space="preserve">. </w:t>
      </w:r>
      <w:r w:rsidR="00EC1444" w:rsidRPr="00953692">
        <w:rPr>
          <w:rStyle w:val="grammar"/>
          <w:rFonts w:cs="Times New Roman"/>
          <w:sz w:val="24"/>
          <w:szCs w:val="24"/>
          <w:lang w:val="fr-FR"/>
        </w:rPr>
        <w:t>À</w:t>
      </w:r>
      <w:r w:rsidR="00EC1444" w:rsidRPr="00953692">
        <w:rPr>
          <w:rFonts w:cs="Times New Roman"/>
          <w:sz w:val="24"/>
          <w:szCs w:val="24"/>
          <w:shd w:val="clear" w:color="auto" w:fill="FFFFFF"/>
          <w:lang w:val="fr-FR"/>
        </w:rPr>
        <w:t xml:space="preserve"> la suite</w:t>
      </w:r>
      <w:r w:rsidR="00EC1444" w:rsidRPr="00953692">
        <w:rPr>
          <w:sz w:val="24"/>
          <w:szCs w:val="24"/>
          <w:lang w:val="fr-FR"/>
        </w:rPr>
        <w:t xml:space="preserve"> </w:t>
      </w:r>
      <w:r w:rsidR="00166B94" w:rsidRPr="00953692">
        <w:rPr>
          <w:sz w:val="24"/>
          <w:szCs w:val="24"/>
          <w:lang w:val="fr-FR"/>
        </w:rPr>
        <w:t xml:space="preserve">de cette décision en appel, la Chambre de première </w:t>
      </w:r>
      <w:r w:rsidR="00166B94" w:rsidRPr="00953692">
        <w:rPr>
          <w:sz w:val="24"/>
          <w:szCs w:val="24"/>
          <w:lang w:val="fr-FR"/>
        </w:rPr>
        <w:lastRenderedPageBreak/>
        <w:t xml:space="preserve">instance a plutôt procédé à la désignation d’un </w:t>
      </w:r>
      <w:r w:rsidR="002178F8" w:rsidRPr="00953692">
        <w:rPr>
          <w:sz w:val="24"/>
          <w:szCs w:val="24"/>
          <w:lang w:val="fr-FR"/>
        </w:rPr>
        <w:t>C</w:t>
      </w:r>
      <w:r w:rsidR="00166B94" w:rsidRPr="00953692">
        <w:rPr>
          <w:sz w:val="24"/>
          <w:szCs w:val="24"/>
          <w:lang w:val="fr-FR"/>
        </w:rPr>
        <w:t xml:space="preserve">onseil d’appoint dont elle détermine précisément le rôle subsidiaire aux </w:t>
      </w:r>
      <w:r w:rsidR="00EC1444" w:rsidRPr="00953692">
        <w:rPr>
          <w:rStyle w:val="grammar"/>
          <w:rFonts w:cs="Times New Roman"/>
          <w:sz w:val="24"/>
          <w:szCs w:val="24"/>
          <w:lang w:val="fr-FR"/>
        </w:rPr>
        <w:t>côtés</w:t>
      </w:r>
      <w:r w:rsidR="00EC1444" w:rsidRPr="00953692">
        <w:rPr>
          <w:rFonts w:cs="Times New Roman"/>
          <w:sz w:val="24"/>
          <w:szCs w:val="24"/>
          <w:shd w:val="clear" w:color="auto" w:fill="FFFFFF"/>
          <w:lang w:val="fr-FR"/>
        </w:rPr>
        <w:t xml:space="preserve"> de</w:t>
      </w:r>
      <w:r w:rsidR="00EC1444" w:rsidRPr="00953692">
        <w:rPr>
          <w:sz w:val="24"/>
          <w:szCs w:val="24"/>
          <w:lang w:val="fr-FR"/>
        </w:rPr>
        <w:t xml:space="preserve"> </w:t>
      </w:r>
      <w:r w:rsidR="00166B94" w:rsidRPr="00953692">
        <w:rPr>
          <w:sz w:val="24"/>
          <w:szCs w:val="24"/>
          <w:lang w:val="fr-FR"/>
        </w:rPr>
        <w:t>l’accusé</w:t>
      </w:r>
      <w:r w:rsidR="00C9258D" w:rsidRPr="00953692">
        <w:rPr>
          <w:rStyle w:val="Appelnotedebasdep"/>
          <w:sz w:val="24"/>
          <w:szCs w:val="24"/>
          <w:lang w:val="fr-FR"/>
        </w:rPr>
        <w:footnoteReference w:customMarkFollows="1" w:id="268"/>
        <w:t>245</w:t>
      </w:r>
      <w:r w:rsidR="00166B94" w:rsidRPr="00953692">
        <w:rPr>
          <w:sz w:val="24"/>
          <w:szCs w:val="24"/>
          <w:lang w:val="fr-FR"/>
        </w:rPr>
        <w:t>.</w:t>
      </w:r>
    </w:p>
    <w:p w14:paraId="6ABE8057" w14:textId="421BF1C9" w:rsidR="00166B94" w:rsidRPr="00953692" w:rsidRDefault="00C35B73" w:rsidP="00864BBF">
      <w:pPr>
        <w:spacing w:after="0" w:line="276" w:lineRule="auto"/>
        <w:ind w:firstLine="1134"/>
        <w:jc w:val="both"/>
        <w:rPr>
          <w:sz w:val="24"/>
          <w:szCs w:val="24"/>
          <w:lang w:val="fr-FR"/>
        </w:rPr>
      </w:pPr>
      <w:r w:rsidRPr="00953692">
        <w:rPr>
          <w:b/>
          <w:bCs/>
          <w:sz w:val="24"/>
          <w:szCs w:val="24"/>
          <w:lang w:val="fr-FR"/>
        </w:rPr>
        <w:t>351</w:t>
      </w:r>
      <w:r w:rsidR="006755D7" w:rsidRPr="00953692">
        <w:rPr>
          <w:b/>
          <w:bCs/>
          <w:sz w:val="24"/>
          <w:szCs w:val="24"/>
          <w:lang w:val="fr-FR"/>
        </w:rPr>
        <w:t>.</w:t>
      </w:r>
      <w:r w:rsidR="006755D7" w:rsidRPr="00953692">
        <w:rPr>
          <w:sz w:val="24"/>
          <w:szCs w:val="24"/>
          <w:lang w:val="fr-FR"/>
        </w:rPr>
        <w:t xml:space="preserve"> </w:t>
      </w:r>
      <w:r w:rsidR="00166B94" w:rsidRPr="00953692">
        <w:rPr>
          <w:sz w:val="24"/>
          <w:szCs w:val="24"/>
          <w:lang w:val="fr-FR"/>
        </w:rPr>
        <w:t>Cependant, l’accusé a formulé des objections contre cette décision</w:t>
      </w:r>
      <w:r w:rsidR="00633E95" w:rsidRPr="00953692">
        <w:rPr>
          <w:sz w:val="24"/>
          <w:szCs w:val="24"/>
          <w:lang w:val="fr-FR"/>
        </w:rPr>
        <w:t>, et à partir de ce moment</w:t>
      </w:r>
      <w:r w:rsidR="00AE39DB" w:rsidRPr="00953692">
        <w:rPr>
          <w:sz w:val="24"/>
          <w:szCs w:val="24"/>
          <w:lang w:val="fr-FR"/>
        </w:rPr>
        <w:t xml:space="preserve"> précis</w:t>
      </w:r>
      <w:r w:rsidR="00633E95" w:rsidRPr="00953692">
        <w:rPr>
          <w:sz w:val="24"/>
          <w:szCs w:val="24"/>
          <w:lang w:val="fr-FR"/>
        </w:rPr>
        <w:t xml:space="preserve">, il </w:t>
      </w:r>
      <w:r w:rsidR="00364572" w:rsidRPr="00953692">
        <w:rPr>
          <w:sz w:val="24"/>
          <w:szCs w:val="24"/>
          <w:lang w:val="fr-FR"/>
        </w:rPr>
        <w:t xml:space="preserve">a </w:t>
      </w:r>
      <w:r w:rsidR="00633E95" w:rsidRPr="00953692">
        <w:rPr>
          <w:sz w:val="24"/>
          <w:szCs w:val="24"/>
          <w:lang w:val="fr-FR"/>
        </w:rPr>
        <w:t>refus</w:t>
      </w:r>
      <w:r w:rsidR="00364572" w:rsidRPr="00953692">
        <w:rPr>
          <w:sz w:val="24"/>
          <w:szCs w:val="24"/>
          <w:lang w:val="fr-FR"/>
        </w:rPr>
        <w:t>é</w:t>
      </w:r>
      <w:r w:rsidR="00633E95" w:rsidRPr="00953692">
        <w:rPr>
          <w:sz w:val="24"/>
          <w:szCs w:val="24"/>
          <w:lang w:val="fr-FR"/>
        </w:rPr>
        <w:t xml:space="preserve"> toute communication avec le Tribunal</w:t>
      </w:r>
      <w:r w:rsidR="00AE39DB" w:rsidRPr="00953692">
        <w:rPr>
          <w:sz w:val="24"/>
          <w:szCs w:val="24"/>
          <w:lang w:val="fr-FR"/>
        </w:rPr>
        <w:t xml:space="preserve"> (l’Accusation) ;</w:t>
      </w:r>
      <w:r w:rsidR="00633E95" w:rsidRPr="00953692">
        <w:rPr>
          <w:sz w:val="24"/>
          <w:szCs w:val="24"/>
          <w:lang w:val="fr-FR"/>
        </w:rPr>
        <w:t xml:space="preserve"> </w:t>
      </w:r>
      <w:r w:rsidR="00364572" w:rsidRPr="00953692">
        <w:rPr>
          <w:sz w:val="24"/>
          <w:szCs w:val="24"/>
          <w:lang w:val="fr-FR"/>
        </w:rPr>
        <w:t xml:space="preserve">ayant </w:t>
      </w:r>
      <w:r w:rsidR="00633E95" w:rsidRPr="00953692">
        <w:rPr>
          <w:sz w:val="24"/>
          <w:szCs w:val="24"/>
          <w:lang w:val="fr-FR"/>
        </w:rPr>
        <w:t>séch</w:t>
      </w:r>
      <w:r w:rsidR="00364572" w:rsidRPr="00953692">
        <w:rPr>
          <w:sz w:val="24"/>
          <w:szCs w:val="24"/>
          <w:lang w:val="fr-FR"/>
        </w:rPr>
        <w:t>é</w:t>
      </w:r>
      <w:r w:rsidR="00633E95" w:rsidRPr="00953692">
        <w:rPr>
          <w:sz w:val="24"/>
          <w:szCs w:val="24"/>
          <w:lang w:val="fr-FR"/>
        </w:rPr>
        <w:t xml:space="preserve"> les débats et enta</w:t>
      </w:r>
      <w:r w:rsidR="00364572" w:rsidRPr="00953692">
        <w:rPr>
          <w:sz w:val="24"/>
          <w:szCs w:val="24"/>
          <w:lang w:val="fr-FR"/>
        </w:rPr>
        <w:t>mé</w:t>
      </w:r>
      <w:r w:rsidR="00633E95" w:rsidRPr="00953692">
        <w:rPr>
          <w:sz w:val="24"/>
          <w:szCs w:val="24"/>
          <w:lang w:val="fr-FR"/>
        </w:rPr>
        <w:t xml:space="preserve"> une grève de faim en signe de protestation</w:t>
      </w:r>
      <w:r w:rsidR="00C9258D" w:rsidRPr="00953692">
        <w:rPr>
          <w:rStyle w:val="Appelnotedebasdep"/>
          <w:sz w:val="24"/>
          <w:szCs w:val="24"/>
          <w:lang w:val="fr-FR"/>
        </w:rPr>
        <w:footnoteReference w:customMarkFollows="1" w:id="269"/>
        <w:t>246</w:t>
      </w:r>
      <w:r w:rsidR="00633E95" w:rsidRPr="00953692">
        <w:rPr>
          <w:sz w:val="24"/>
          <w:szCs w:val="24"/>
          <w:lang w:val="fr-FR"/>
        </w:rPr>
        <w:t xml:space="preserve">. Il était alors dans l’impossibilité de préparer son procès et d’y participer en dépit des avertissements lui adressés par la Chambre de première instance. </w:t>
      </w:r>
      <w:r w:rsidR="00AB1BBA" w:rsidRPr="00953692">
        <w:rPr>
          <w:sz w:val="24"/>
          <w:szCs w:val="24"/>
          <w:lang w:val="fr-FR"/>
        </w:rPr>
        <w:t>Celle-ci</w:t>
      </w:r>
      <w:r w:rsidR="00633E95" w:rsidRPr="00953692">
        <w:rPr>
          <w:sz w:val="24"/>
          <w:szCs w:val="24"/>
          <w:lang w:val="fr-FR"/>
        </w:rPr>
        <w:t xml:space="preserve">, </w:t>
      </w:r>
      <w:r w:rsidR="00364572" w:rsidRPr="00953692">
        <w:rPr>
          <w:sz w:val="24"/>
          <w:szCs w:val="24"/>
          <w:lang w:val="fr-FR"/>
        </w:rPr>
        <w:t xml:space="preserve">ayant </w:t>
      </w:r>
      <w:r w:rsidR="00633E95" w:rsidRPr="00953692">
        <w:rPr>
          <w:sz w:val="24"/>
          <w:szCs w:val="24"/>
          <w:lang w:val="fr-FR"/>
        </w:rPr>
        <w:t>constat</w:t>
      </w:r>
      <w:r w:rsidR="00364572" w:rsidRPr="00953692">
        <w:rPr>
          <w:sz w:val="24"/>
          <w:szCs w:val="24"/>
          <w:lang w:val="fr-FR"/>
        </w:rPr>
        <w:t>é</w:t>
      </w:r>
      <w:r w:rsidR="00633E95" w:rsidRPr="00953692">
        <w:rPr>
          <w:sz w:val="24"/>
          <w:szCs w:val="24"/>
          <w:lang w:val="fr-FR"/>
        </w:rPr>
        <w:t xml:space="preserve"> que l’accusé camp</w:t>
      </w:r>
      <w:r w:rsidR="00AB1BBA" w:rsidRPr="00953692">
        <w:rPr>
          <w:sz w:val="24"/>
          <w:szCs w:val="24"/>
          <w:lang w:val="fr-FR"/>
        </w:rPr>
        <w:t>ait bien</w:t>
      </w:r>
      <w:r w:rsidR="00633E95" w:rsidRPr="00953692">
        <w:rPr>
          <w:sz w:val="24"/>
          <w:szCs w:val="24"/>
          <w:lang w:val="fr-FR"/>
        </w:rPr>
        <w:t xml:space="preserve"> sur sa position</w:t>
      </w:r>
      <w:r w:rsidR="00AB1BBA" w:rsidRPr="00953692">
        <w:rPr>
          <w:sz w:val="24"/>
          <w:szCs w:val="24"/>
          <w:lang w:val="fr-FR"/>
        </w:rPr>
        <w:t xml:space="preserve"> contestataire</w:t>
      </w:r>
      <w:r w:rsidR="00633E95" w:rsidRPr="00953692">
        <w:rPr>
          <w:sz w:val="24"/>
          <w:szCs w:val="24"/>
          <w:lang w:val="fr-FR"/>
        </w:rPr>
        <w:t xml:space="preserve">, a donc commis d’office un avocat à la </w:t>
      </w:r>
      <w:r w:rsidR="00BF2A79" w:rsidRPr="00953692">
        <w:rPr>
          <w:sz w:val="24"/>
          <w:szCs w:val="24"/>
          <w:lang w:val="fr-FR"/>
        </w:rPr>
        <w:t>D</w:t>
      </w:r>
      <w:r w:rsidR="00633E95" w:rsidRPr="00953692">
        <w:rPr>
          <w:sz w:val="24"/>
          <w:szCs w:val="24"/>
          <w:lang w:val="fr-FR"/>
        </w:rPr>
        <w:t>éfense de l’accusé et ordonné plus tard l’ouverture du procès</w:t>
      </w:r>
      <w:r w:rsidR="000200C3" w:rsidRPr="00953692">
        <w:rPr>
          <w:sz w:val="24"/>
          <w:szCs w:val="24"/>
          <w:lang w:val="fr-FR"/>
        </w:rPr>
        <w:t>, sans la présence de l’accusé. Ce dernier</w:t>
      </w:r>
      <w:r w:rsidR="00064B51" w:rsidRPr="00953692">
        <w:rPr>
          <w:sz w:val="24"/>
          <w:szCs w:val="24"/>
          <w:lang w:val="fr-FR"/>
        </w:rPr>
        <w:t>,</w:t>
      </w:r>
      <w:r w:rsidR="000200C3" w:rsidRPr="00953692">
        <w:rPr>
          <w:sz w:val="24"/>
          <w:szCs w:val="24"/>
          <w:lang w:val="fr-FR"/>
        </w:rPr>
        <w:t xml:space="preserve"> sans obtenir au préalable une certification d’appel, qui lui avait été refusée </w:t>
      </w:r>
      <w:r w:rsidR="002826E6" w:rsidRPr="00953692">
        <w:rPr>
          <w:sz w:val="24"/>
          <w:szCs w:val="24"/>
          <w:lang w:val="fr-FR"/>
        </w:rPr>
        <w:t>a</w:t>
      </w:r>
      <w:r w:rsidR="000200C3" w:rsidRPr="00953692">
        <w:rPr>
          <w:sz w:val="24"/>
          <w:szCs w:val="24"/>
          <w:lang w:val="fr-FR"/>
        </w:rPr>
        <w:t>lors</w:t>
      </w:r>
      <w:r w:rsidR="002826E6" w:rsidRPr="00953692">
        <w:rPr>
          <w:sz w:val="24"/>
          <w:szCs w:val="24"/>
          <w:lang w:val="fr-FR"/>
        </w:rPr>
        <w:t xml:space="preserve"> </w:t>
      </w:r>
      <w:r w:rsidR="000200C3" w:rsidRPr="00953692">
        <w:rPr>
          <w:sz w:val="24"/>
          <w:szCs w:val="24"/>
          <w:lang w:val="fr-FR"/>
        </w:rPr>
        <w:t>qu’il souhait</w:t>
      </w:r>
      <w:r w:rsidR="002826E6" w:rsidRPr="00953692">
        <w:rPr>
          <w:sz w:val="24"/>
          <w:szCs w:val="24"/>
          <w:lang w:val="fr-FR"/>
        </w:rPr>
        <w:t>ait</w:t>
      </w:r>
      <w:r w:rsidR="000200C3" w:rsidRPr="00953692">
        <w:rPr>
          <w:sz w:val="24"/>
          <w:szCs w:val="24"/>
          <w:lang w:val="fr-FR"/>
        </w:rPr>
        <w:t xml:space="preserve"> contester la nomination </w:t>
      </w:r>
      <w:r w:rsidR="00BF2A79" w:rsidRPr="00953692">
        <w:rPr>
          <w:sz w:val="24"/>
          <w:szCs w:val="24"/>
          <w:lang w:val="fr-FR"/>
        </w:rPr>
        <w:t>de ce</w:t>
      </w:r>
      <w:r w:rsidR="000200C3" w:rsidRPr="00953692">
        <w:rPr>
          <w:sz w:val="24"/>
          <w:szCs w:val="24"/>
          <w:lang w:val="fr-FR"/>
        </w:rPr>
        <w:t xml:space="preserve"> </w:t>
      </w:r>
      <w:r w:rsidR="00BF2A79" w:rsidRPr="00953692">
        <w:rPr>
          <w:sz w:val="24"/>
          <w:szCs w:val="24"/>
          <w:lang w:val="fr-FR"/>
        </w:rPr>
        <w:t>C</w:t>
      </w:r>
      <w:r w:rsidR="000200C3" w:rsidRPr="00953692">
        <w:rPr>
          <w:sz w:val="24"/>
          <w:szCs w:val="24"/>
          <w:lang w:val="fr-FR"/>
        </w:rPr>
        <w:t>onseil d’appoint, avait interjeté appel en déposant une lettre devant la Chambre d’appel. Ce qui n’est pas conforme à la Directive pratique relative à la procédure de dépôt des écritures en appel devant le Tribunal. Qu’à cela n</w:t>
      </w:r>
      <w:r w:rsidR="00AB1BBA" w:rsidRPr="00953692">
        <w:rPr>
          <w:sz w:val="24"/>
          <w:szCs w:val="24"/>
          <w:lang w:val="fr-FR"/>
        </w:rPr>
        <w:t>’ait</w:t>
      </w:r>
      <w:r w:rsidR="000200C3" w:rsidRPr="00953692">
        <w:rPr>
          <w:sz w:val="24"/>
          <w:szCs w:val="24"/>
          <w:lang w:val="fr-FR"/>
        </w:rPr>
        <w:t xml:space="preserve"> t</w:t>
      </w:r>
      <w:r w:rsidR="00AB1BBA" w:rsidRPr="00953692">
        <w:rPr>
          <w:sz w:val="24"/>
          <w:szCs w:val="24"/>
          <w:lang w:val="fr-FR"/>
        </w:rPr>
        <w:t>enu</w:t>
      </w:r>
      <w:r w:rsidR="000200C3" w:rsidRPr="00953692">
        <w:rPr>
          <w:sz w:val="24"/>
          <w:szCs w:val="24"/>
          <w:lang w:val="fr-FR"/>
        </w:rPr>
        <w:t>, la Chambre d’appel a jugé qu’il s’agissait des circonstances exceptionnelles qui lui permettaient de s’écarter des conditions fixées dans sa propre Directive pratique</w:t>
      </w:r>
      <w:r w:rsidR="00C9258D" w:rsidRPr="00953692">
        <w:rPr>
          <w:rStyle w:val="Appelnotedebasdep"/>
          <w:sz w:val="24"/>
          <w:szCs w:val="24"/>
          <w:lang w:val="fr-FR"/>
        </w:rPr>
        <w:footnoteReference w:customMarkFollows="1" w:id="270"/>
        <w:t>246</w:t>
      </w:r>
      <w:r w:rsidR="000200C3" w:rsidRPr="00953692">
        <w:rPr>
          <w:sz w:val="24"/>
          <w:szCs w:val="24"/>
          <w:lang w:val="fr-FR"/>
        </w:rPr>
        <w:t>.</w:t>
      </w:r>
    </w:p>
    <w:p w14:paraId="114AD544" w14:textId="1CB54568" w:rsidR="00590263" w:rsidRPr="00953692" w:rsidRDefault="00C35B73" w:rsidP="00864BBF">
      <w:pPr>
        <w:spacing w:after="0" w:line="276" w:lineRule="auto"/>
        <w:ind w:firstLine="1134"/>
        <w:jc w:val="both"/>
        <w:rPr>
          <w:sz w:val="24"/>
          <w:szCs w:val="24"/>
          <w:lang w:val="fr-FR"/>
        </w:rPr>
      </w:pPr>
      <w:r w:rsidRPr="00953692">
        <w:rPr>
          <w:b/>
          <w:bCs/>
          <w:sz w:val="24"/>
          <w:szCs w:val="24"/>
          <w:lang w:val="fr-FR"/>
        </w:rPr>
        <w:t>352</w:t>
      </w:r>
      <w:r w:rsidR="006755D7" w:rsidRPr="00953692">
        <w:rPr>
          <w:b/>
          <w:bCs/>
          <w:sz w:val="24"/>
          <w:szCs w:val="24"/>
          <w:lang w:val="fr-FR"/>
        </w:rPr>
        <w:t>.</w:t>
      </w:r>
      <w:r w:rsidR="006755D7" w:rsidRPr="00953692">
        <w:rPr>
          <w:sz w:val="24"/>
          <w:szCs w:val="24"/>
          <w:lang w:val="fr-FR"/>
        </w:rPr>
        <w:t xml:space="preserve"> </w:t>
      </w:r>
      <w:r w:rsidR="00590263" w:rsidRPr="00953692">
        <w:rPr>
          <w:sz w:val="24"/>
          <w:szCs w:val="24"/>
          <w:lang w:val="fr-FR"/>
        </w:rPr>
        <w:t xml:space="preserve">La Chambre d’appel </w:t>
      </w:r>
      <w:r w:rsidR="002250A9" w:rsidRPr="00953692">
        <w:rPr>
          <w:sz w:val="24"/>
          <w:szCs w:val="24"/>
          <w:lang w:val="fr-FR"/>
        </w:rPr>
        <w:t xml:space="preserve">a </w:t>
      </w:r>
      <w:r w:rsidR="00064B51" w:rsidRPr="00953692">
        <w:rPr>
          <w:sz w:val="24"/>
          <w:szCs w:val="24"/>
          <w:lang w:val="fr-FR"/>
        </w:rPr>
        <w:t>ainsi</w:t>
      </w:r>
      <w:r w:rsidR="002250A9" w:rsidRPr="00953692">
        <w:rPr>
          <w:sz w:val="24"/>
          <w:szCs w:val="24"/>
          <w:lang w:val="fr-FR"/>
        </w:rPr>
        <w:t xml:space="preserve"> </w:t>
      </w:r>
      <w:r w:rsidR="00590263" w:rsidRPr="00953692">
        <w:rPr>
          <w:sz w:val="24"/>
          <w:szCs w:val="24"/>
          <w:lang w:val="fr-FR"/>
        </w:rPr>
        <w:t>examin</w:t>
      </w:r>
      <w:r w:rsidR="002250A9" w:rsidRPr="00953692">
        <w:rPr>
          <w:sz w:val="24"/>
          <w:szCs w:val="24"/>
          <w:lang w:val="fr-FR"/>
        </w:rPr>
        <w:t>é</w:t>
      </w:r>
      <w:r w:rsidR="00590263" w:rsidRPr="00953692">
        <w:rPr>
          <w:sz w:val="24"/>
          <w:szCs w:val="24"/>
          <w:lang w:val="fr-FR"/>
        </w:rPr>
        <w:t xml:space="preserve"> l’appel de l’accusé et</w:t>
      </w:r>
      <w:r w:rsidR="002250A9" w:rsidRPr="00953692">
        <w:rPr>
          <w:sz w:val="24"/>
          <w:szCs w:val="24"/>
          <w:lang w:val="fr-FR"/>
        </w:rPr>
        <w:t xml:space="preserve"> a</w:t>
      </w:r>
      <w:r w:rsidR="00590263" w:rsidRPr="00953692">
        <w:rPr>
          <w:sz w:val="24"/>
          <w:szCs w:val="24"/>
          <w:lang w:val="fr-FR"/>
        </w:rPr>
        <w:t xml:space="preserve"> jug</w:t>
      </w:r>
      <w:r w:rsidR="002250A9" w:rsidRPr="00953692">
        <w:rPr>
          <w:sz w:val="24"/>
          <w:szCs w:val="24"/>
          <w:lang w:val="fr-FR"/>
        </w:rPr>
        <w:t>é</w:t>
      </w:r>
      <w:r w:rsidR="00590263" w:rsidRPr="00953692">
        <w:rPr>
          <w:sz w:val="24"/>
          <w:szCs w:val="24"/>
          <w:lang w:val="fr-FR"/>
        </w:rPr>
        <w:t xml:space="preserve"> que </w:t>
      </w:r>
      <w:r w:rsidR="002C5488" w:rsidRPr="00953692">
        <w:rPr>
          <w:sz w:val="24"/>
          <w:szCs w:val="24"/>
          <w:lang w:val="fr-FR"/>
        </w:rPr>
        <w:t xml:space="preserve">la Chambre de première instance a versé dans l’erreur en procédant à la nomination d’un </w:t>
      </w:r>
      <w:r w:rsidR="002178F8" w:rsidRPr="00953692">
        <w:rPr>
          <w:sz w:val="24"/>
          <w:szCs w:val="24"/>
          <w:lang w:val="fr-FR"/>
        </w:rPr>
        <w:t>C</w:t>
      </w:r>
      <w:r w:rsidR="002C5488" w:rsidRPr="00953692">
        <w:rPr>
          <w:sz w:val="24"/>
          <w:szCs w:val="24"/>
          <w:lang w:val="fr-FR"/>
        </w:rPr>
        <w:t>onseil d’appoint alors que l’accusé n’avait pas persisté dans son comportement obstructionniste</w:t>
      </w:r>
      <w:r w:rsidR="00C9258D" w:rsidRPr="00953692">
        <w:rPr>
          <w:rStyle w:val="Appelnotedebasdep"/>
          <w:sz w:val="24"/>
          <w:szCs w:val="24"/>
          <w:lang w:val="fr-FR"/>
        </w:rPr>
        <w:footnoteReference w:customMarkFollows="1" w:id="271"/>
        <w:t>247</w:t>
      </w:r>
      <w:r w:rsidR="002C5488" w:rsidRPr="00953692">
        <w:rPr>
          <w:sz w:val="24"/>
          <w:szCs w:val="24"/>
          <w:lang w:val="fr-FR"/>
        </w:rPr>
        <w:t xml:space="preserve">. </w:t>
      </w:r>
      <w:r w:rsidR="00064B51" w:rsidRPr="00953692">
        <w:rPr>
          <w:rStyle w:val="grammar"/>
          <w:rFonts w:cs="Times New Roman"/>
          <w:sz w:val="24"/>
          <w:szCs w:val="24"/>
          <w:lang w:val="fr-FR"/>
        </w:rPr>
        <w:t>À</w:t>
      </w:r>
      <w:r w:rsidR="00064B51" w:rsidRPr="00953692">
        <w:rPr>
          <w:rFonts w:cs="Times New Roman"/>
          <w:sz w:val="24"/>
          <w:szCs w:val="24"/>
          <w:shd w:val="clear" w:color="auto" w:fill="FFFFFF"/>
          <w:lang w:val="fr-FR"/>
        </w:rPr>
        <w:t xml:space="preserve"> cet effet,</w:t>
      </w:r>
      <w:r w:rsidR="00064B51" w:rsidRPr="00953692">
        <w:rPr>
          <w:sz w:val="24"/>
          <w:szCs w:val="24"/>
          <w:lang w:val="fr-FR"/>
        </w:rPr>
        <w:t xml:space="preserve"> </w:t>
      </w:r>
      <w:r w:rsidR="002250A9" w:rsidRPr="00953692">
        <w:rPr>
          <w:sz w:val="24"/>
          <w:szCs w:val="24"/>
          <w:lang w:val="fr-FR"/>
        </w:rPr>
        <w:t>elle</w:t>
      </w:r>
      <w:r w:rsidR="0014281F" w:rsidRPr="00953692">
        <w:rPr>
          <w:sz w:val="24"/>
          <w:szCs w:val="24"/>
          <w:lang w:val="fr-FR"/>
        </w:rPr>
        <w:t xml:space="preserve"> a rétabli</w:t>
      </w:r>
      <w:r w:rsidR="004D1857" w:rsidRPr="00953692">
        <w:rPr>
          <w:sz w:val="24"/>
          <w:szCs w:val="24"/>
          <w:lang w:val="fr-FR"/>
        </w:rPr>
        <w:t xml:space="preserve"> l’accusé dans son droit d’assurer lui-même sa défense,</w:t>
      </w:r>
      <w:r w:rsidR="004D14E1" w:rsidRPr="00953692">
        <w:rPr>
          <w:sz w:val="24"/>
          <w:szCs w:val="24"/>
          <w:lang w:val="fr-FR"/>
        </w:rPr>
        <w:t xml:space="preserve"> en donnant à la Chambre de première instance la marche à suivre, et en annulant l’ouverture du procès</w:t>
      </w:r>
      <w:r w:rsidR="00064B51" w:rsidRPr="00953692">
        <w:rPr>
          <w:sz w:val="24"/>
          <w:szCs w:val="24"/>
          <w:lang w:val="fr-FR"/>
        </w:rPr>
        <w:t>,</w:t>
      </w:r>
      <w:r w:rsidR="004D14E1" w:rsidRPr="00953692">
        <w:rPr>
          <w:sz w:val="24"/>
          <w:szCs w:val="24"/>
          <w:lang w:val="fr-FR"/>
        </w:rPr>
        <w:t xml:space="preserve"> y compris tous les actes </w:t>
      </w:r>
      <w:r w:rsidR="00BF2A79" w:rsidRPr="00953692">
        <w:rPr>
          <w:sz w:val="24"/>
          <w:szCs w:val="24"/>
          <w:lang w:val="fr-FR"/>
        </w:rPr>
        <w:t xml:space="preserve">jusque-là </w:t>
      </w:r>
      <w:r w:rsidR="004D14E1" w:rsidRPr="00953692">
        <w:rPr>
          <w:sz w:val="24"/>
          <w:szCs w:val="24"/>
          <w:lang w:val="fr-FR"/>
        </w:rPr>
        <w:t>posés. Compte tenu de son état de santé, la Chambre d’appel a ordonné la suspension du procès jusqu’</w:t>
      </w:r>
      <w:r w:rsidR="00F70E5E" w:rsidRPr="00953692">
        <w:rPr>
          <w:sz w:val="24"/>
          <w:szCs w:val="24"/>
          <w:lang w:val="fr-FR"/>
        </w:rPr>
        <w:t>a</w:t>
      </w:r>
      <w:r w:rsidR="004D14E1" w:rsidRPr="00953692">
        <w:rPr>
          <w:sz w:val="24"/>
          <w:szCs w:val="24"/>
          <w:lang w:val="fr-FR"/>
        </w:rPr>
        <w:t>u rétablissement de l’accusé</w:t>
      </w:r>
      <w:r w:rsidR="00C9258D" w:rsidRPr="00953692">
        <w:rPr>
          <w:rStyle w:val="Appelnotedebasdep"/>
          <w:sz w:val="24"/>
          <w:szCs w:val="24"/>
          <w:lang w:val="fr-FR"/>
        </w:rPr>
        <w:footnoteReference w:customMarkFollows="1" w:id="272"/>
        <w:t>248</w:t>
      </w:r>
      <w:r w:rsidR="004D14E1" w:rsidRPr="00953692">
        <w:rPr>
          <w:sz w:val="24"/>
          <w:szCs w:val="24"/>
          <w:lang w:val="fr-FR"/>
        </w:rPr>
        <w:t>.</w:t>
      </w:r>
    </w:p>
    <w:p w14:paraId="27F5BA28" w14:textId="6C155D1E" w:rsidR="00221584" w:rsidRPr="00953692" w:rsidRDefault="00C35B73" w:rsidP="00864BBF">
      <w:pPr>
        <w:spacing w:after="0" w:line="276" w:lineRule="auto"/>
        <w:ind w:firstLine="1134"/>
        <w:jc w:val="both"/>
        <w:rPr>
          <w:sz w:val="24"/>
          <w:szCs w:val="24"/>
          <w:lang w:val="fr-FR"/>
        </w:rPr>
      </w:pPr>
      <w:r w:rsidRPr="00953692">
        <w:rPr>
          <w:b/>
          <w:bCs/>
          <w:sz w:val="24"/>
          <w:szCs w:val="24"/>
          <w:lang w:val="fr-FR"/>
        </w:rPr>
        <w:t>353</w:t>
      </w:r>
      <w:r w:rsidR="006755D7" w:rsidRPr="00953692">
        <w:rPr>
          <w:b/>
          <w:bCs/>
          <w:sz w:val="24"/>
          <w:szCs w:val="24"/>
          <w:lang w:val="fr-FR"/>
        </w:rPr>
        <w:t>.</w:t>
      </w:r>
      <w:r w:rsidR="006755D7" w:rsidRPr="00953692">
        <w:rPr>
          <w:sz w:val="24"/>
          <w:szCs w:val="24"/>
          <w:lang w:val="fr-FR"/>
        </w:rPr>
        <w:t xml:space="preserve"> </w:t>
      </w:r>
      <w:r w:rsidR="00CB1904" w:rsidRPr="00953692">
        <w:rPr>
          <w:sz w:val="24"/>
          <w:szCs w:val="24"/>
          <w:lang w:val="fr-FR"/>
        </w:rPr>
        <w:t xml:space="preserve">En effet, </w:t>
      </w:r>
      <w:r w:rsidR="00DF42B5" w:rsidRPr="00953692">
        <w:rPr>
          <w:sz w:val="24"/>
          <w:szCs w:val="24"/>
          <w:lang w:val="fr-FR"/>
        </w:rPr>
        <w:t xml:space="preserve">les actes constitutifs de ces juridictions pénales internationales prévoient également le droit pour toute personne accusée </w:t>
      </w:r>
      <w:r w:rsidR="00DF42B5" w:rsidRPr="00953692">
        <w:rPr>
          <w:i/>
          <w:iCs/>
          <w:sz w:val="24"/>
          <w:szCs w:val="24"/>
          <w:lang w:val="fr-FR"/>
        </w:rPr>
        <w:t xml:space="preserve">d’être présente au procès et </w:t>
      </w:r>
      <w:r w:rsidR="00BF2A79" w:rsidRPr="00953692">
        <w:rPr>
          <w:i/>
          <w:iCs/>
          <w:sz w:val="24"/>
          <w:szCs w:val="24"/>
          <w:lang w:val="fr-FR"/>
        </w:rPr>
        <w:t xml:space="preserve">de </w:t>
      </w:r>
      <w:r w:rsidR="00DF42B5" w:rsidRPr="00953692">
        <w:rPr>
          <w:i/>
          <w:iCs/>
          <w:sz w:val="24"/>
          <w:szCs w:val="24"/>
          <w:lang w:val="fr-FR"/>
        </w:rPr>
        <w:t>se défendre elle-même ou avoir l’assistance d’un défenseur de son choix ; si elle n’a pas de défenseur, être informée de son droit d’en avoir un, et, chaque fois que l’intérêt de la justice l’exige, se voir attribuer d’office un défenseur, sans frais, si elle n’a pas les moyens de le rémunérer</w:t>
      </w:r>
      <w:r w:rsidR="00C9258D" w:rsidRPr="00953692">
        <w:rPr>
          <w:rStyle w:val="Appelnotedebasdep"/>
          <w:sz w:val="24"/>
          <w:szCs w:val="24"/>
          <w:lang w:val="fr-FR"/>
        </w:rPr>
        <w:footnoteReference w:customMarkFollows="1" w:id="273"/>
        <w:t>249</w:t>
      </w:r>
      <w:r w:rsidR="00DF42B5" w:rsidRPr="00953692">
        <w:rPr>
          <w:sz w:val="24"/>
          <w:szCs w:val="24"/>
          <w:lang w:val="fr-FR"/>
        </w:rPr>
        <w:t xml:space="preserve">. </w:t>
      </w:r>
      <w:r w:rsidR="00465578" w:rsidRPr="00953692">
        <w:rPr>
          <w:sz w:val="24"/>
          <w:szCs w:val="24"/>
          <w:lang w:val="fr-FR"/>
        </w:rPr>
        <w:t>Comme on peut bien le remarquer, un tel</w:t>
      </w:r>
      <w:r w:rsidR="002E2AEA" w:rsidRPr="00953692">
        <w:rPr>
          <w:sz w:val="24"/>
          <w:szCs w:val="24"/>
          <w:lang w:val="fr-FR"/>
        </w:rPr>
        <w:t xml:space="preserve"> droit est</w:t>
      </w:r>
      <w:r w:rsidR="00465578" w:rsidRPr="00953692">
        <w:rPr>
          <w:sz w:val="24"/>
          <w:szCs w:val="24"/>
          <w:lang w:val="fr-FR"/>
        </w:rPr>
        <w:t xml:space="preserve"> sans nul doute</w:t>
      </w:r>
      <w:r w:rsidR="002E2AEA" w:rsidRPr="00953692">
        <w:rPr>
          <w:sz w:val="24"/>
          <w:szCs w:val="24"/>
          <w:lang w:val="fr-FR"/>
        </w:rPr>
        <w:t xml:space="preserve"> </w:t>
      </w:r>
      <w:r w:rsidR="002250A9" w:rsidRPr="00953692">
        <w:rPr>
          <w:sz w:val="24"/>
          <w:szCs w:val="24"/>
          <w:lang w:val="fr-FR"/>
        </w:rPr>
        <w:lastRenderedPageBreak/>
        <w:t>con</w:t>
      </w:r>
      <w:r w:rsidR="002E2AEA" w:rsidRPr="00953692">
        <w:rPr>
          <w:sz w:val="24"/>
          <w:szCs w:val="24"/>
          <w:lang w:val="fr-FR"/>
        </w:rPr>
        <w:t xml:space="preserve">substantiel au droit de disposer du temps et des moyens nécessaires à la préparation de sa défense. </w:t>
      </w:r>
      <w:r w:rsidR="005C5019" w:rsidRPr="00953692">
        <w:rPr>
          <w:sz w:val="24"/>
          <w:szCs w:val="24"/>
          <w:lang w:val="fr-FR"/>
        </w:rPr>
        <w:t xml:space="preserve">Il peut </w:t>
      </w:r>
      <w:r w:rsidR="0013319F" w:rsidRPr="00953692">
        <w:rPr>
          <w:sz w:val="24"/>
          <w:szCs w:val="24"/>
          <w:lang w:val="fr-FR"/>
        </w:rPr>
        <w:t xml:space="preserve">D’ailleurs </w:t>
      </w:r>
      <w:r w:rsidR="005C5019" w:rsidRPr="00953692">
        <w:rPr>
          <w:sz w:val="24"/>
          <w:szCs w:val="24"/>
          <w:lang w:val="fr-FR"/>
        </w:rPr>
        <w:t>en être considéré comme une partie intégrante</w:t>
      </w:r>
      <w:r w:rsidR="00FF786A" w:rsidRPr="00953692">
        <w:rPr>
          <w:sz w:val="24"/>
          <w:szCs w:val="24"/>
          <w:lang w:val="fr-FR"/>
        </w:rPr>
        <w:t xml:space="preserve">, car </w:t>
      </w:r>
      <w:r w:rsidR="0013319F" w:rsidRPr="00953692">
        <w:rPr>
          <w:sz w:val="24"/>
          <w:szCs w:val="24"/>
          <w:lang w:val="fr-FR"/>
        </w:rPr>
        <w:t xml:space="preserve">dans les procédures judiciaires (pénales) </w:t>
      </w:r>
      <w:r w:rsidR="00FF786A" w:rsidRPr="00953692">
        <w:rPr>
          <w:sz w:val="24"/>
          <w:szCs w:val="24"/>
          <w:lang w:val="fr-FR"/>
        </w:rPr>
        <w:t>se défendre soi-même ou</w:t>
      </w:r>
      <w:r w:rsidR="002250A9" w:rsidRPr="00953692">
        <w:rPr>
          <w:sz w:val="24"/>
          <w:szCs w:val="24"/>
          <w:lang w:val="fr-FR"/>
        </w:rPr>
        <w:t>/et</w:t>
      </w:r>
      <w:r w:rsidR="00FF786A" w:rsidRPr="00953692">
        <w:rPr>
          <w:sz w:val="24"/>
          <w:szCs w:val="24"/>
          <w:lang w:val="fr-FR"/>
        </w:rPr>
        <w:t xml:space="preserve"> bénéficier de l’assistance d’un </w:t>
      </w:r>
      <w:r w:rsidR="002250A9" w:rsidRPr="00953692">
        <w:rPr>
          <w:sz w:val="24"/>
          <w:szCs w:val="24"/>
          <w:lang w:val="fr-FR"/>
        </w:rPr>
        <w:t>C</w:t>
      </w:r>
      <w:r w:rsidR="00FF786A" w:rsidRPr="00953692">
        <w:rPr>
          <w:sz w:val="24"/>
          <w:szCs w:val="24"/>
          <w:lang w:val="fr-FR"/>
        </w:rPr>
        <w:t xml:space="preserve">onseil </w:t>
      </w:r>
      <w:r w:rsidR="002250A9" w:rsidRPr="00953692">
        <w:rPr>
          <w:sz w:val="24"/>
          <w:szCs w:val="24"/>
          <w:lang w:val="fr-FR"/>
        </w:rPr>
        <w:t>sont pratiquement</w:t>
      </w:r>
      <w:r w:rsidR="00FF786A" w:rsidRPr="00953692">
        <w:rPr>
          <w:sz w:val="24"/>
          <w:szCs w:val="24"/>
          <w:lang w:val="fr-FR"/>
        </w:rPr>
        <w:t xml:space="preserve"> </w:t>
      </w:r>
      <w:r w:rsidR="00BF2A79" w:rsidRPr="00953692">
        <w:rPr>
          <w:sz w:val="24"/>
          <w:szCs w:val="24"/>
          <w:lang w:val="fr-FR"/>
        </w:rPr>
        <w:t xml:space="preserve">des </w:t>
      </w:r>
      <w:r w:rsidR="00FF786A" w:rsidRPr="00953692">
        <w:rPr>
          <w:sz w:val="24"/>
          <w:szCs w:val="24"/>
          <w:lang w:val="fr-FR"/>
        </w:rPr>
        <w:t>moyens nécessaires à la préparation de la défense</w:t>
      </w:r>
      <w:r w:rsidR="009A566E" w:rsidRPr="00953692">
        <w:rPr>
          <w:rStyle w:val="Appelnotedebasdep"/>
          <w:sz w:val="24"/>
          <w:szCs w:val="24"/>
          <w:lang w:val="fr-FR"/>
        </w:rPr>
        <w:footnoteReference w:customMarkFollows="1" w:id="274"/>
        <w:t>250</w:t>
      </w:r>
      <w:r w:rsidR="00FF786A" w:rsidRPr="00953692">
        <w:rPr>
          <w:sz w:val="24"/>
          <w:szCs w:val="24"/>
          <w:lang w:val="fr-FR"/>
        </w:rPr>
        <w:t xml:space="preserve">. </w:t>
      </w:r>
    </w:p>
    <w:p w14:paraId="52910AAD" w14:textId="501C1076" w:rsidR="00DF42B5" w:rsidRPr="00953692" w:rsidRDefault="00C35B73" w:rsidP="00864BBF">
      <w:pPr>
        <w:spacing w:after="0" w:line="276" w:lineRule="auto"/>
        <w:ind w:firstLine="1134"/>
        <w:jc w:val="both"/>
        <w:rPr>
          <w:sz w:val="24"/>
          <w:szCs w:val="24"/>
          <w:lang w:val="fr-FR"/>
        </w:rPr>
      </w:pPr>
      <w:r w:rsidRPr="00953692">
        <w:rPr>
          <w:b/>
          <w:bCs/>
          <w:sz w:val="24"/>
          <w:szCs w:val="24"/>
          <w:lang w:val="fr-FR"/>
        </w:rPr>
        <w:t>354</w:t>
      </w:r>
      <w:r w:rsidR="00221584" w:rsidRPr="00953692">
        <w:rPr>
          <w:b/>
          <w:bCs/>
          <w:sz w:val="24"/>
          <w:szCs w:val="24"/>
          <w:lang w:val="fr-FR"/>
        </w:rPr>
        <w:t>.</w:t>
      </w:r>
      <w:r w:rsidR="00221584" w:rsidRPr="00953692">
        <w:rPr>
          <w:sz w:val="24"/>
          <w:szCs w:val="24"/>
          <w:lang w:val="fr-FR"/>
        </w:rPr>
        <w:t xml:space="preserve"> </w:t>
      </w:r>
      <w:r w:rsidR="00FF786A" w:rsidRPr="00953692">
        <w:rPr>
          <w:sz w:val="24"/>
          <w:szCs w:val="24"/>
          <w:lang w:val="fr-FR"/>
        </w:rPr>
        <w:t>Toutefois, si</w:t>
      </w:r>
      <w:r w:rsidR="002250A9" w:rsidRPr="00953692">
        <w:rPr>
          <w:sz w:val="24"/>
          <w:szCs w:val="24"/>
          <w:lang w:val="fr-FR"/>
        </w:rPr>
        <w:t xml:space="preserve"> la violation du</w:t>
      </w:r>
      <w:r w:rsidR="00FF786A" w:rsidRPr="00953692">
        <w:rPr>
          <w:b/>
          <w:bCs/>
          <w:i/>
          <w:iCs/>
          <w:sz w:val="24"/>
          <w:szCs w:val="24"/>
          <w:lang w:val="fr-FR"/>
        </w:rPr>
        <w:t xml:space="preserve"> droit de disposer du temps</w:t>
      </w:r>
      <w:r w:rsidR="008C5E99" w:rsidRPr="00953692">
        <w:rPr>
          <w:b/>
          <w:bCs/>
          <w:i/>
          <w:iCs/>
          <w:sz w:val="24"/>
          <w:szCs w:val="24"/>
          <w:lang w:val="fr-FR"/>
        </w:rPr>
        <w:t>… nécessaire</w:t>
      </w:r>
      <w:r w:rsidR="00FF786A" w:rsidRPr="00953692">
        <w:rPr>
          <w:b/>
          <w:bCs/>
          <w:i/>
          <w:iCs/>
          <w:sz w:val="24"/>
          <w:szCs w:val="24"/>
          <w:lang w:val="fr-FR"/>
        </w:rPr>
        <w:t xml:space="preserve"> à la préparation</w:t>
      </w:r>
      <w:r w:rsidR="00FF786A" w:rsidRPr="00953692">
        <w:rPr>
          <w:sz w:val="24"/>
          <w:szCs w:val="24"/>
          <w:lang w:val="fr-FR"/>
        </w:rPr>
        <w:t xml:space="preserve"> n’a pas été expressis verbis soulevé</w:t>
      </w:r>
      <w:r w:rsidR="001D6865" w:rsidRPr="00953692">
        <w:rPr>
          <w:sz w:val="24"/>
          <w:szCs w:val="24"/>
          <w:lang w:val="fr-FR"/>
        </w:rPr>
        <w:t>e</w:t>
      </w:r>
      <w:r w:rsidR="00FF786A" w:rsidRPr="00953692">
        <w:rPr>
          <w:sz w:val="24"/>
          <w:szCs w:val="24"/>
          <w:lang w:val="fr-FR"/>
        </w:rPr>
        <w:t xml:space="preserve">, il est </w:t>
      </w:r>
      <w:r w:rsidR="00376AAF" w:rsidRPr="00953692">
        <w:rPr>
          <w:sz w:val="24"/>
          <w:szCs w:val="24"/>
          <w:lang w:val="fr-FR"/>
        </w:rPr>
        <w:t xml:space="preserve">fort </w:t>
      </w:r>
      <w:r w:rsidR="00FF786A" w:rsidRPr="00953692">
        <w:rPr>
          <w:sz w:val="24"/>
          <w:szCs w:val="24"/>
          <w:lang w:val="fr-FR"/>
        </w:rPr>
        <w:t xml:space="preserve">possible de l’entrevoir à travers l’effet </w:t>
      </w:r>
      <w:r w:rsidR="00221584" w:rsidRPr="00953692">
        <w:rPr>
          <w:sz w:val="24"/>
          <w:szCs w:val="24"/>
          <w:lang w:val="fr-FR"/>
        </w:rPr>
        <w:t xml:space="preserve">dilatoire </w:t>
      </w:r>
      <w:r w:rsidR="00FF786A" w:rsidRPr="00953692">
        <w:rPr>
          <w:sz w:val="24"/>
          <w:szCs w:val="24"/>
          <w:lang w:val="fr-FR"/>
        </w:rPr>
        <w:t>produit par ces péripéties</w:t>
      </w:r>
      <w:r w:rsidR="002250A9" w:rsidRPr="00953692">
        <w:rPr>
          <w:sz w:val="24"/>
          <w:szCs w:val="24"/>
          <w:lang w:val="fr-FR"/>
        </w:rPr>
        <w:t xml:space="preserve"> d’instance</w:t>
      </w:r>
      <w:r w:rsidR="00FF786A" w:rsidRPr="00953692">
        <w:rPr>
          <w:sz w:val="24"/>
          <w:szCs w:val="24"/>
          <w:lang w:val="fr-FR"/>
        </w:rPr>
        <w:t xml:space="preserve"> sur la durée</w:t>
      </w:r>
      <w:r w:rsidR="002250A9" w:rsidRPr="00953692">
        <w:rPr>
          <w:sz w:val="24"/>
          <w:szCs w:val="24"/>
          <w:lang w:val="fr-FR"/>
        </w:rPr>
        <w:t xml:space="preserve"> globale</w:t>
      </w:r>
      <w:r w:rsidR="00FF786A" w:rsidRPr="00953692">
        <w:rPr>
          <w:sz w:val="24"/>
          <w:szCs w:val="24"/>
          <w:lang w:val="fr-FR"/>
        </w:rPr>
        <w:t xml:space="preserve"> du procès</w:t>
      </w:r>
      <w:r w:rsidR="002250A9" w:rsidRPr="00953692">
        <w:rPr>
          <w:sz w:val="24"/>
          <w:szCs w:val="24"/>
          <w:lang w:val="fr-FR"/>
        </w:rPr>
        <w:t xml:space="preserve">. </w:t>
      </w:r>
      <w:r w:rsidR="001D6865" w:rsidRPr="00953692">
        <w:rPr>
          <w:sz w:val="24"/>
          <w:szCs w:val="24"/>
          <w:lang w:val="fr-FR"/>
        </w:rPr>
        <w:t>Dans le cadre d’un procès pénal international</w:t>
      </w:r>
      <w:r w:rsidR="00553BC7" w:rsidRPr="00953692">
        <w:rPr>
          <w:sz w:val="24"/>
          <w:szCs w:val="24"/>
          <w:lang w:val="fr-FR"/>
        </w:rPr>
        <w:t xml:space="preserve"> (marqué par la longue durée)</w:t>
      </w:r>
      <w:r w:rsidR="001D6865" w:rsidRPr="00953692">
        <w:rPr>
          <w:sz w:val="24"/>
          <w:szCs w:val="24"/>
          <w:lang w:val="fr-FR"/>
        </w:rPr>
        <w:t xml:space="preserve"> u</w:t>
      </w:r>
      <w:r w:rsidR="002250A9" w:rsidRPr="00953692">
        <w:rPr>
          <w:sz w:val="24"/>
          <w:szCs w:val="24"/>
          <w:lang w:val="fr-FR"/>
        </w:rPr>
        <w:t xml:space="preserve">n tel effet devient plus évident lorsqu’il est </w:t>
      </w:r>
      <w:r w:rsidR="00FF786A" w:rsidRPr="00953692">
        <w:rPr>
          <w:sz w:val="24"/>
          <w:szCs w:val="24"/>
          <w:lang w:val="fr-FR"/>
        </w:rPr>
        <w:t xml:space="preserve">pris dans le contexte où l’accusé s’est plaint </w:t>
      </w:r>
      <w:r w:rsidR="002250A9" w:rsidRPr="00953692">
        <w:rPr>
          <w:sz w:val="24"/>
          <w:szCs w:val="24"/>
          <w:lang w:val="fr-FR"/>
        </w:rPr>
        <w:t xml:space="preserve">un peu </w:t>
      </w:r>
      <w:r w:rsidR="00FF786A" w:rsidRPr="00953692">
        <w:rPr>
          <w:sz w:val="24"/>
          <w:szCs w:val="24"/>
          <w:lang w:val="fr-FR"/>
        </w:rPr>
        <w:t>plus tard de la violation de son droit d’être jugé sans retard excessif.</w:t>
      </w:r>
    </w:p>
    <w:p w14:paraId="429C33EB" w14:textId="3CD1522F" w:rsidR="00F04053" w:rsidRPr="00953692" w:rsidRDefault="00C35B73" w:rsidP="00864BBF">
      <w:pPr>
        <w:spacing w:after="0" w:line="276" w:lineRule="auto"/>
        <w:ind w:firstLine="1134"/>
        <w:jc w:val="both"/>
        <w:rPr>
          <w:sz w:val="24"/>
          <w:szCs w:val="24"/>
          <w:lang w:val="fr-FR"/>
        </w:rPr>
      </w:pPr>
      <w:r w:rsidRPr="00953692">
        <w:rPr>
          <w:b/>
          <w:bCs/>
          <w:sz w:val="24"/>
          <w:szCs w:val="24"/>
          <w:lang w:val="fr-FR"/>
        </w:rPr>
        <w:t>355</w:t>
      </w:r>
      <w:r w:rsidR="006755D7" w:rsidRPr="00953692">
        <w:rPr>
          <w:b/>
          <w:bCs/>
          <w:sz w:val="24"/>
          <w:szCs w:val="24"/>
          <w:lang w:val="fr-FR"/>
        </w:rPr>
        <w:t>.</w:t>
      </w:r>
      <w:r w:rsidR="006755D7" w:rsidRPr="00953692">
        <w:rPr>
          <w:sz w:val="24"/>
          <w:szCs w:val="24"/>
          <w:lang w:val="fr-FR"/>
        </w:rPr>
        <w:t xml:space="preserve"> </w:t>
      </w:r>
      <w:r w:rsidR="00FF786A" w:rsidRPr="00953692">
        <w:rPr>
          <w:sz w:val="24"/>
          <w:szCs w:val="24"/>
          <w:lang w:val="fr-FR"/>
        </w:rPr>
        <w:t xml:space="preserve">Comme le soutient le Juge Antonetti, la nomination d’un </w:t>
      </w:r>
      <w:r w:rsidR="002250A9" w:rsidRPr="00953692">
        <w:rPr>
          <w:sz w:val="24"/>
          <w:szCs w:val="24"/>
          <w:lang w:val="fr-FR"/>
        </w:rPr>
        <w:t>C</w:t>
      </w:r>
      <w:r w:rsidR="00FF786A" w:rsidRPr="00953692">
        <w:rPr>
          <w:sz w:val="24"/>
          <w:szCs w:val="24"/>
          <w:lang w:val="fr-FR"/>
        </w:rPr>
        <w:t>onseil sans le consentement de l’accusé avait rendu la conduite du procès intenable</w:t>
      </w:r>
      <w:r w:rsidR="003F154A" w:rsidRPr="00953692">
        <w:rPr>
          <w:sz w:val="24"/>
          <w:szCs w:val="24"/>
          <w:lang w:val="fr-FR"/>
        </w:rPr>
        <w:t>, car l’accusé refusait dès ce moment</w:t>
      </w:r>
      <w:r w:rsidR="00753C54" w:rsidRPr="00953692">
        <w:rPr>
          <w:sz w:val="24"/>
          <w:szCs w:val="24"/>
          <w:lang w:val="fr-FR"/>
        </w:rPr>
        <w:t>,</w:t>
      </w:r>
      <w:r w:rsidR="003F154A" w:rsidRPr="00953692">
        <w:rPr>
          <w:sz w:val="24"/>
          <w:szCs w:val="24"/>
          <w:lang w:val="fr-FR"/>
        </w:rPr>
        <w:t xml:space="preserve"> toute communication avec le Tribunal, se mettant </w:t>
      </w:r>
      <w:r w:rsidR="00553BC7" w:rsidRPr="00953692">
        <w:rPr>
          <w:sz w:val="24"/>
          <w:szCs w:val="24"/>
          <w:lang w:val="fr-FR"/>
        </w:rPr>
        <w:t xml:space="preserve">par voie de conséquence </w:t>
      </w:r>
      <w:r w:rsidR="003F154A" w:rsidRPr="00953692">
        <w:rPr>
          <w:sz w:val="24"/>
          <w:szCs w:val="24"/>
          <w:lang w:val="fr-FR"/>
        </w:rPr>
        <w:t>dans l’impossibilité de préparer sa défense.</w:t>
      </w:r>
      <w:r w:rsidR="00FF786A" w:rsidRPr="00953692">
        <w:rPr>
          <w:sz w:val="24"/>
          <w:szCs w:val="24"/>
          <w:lang w:val="fr-FR"/>
        </w:rPr>
        <w:t xml:space="preserve"> </w:t>
      </w:r>
      <w:r w:rsidR="003F154A" w:rsidRPr="00953692">
        <w:rPr>
          <w:sz w:val="24"/>
          <w:szCs w:val="24"/>
          <w:lang w:val="fr-FR"/>
        </w:rPr>
        <w:t>Le fait pour la Chambre de première instance de ne pas comprendre cela et les deux décisions d’information de la Chambre d’appel montre</w:t>
      </w:r>
      <w:r w:rsidR="00553BC7" w:rsidRPr="00953692">
        <w:rPr>
          <w:sz w:val="24"/>
          <w:szCs w:val="24"/>
          <w:lang w:val="fr-FR"/>
        </w:rPr>
        <w:t>nt</w:t>
      </w:r>
      <w:r w:rsidR="003F154A" w:rsidRPr="00953692">
        <w:rPr>
          <w:sz w:val="24"/>
          <w:szCs w:val="24"/>
          <w:lang w:val="fr-FR"/>
        </w:rPr>
        <w:t xml:space="preserve"> en plus que le droit de l’accusé de se défendre lui-même avait </w:t>
      </w:r>
      <w:r w:rsidR="00901C8E" w:rsidRPr="00953692">
        <w:rPr>
          <w:sz w:val="24"/>
          <w:szCs w:val="24"/>
          <w:lang w:val="fr-FR"/>
        </w:rPr>
        <w:t>été, dans une certaine mesure, violé.</w:t>
      </w:r>
      <w:r w:rsidR="00F04053" w:rsidRPr="00953692">
        <w:rPr>
          <w:sz w:val="24"/>
          <w:szCs w:val="24"/>
          <w:lang w:val="fr-FR"/>
        </w:rPr>
        <w:t xml:space="preserve"> Et pendant tout ce temps</w:t>
      </w:r>
      <w:r w:rsidR="00064B51" w:rsidRPr="00953692">
        <w:rPr>
          <w:sz w:val="24"/>
          <w:szCs w:val="24"/>
          <w:lang w:val="fr-FR"/>
        </w:rPr>
        <w:t>,</w:t>
      </w:r>
      <w:r w:rsidR="00F04053" w:rsidRPr="00953692">
        <w:rPr>
          <w:sz w:val="24"/>
          <w:szCs w:val="24"/>
          <w:lang w:val="fr-FR"/>
        </w:rPr>
        <w:t xml:space="preserve"> jusqu’à son rétablissement </w:t>
      </w:r>
      <w:r w:rsidR="00553BC7" w:rsidRPr="00953692">
        <w:rPr>
          <w:sz w:val="24"/>
          <w:szCs w:val="24"/>
          <w:lang w:val="fr-FR"/>
        </w:rPr>
        <w:t xml:space="preserve">dans son droit </w:t>
      </w:r>
      <w:r w:rsidR="00F04053" w:rsidRPr="00953692">
        <w:rPr>
          <w:sz w:val="24"/>
          <w:szCs w:val="24"/>
          <w:lang w:val="fr-FR"/>
        </w:rPr>
        <w:t>après la décision de la Chambre d’appel, le procès avait été suspendu</w:t>
      </w:r>
      <w:r w:rsidR="00141248" w:rsidRPr="00953692">
        <w:rPr>
          <w:sz w:val="24"/>
          <w:szCs w:val="24"/>
          <w:lang w:val="fr-FR"/>
        </w:rPr>
        <w:t xml:space="preserve"> jusqu’en mars 2007</w:t>
      </w:r>
      <w:r w:rsidR="00F04053" w:rsidRPr="00953692">
        <w:rPr>
          <w:sz w:val="24"/>
          <w:szCs w:val="24"/>
          <w:lang w:val="fr-FR"/>
        </w:rPr>
        <w:t xml:space="preserve">, </w:t>
      </w:r>
      <w:r w:rsidR="00141248" w:rsidRPr="00953692">
        <w:rPr>
          <w:sz w:val="24"/>
          <w:szCs w:val="24"/>
          <w:lang w:val="fr-FR"/>
        </w:rPr>
        <w:t>alors que dès 2008</w:t>
      </w:r>
      <w:r w:rsidR="003D192E" w:rsidRPr="00953692">
        <w:rPr>
          <w:sz w:val="24"/>
          <w:szCs w:val="24"/>
          <w:lang w:val="fr-FR"/>
        </w:rPr>
        <w:t>,</w:t>
      </w:r>
      <w:r w:rsidR="00141248" w:rsidRPr="00953692">
        <w:rPr>
          <w:sz w:val="24"/>
          <w:szCs w:val="24"/>
          <w:lang w:val="fr-FR"/>
        </w:rPr>
        <w:t xml:space="preserve"> l’a</w:t>
      </w:r>
      <w:r w:rsidR="002250A9" w:rsidRPr="00953692">
        <w:rPr>
          <w:sz w:val="24"/>
          <w:szCs w:val="24"/>
          <w:lang w:val="fr-FR"/>
        </w:rPr>
        <w:t>ccusé</w:t>
      </w:r>
      <w:r w:rsidR="00141248" w:rsidRPr="00953692">
        <w:rPr>
          <w:sz w:val="24"/>
          <w:szCs w:val="24"/>
          <w:lang w:val="fr-FR"/>
        </w:rPr>
        <w:t xml:space="preserve"> </w:t>
      </w:r>
      <w:r w:rsidR="002250A9" w:rsidRPr="00953692">
        <w:rPr>
          <w:sz w:val="24"/>
          <w:szCs w:val="24"/>
          <w:lang w:val="fr-FR"/>
        </w:rPr>
        <w:t>commençai</w:t>
      </w:r>
      <w:r w:rsidR="005F45DD" w:rsidRPr="00953692">
        <w:rPr>
          <w:sz w:val="24"/>
          <w:szCs w:val="24"/>
          <w:lang w:val="fr-FR"/>
        </w:rPr>
        <w:t>t</w:t>
      </w:r>
      <w:r w:rsidR="002250A9" w:rsidRPr="00953692">
        <w:rPr>
          <w:sz w:val="24"/>
          <w:szCs w:val="24"/>
          <w:lang w:val="fr-FR"/>
        </w:rPr>
        <w:t xml:space="preserve"> déjà</w:t>
      </w:r>
      <w:r w:rsidR="00141248" w:rsidRPr="00953692">
        <w:rPr>
          <w:sz w:val="24"/>
          <w:szCs w:val="24"/>
          <w:lang w:val="fr-FR"/>
        </w:rPr>
        <w:t xml:space="preserve"> à se plaindre de la longue durée de la procédure. </w:t>
      </w:r>
      <w:r w:rsidR="0043025C" w:rsidRPr="00953692">
        <w:rPr>
          <w:sz w:val="24"/>
          <w:szCs w:val="24"/>
          <w:lang w:val="fr-FR"/>
        </w:rPr>
        <w:t xml:space="preserve">Il va sans dire qu’en prenant en compte la durée de </w:t>
      </w:r>
      <w:r w:rsidR="005F45DD" w:rsidRPr="00953692">
        <w:rPr>
          <w:sz w:val="24"/>
          <w:szCs w:val="24"/>
          <w:lang w:val="fr-FR"/>
        </w:rPr>
        <w:t>huit</w:t>
      </w:r>
      <w:r w:rsidR="0043025C" w:rsidRPr="00953692">
        <w:rPr>
          <w:sz w:val="24"/>
          <w:szCs w:val="24"/>
          <w:lang w:val="fr-FR"/>
        </w:rPr>
        <w:t xml:space="preserve"> ans pour prétendre à la violation de son droit d’être jugé sans retard excessif, l’accusé ou la Chambre ne peut exclure ce </w:t>
      </w:r>
      <w:r w:rsidR="006755D7" w:rsidRPr="00953692">
        <w:rPr>
          <w:sz w:val="24"/>
          <w:szCs w:val="24"/>
          <w:lang w:val="fr-FR"/>
        </w:rPr>
        <w:t xml:space="preserve">temps </w:t>
      </w:r>
      <w:r w:rsidR="0043025C" w:rsidRPr="00953692">
        <w:rPr>
          <w:sz w:val="24"/>
          <w:szCs w:val="24"/>
          <w:lang w:val="fr-FR"/>
        </w:rPr>
        <w:t>particulier qui a aussi émaillé le procès et contribué au prolongement de sa durée.</w:t>
      </w:r>
    </w:p>
    <w:p w14:paraId="567C5389" w14:textId="6BE109FC" w:rsidR="00757E6C" w:rsidRPr="00953692" w:rsidRDefault="00C35B73" w:rsidP="00864BBF">
      <w:pPr>
        <w:spacing w:after="0" w:line="276" w:lineRule="auto"/>
        <w:ind w:firstLine="1134"/>
        <w:jc w:val="both"/>
        <w:rPr>
          <w:sz w:val="24"/>
          <w:szCs w:val="24"/>
          <w:lang w:val="fr-FR"/>
        </w:rPr>
      </w:pPr>
      <w:r w:rsidRPr="00953692">
        <w:rPr>
          <w:b/>
          <w:bCs/>
          <w:sz w:val="24"/>
          <w:szCs w:val="24"/>
          <w:lang w:val="fr-FR"/>
        </w:rPr>
        <w:t>356</w:t>
      </w:r>
      <w:r w:rsidR="006755D7" w:rsidRPr="00953692">
        <w:rPr>
          <w:b/>
          <w:bCs/>
          <w:sz w:val="24"/>
          <w:szCs w:val="24"/>
          <w:lang w:val="fr-FR"/>
        </w:rPr>
        <w:t>.</w:t>
      </w:r>
      <w:r w:rsidR="006755D7" w:rsidRPr="00953692">
        <w:rPr>
          <w:sz w:val="24"/>
          <w:szCs w:val="24"/>
          <w:lang w:val="fr-FR"/>
        </w:rPr>
        <w:t xml:space="preserve"> </w:t>
      </w:r>
      <w:r w:rsidR="00935DA0" w:rsidRPr="00953692">
        <w:rPr>
          <w:sz w:val="24"/>
          <w:szCs w:val="24"/>
          <w:lang w:val="fr-FR"/>
        </w:rPr>
        <w:t xml:space="preserve">Dans ce sens, l’accusé </w:t>
      </w:r>
      <w:r w:rsidR="00D64D1A" w:rsidRPr="00953692">
        <w:rPr>
          <w:sz w:val="24"/>
          <w:szCs w:val="24"/>
          <w:lang w:val="fr-FR"/>
        </w:rPr>
        <w:t>aurait pu</w:t>
      </w:r>
      <w:r w:rsidR="00935DA0" w:rsidRPr="00953692">
        <w:rPr>
          <w:sz w:val="24"/>
          <w:szCs w:val="24"/>
          <w:lang w:val="fr-FR"/>
        </w:rPr>
        <w:t xml:space="preserve"> se fonder sur les erreurs commises par la Chambre de première instance, comme les attestent les décisions de la Chambre d’appel</w:t>
      </w:r>
      <w:r w:rsidR="00553BC7" w:rsidRPr="00953692">
        <w:rPr>
          <w:sz w:val="24"/>
          <w:szCs w:val="24"/>
          <w:lang w:val="fr-FR"/>
        </w:rPr>
        <w:t>,</w:t>
      </w:r>
      <w:r w:rsidR="00935DA0" w:rsidRPr="00953692">
        <w:rPr>
          <w:sz w:val="24"/>
          <w:szCs w:val="24"/>
          <w:lang w:val="fr-FR"/>
        </w:rPr>
        <w:t xml:space="preserve"> en vue de </w:t>
      </w:r>
      <w:r w:rsidR="00D64D1A" w:rsidRPr="00953692">
        <w:rPr>
          <w:sz w:val="24"/>
          <w:szCs w:val="24"/>
          <w:lang w:val="fr-FR"/>
        </w:rPr>
        <w:t>constituer</w:t>
      </w:r>
      <w:r w:rsidR="00935DA0" w:rsidRPr="00953692">
        <w:rPr>
          <w:sz w:val="24"/>
          <w:szCs w:val="24"/>
          <w:lang w:val="fr-FR"/>
        </w:rPr>
        <w:t xml:space="preserve"> son argumentaire sur la violation de son droit d’un procès dans le délai raisonnable. D’ailleurs, dans son opinion individuelle, le juge Antonetti</w:t>
      </w:r>
      <w:r w:rsidR="00D64D1A" w:rsidRPr="00953692">
        <w:rPr>
          <w:sz w:val="24"/>
          <w:szCs w:val="24"/>
          <w:lang w:val="fr-FR"/>
        </w:rPr>
        <w:t>, alors membre de la composition,</w:t>
      </w:r>
      <w:r w:rsidR="00935DA0" w:rsidRPr="00953692">
        <w:rPr>
          <w:sz w:val="24"/>
          <w:szCs w:val="24"/>
          <w:lang w:val="fr-FR"/>
        </w:rPr>
        <w:t xml:space="preserve"> a</w:t>
      </w:r>
      <w:r w:rsidR="00D64D1A" w:rsidRPr="00953692">
        <w:rPr>
          <w:sz w:val="24"/>
          <w:szCs w:val="24"/>
          <w:lang w:val="fr-FR"/>
        </w:rPr>
        <w:t>vait</w:t>
      </w:r>
      <w:r w:rsidR="00935DA0" w:rsidRPr="00953692">
        <w:rPr>
          <w:sz w:val="24"/>
          <w:szCs w:val="24"/>
          <w:lang w:val="fr-FR"/>
        </w:rPr>
        <w:t xml:space="preserve"> clairement fustigé cette attitude de la Chambre de première instance</w:t>
      </w:r>
      <w:r w:rsidR="00D64D1A" w:rsidRPr="00953692">
        <w:rPr>
          <w:sz w:val="24"/>
          <w:szCs w:val="24"/>
          <w:lang w:val="fr-FR"/>
        </w:rPr>
        <w:t xml:space="preserve"> ayant expliqué qu’elle avait considérablement contribué au retard qu’avait connu ce procès</w:t>
      </w:r>
      <w:r w:rsidR="009A566E" w:rsidRPr="00953692">
        <w:rPr>
          <w:rStyle w:val="Appelnotedebasdep"/>
          <w:sz w:val="24"/>
          <w:szCs w:val="24"/>
          <w:lang w:val="fr-FR"/>
        </w:rPr>
        <w:footnoteReference w:customMarkFollows="1" w:id="275"/>
        <w:t>251</w:t>
      </w:r>
      <w:r w:rsidR="00935DA0" w:rsidRPr="00953692">
        <w:rPr>
          <w:sz w:val="24"/>
          <w:szCs w:val="24"/>
          <w:lang w:val="fr-FR"/>
        </w:rPr>
        <w:t>.</w:t>
      </w:r>
    </w:p>
    <w:p w14:paraId="530F3F14" w14:textId="034AD5A3" w:rsidR="00DC7A2D" w:rsidRPr="00953692" w:rsidRDefault="00C35B73" w:rsidP="00864BBF">
      <w:pPr>
        <w:spacing w:after="0" w:line="276" w:lineRule="auto"/>
        <w:ind w:firstLine="1134"/>
        <w:jc w:val="both"/>
        <w:rPr>
          <w:sz w:val="24"/>
          <w:szCs w:val="24"/>
          <w:lang w:val="fr-FR"/>
        </w:rPr>
      </w:pPr>
      <w:r w:rsidRPr="00953692">
        <w:rPr>
          <w:b/>
          <w:bCs/>
          <w:sz w:val="24"/>
          <w:szCs w:val="24"/>
          <w:lang w:val="fr-FR"/>
        </w:rPr>
        <w:lastRenderedPageBreak/>
        <w:t>357</w:t>
      </w:r>
      <w:r w:rsidR="00C84332" w:rsidRPr="00953692">
        <w:rPr>
          <w:b/>
          <w:bCs/>
          <w:sz w:val="24"/>
          <w:szCs w:val="24"/>
          <w:lang w:val="fr-FR"/>
        </w:rPr>
        <w:t>.</w:t>
      </w:r>
      <w:r w:rsidR="00C84332" w:rsidRPr="00953692">
        <w:rPr>
          <w:sz w:val="24"/>
          <w:szCs w:val="24"/>
          <w:lang w:val="fr-FR"/>
        </w:rPr>
        <w:t xml:space="preserve"> </w:t>
      </w:r>
      <w:r w:rsidR="00B7594A" w:rsidRPr="00953692">
        <w:rPr>
          <w:sz w:val="24"/>
          <w:szCs w:val="24"/>
          <w:lang w:val="fr-FR"/>
        </w:rPr>
        <w:t>Force est de constater pratiquement qu</w:t>
      </w:r>
      <w:r w:rsidR="00C84332" w:rsidRPr="00953692">
        <w:rPr>
          <w:sz w:val="24"/>
          <w:szCs w:val="24"/>
          <w:lang w:val="fr-FR"/>
        </w:rPr>
        <w:t>e</w:t>
      </w:r>
      <w:r w:rsidR="00B7594A" w:rsidRPr="00953692">
        <w:rPr>
          <w:sz w:val="24"/>
          <w:szCs w:val="24"/>
          <w:lang w:val="fr-FR"/>
        </w:rPr>
        <w:t>,</w:t>
      </w:r>
      <w:r w:rsidR="00C84332" w:rsidRPr="00953692">
        <w:rPr>
          <w:sz w:val="24"/>
          <w:szCs w:val="24"/>
          <w:lang w:val="fr-FR"/>
        </w:rPr>
        <w:t xml:space="preserve"> droit de disposer du temps nécessaire à la préparation de sa défense est par son essence même opposable </w:t>
      </w:r>
      <w:r w:rsidR="00F56BB0" w:rsidRPr="00953692">
        <w:rPr>
          <w:sz w:val="24"/>
          <w:szCs w:val="24"/>
          <w:lang w:val="fr-FR"/>
        </w:rPr>
        <w:t xml:space="preserve">au délai raisonnable, dont il faut rappeler la célérité comme fondement. </w:t>
      </w:r>
      <w:r w:rsidR="00237BBD" w:rsidRPr="00953692">
        <w:rPr>
          <w:sz w:val="24"/>
          <w:szCs w:val="24"/>
          <w:lang w:val="fr-FR"/>
        </w:rPr>
        <w:t xml:space="preserve">Cette opposition et aussi l’opposabilité résultent du besoin </w:t>
      </w:r>
      <w:r w:rsidR="00993BA6" w:rsidRPr="00953692">
        <w:rPr>
          <w:sz w:val="24"/>
          <w:szCs w:val="24"/>
          <w:lang w:val="fr-FR"/>
        </w:rPr>
        <w:t>qu’éprouve naturellement</w:t>
      </w:r>
      <w:r w:rsidR="00237BBD" w:rsidRPr="00953692">
        <w:rPr>
          <w:sz w:val="24"/>
          <w:szCs w:val="24"/>
          <w:lang w:val="fr-FR"/>
        </w:rPr>
        <w:t xml:space="preserve"> l’accusé de ne pas avancer dans un procès sans fars ni rétroviseurs</w:t>
      </w:r>
      <w:r w:rsidR="001B6147" w:rsidRPr="00953692">
        <w:rPr>
          <w:sz w:val="24"/>
          <w:szCs w:val="24"/>
          <w:lang w:val="fr-FR"/>
        </w:rPr>
        <w:t>,</w:t>
      </w:r>
      <w:r w:rsidR="000F4863" w:rsidRPr="00953692">
        <w:rPr>
          <w:sz w:val="24"/>
          <w:szCs w:val="24"/>
          <w:lang w:val="fr-FR"/>
        </w:rPr>
        <w:t xml:space="preserve"> encore moins un tableau de bord</w:t>
      </w:r>
      <w:r w:rsidR="006E24EB" w:rsidRPr="00953692">
        <w:rPr>
          <w:sz w:val="24"/>
          <w:szCs w:val="24"/>
          <w:lang w:val="fr-FR"/>
        </w:rPr>
        <w:t xml:space="preserve"> clair</w:t>
      </w:r>
      <w:r w:rsidR="00237BBD" w:rsidRPr="00953692">
        <w:rPr>
          <w:sz w:val="24"/>
          <w:szCs w:val="24"/>
          <w:lang w:val="fr-FR"/>
        </w:rPr>
        <w:t xml:space="preserve">. </w:t>
      </w:r>
      <w:r w:rsidR="000F4863" w:rsidRPr="00953692">
        <w:rPr>
          <w:sz w:val="24"/>
          <w:szCs w:val="24"/>
          <w:lang w:val="fr-FR"/>
        </w:rPr>
        <w:t>Ceci reste valable à chaque fois que quelque chose de substantiel change</w:t>
      </w:r>
      <w:r w:rsidR="006E24EB" w:rsidRPr="00953692">
        <w:rPr>
          <w:sz w:val="24"/>
          <w:szCs w:val="24"/>
          <w:lang w:val="fr-FR"/>
        </w:rPr>
        <w:t>, notamment dans l’acte d’accusation</w:t>
      </w:r>
      <w:r w:rsidR="000F4863" w:rsidRPr="00953692">
        <w:rPr>
          <w:sz w:val="24"/>
          <w:szCs w:val="24"/>
          <w:lang w:val="fr-FR"/>
        </w:rPr>
        <w:t>, telles</w:t>
      </w:r>
      <w:r w:rsidR="006E24EB" w:rsidRPr="00953692">
        <w:rPr>
          <w:sz w:val="24"/>
          <w:szCs w:val="24"/>
          <w:lang w:val="fr-FR"/>
        </w:rPr>
        <w:t xml:space="preserve"> que</w:t>
      </w:r>
      <w:r w:rsidR="000F4863" w:rsidRPr="00953692">
        <w:rPr>
          <w:sz w:val="24"/>
          <w:szCs w:val="24"/>
          <w:lang w:val="fr-FR"/>
        </w:rPr>
        <w:t xml:space="preserve"> les charges ou les preuves. L’allusion est faite ici en matière de modification de l’acte d’accusation</w:t>
      </w:r>
      <w:r w:rsidR="00DC7A2D" w:rsidRPr="00953692">
        <w:rPr>
          <w:sz w:val="24"/>
          <w:szCs w:val="24"/>
          <w:lang w:val="fr-FR"/>
        </w:rPr>
        <w:t xml:space="preserve"> par le procureur qui implique, notamment des charges nouvelles et des nouveaux éléments de preuve</w:t>
      </w:r>
      <w:r w:rsidR="00F42E18" w:rsidRPr="00953692">
        <w:rPr>
          <w:sz w:val="24"/>
          <w:szCs w:val="24"/>
          <w:lang w:val="fr-FR"/>
        </w:rPr>
        <w:t xml:space="preserve">. </w:t>
      </w:r>
    </w:p>
    <w:p w14:paraId="3813A375" w14:textId="5862EC5C" w:rsidR="003D192E" w:rsidRPr="00953692" w:rsidRDefault="00C35B73" w:rsidP="00864BBF">
      <w:pPr>
        <w:spacing w:after="0" w:line="276" w:lineRule="auto"/>
        <w:ind w:firstLine="1134"/>
        <w:jc w:val="both"/>
        <w:rPr>
          <w:sz w:val="24"/>
          <w:szCs w:val="24"/>
          <w:lang w:val="fr-FR"/>
        </w:rPr>
      </w:pPr>
      <w:r w:rsidRPr="00953692">
        <w:rPr>
          <w:b/>
          <w:bCs/>
          <w:sz w:val="24"/>
          <w:szCs w:val="24"/>
          <w:lang w:val="fr-FR"/>
        </w:rPr>
        <w:t>358</w:t>
      </w:r>
      <w:r w:rsidR="00DC7A2D" w:rsidRPr="00953692">
        <w:rPr>
          <w:b/>
          <w:bCs/>
          <w:sz w:val="24"/>
          <w:szCs w:val="24"/>
          <w:lang w:val="fr-FR"/>
        </w:rPr>
        <w:t>.</w:t>
      </w:r>
      <w:r w:rsidR="00DC7A2D" w:rsidRPr="00953692">
        <w:rPr>
          <w:sz w:val="24"/>
          <w:szCs w:val="24"/>
          <w:lang w:val="fr-FR"/>
        </w:rPr>
        <w:t xml:space="preserve"> En fait, p</w:t>
      </w:r>
      <w:r w:rsidR="006E24EB" w:rsidRPr="00953692">
        <w:rPr>
          <w:sz w:val="24"/>
          <w:szCs w:val="24"/>
          <w:lang w:val="fr-FR"/>
        </w:rPr>
        <w:t>our autoriser cette modification, l</w:t>
      </w:r>
      <w:r w:rsidR="00946BDB" w:rsidRPr="00953692">
        <w:rPr>
          <w:sz w:val="24"/>
          <w:szCs w:val="24"/>
          <w:lang w:val="fr-FR"/>
        </w:rPr>
        <w:t>a jurisprudence des</w:t>
      </w:r>
      <w:r w:rsidR="006E24EB" w:rsidRPr="00953692">
        <w:rPr>
          <w:sz w:val="24"/>
          <w:szCs w:val="24"/>
          <w:lang w:val="fr-FR"/>
        </w:rPr>
        <w:t xml:space="preserve"> TPI </w:t>
      </w:r>
      <w:r w:rsidR="00160027" w:rsidRPr="00953692">
        <w:rPr>
          <w:sz w:val="24"/>
          <w:szCs w:val="24"/>
          <w:lang w:val="fr-FR"/>
        </w:rPr>
        <w:t>indique que les juges de première instance prendront en compte le préjudice qui en résulterait</w:t>
      </w:r>
      <w:r w:rsidR="00CE3D77" w:rsidRPr="00953692">
        <w:rPr>
          <w:sz w:val="24"/>
          <w:szCs w:val="24"/>
          <w:lang w:val="fr-FR"/>
        </w:rPr>
        <w:t xml:space="preserve"> à l’égard de l’accusé</w:t>
      </w:r>
      <w:r w:rsidR="00160027" w:rsidRPr="00953692">
        <w:rPr>
          <w:sz w:val="24"/>
          <w:szCs w:val="24"/>
          <w:lang w:val="fr-FR"/>
        </w:rPr>
        <w:t>, précisément en ce qui</w:t>
      </w:r>
      <w:r w:rsidR="001B6147" w:rsidRPr="00953692">
        <w:rPr>
          <w:sz w:val="24"/>
          <w:szCs w:val="24"/>
          <w:lang w:val="fr-FR"/>
        </w:rPr>
        <w:t xml:space="preserve"> concerne</w:t>
      </w:r>
      <w:r w:rsidR="00160027" w:rsidRPr="00953692">
        <w:rPr>
          <w:sz w:val="24"/>
          <w:szCs w:val="24"/>
          <w:lang w:val="fr-FR"/>
        </w:rPr>
        <w:t xml:space="preserve"> le temps qu’il </w:t>
      </w:r>
      <w:r w:rsidR="00CE3D77" w:rsidRPr="00953692">
        <w:rPr>
          <w:sz w:val="24"/>
          <w:szCs w:val="24"/>
          <w:lang w:val="fr-FR"/>
        </w:rPr>
        <w:t xml:space="preserve">lui </w:t>
      </w:r>
      <w:r w:rsidR="00160027" w:rsidRPr="00953692">
        <w:rPr>
          <w:sz w:val="24"/>
          <w:szCs w:val="24"/>
          <w:lang w:val="fr-FR"/>
        </w:rPr>
        <w:t xml:space="preserve">faudra </w:t>
      </w:r>
      <w:r w:rsidR="00CE3D77" w:rsidRPr="00953692">
        <w:rPr>
          <w:sz w:val="24"/>
          <w:szCs w:val="24"/>
          <w:lang w:val="fr-FR"/>
        </w:rPr>
        <w:t>pour</w:t>
      </w:r>
      <w:r w:rsidR="00160027" w:rsidRPr="00953692">
        <w:rPr>
          <w:sz w:val="24"/>
          <w:szCs w:val="24"/>
          <w:lang w:val="fr-FR"/>
        </w:rPr>
        <w:t xml:space="preserve"> préparer ses moyens de défense </w:t>
      </w:r>
      <w:r w:rsidR="00CE3D77" w:rsidRPr="00953692">
        <w:rPr>
          <w:sz w:val="24"/>
          <w:szCs w:val="24"/>
          <w:lang w:val="fr-FR"/>
        </w:rPr>
        <w:t>relativement</w:t>
      </w:r>
      <w:r w:rsidR="00160027" w:rsidRPr="00953692">
        <w:rPr>
          <w:sz w:val="24"/>
          <w:szCs w:val="24"/>
          <w:lang w:val="fr-FR"/>
        </w:rPr>
        <w:t xml:space="preserve"> à la modification proposée</w:t>
      </w:r>
      <w:r w:rsidR="009A566E" w:rsidRPr="00953692">
        <w:rPr>
          <w:rStyle w:val="Appelnotedebasdep"/>
          <w:sz w:val="24"/>
          <w:szCs w:val="24"/>
          <w:lang w:val="fr-FR"/>
        </w:rPr>
        <w:footnoteReference w:customMarkFollows="1" w:id="276"/>
        <w:t>252</w:t>
      </w:r>
      <w:r w:rsidR="00160027" w:rsidRPr="00953692">
        <w:rPr>
          <w:sz w:val="24"/>
          <w:szCs w:val="24"/>
          <w:lang w:val="fr-FR"/>
        </w:rPr>
        <w:t>.</w:t>
      </w:r>
      <w:r w:rsidR="00C00D6E" w:rsidRPr="00953692">
        <w:rPr>
          <w:sz w:val="24"/>
          <w:szCs w:val="24"/>
          <w:lang w:val="fr-FR"/>
        </w:rPr>
        <w:t xml:space="preserve"> Les juges des TPI évoquent </w:t>
      </w:r>
      <w:r w:rsidR="00C00D6E" w:rsidRPr="00953692">
        <w:rPr>
          <w:i/>
          <w:iCs/>
          <w:sz w:val="24"/>
          <w:szCs w:val="24"/>
          <w:lang w:val="fr-FR"/>
        </w:rPr>
        <w:t>‘’une pénalisation injuste</w:t>
      </w:r>
      <w:r w:rsidR="009A566E" w:rsidRPr="00953692">
        <w:rPr>
          <w:rStyle w:val="Appelnotedebasdep"/>
          <w:sz w:val="24"/>
          <w:szCs w:val="24"/>
          <w:lang w:val="fr-FR"/>
        </w:rPr>
        <w:footnoteReference w:customMarkFollows="1" w:id="277"/>
        <w:t>253</w:t>
      </w:r>
      <w:r w:rsidR="00C00D6E" w:rsidRPr="00953692">
        <w:rPr>
          <w:sz w:val="24"/>
          <w:szCs w:val="24"/>
          <w:lang w:val="fr-FR"/>
        </w:rPr>
        <w:t>’’ pour désigner</w:t>
      </w:r>
      <w:r w:rsidR="00B96A42" w:rsidRPr="00953692">
        <w:rPr>
          <w:sz w:val="24"/>
          <w:szCs w:val="24"/>
          <w:lang w:val="fr-FR"/>
        </w:rPr>
        <w:t xml:space="preserve"> </w:t>
      </w:r>
      <w:r w:rsidR="00C00D6E" w:rsidRPr="00953692">
        <w:rPr>
          <w:sz w:val="24"/>
          <w:szCs w:val="24"/>
          <w:lang w:val="fr-FR"/>
        </w:rPr>
        <w:t>soit, que l’accusé, n’étant pas informé à temps</w:t>
      </w:r>
      <w:r w:rsidR="00B96A42" w:rsidRPr="00953692">
        <w:rPr>
          <w:sz w:val="24"/>
          <w:szCs w:val="24"/>
          <w:lang w:val="fr-FR"/>
        </w:rPr>
        <w:t>,</w:t>
      </w:r>
      <w:r w:rsidR="00C00D6E" w:rsidRPr="00953692">
        <w:rPr>
          <w:sz w:val="24"/>
          <w:szCs w:val="24"/>
          <w:lang w:val="fr-FR"/>
        </w:rPr>
        <w:t xml:space="preserve"> n’a pas eu le temps de préparation nécessaire</w:t>
      </w:r>
      <w:r w:rsidR="00553BC7" w:rsidRPr="00953692">
        <w:rPr>
          <w:sz w:val="24"/>
          <w:szCs w:val="24"/>
          <w:lang w:val="fr-FR"/>
        </w:rPr>
        <w:t xml:space="preserve"> de sa défense</w:t>
      </w:r>
      <w:r w:rsidR="00C00D6E" w:rsidRPr="00953692">
        <w:rPr>
          <w:sz w:val="24"/>
          <w:szCs w:val="24"/>
          <w:lang w:val="fr-FR"/>
        </w:rPr>
        <w:t xml:space="preserve"> soit</w:t>
      </w:r>
      <w:r w:rsidR="00553BC7" w:rsidRPr="00953692">
        <w:rPr>
          <w:sz w:val="24"/>
          <w:szCs w:val="24"/>
          <w:lang w:val="fr-FR"/>
        </w:rPr>
        <w:t>,</w:t>
      </w:r>
      <w:r w:rsidR="00C00D6E" w:rsidRPr="00953692">
        <w:rPr>
          <w:sz w:val="24"/>
          <w:szCs w:val="24"/>
          <w:lang w:val="fr-FR"/>
        </w:rPr>
        <w:t xml:space="preserve"> que la modification exigerait beaucoup plus de temps et occasionnerait par-là un retard excessif. Ce qui entre particulièrement dans le champ d’application du délai raisonnable, tel que circonscrit en droit international pénal. </w:t>
      </w:r>
      <w:r w:rsidR="00DC7A2D" w:rsidRPr="00953692">
        <w:rPr>
          <w:sz w:val="24"/>
          <w:szCs w:val="24"/>
          <w:lang w:val="fr-FR"/>
        </w:rPr>
        <w:t>En réalité, le problème n’est pas la modification en soi ni la réalisation du droit de disposer du temps et des moyens nécessaires à la préparation de sa défense, mais le retard excessif, que ceci serait susceptible d’occasionner en défaveur de l’accusé.</w:t>
      </w:r>
    </w:p>
    <w:p w14:paraId="5C049B37" w14:textId="58255506" w:rsidR="00BC1362" w:rsidRPr="00953692" w:rsidRDefault="00C35B73" w:rsidP="009A566E">
      <w:pPr>
        <w:spacing w:after="0" w:line="276" w:lineRule="auto"/>
        <w:ind w:firstLine="1134"/>
        <w:jc w:val="both"/>
        <w:rPr>
          <w:sz w:val="24"/>
          <w:szCs w:val="24"/>
          <w:lang w:val="fr-FR"/>
        </w:rPr>
      </w:pPr>
      <w:r w:rsidRPr="00953692">
        <w:rPr>
          <w:b/>
          <w:bCs/>
          <w:sz w:val="24"/>
          <w:szCs w:val="24"/>
          <w:lang w:val="fr-FR"/>
        </w:rPr>
        <w:t>359</w:t>
      </w:r>
      <w:r w:rsidR="00F42E18" w:rsidRPr="00953692">
        <w:rPr>
          <w:b/>
          <w:bCs/>
          <w:sz w:val="24"/>
          <w:szCs w:val="24"/>
          <w:lang w:val="fr-FR"/>
        </w:rPr>
        <w:t>.</w:t>
      </w:r>
      <w:r w:rsidR="00F42E18" w:rsidRPr="00953692">
        <w:rPr>
          <w:sz w:val="24"/>
          <w:szCs w:val="24"/>
          <w:lang w:val="fr-FR"/>
        </w:rPr>
        <w:t xml:space="preserve"> Il en découle </w:t>
      </w:r>
      <w:r w:rsidR="006A377A" w:rsidRPr="00953692">
        <w:rPr>
          <w:sz w:val="24"/>
          <w:szCs w:val="24"/>
          <w:lang w:val="fr-FR"/>
        </w:rPr>
        <w:t xml:space="preserve">enfin </w:t>
      </w:r>
      <w:r w:rsidR="00F42E18" w:rsidRPr="00953692">
        <w:rPr>
          <w:sz w:val="24"/>
          <w:szCs w:val="24"/>
          <w:lang w:val="fr-FR"/>
        </w:rPr>
        <w:t>que l’accusé peut invoquer la violation du délai raisonnable du procès sur fondement de cette contrainte à laquelle il a été (ou il serait) confronté</w:t>
      </w:r>
      <w:r w:rsidR="006A377A" w:rsidRPr="00953692">
        <w:rPr>
          <w:sz w:val="24"/>
          <w:szCs w:val="24"/>
          <w:lang w:val="fr-FR"/>
        </w:rPr>
        <w:t xml:space="preserve"> durant le procès</w:t>
      </w:r>
      <w:r w:rsidR="00F42E18" w:rsidRPr="00953692">
        <w:rPr>
          <w:sz w:val="24"/>
          <w:szCs w:val="24"/>
          <w:lang w:val="fr-FR"/>
        </w:rPr>
        <w:t xml:space="preserve">, par le seul fait de la modification de l’acte d’accusation et conséquemment de son propre droit de disposer du temps supplémentaire à la préparation de sa défense. </w:t>
      </w:r>
      <w:r w:rsidR="00C00D6E" w:rsidRPr="00953692">
        <w:rPr>
          <w:sz w:val="24"/>
          <w:szCs w:val="24"/>
          <w:lang w:val="fr-FR"/>
        </w:rPr>
        <w:t>On y voit donc le surgissement d’un</w:t>
      </w:r>
      <w:r w:rsidR="006A377A" w:rsidRPr="00953692">
        <w:rPr>
          <w:sz w:val="24"/>
          <w:szCs w:val="24"/>
          <w:lang w:val="fr-FR"/>
        </w:rPr>
        <w:t xml:space="preserve"> rapport de</w:t>
      </w:r>
      <w:r w:rsidR="00C00D6E" w:rsidRPr="00953692">
        <w:rPr>
          <w:sz w:val="24"/>
          <w:szCs w:val="24"/>
          <w:lang w:val="fr-FR"/>
        </w:rPr>
        <w:t xml:space="preserve"> conflictualité </w:t>
      </w:r>
      <w:r w:rsidR="00CE33CA" w:rsidRPr="00953692">
        <w:rPr>
          <w:sz w:val="24"/>
          <w:szCs w:val="24"/>
          <w:lang w:val="fr-FR"/>
        </w:rPr>
        <w:t>avec l</w:t>
      </w:r>
      <w:r w:rsidR="006A377A" w:rsidRPr="00953692">
        <w:rPr>
          <w:sz w:val="24"/>
          <w:szCs w:val="24"/>
          <w:lang w:val="fr-FR"/>
        </w:rPr>
        <w:t>a règle du</w:t>
      </w:r>
      <w:r w:rsidR="00CE33CA" w:rsidRPr="00953692">
        <w:rPr>
          <w:sz w:val="24"/>
          <w:szCs w:val="24"/>
          <w:lang w:val="fr-FR"/>
        </w:rPr>
        <w:t xml:space="preserve"> délai raisonnable du procès </w:t>
      </w:r>
      <w:r w:rsidR="00C00D6E" w:rsidRPr="00953692">
        <w:rPr>
          <w:sz w:val="24"/>
          <w:szCs w:val="24"/>
          <w:lang w:val="fr-FR"/>
        </w:rPr>
        <w:t>qui pourrait</w:t>
      </w:r>
      <w:r w:rsidR="00CE33CA" w:rsidRPr="00953692">
        <w:rPr>
          <w:sz w:val="24"/>
          <w:szCs w:val="24"/>
          <w:lang w:val="fr-FR"/>
        </w:rPr>
        <w:t xml:space="preserve"> toutefois</w:t>
      </w:r>
      <w:r w:rsidR="00C00D6E" w:rsidRPr="00953692">
        <w:rPr>
          <w:sz w:val="24"/>
          <w:szCs w:val="24"/>
          <w:lang w:val="fr-FR"/>
        </w:rPr>
        <w:t xml:space="preserve"> </w:t>
      </w:r>
      <w:r w:rsidR="002238D8" w:rsidRPr="00953692">
        <w:rPr>
          <w:sz w:val="24"/>
          <w:szCs w:val="24"/>
          <w:lang w:val="fr-FR"/>
        </w:rPr>
        <w:t>être</w:t>
      </w:r>
      <w:r w:rsidR="00C00D6E" w:rsidRPr="00953692">
        <w:rPr>
          <w:sz w:val="24"/>
          <w:szCs w:val="24"/>
          <w:lang w:val="fr-FR"/>
        </w:rPr>
        <w:t xml:space="preserve"> évité</w:t>
      </w:r>
      <w:r w:rsidR="002238D8" w:rsidRPr="00953692">
        <w:rPr>
          <w:sz w:val="24"/>
          <w:szCs w:val="24"/>
          <w:lang w:val="fr-FR"/>
        </w:rPr>
        <w:t>e</w:t>
      </w:r>
      <w:r w:rsidR="00C00D6E" w:rsidRPr="00953692">
        <w:rPr>
          <w:sz w:val="24"/>
          <w:szCs w:val="24"/>
          <w:lang w:val="fr-FR"/>
        </w:rPr>
        <w:t xml:space="preserve">, si la Chambre </w:t>
      </w:r>
      <w:r w:rsidR="00CE33CA" w:rsidRPr="00953692">
        <w:rPr>
          <w:sz w:val="24"/>
          <w:szCs w:val="24"/>
          <w:lang w:val="fr-FR"/>
        </w:rPr>
        <w:t xml:space="preserve">parvenait à </w:t>
      </w:r>
      <w:r w:rsidR="002238D8" w:rsidRPr="00953692">
        <w:rPr>
          <w:sz w:val="24"/>
          <w:szCs w:val="24"/>
          <w:lang w:val="fr-FR"/>
        </w:rPr>
        <w:t>rejete</w:t>
      </w:r>
      <w:r w:rsidR="00CE33CA" w:rsidRPr="00953692">
        <w:rPr>
          <w:sz w:val="24"/>
          <w:szCs w:val="24"/>
          <w:lang w:val="fr-FR"/>
        </w:rPr>
        <w:t>r</w:t>
      </w:r>
      <w:r w:rsidR="002238D8" w:rsidRPr="00953692">
        <w:rPr>
          <w:sz w:val="24"/>
          <w:szCs w:val="24"/>
          <w:lang w:val="fr-FR"/>
        </w:rPr>
        <w:t xml:space="preserve"> la demande de modification du Procureur</w:t>
      </w:r>
      <w:r w:rsidR="008F03EC" w:rsidRPr="00953692">
        <w:rPr>
          <w:sz w:val="24"/>
          <w:szCs w:val="24"/>
          <w:lang w:val="fr-FR"/>
        </w:rPr>
        <w:t>, comme il en a été le cas dans l’affaire Sefer Halilovic devant la Chambre de première instance du TPIY</w:t>
      </w:r>
      <w:r w:rsidR="009A566E" w:rsidRPr="00953692">
        <w:rPr>
          <w:rStyle w:val="Appelnotedebasdep"/>
          <w:sz w:val="24"/>
          <w:szCs w:val="24"/>
          <w:lang w:val="fr-FR"/>
        </w:rPr>
        <w:footnoteReference w:customMarkFollows="1" w:id="278"/>
        <w:t>254</w:t>
      </w:r>
      <w:r w:rsidR="008F03EC" w:rsidRPr="00953692">
        <w:rPr>
          <w:sz w:val="24"/>
          <w:szCs w:val="24"/>
          <w:lang w:val="fr-FR"/>
        </w:rPr>
        <w:t xml:space="preserve">. </w:t>
      </w:r>
      <w:r w:rsidR="00CE33CA" w:rsidRPr="00953692">
        <w:rPr>
          <w:sz w:val="24"/>
          <w:szCs w:val="24"/>
          <w:lang w:val="fr-FR"/>
        </w:rPr>
        <w:t>Mais les conséquences peuvent être aussi inversées, car si la Chambre autorisait la modification, et qu’on abouti</w:t>
      </w:r>
      <w:r w:rsidR="002178F8" w:rsidRPr="00953692">
        <w:rPr>
          <w:sz w:val="24"/>
          <w:szCs w:val="24"/>
          <w:lang w:val="fr-FR"/>
        </w:rPr>
        <w:t>ssai</w:t>
      </w:r>
      <w:r w:rsidR="00CE33CA" w:rsidRPr="00953692">
        <w:rPr>
          <w:sz w:val="24"/>
          <w:szCs w:val="24"/>
          <w:lang w:val="fr-FR"/>
        </w:rPr>
        <w:t xml:space="preserve">t </w:t>
      </w:r>
      <w:r w:rsidR="00CE33CA" w:rsidRPr="00953692">
        <w:rPr>
          <w:i/>
          <w:iCs/>
          <w:sz w:val="24"/>
          <w:szCs w:val="24"/>
          <w:lang w:val="fr-FR"/>
        </w:rPr>
        <w:t>in fine</w:t>
      </w:r>
      <w:r w:rsidR="00CE33CA" w:rsidRPr="00953692">
        <w:rPr>
          <w:sz w:val="24"/>
          <w:szCs w:val="24"/>
          <w:lang w:val="fr-FR"/>
        </w:rPr>
        <w:t xml:space="preserve"> à un procès trop long, ceci </w:t>
      </w:r>
      <w:r w:rsidR="006844A5" w:rsidRPr="00953692">
        <w:rPr>
          <w:sz w:val="24"/>
          <w:szCs w:val="24"/>
          <w:lang w:val="fr-FR"/>
        </w:rPr>
        <w:t xml:space="preserve">aurait </w:t>
      </w:r>
      <w:r w:rsidR="00CE33CA" w:rsidRPr="00953692">
        <w:rPr>
          <w:sz w:val="24"/>
          <w:szCs w:val="24"/>
          <w:lang w:val="fr-FR"/>
        </w:rPr>
        <w:t xml:space="preserve">pu </w:t>
      </w:r>
      <w:r w:rsidR="006844A5" w:rsidRPr="00953692">
        <w:rPr>
          <w:sz w:val="24"/>
          <w:szCs w:val="24"/>
          <w:lang w:val="fr-FR"/>
        </w:rPr>
        <w:t>évidemment</w:t>
      </w:r>
      <w:r w:rsidR="00CE33CA" w:rsidRPr="00953692">
        <w:rPr>
          <w:sz w:val="24"/>
          <w:szCs w:val="24"/>
          <w:lang w:val="fr-FR"/>
        </w:rPr>
        <w:t xml:space="preserve"> nuire à l’accusé, précisément en ce qui concerne son droit de disposer du temps et des moyens nécessaires à la préparation de sa défense.</w:t>
      </w:r>
    </w:p>
    <w:p w14:paraId="49C80C61" w14:textId="6548554E" w:rsidR="00FB34F5" w:rsidRPr="00953692" w:rsidRDefault="0004789E" w:rsidP="00BC1362">
      <w:pPr>
        <w:pStyle w:val="Paragraphedeliste"/>
        <w:numPr>
          <w:ilvl w:val="0"/>
          <w:numId w:val="8"/>
        </w:numPr>
        <w:spacing w:before="240" w:line="276" w:lineRule="auto"/>
        <w:jc w:val="both"/>
        <w:outlineLvl w:val="2"/>
        <w:rPr>
          <w:rFonts w:cs="Times New Roman"/>
          <w:bCs/>
          <w:i/>
          <w:iCs/>
          <w:sz w:val="24"/>
          <w:szCs w:val="24"/>
          <w:lang w:val="fr-FR"/>
        </w:rPr>
      </w:pPr>
      <w:bookmarkStart w:id="76" w:name="_Toc195179438"/>
      <w:bookmarkStart w:id="77" w:name="_Hlk151104616"/>
      <w:r w:rsidRPr="00953692">
        <w:rPr>
          <w:rFonts w:cs="Times New Roman"/>
          <w:bCs/>
          <w:i/>
          <w:iCs/>
          <w:sz w:val="24"/>
          <w:szCs w:val="24"/>
          <w:lang w:val="fr-FR"/>
        </w:rPr>
        <w:t>La violation du délai raisonnable comme fondement de la violation du droit de disposer du temps et des moyens nécessaires à la préparation de sa défense ?</w:t>
      </w:r>
      <w:bookmarkEnd w:id="76"/>
    </w:p>
    <w:bookmarkEnd w:id="77"/>
    <w:p w14:paraId="66FC4E70" w14:textId="16643047" w:rsidR="003F1C3C" w:rsidRPr="00953692" w:rsidRDefault="00C35B73"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lastRenderedPageBreak/>
        <w:t>360</w:t>
      </w:r>
      <w:r w:rsidR="00532626" w:rsidRPr="00953692">
        <w:rPr>
          <w:rFonts w:cs="Times New Roman"/>
          <w:b/>
          <w:bCs/>
          <w:sz w:val="24"/>
          <w:szCs w:val="24"/>
          <w:lang w:val="fr-FR"/>
        </w:rPr>
        <w:t>.</w:t>
      </w:r>
      <w:r w:rsidR="00532626" w:rsidRPr="00953692">
        <w:rPr>
          <w:rFonts w:cs="Times New Roman"/>
          <w:sz w:val="24"/>
          <w:szCs w:val="24"/>
          <w:lang w:val="fr-FR"/>
        </w:rPr>
        <w:t xml:space="preserve"> </w:t>
      </w:r>
      <w:r w:rsidR="00B96A42" w:rsidRPr="00953692">
        <w:rPr>
          <w:rStyle w:val="grammar"/>
          <w:rFonts w:cs="Times New Roman"/>
          <w:sz w:val="24"/>
          <w:szCs w:val="24"/>
          <w:lang w:val="fr-FR"/>
        </w:rPr>
        <w:t>À</w:t>
      </w:r>
      <w:r w:rsidR="00B96A42" w:rsidRPr="00953692">
        <w:rPr>
          <w:rFonts w:cs="Times New Roman"/>
          <w:sz w:val="24"/>
          <w:szCs w:val="24"/>
          <w:shd w:val="clear" w:color="auto" w:fill="FFFFFF"/>
          <w:lang w:val="fr-FR"/>
        </w:rPr>
        <w:t xml:space="preserve"> première vue,</w:t>
      </w:r>
      <w:r w:rsidR="00B96A42" w:rsidRPr="00953692">
        <w:rPr>
          <w:rFonts w:ascii="Tahoma" w:hAnsi="Tahoma" w:cs="Tahoma"/>
          <w:sz w:val="24"/>
          <w:szCs w:val="24"/>
          <w:shd w:val="clear" w:color="auto" w:fill="FFFFFF"/>
          <w:lang w:val="fr-FR"/>
        </w:rPr>
        <w:t xml:space="preserve"> </w:t>
      </w:r>
      <w:r w:rsidR="002415CA" w:rsidRPr="00953692">
        <w:rPr>
          <w:rFonts w:cs="Times New Roman"/>
          <w:sz w:val="24"/>
          <w:szCs w:val="24"/>
          <w:lang w:val="fr-FR"/>
        </w:rPr>
        <w:t>lorsqu’il y a violation du délai raisonnable</w:t>
      </w:r>
      <w:r w:rsidR="00B96A42" w:rsidRPr="00953692">
        <w:rPr>
          <w:rFonts w:cs="Times New Roman"/>
          <w:sz w:val="24"/>
          <w:szCs w:val="24"/>
          <w:lang w:val="fr-FR"/>
        </w:rPr>
        <w:t>,</w:t>
      </w:r>
      <w:r w:rsidR="002415CA" w:rsidRPr="00953692">
        <w:rPr>
          <w:rFonts w:cs="Times New Roman"/>
          <w:sz w:val="24"/>
          <w:szCs w:val="24"/>
          <w:lang w:val="fr-FR"/>
        </w:rPr>
        <w:t xml:space="preserve"> on a l’impression que les parties</w:t>
      </w:r>
      <w:r w:rsidR="00935C95" w:rsidRPr="00953692">
        <w:rPr>
          <w:rFonts w:cs="Times New Roman"/>
          <w:sz w:val="24"/>
          <w:szCs w:val="24"/>
          <w:lang w:val="fr-FR"/>
        </w:rPr>
        <w:t>,</w:t>
      </w:r>
      <w:r w:rsidR="005C3EA0" w:rsidRPr="00953692">
        <w:rPr>
          <w:rFonts w:cs="Times New Roman"/>
          <w:sz w:val="24"/>
          <w:szCs w:val="24"/>
          <w:lang w:val="fr-FR"/>
        </w:rPr>
        <w:t xml:space="preserve"> notamment</w:t>
      </w:r>
      <w:r w:rsidR="002415CA" w:rsidRPr="00953692">
        <w:rPr>
          <w:rFonts w:cs="Times New Roman"/>
          <w:sz w:val="24"/>
          <w:szCs w:val="24"/>
          <w:lang w:val="fr-FR"/>
        </w:rPr>
        <w:t xml:space="preserve"> l’accusé</w:t>
      </w:r>
      <w:r w:rsidR="00935C95" w:rsidRPr="00953692">
        <w:rPr>
          <w:rFonts w:cs="Times New Roman"/>
          <w:sz w:val="24"/>
          <w:szCs w:val="24"/>
          <w:lang w:val="fr-FR"/>
        </w:rPr>
        <w:t>,</w:t>
      </w:r>
      <w:r w:rsidR="002415CA" w:rsidRPr="00953692">
        <w:rPr>
          <w:rFonts w:cs="Times New Roman"/>
          <w:sz w:val="24"/>
          <w:szCs w:val="24"/>
          <w:lang w:val="fr-FR"/>
        </w:rPr>
        <w:t xml:space="preserve"> ont eu suffisamment du temps à la préparation</w:t>
      </w:r>
      <w:r w:rsidR="00532626" w:rsidRPr="00953692">
        <w:rPr>
          <w:rFonts w:cs="Times New Roman"/>
          <w:sz w:val="24"/>
          <w:szCs w:val="24"/>
          <w:lang w:val="fr-FR"/>
        </w:rPr>
        <w:t xml:space="preserve"> de leurs dossiers</w:t>
      </w:r>
      <w:r w:rsidR="002415CA" w:rsidRPr="00953692">
        <w:rPr>
          <w:rFonts w:cs="Times New Roman"/>
          <w:sz w:val="24"/>
          <w:szCs w:val="24"/>
          <w:lang w:val="fr-FR"/>
        </w:rPr>
        <w:t>.</w:t>
      </w:r>
      <w:r w:rsidR="000D7564" w:rsidRPr="00953692">
        <w:rPr>
          <w:rFonts w:cs="Times New Roman"/>
          <w:sz w:val="24"/>
          <w:szCs w:val="24"/>
          <w:lang w:val="fr-FR"/>
        </w:rPr>
        <w:t xml:space="preserve"> En réalité, l’accusé ne peut pas se plaindre de la longue durée du procès dès le moment où il n’est</w:t>
      </w:r>
      <w:r w:rsidR="00532626" w:rsidRPr="00953692">
        <w:rPr>
          <w:rFonts w:cs="Times New Roman"/>
          <w:sz w:val="24"/>
          <w:szCs w:val="24"/>
          <w:lang w:val="fr-FR"/>
        </w:rPr>
        <w:t xml:space="preserve"> pas</w:t>
      </w:r>
      <w:r w:rsidR="000D7564" w:rsidRPr="00953692">
        <w:rPr>
          <w:rFonts w:cs="Times New Roman"/>
          <w:sz w:val="24"/>
          <w:szCs w:val="24"/>
          <w:lang w:val="fr-FR"/>
        </w:rPr>
        <w:t xml:space="preserve"> prêt </w:t>
      </w:r>
      <w:r w:rsidR="00532626" w:rsidRPr="00953692">
        <w:rPr>
          <w:rFonts w:cs="Times New Roman"/>
          <w:sz w:val="24"/>
          <w:szCs w:val="24"/>
          <w:lang w:val="fr-FR"/>
        </w:rPr>
        <w:t>pour</w:t>
      </w:r>
      <w:r w:rsidR="000D7564" w:rsidRPr="00953692">
        <w:rPr>
          <w:rFonts w:cs="Times New Roman"/>
          <w:sz w:val="24"/>
          <w:szCs w:val="24"/>
          <w:lang w:val="fr-FR"/>
        </w:rPr>
        <w:t xml:space="preserve"> présenter ses moyens de défense, à moins qu’il renonce clairement à son droit de disposer d</w:t>
      </w:r>
      <w:r w:rsidR="008A6721" w:rsidRPr="00953692">
        <w:rPr>
          <w:rFonts w:cs="Times New Roman"/>
          <w:sz w:val="24"/>
          <w:szCs w:val="24"/>
          <w:lang w:val="fr-FR"/>
        </w:rPr>
        <w:t>u temps nécessaire à la préparation. Mais une analyse beaucoup plus poussée de la préjudiciabilité du temps devenu finalement objet de la violation du délai raisonnable</w:t>
      </w:r>
      <w:r w:rsidR="00551528" w:rsidRPr="00953692">
        <w:rPr>
          <w:rFonts w:cs="Times New Roman"/>
          <w:sz w:val="24"/>
          <w:szCs w:val="24"/>
          <w:lang w:val="fr-FR"/>
        </w:rPr>
        <w:t>,</w:t>
      </w:r>
      <w:r w:rsidR="008A6721" w:rsidRPr="00953692">
        <w:rPr>
          <w:rFonts w:cs="Times New Roman"/>
          <w:sz w:val="24"/>
          <w:szCs w:val="24"/>
          <w:lang w:val="fr-FR"/>
        </w:rPr>
        <w:t xml:space="preserve"> peut montrer que celle-ci peut bien être à la base d’une privation du droit de disposer du temps nécessaire à la préparation de sa défense. </w:t>
      </w:r>
    </w:p>
    <w:p w14:paraId="5027650A" w14:textId="0131703B" w:rsidR="002415CA" w:rsidRPr="00953692" w:rsidRDefault="00C35B73"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361</w:t>
      </w:r>
      <w:r w:rsidR="00991972" w:rsidRPr="00953692">
        <w:rPr>
          <w:rFonts w:cs="Times New Roman"/>
          <w:b/>
          <w:bCs/>
          <w:sz w:val="24"/>
          <w:szCs w:val="24"/>
          <w:lang w:val="fr-FR"/>
        </w:rPr>
        <w:t>.</w:t>
      </w:r>
      <w:r w:rsidR="00991972" w:rsidRPr="00953692">
        <w:rPr>
          <w:rFonts w:cs="Times New Roman"/>
          <w:sz w:val="24"/>
          <w:szCs w:val="24"/>
          <w:lang w:val="fr-FR"/>
        </w:rPr>
        <w:t xml:space="preserve"> </w:t>
      </w:r>
      <w:r w:rsidR="00551528" w:rsidRPr="00953692">
        <w:rPr>
          <w:rFonts w:cs="Times New Roman"/>
          <w:sz w:val="24"/>
          <w:szCs w:val="24"/>
          <w:lang w:val="fr-FR"/>
        </w:rPr>
        <w:t>Commençons par rappeler cett</w:t>
      </w:r>
      <w:r w:rsidR="00B944E9" w:rsidRPr="00953692">
        <w:rPr>
          <w:rFonts w:cs="Times New Roman"/>
          <w:sz w:val="24"/>
          <w:szCs w:val="24"/>
          <w:lang w:val="fr-FR"/>
        </w:rPr>
        <w:t>e lapalissade</w:t>
      </w:r>
      <w:r w:rsidR="001B52BC" w:rsidRPr="00953692">
        <w:rPr>
          <w:rFonts w:cs="Times New Roman"/>
          <w:sz w:val="24"/>
          <w:szCs w:val="24"/>
          <w:lang w:val="fr-FR"/>
        </w:rPr>
        <w:t xml:space="preserve">, </w:t>
      </w:r>
      <w:r w:rsidR="00B944E9" w:rsidRPr="00953692">
        <w:rPr>
          <w:rFonts w:cs="Times New Roman"/>
          <w:sz w:val="24"/>
          <w:szCs w:val="24"/>
          <w:lang w:val="fr-FR"/>
        </w:rPr>
        <w:t>le temps qui passe est redoutable</w:t>
      </w:r>
      <w:r w:rsidR="008E0FBA" w:rsidRPr="00953692">
        <w:rPr>
          <w:rFonts w:cs="Times New Roman"/>
          <w:sz w:val="24"/>
          <w:szCs w:val="24"/>
          <w:lang w:val="fr-FR"/>
        </w:rPr>
        <w:t>.</w:t>
      </w:r>
      <w:r w:rsidR="00551528" w:rsidRPr="00953692">
        <w:rPr>
          <w:rFonts w:cs="Times New Roman"/>
          <w:sz w:val="24"/>
          <w:szCs w:val="24"/>
          <w:lang w:val="fr-FR"/>
        </w:rPr>
        <w:t xml:space="preserve"> Comme le note Clair Etrillard, « a</w:t>
      </w:r>
      <w:r w:rsidR="008E0FBA" w:rsidRPr="00953692">
        <w:rPr>
          <w:sz w:val="24"/>
          <w:szCs w:val="24"/>
          <w:lang w:val="fr-FR"/>
        </w:rPr>
        <w:t>vec lui</w:t>
      </w:r>
      <w:r w:rsidR="00551528" w:rsidRPr="00953692">
        <w:rPr>
          <w:sz w:val="24"/>
          <w:szCs w:val="24"/>
          <w:lang w:val="fr-FR"/>
        </w:rPr>
        <w:t xml:space="preserve"> (le temps)</w:t>
      </w:r>
      <w:r w:rsidR="008E0FBA" w:rsidRPr="00953692">
        <w:rPr>
          <w:sz w:val="24"/>
          <w:szCs w:val="24"/>
          <w:lang w:val="fr-FR"/>
        </w:rPr>
        <w:t xml:space="preserve"> en effet, les indices disparaissent, les témoins oublient et les enquêteurs se démotivent. La recherche de la vérité devient de plus en plus délicate et la découverte de celle-ci de plus en plus incertaine</w:t>
      </w:r>
      <w:r w:rsidR="00551528" w:rsidRPr="00953692">
        <w:rPr>
          <w:sz w:val="24"/>
          <w:szCs w:val="24"/>
          <w:lang w:val="fr-FR"/>
        </w:rPr>
        <w:t> »</w:t>
      </w:r>
      <w:r w:rsidR="009A566E" w:rsidRPr="00953692">
        <w:rPr>
          <w:rStyle w:val="Appelnotedebasdep"/>
          <w:sz w:val="24"/>
          <w:szCs w:val="24"/>
          <w:lang w:val="fr-FR"/>
        </w:rPr>
        <w:footnoteReference w:customMarkFollows="1" w:id="279"/>
        <w:t>255</w:t>
      </w:r>
      <w:r w:rsidR="008E0FBA" w:rsidRPr="00953692">
        <w:rPr>
          <w:sz w:val="24"/>
          <w:szCs w:val="24"/>
          <w:lang w:val="fr-FR"/>
        </w:rPr>
        <w:t>.</w:t>
      </w:r>
      <w:r w:rsidR="00551528" w:rsidRPr="00953692">
        <w:rPr>
          <w:sz w:val="24"/>
          <w:szCs w:val="24"/>
          <w:lang w:val="fr-FR"/>
        </w:rPr>
        <w:t xml:space="preserve"> </w:t>
      </w:r>
      <w:r w:rsidR="00867E85" w:rsidRPr="00953692">
        <w:rPr>
          <w:rFonts w:cs="Times New Roman"/>
          <w:sz w:val="24"/>
          <w:szCs w:val="24"/>
          <w:shd w:val="clear" w:color="auto" w:fill="FFFFFF"/>
          <w:lang w:val="fr-FR"/>
        </w:rPr>
        <w:t xml:space="preserve">Ce </w:t>
      </w:r>
      <w:r w:rsidR="00867E85" w:rsidRPr="00953692">
        <w:rPr>
          <w:rStyle w:val="grammar"/>
          <w:rFonts w:cs="Times New Roman"/>
          <w:sz w:val="24"/>
          <w:szCs w:val="24"/>
          <w:lang w:val="fr-FR"/>
        </w:rPr>
        <w:t xml:space="preserve">côté </w:t>
      </w:r>
      <w:r w:rsidR="00551528" w:rsidRPr="00953692">
        <w:rPr>
          <w:rFonts w:cs="Times New Roman"/>
          <w:sz w:val="24"/>
          <w:szCs w:val="24"/>
          <w:lang w:val="fr-FR"/>
        </w:rPr>
        <w:t xml:space="preserve">redoutable du temps change un peu la nature de ce droit de disposer du temps nécessaire à la préparation de sa défense, qui </w:t>
      </w:r>
      <w:r w:rsidR="008C3BEF" w:rsidRPr="00953692">
        <w:rPr>
          <w:rFonts w:cs="Times New Roman"/>
          <w:sz w:val="24"/>
          <w:szCs w:val="24"/>
          <w:lang w:val="fr-FR"/>
        </w:rPr>
        <w:t xml:space="preserve">n’est plus que cette suggestion à </w:t>
      </w:r>
      <w:r w:rsidR="00E939EC" w:rsidRPr="00953692">
        <w:rPr>
          <w:rFonts w:cs="Times New Roman"/>
          <w:sz w:val="24"/>
          <w:szCs w:val="24"/>
          <w:lang w:val="fr-FR"/>
        </w:rPr>
        <w:t>« </w:t>
      </w:r>
      <w:r w:rsidR="008C3BEF" w:rsidRPr="00953692">
        <w:rPr>
          <w:rFonts w:cs="Times New Roman"/>
          <w:sz w:val="24"/>
          <w:szCs w:val="24"/>
          <w:lang w:val="fr-FR"/>
        </w:rPr>
        <w:t>un temps suffisant</w:t>
      </w:r>
      <w:r w:rsidR="00E939EC" w:rsidRPr="00953692">
        <w:rPr>
          <w:rFonts w:cs="Times New Roman"/>
          <w:sz w:val="24"/>
          <w:szCs w:val="24"/>
          <w:lang w:val="fr-FR"/>
        </w:rPr>
        <w:t> »</w:t>
      </w:r>
      <w:r w:rsidR="008C3BEF" w:rsidRPr="00953692">
        <w:rPr>
          <w:rFonts w:cs="Times New Roman"/>
          <w:sz w:val="24"/>
          <w:szCs w:val="24"/>
          <w:lang w:val="fr-FR"/>
        </w:rPr>
        <w:t xml:space="preserve">, mais en plus à </w:t>
      </w:r>
      <w:r w:rsidR="00E939EC" w:rsidRPr="00953692">
        <w:rPr>
          <w:rFonts w:cs="Times New Roman"/>
          <w:sz w:val="24"/>
          <w:szCs w:val="24"/>
          <w:lang w:val="fr-FR"/>
        </w:rPr>
        <w:t>« </w:t>
      </w:r>
      <w:r w:rsidR="008C3BEF" w:rsidRPr="00953692">
        <w:rPr>
          <w:rFonts w:cs="Times New Roman"/>
          <w:sz w:val="24"/>
          <w:szCs w:val="24"/>
          <w:lang w:val="fr-FR"/>
        </w:rPr>
        <w:t>un temps opportun</w:t>
      </w:r>
      <w:r w:rsidR="00E939EC" w:rsidRPr="00953692">
        <w:rPr>
          <w:rFonts w:cs="Times New Roman"/>
          <w:sz w:val="24"/>
          <w:szCs w:val="24"/>
          <w:lang w:val="fr-FR"/>
        </w:rPr>
        <w:t> »</w:t>
      </w:r>
      <w:r w:rsidR="008C3BEF" w:rsidRPr="00953692">
        <w:rPr>
          <w:rFonts w:cs="Times New Roman"/>
          <w:sz w:val="24"/>
          <w:szCs w:val="24"/>
          <w:lang w:val="fr-FR"/>
        </w:rPr>
        <w:t xml:space="preserve">. </w:t>
      </w:r>
      <w:r w:rsidR="00E939EC" w:rsidRPr="00953692">
        <w:rPr>
          <w:rFonts w:cs="Times New Roman"/>
          <w:sz w:val="24"/>
          <w:szCs w:val="24"/>
          <w:lang w:val="fr-FR"/>
        </w:rPr>
        <w:t>C’est donc c</w:t>
      </w:r>
      <w:r w:rsidR="008C3BEF" w:rsidRPr="00953692">
        <w:rPr>
          <w:rFonts w:cs="Times New Roman"/>
          <w:sz w:val="24"/>
          <w:szCs w:val="24"/>
          <w:lang w:val="fr-FR"/>
        </w:rPr>
        <w:t xml:space="preserve">e temps qui </w:t>
      </w:r>
      <w:r w:rsidR="00E939EC" w:rsidRPr="00953692">
        <w:rPr>
          <w:rFonts w:cs="Times New Roman"/>
          <w:sz w:val="24"/>
          <w:szCs w:val="24"/>
          <w:lang w:val="fr-FR"/>
        </w:rPr>
        <w:t xml:space="preserve">parvient à </w:t>
      </w:r>
      <w:r w:rsidR="008C3BEF" w:rsidRPr="00953692">
        <w:rPr>
          <w:rFonts w:cs="Times New Roman"/>
          <w:sz w:val="24"/>
          <w:szCs w:val="24"/>
          <w:lang w:val="fr-FR"/>
        </w:rPr>
        <w:t>offr</w:t>
      </w:r>
      <w:r w:rsidR="00E939EC" w:rsidRPr="00953692">
        <w:rPr>
          <w:rFonts w:cs="Times New Roman"/>
          <w:sz w:val="24"/>
          <w:szCs w:val="24"/>
          <w:lang w:val="fr-FR"/>
        </w:rPr>
        <w:t>ir</w:t>
      </w:r>
      <w:r w:rsidR="008C3BEF" w:rsidRPr="00953692">
        <w:rPr>
          <w:rFonts w:cs="Times New Roman"/>
          <w:sz w:val="24"/>
          <w:szCs w:val="24"/>
          <w:lang w:val="fr-FR"/>
        </w:rPr>
        <w:t xml:space="preserve"> à l’accusé </w:t>
      </w:r>
      <w:r w:rsidR="00E939EC" w:rsidRPr="00953692">
        <w:rPr>
          <w:rFonts w:cs="Times New Roman"/>
          <w:sz w:val="24"/>
          <w:szCs w:val="24"/>
          <w:lang w:val="fr-FR"/>
        </w:rPr>
        <w:t>c</w:t>
      </w:r>
      <w:r w:rsidR="008C3BEF" w:rsidRPr="00953692">
        <w:rPr>
          <w:rFonts w:cs="Times New Roman"/>
          <w:sz w:val="24"/>
          <w:szCs w:val="24"/>
          <w:lang w:val="fr-FR"/>
        </w:rPr>
        <w:t>es moyens nécessaires de se défendre.</w:t>
      </w:r>
      <w:r w:rsidR="00551528" w:rsidRPr="00953692">
        <w:rPr>
          <w:rFonts w:cs="Times New Roman"/>
          <w:sz w:val="24"/>
          <w:szCs w:val="24"/>
          <w:lang w:val="fr-FR"/>
        </w:rPr>
        <w:t xml:space="preserve"> On y voit la disponibilité de tout ce dont l’accusé a besoin pour préparer sa défense</w:t>
      </w:r>
      <w:r w:rsidR="00E939EC" w:rsidRPr="00953692">
        <w:rPr>
          <w:rFonts w:cs="Times New Roman"/>
          <w:sz w:val="24"/>
          <w:szCs w:val="24"/>
          <w:lang w:val="fr-FR"/>
        </w:rPr>
        <w:t xml:space="preserve"> ; c’est le moment où il peut trouver des possibilités susceptibles de préparer sa défense. C’est le temps de production, d’activité ; un temps profitable à ne pas perdre.  </w:t>
      </w:r>
    </w:p>
    <w:p w14:paraId="40F4278A" w14:textId="2A3492B3" w:rsidR="00A10753" w:rsidRPr="00953692" w:rsidRDefault="00C35B73" w:rsidP="00864BBF">
      <w:pPr>
        <w:spacing w:line="276" w:lineRule="auto"/>
        <w:ind w:firstLine="1134"/>
        <w:jc w:val="both"/>
        <w:rPr>
          <w:rFonts w:cs="Times New Roman"/>
          <w:sz w:val="24"/>
          <w:szCs w:val="24"/>
          <w:lang w:val="fr-FR"/>
        </w:rPr>
      </w:pPr>
      <w:r w:rsidRPr="00953692">
        <w:rPr>
          <w:rFonts w:cs="Times New Roman"/>
          <w:b/>
          <w:bCs/>
          <w:sz w:val="24"/>
          <w:szCs w:val="24"/>
          <w:lang w:val="fr-FR"/>
        </w:rPr>
        <w:t>362</w:t>
      </w:r>
      <w:r w:rsidR="00551528" w:rsidRPr="00953692">
        <w:rPr>
          <w:rFonts w:cs="Times New Roman"/>
          <w:b/>
          <w:bCs/>
          <w:sz w:val="24"/>
          <w:szCs w:val="24"/>
          <w:lang w:val="fr-FR"/>
        </w:rPr>
        <w:t>.</w:t>
      </w:r>
      <w:r w:rsidR="00551528" w:rsidRPr="00953692">
        <w:rPr>
          <w:rFonts w:cs="Times New Roman"/>
          <w:sz w:val="24"/>
          <w:szCs w:val="24"/>
          <w:lang w:val="fr-FR"/>
        </w:rPr>
        <w:t xml:space="preserve"> </w:t>
      </w:r>
      <w:r w:rsidR="00A10753" w:rsidRPr="00953692">
        <w:rPr>
          <w:rFonts w:cs="Times New Roman"/>
          <w:sz w:val="24"/>
          <w:szCs w:val="24"/>
          <w:lang w:val="fr-FR"/>
        </w:rPr>
        <w:t>Dans l’affaire Gatete devant le TPIR, le droit d’être jugé sans retard excessif a été clairement associé à la violation du droit de disposer du temps nécessaire à la préparation de la défense de l’accusé. En fait, Gatete soutient que son droit d’être jugé dans un délai raisonnable a été enfreint, mettant en exergue l’intervalle de temps entre son arrestation en 2002 et l’ouverture du procès en 2009. Pour justifier la préjudiciabilité de cette durée</w:t>
      </w:r>
      <w:r w:rsidR="0079400E" w:rsidRPr="00953692">
        <w:rPr>
          <w:rFonts w:cs="Times New Roman"/>
          <w:sz w:val="24"/>
          <w:szCs w:val="24"/>
          <w:lang w:val="fr-FR"/>
        </w:rPr>
        <w:t>,</w:t>
      </w:r>
      <w:r w:rsidR="00A10753" w:rsidRPr="00953692">
        <w:rPr>
          <w:rFonts w:cs="Times New Roman"/>
          <w:sz w:val="24"/>
          <w:szCs w:val="24"/>
          <w:lang w:val="fr-FR"/>
        </w:rPr>
        <w:t xml:space="preserve"> il a soutenu :</w:t>
      </w:r>
    </w:p>
    <w:p w14:paraId="7C4C98C4" w14:textId="553E8A12" w:rsidR="00F549D6" w:rsidRPr="00953692" w:rsidRDefault="00A10753" w:rsidP="00864BBF">
      <w:pPr>
        <w:spacing w:line="276" w:lineRule="auto"/>
        <w:ind w:left="1134" w:firstLine="1134"/>
        <w:jc w:val="both"/>
        <w:rPr>
          <w:rFonts w:cs="Times New Roman"/>
          <w:i/>
          <w:iCs/>
          <w:sz w:val="22"/>
          <w:lang w:val="fr-FR"/>
        </w:rPr>
      </w:pPr>
      <w:r w:rsidRPr="00953692">
        <w:rPr>
          <w:rFonts w:cs="Times New Roman"/>
          <w:i/>
          <w:iCs/>
          <w:sz w:val="22"/>
          <w:lang w:val="fr-FR"/>
        </w:rPr>
        <w:t>…</w:t>
      </w:r>
      <w:r w:rsidR="0079400E" w:rsidRPr="00953692">
        <w:rPr>
          <w:rFonts w:cs="Times New Roman"/>
          <w:i/>
          <w:iCs/>
          <w:sz w:val="22"/>
          <w:lang w:val="fr-FR"/>
        </w:rPr>
        <w:t xml:space="preserve"> </w:t>
      </w:r>
      <w:r w:rsidR="007C562F" w:rsidRPr="00953692">
        <w:rPr>
          <w:rFonts w:cs="Times New Roman"/>
          <w:i/>
          <w:iCs/>
          <w:sz w:val="22"/>
          <w:lang w:val="fr-FR"/>
        </w:rPr>
        <w:t>a</w:t>
      </w:r>
      <w:r w:rsidRPr="00953692">
        <w:rPr>
          <w:rFonts w:cs="Times New Roman"/>
          <w:i/>
          <w:iCs/>
          <w:sz w:val="22"/>
          <w:lang w:val="fr-FR"/>
        </w:rPr>
        <w:t>voir</w:t>
      </w:r>
      <w:r w:rsidR="00F549D6" w:rsidRPr="00953692">
        <w:rPr>
          <w:rFonts w:cs="Times New Roman"/>
          <w:i/>
          <w:iCs/>
          <w:sz w:val="22"/>
          <w:lang w:val="fr-FR"/>
        </w:rPr>
        <w:t xml:space="preserve"> subi un préjudice pour avoir été inutilement privé de sa liberté pendant longtemps, ce qui a nui à la préparation de sa défense, les souvenirs des témoins s'étant estompés et le nombre de témoins disponibles s'étant amenuisé avec le temps. En conséquence, la Défense fait valoir que le droit de l'accusé d'être jugé sans retard excessif a été violé et qu'en cas de déclaration de culpabilité, une juste réparation serait une réduction de sa peine</w:t>
      </w:r>
      <w:r w:rsidR="009A566E" w:rsidRPr="00953692">
        <w:rPr>
          <w:rStyle w:val="Appelnotedebasdep"/>
          <w:rFonts w:cs="Times New Roman"/>
          <w:i/>
          <w:iCs/>
          <w:sz w:val="22"/>
          <w:lang w:val="fr-FR"/>
        </w:rPr>
        <w:footnoteReference w:customMarkFollows="1" w:id="280"/>
        <w:t>256</w:t>
      </w:r>
      <w:r w:rsidR="00F549D6" w:rsidRPr="00953692">
        <w:rPr>
          <w:rFonts w:cs="Times New Roman"/>
          <w:i/>
          <w:iCs/>
          <w:sz w:val="22"/>
          <w:lang w:val="fr-FR"/>
        </w:rPr>
        <w:t>.</w:t>
      </w:r>
    </w:p>
    <w:p w14:paraId="1F0549C9" w14:textId="3E2E8CFC" w:rsidR="0020763C" w:rsidRPr="00953692" w:rsidRDefault="00C35B73" w:rsidP="00864BBF">
      <w:pPr>
        <w:spacing w:line="276" w:lineRule="auto"/>
        <w:ind w:firstLine="1134"/>
        <w:jc w:val="both"/>
        <w:rPr>
          <w:rFonts w:cs="Times New Roman"/>
          <w:sz w:val="24"/>
          <w:szCs w:val="24"/>
          <w:lang w:val="fr-FR"/>
        </w:rPr>
      </w:pPr>
      <w:r w:rsidRPr="00953692">
        <w:rPr>
          <w:rFonts w:cs="Times New Roman"/>
          <w:b/>
          <w:bCs/>
          <w:sz w:val="24"/>
          <w:szCs w:val="24"/>
          <w:lang w:val="fr-FR"/>
        </w:rPr>
        <w:t>363</w:t>
      </w:r>
      <w:r w:rsidR="00B64D56" w:rsidRPr="00953692">
        <w:rPr>
          <w:rFonts w:cs="Times New Roman"/>
          <w:b/>
          <w:bCs/>
          <w:sz w:val="24"/>
          <w:szCs w:val="24"/>
          <w:lang w:val="fr-FR"/>
        </w:rPr>
        <w:t>.</w:t>
      </w:r>
      <w:r w:rsidR="00B64D56" w:rsidRPr="00953692">
        <w:rPr>
          <w:rFonts w:cs="Times New Roman"/>
          <w:sz w:val="24"/>
          <w:szCs w:val="24"/>
          <w:lang w:val="fr-FR"/>
        </w:rPr>
        <w:t xml:space="preserve"> </w:t>
      </w:r>
      <w:r w:rsidR="00304AF2" w:rsidRPr="00953692">
        <w:rPr>
          <w:rFonts w:cs="Times New Roman"/>
          <w:sz w:val="24"/>
          <w:szCs w:val="24"/>
          <w:lang w:val="fr-FR"/>
        </w:rPr>
        <w:t>Dans ses conclusions, l</w:t>
      </w:r>
      <w:r w:rsidR="00F91FEA" w:rsidRPr="00953692">
        <w:rPr>
          <w:rFonts w:cs="Times New Roman"/>
          <w:sz w:val="24"/>
          <w:szCs w:val="24"/>
          <w:lang w:val="fr-FR"/>
        </w:rPr>
        <w:t xml:space="preserve">a Chambre de première instance qui </w:t>
      </w:r>
      <w:r w:rsidR="00304AF2" w:rsidRPr="00953692">
        <w:rPr>
          <w:rFonts w:cs="Times New Roman"/>
          <w:sz w:val="24"/>
          <w:szCs w:val="24"/>
          <w:lang w:val="fr-FR"/>
        </w:rPr>
        <w:t>n’</w:t>
      </w:r>
      <w:r w:rsidR="00F91FEA" w:rsidRPr="00953692">
        <w:rPr>
          <w:rFonts w:cs="Times New Roman"/>
          <w:sz w:val="24"/>
          <w:szCs w:val="24"/>
          <w:lang w:val="fr-FR"/>
        </w:rPr>
        <w:t xml:space="preserve">a </w:t>
      </w:r>
      <w:r w:rsidR="00304AF2" w:rsidRPr="00953692">
        <w:rPr>
          <w:rFonts w:cs="Times New Roman"/>
          <w:sz w:val="24"/>
          <w:szCs w:val="24"/>
          <w:lang w:val="fr-FR"/>
        </w:rPr>
        <w:t xml:space="preserve">pas hésité de </w:t>
      </w:r>
      <w:r w:rsidR="00F91FEA" w:rsidRPr="00953692">
        <w:rPr>
          <w:rFonts w:cs="Times New Roman"/>
          <w:sz w:val="24"/>
          <w:szCs w:val="24"/>
          <w:lang w:val="fr-FR"/>
        </w:rPr>
        <w:t>qualifi</w:t>
      </w:r>
      <w:r w:rsidR="00304AF2" w:rsidRPr="00953692">
        <w:rPr>
          <w:rFonts w:cs="Times New Roman"/>
          <w:sz w:val="24"/>
          <w:szCs w:val="24"/>
          <w:lang w:val="fr-FR"/>
        </w:rPr>
        <w:t>er</w:t>
      </w:r>
      <w:r w:rsidR="00F91FEA" w:rsidRPr="00953692">
        <w:rPr>
          <w:rFonts w:cs="Times New Roman"/>
          <w:sz w:val="24"/>
          <w:szCs w:val="24"/>
          <w:lang w:val="fr-FR"/>
        </w:rPr>
        <w:t xml:space="preserve"> ces retards d’importants et les comportements de l’</w:t>
      </w:r>
      <w:r w:rsidR="00304AF2" w:rsidRPr="00953692">
        <w:rPr>
          <w:rFonts w:cs="Times New Roman"/>
          <w:sz w:val="24"/>
          <w:szCs w:val="24"/>
          <w:lang w:val="fr-FR"/>
        </w:rPr>
        <w:t>A</w:t>
      </w:r>
      <w:r w:rsidR="00F91FEA" w:rsidRPr="00953692">
        <w:rPr>
          <w:rFonts w:cs="Times New Roman"/>
          <w:sz w:val="24"/>
          <w:szCs w:val="24"/>
          <w:lang w:val="fr-FR"/>
        </w:rPr>
        <w:t xml:space="preserve">ccusation et de la Chambre de la mise en état </w:t>
      </w:r>
      <w:r w:rsidR="00304AF2" w:rsidRPr="00953692">
        <w:rPr>
          <w:rFonts w:cs="Times New Roman"/>
          <w:sz w:val="24"/>
          <w:szCs w:val="24"/>
          <w:lang w:val="fr-FR"/>
        </w:rPr>
        <w:t>d’</w:t>
      </w:r>
      <w:r w:rsidR="00F91FEA" w:rsidRPr="00953692">
        <w:rPr>
          <w:rFonts w:cs="Times New Roman"/>
          <w:sz w:val="24"/>
          <w:szCs w:val="24"/>
          <w:lang w:val="fr-FR"/>
        </w:rPr>
        <w:t>injustifiables</w:t>
      </w:r>
      <w:r w:rsidR="009A566E" w:rsidRPr="00953692">
        <w:rPr>
          <w:rStyle w:val="Appelnotedebasdep"/>
          <w:rFonts w:cs="Times New Roman"/>
          <w:sz w:val="24"/>
          <w:szCs w:val="24"/>
          <w:lang w:val="fr-FR"/>
        </w:rPr>
        <w:footnoteReference w:customMarkFollows="1" w:id="281"/>
        <w:t>257</w:t>
      </w:r>
      <w:r w:rsidR="00F91FEA" w:rsidRPr="00953692">
        <w:rPr>
          <w:rFonts w:cs="Times New Roman"/>
          <w:sz w:val="24"/>
          <w:szCs w:val="24"/>
          <w:lang w:val="fr-FR"/>
        </w:rPr>
        <w:t>, après avoir analysé le critère de complexité, est arrivé</w:t>
      </w:r>
      <w:r w:rsidR="00537B97" w:rsidRPr="00953692">
        <w:rPr>
          <w:rFonts w:cs="Times New Roman"/>
          <w:sz w:val="24"/>
          <w:szCs w:val="24"/>
          <w:lang w:val="fr-FR"/>
        </w:rPr>
        <w:t xml:space="preserve"> de manière surprenante</w:t>
      </w:r>
      <w:r w:rsidR="00F91FEA" w:rsidRPr="00953692">
        <w:rPr>
          <w:rFonts w:cs="Times New Roman"/>
          <w:sz w:val="24"/>
          <w:szCs w:val="24"/>
          <w:lang w:val="fr-FR"/>
        </w:rPr>
        <w:t xml:space="preserve"> à la conclusion </w:t>
      </w:r>
      <w:r w:rsidR="00537B97" w:rsidRPr="00953692">
        <w:rPr>
          <w:rFonts w:cs="Times New Roman"/>
          <w:sz w:val="24"/>
          <w:szCs w:val="24"/>
          <w:lang w:val="fr-FR"/>
        </w:rPr>
        <w:t xml:space="preserve">selon laquelle </w:t>
      </w:r>
      <w:r w:rsidR="00304AF2" w:rsidRPr="00953692">
        <w:rPr>
          <w:rFonts w:cs="Times New Roman"/>
          <w:sz w:val="24"/>
          <w:szCs w:val="24"/>
          <w:lang w:val="fr-FR"/>
        </w:rPr>
        <w:t>ces retards</w:t>
      </w:r>
      <w:r w:rsidR="00F91FEA" w:rsidRPr="00953692">
        <w:rPr>
          <w:rFonts w:cs="Times New Roman"/>
          <w:sz w:val="24"/>
          <w:szCs w:val="24"/>
          <w:lang w:val="fr-FR"/>
        </w:rPr>
        <w:t xml:space="preserve"> n’étaient pas excessifs comme l’exige</w:t>
      </w:r>
      <w:r w:rsidR="007D2F2F" w:rsidRPr="00953692">
        <w:rPr>
          <w:rFonts w:cs="Times New Roman"/>
          <w:sz w:val="24"/>
          <w:szCs w:val="24"/>
          <w:lang w:val="fr-FR"/>
        </w:rPr>
        <w:t>nt</w:t>
      </w:r>
      <w:r w:rsidR="00F91FEA" w:rsidRPr="00953692">
        <w:rPr>
          <w:rFonts w:cs="Times New Roman"/>
          <w:sz w:val="24"/>
          <w:szCs w:val="24"/>
          <w:lang w:val="fr-FR"/>
        </w:rPr>
        <w:t xml:space="preserve"> les prescrits du statut</w:t>
      </w:r>
      <w:r w:rsidR="00304AF2" w:rsidRPr="00953692">
        <w:rPr>
          <w:rFonts w:cs="Times New Roman"/>
          <w:sz w:val="24"/>
          <w:szCs w:val="24"/>
          <w:lang w:val="fr-FR"/>
        </w:rPr>
        <w:t xml:space="preserve"> du Tribunal</w:t>
      </w:r>
      <w:r w:rsidR="00537B97" w:rsidRPr="00953692">
        <w:rPr>
          <w:rFonts w:cs="Times New Roman"/>
          <w:sz w:val="24"/>
          <w:szCs w:val="24"/>
          <w:lang w:val="fr-FR"/>
        </w:rPr>
        <w:t xml:space="preserve"> international pour le Rwand</w:t>
      </w:r>
      <w:r w:rsidR="009A566E" w:rsidRPr="00953692">
        <w:rPr>
          <w:rFonts w:cs="Times New Roman"/>
          <w:sz w:val="24"/>
          <w:szCs w:val="24"/>
          <w:lang w:val="fr-FR"/>
        </w:rPr>
        <w:t>a</w:t>
      </w:r>
      <w:r w:rsidR="00F91FEA" w:rsidRPr="00953692">
        <w:rPr>
          <w:rFonts w:cs="Times New Roman"/>
          <w:sz w:val="24"/>
          <w:szCs w:val="24"/>
          <w:lang w:val="fr-FR"/>
        </w:rPr>
        <w:t xml:space="preserve">. Pour aborder la question du préjudice </w:t>
      </w:r>
      <w:r w:rsidR="0020763C" w:rsidRPr="00953692">
        <w:rPr>
          <w:rFonts w:cs="Times New Roman"/>
          <w:sz w:val="24"/>
          <w:szCs w:val="24"/>
          <w:lang w:val="fr-FR"/>
        </w:rPr>
        <w:t>invoqué</w:t>
      </w:r>
      <w:r w:rsidR="00304AF2" w:rsidRPr="00953692">
        <w:rPr>
          <w:rFonts w:cs="Times New Roman"/>
          <w:sz w:val="24"/>
          <w:szCs w:val="24"/>
          <w:lang w:val="fr-FR"/>
        </w:rPr>
        <w:t xml:space="preserve"> par la Défense de Gatete</w:t>
      </w:r>
      <w:r w:rsidR="0020763C" w:rsidRPr="00953692">
        <w:rPr>
          <w:rFonts w:cs="Times New Roman"/>
          <w:sz w:val="24"/>
          <w:szCs w:val="24"/>
          <w:lang w:val="fr-FR"/>
        </w:rPr>
        <w:t xml:space="preserve">, la </w:t>
      </w:r>
      <w:r w:rsidR="0020763C" w:rsidRPr="00953692">
        <w:rPr>
          <w:rFonts w:cs="Times New Roman"/>
          <w:sz w:val="24"/>
          <w:szCs w:val="24"/>
          <w:lang w:val="fr-FR"/>
        </w:rPr>
        <w:lastRenderedPageBreak/>
        <w:t>Chambre</w:t>
      </w:r>
      <w:r w:rsidR="00304AF2" w:rsidRPr="00953692">
        <w:rPr>
          <w:rFonts w:cs="Times New Roman"/>
          <w:sz w:val="24"/>
          <w:szCs w:val="24"/>
          <w:lang w:val="fr-FR"/>
        </w:rPr>
        <w:t xml:space="preserve"> de première instance</w:t>
      </w:r>
      <w:r w:rsidR="0020763C" w:rsidRPr="00953692">
        <w:rPr>
          <w:rFonts w:cs="Times New Roman"/>
          <w:sz w:val="24"/>
          <w:szCs w:val="24"/>
          <w:lang w:val="fr-FR"/>
        </w:rPr>
        <w:t xml:space="preserve"> a estimé que la Défense n'a pas établi l</w:t>
      </w:r>
      <w:r w:rsidR="00304AF2" w:rsidRPr="00953692">
        <w:rPr>
          <w:rFonts w:cs="Times New Roman"/>
          <w:sz w:val="24"/>
          <w:szCs w:val="24"/>
          <w:lang w:val="fr-FR"/>
        </w:rPr>
        <w:t>’</w:t>
      </w:r>
      <w:r w:rsidR="0020763C" w:rsidRPr="00953692">
        <w:rPr>
          <w:rFonts w:cs="Times New Roman"/>
          <w:sz w:val="24"/>
          <w:szCs w:val="24"/>
          <w:lang w:val="fr-FR"/>
        </w:rPr>
        <w:t>existence d</w:t>
      </w:r>
      <w:r w:rsidR="00304AF2" w:rsidRPr="00953692">
        <w:rPr>
          <w:rFonts w:cs="Times New Roman"/>
          <w:sz w:val="24"/>
          <w:szCs w:val="24"/>
          <w:lang w:val="fr-FR"/>
        </w:rPr>
        <w:t>’</w:t>
      </w:r>
      <w:r w:rsidR="0020763C" w:rsidRPr="00953692">
        <w:rPr>
          <w:rFonts w:cs="Times New Roman"/>
          <w:sz w:val="24"/>
          <w:szCs w:val="24"/>
          <w:lang w:val="fr-FR"/>
        </w:rPr>
        <w:t>un préjudice</w:t>
      </w:r>
      <w:r w:rsidR="00304AF2" w:rsidRPr="00953692">
        <w:rPr>
          <w:rFonts w:cs="Times New Roman"/>
          <w:sz w:val="24"/>
          <w:szCs w:val="24"/>
          <w:lang w:val="fr-FR"/>
        </w:rPr>
        <w:t xml:space="preserve"> quelconque</w:t>
      </w:r>
      <w:r w:rsidR="0020763C" w:rsidRPr="00953692">
        <w:rPr>
          <w:rFonts w:cs="Times New Roman"/>
          <w:sz w:val="24"/>
          <w:szCs w:val="24"/>
          <w:lang w:val="fr-FR"/>
        </w:rPr>
        <w:t>. La Chambre explique que :</w:t>
      </w:r>
    </w:p>
    <w:p w14:paraId="047EA46B" w14:textId="5B128732" w:rsidR="005E04E3" w:rsidRPr="00953692" w:rsidRDefault="00B64D56" w:rsidP="00864BBF">
      <w:pPr>
        <w:spacing w:line="276" w:lineRule="auto"/>
        <w:ind w:left="1134" w:firstLine="1134"/>
        <w:jc w:val="both"/>
        <w:rPr>
          <w:rFonts w:cs="Times New Roman"/>
          <w:i/>
          <w:iCs/>
          <w:sz w:val="22"/>
          <w:lang w:val="fr-FR"/>
        </w:rPr>
      </w:pPr>
      <w:r w:rsidRPr="00953692">
        <w:rPr>
          <w:rFonts w:cs="Times New Roman"/>
          <w:i/>
          <w:iCs/>
          <w:sz w:val="22"/>
          <w:lang w:val="fr-FR"/>
        </w:rPr>
        <w:t>« </w:t>
      </w:r>
      <w:r w:rsidR="00304AF2" w:rsidRPr="00953692">
        <w:rPr>
          <w:rFonts w:cs="Times New Roman"/>
          <w:i/>
          <w:iCs/>
          <w:sz w:val="22"/>
          <w:lang w:val="fr-FR"/>
        </w:rPr>
        <w:t>… l</w:t>
      </w:r>
      <w:r w:rsidR="0020763C" w:rsidRPr="00953692">
        <w:rPr>
          <w:rFonts w:cs="Times New Roman"/>
          <w:i/>
          <w:iCs/>
          <w:sz w:val="22"/>
          <w:lang w:val="fr-FR"/>
        </w:rPr>
        <w:t>’accusé n'a pas démontré qu'elle n'avait pas pu contacter tel ou tel témoin ou que des témoins étaient décédés. La Chambre a d'ailleurs pu appeler 27 témoins à la barre pour réfuter les allégations portées contre Gatete. De surcroît, il n'a pas soulevé la question des retards pendant la phase préalable au procès ni n'a pendant le procès saisi la Chambre de requêtes lui indiquant qu'il éprouvait des difficultés à mener ses enquêtes ou à préparer la défense de l'accusé en raison des retards constatés pendant cette phase du procès. Le fait pour lui de ne soulever ce grief que dans ses dernières conclusions écrites indique que le préjudice subi en raison du retard intervenu, à supposer qu'il y ait eu préjudice, était minimal</w:t>
      </w:r>
      <w:r w:rsidRPr="00953692">
        <w:rPr>
          <w:rFonts w:cs="Times New Roman"/>
          <w:i/>
          <w:iCs/>
          <w:sz w:val="22"/>
          <w:lang w:val="fr-FR"/>
        </w:rPr>
        <w:t> »</w:t>
      </w:r>
      <w:r w:rsidR="009A566E" w:rsidRPr="00953692">
        <w:rPr>
          <w:rStyle w:val="Appelnotedebasdep"/>
          <w:rFonts w:cs="Times New Roman"/>
          <w:i/>
          <w:iCs/>
          <w:sz w:val="22"/>
          <w:lang w:val="fr-FR"/>
        </w:rPr>
        <w:footnoteReference w:customMarkFollows="1" w:id="282"/>
        <w:t>258</w:t>
      </w:r>
      <w:r w:rsidR="0020763C" w:rsidRPr="00953692">
        <w:rPr>
          <w:rFonts w:cs="Times New Roman"/>
          <w:i/>
          <w:iCs/>
          <w:sz w:val="22"/>
          <w:lang w:val="fr-FR"/>
        </w:rPr>
        <w:t>.</w:t>
      </w:r>
    </w:p>
    <w:p w14:paraId="5399DFF7" w14:textId="5EF092B1" w:rsidR="00537B97" w:rsidRPr="00953692" w:rsidRDefault="00C35B73" w:rsidP="00864BBF">
      <w:pPr>
        <w:spacing w:after="0" w:line="276" w:lineRule="auto"/>
        <w:ind w:firstLine="1134"/>
        <w:jc w:val="both"/>
        <w:rPr>
          <w:sz w:val="24"/>
          <w:szCs w:val="24"/>
          <w:lang w:val="fr-FR"/>
        </w:rPr>
      </w:pPr>
      <w:r w:rsidRPr="00953692">
        <w:rPr>
          <w:b/>
          <w:bCs/>
          <w:sz w:val="24"/>
          <w:szCs w:val="24"/>
          <w:lang w:val="fr-FR"/>
        </w:rPr>
        <w:t>364</w:t>
      </w:r>
      <w:r w:rsidR="00B64D56" w:rsidRPr="00953692">
        <w:rPr>
          <w:b/>
          <w:bCs/>
          <w:sz w:val="24"/>
          <w:szCs w:val="24"/>
          <w:lang w:val="fr-FR"/>
        </w:rPr>
        <w:t>.</w:t>
      </w:r>
      <w:r w:rsidR="00B64D56" w:rsidRPr="00953692">
        <w:rPr>
          <w:sz w:val="24"/>
          <w:szCs w:val="24"/>
          <w:lang w:val="fr-FR"/>
        </w:rPr>
        <w:t xml:space="preserve"> </w:t>
      </w:r>
      <w:r w:rsidR="00845A4E" w:rsidRPr="00953692">
        <w:rPr>
          <w:sz w:val="24"/>
          <w:szCs w:val="24"/>
          <w:lang w:val="fr-FR"/>
        </w:rPr>
        <w:t xml:space="preserve">Examinant l’appel de l’accusé, précisément au point de savoir si la Chambre de première instance a versé dans l’erreur en </w:t>
      </w:r>
      <w:r w:rsidR="005A3AA6" w:rsidRPr="00953692">
        <w:rPr>
          <w:sz w:val="24"/>
          <w:szCs w:val="24"/>
          <w:lang w:val="fr-FR"/>
        </w:rPr>
        <w:t>n’</w:t>
      </w:r>
      <w:r w:rsidR="00845A4E" w:rsidRPr="00953692">
        <w:rPr>
          <w:sz w:val="24"/>
          <w:szCs w:val="24"/>
          <w:lang w:val="fr-FR"/>
        </w:rPr>
        <w:t>ayant pas retenu le préjudice prétendument subi par le passage du temps, la Chambre d’appel a répondu par la négative</w:t>
      </w:r>
      <w:r w:rsidR="00FE42FD" w:rsidRPr="00953692">
        <w:rPr>
          <w:sz w:val="24"/>
          <w:szCs w:val="24"/>
          <w:lang w:val="fr-FR"/>
        </w:rPr>
        <w:t> ;</w:t>
      </w:r>
      <w:r w:rsidR="00845A4E" w:rsidRPr="00953692">
        <w:rPr>
          <w:sz w:val="24"/>
          <w:szCs w:val="24"/>
          <w:lang w:val="fr-FR"/>
        </w:rPr>
        <w:t xml:space="preserve"> confirmant </w:t>
      </w:r>
      <w:r w:rsidR="000304DF" w:rsidRPr="00953692">
        <w:rPr>
          <w:sz w:val="24"/>
          <w:szCs w:val="24"/>
          <w:lang w:val="fr-FR"/>
        </w:rPr>
        <w:t xml:space="preserve">à cet effet </w:t>
      </w:r>
      <w:r w:rsidR="00845A4E" w:rsidRPr="00953692">
        <w:rPr>
          <w:sz w:val="24"/>
          <w:szCs w:val="24"/>
          <w:lang w:val="fr-FR"/>
        </w:rPr>
        <w:t>la position du premier juge en ce que l’accusé n’a fourni aucune preuve pouvant démontrer ce préjudice</w:t>
      </w:r>
      <w:r w:rsidR="000304DF" w:rsidRPr="00953692">
        <w:rPr>
          <w:sz w:val="24"/>
          <w:szCs w:val="24"/>
          <w:lang w:val="fr-FR"/>
        </w:rPr>
        <w:t xml:space="preserve"> par lui subi</w:t>
      </w:r>
      <w:r w:rsidR="009A566E" w:rsidRPr="00953692">
        <w:rPr>
          <w:rStyle w:val="Appelnotedebasdep"/>
          <w:sz w:val="24"/>
          <w:szCs w:val="24"/>
          <w:lang w:val="fr-FR"/>
        </w:rPr>
        <w:footnoteReference w:customMarkFollows="1" w:id="283"/>
        <w:t>259</w:t>
      </w:r>
      <w:r w:rsidR="00845A4E" w:rsidRPr="00953692">
        <w:rPr>
          <w:sz w:val="24"/>
          <w:szCs w:val="24"/>
          <w:lang w:val="fr-FR"/>
        </w:rPr>
        <w:t xml:space="preserve">. </w:t>
      </w:r>
      <w:r w:rsidR="004559C2" w:rsidRPr="00953692">
        <w:rPr>
          <w:sz w:val="24"/>
          <w:szCs w:val="24"/>
          <w:lang w:val="fr-FR"/>
        </w:rPr>
        <w:t xml:space="preserve">Cette position est </w:t>
      </w:r>
      <w:r w:rsidR="000304DF" w:rsidRPr="00953692">
        <w:rPr>
          <w:sz w:val="24"/>
          <w:szCs w:val="24"/>
          <w:lang w:val="fr-FR"/>
        </w:rPr>
        <w:t>juridiquement</w:t>
      </w:r>
      <w:r w:rsidR="004559C2" w:rsidRPr="00953692">
        <w:rPr>
          <w:sz w:val="24"/>
          <w:szCs w:val="24"/>
          <w:lang w:val="fr-FR"/>
        </w:rPr>
        <w:t xml:space="preserve"> soutenable dans la mesure où</w:t>
      </w:r>
      <w:r w:rsidR="00304AF2" w:rsidRPr="00953692">
        <w:rPr>
          <w:sz w:val="24"/>
          <w:szCs w:val="24"/>
          <w:lang w:val="fr-FR"/>
        </w:rPr>
        <w:t xml:space="preserve"> (en droit),</w:t>
      </w:r>
      <w:r w:rsidR="000304DF" w:rsidRPr="00953692">
        <w:rPr>
          <w:sz w:val="24"/>
          <w:szCs w:val="24"/>
          <w:lang w:val="fr-FR"/>
        </w:rPr>
        <w:t xml:space="preserve"> le préjudice n’est pas de l’ordre de l’abstrait</w:t>
      </w:r>
      <w:r w:rsidR="00304AF2" w:rsidRPr="00953692">
        <w:rPr>
          <w:sz w:val="24"/>
          <w:szCs w:val="24"/>
          <w:lang w:val="fr-FR"/>
        </w:rPr>
        <w:t>, ce n’est pas quelque chose d’imaginaire</w:t>
      </w:r>
      <w:r w:rsidR="000304DF" w:rsidRPr="00953692">
        <w:rPr>
          <w:sz w:val="24"/>
          <w:szCs w:val="24"/>
          <w:lang w:val="fr-FR"/>
        </w:rPr>
        <w:t xml:space="preserve">. </w:t>
      </w:r>
    </w:p>
    <w:p w14:paraId="0182966F" w14:textId="0075164E" w:rsidR="00845A4E" w:rsidRPr="00953692" w:rsidRDefault="00C35B73" w:rsidP="00864BBF">
      <w:pPr>
        <w:spacing w:after="0" w:line="276" w:lineRule="auto"/>
        <w:ind w:firstLine="1134"/>
        <w:jc w:val="both"/>
        <w:rPr>
          <w:sz w:val="24"/>
          <w:szCs w:val="24"/>
          <w:lang w:val="fr-FR"/>
        </w:rPr>
      </w:pPr>
      <w:r w:rsidRPr="00953692">
        <w:rPr>
          <w:b/>
          <w:bCs/>
          <w:sz w:val="24"/>
          <w:szCs w:val="24"/>
          <w:lang w:val="fr-FR"/>
        </w:rPr>
        <w:t>365.</w:t>
      </w:r>
      <w:r w:rsidRPr="00953692">
        <w:rPr>
          <w:sz w:val="24"/>
          <w:szCs w:val="24"/>
          <w:lang w:val="fr-FR"/>
        </w:rPr>
        <w:t xml:space="preserve"> </w:t>
      </w:r>
      <w:r w:rsidR="000304DF" w:rsidRPr="00953692">
        <w:rPr>
          <w:sz w:val="24"/>
          <w:szCs w:val="24"/>
          <w:lang w:val="fr-FR"/>
        </w:rPr>
        <w:t>S</w:t>
      </w:r>
      <w:r w:rsidR="004559C2" w:rsidRPr="00953692">
        <w:rPr>
          <w:sz w:val="24"/>
          <w:szCs w:val="24"/>
          <w:lang w:val="fr-FR"/>
        </w:rPr>
        <w:t xml:space="preserve">i le temps est </w:t>
      </w:r>
      <w:r w:rsidR="003D02D2" w:rsidRPr="00953692">
        <w:rPr>
          <w:sz w:val="24"/>
          <w:szCs w:val="24"/>
          <w:lang w:val="fr-FR"/>
        </w:rPr>
        <w:t xml:space="preserve">axiomatiquement </w:t>
      </w:r>
      <w:r w:rsidR="004559C2" w:rsidRPr="00953692">
        <w:rPr>
          <w:sz w:val="24"/>
          <w:szCs w:val="24"/>
          <w:lang w:val="fr-FR"/>
        </w:rPr>
        <w:t>immatériel</w:t>
      </w:r>
      <w:r w:rsidR="00A53726" w:rsidRPr="00953692">
        <w:rPr>
          <w:sz w:val="24"/>
          <w:szCs w:val="24"/>
          <w:lang w:val="fr-FR"/>
        </w:rPr>
        <w:t xml:space="preserve">, il </w:t>
      </w:r>
      <w:r w:rsidR="008674C1" w:rsidRPr="00953692">
        <w:rPr>
          <w:sz w:val="24"/>
          <w:szCs w:val="24"/>
          <w:lang w:val="fr-FR"/>
        </w:rPr>
        <w:t>tâche</w:t>
      </w:r>
      <w:r w:rsidR="00A53726" w:rsidRPr="00953692">
        <w:rPr>
          <w:sz w:val="24"/>
          <w:szCs w:val="24"/>
          <w:lang w:val="fr-FR"/>
        </w:rPr>
        <w:t xml:space="preserve"> cependant </w:t>
      </w:r>
      <w:r w:rsidR="00B64D56" w:rsidRPr="00953692">
        <w:rPr>
          <w:sz w:val="24"/>
          <w:szCs w:val="24"/>
          <w:lang w:val="fr-FR"/>
        </w:rPr>
        <w:t xml:space="preserve">à </w:t>
      </w:r>
      <w:r w:rsidR="00A53726" w:rsidRPr="00953692">
        <w:rPr>
          <w:sz w:val="24"/>
          <w:szCs w:val="24"/>
          <w:lang w:val="fr-FR"/>
        </w:rPr>
        <w:t>laisser des traces matérielles du changement qu’il apporte ou laisse derrière lui</w:t>
      </w:r>
      <w:r w:rsidR="003D02D2" w:rsidRPr="00953692">
        <w:rPr>
          <w:sz w:val="24"/>
          <w:szCs w:val="24"/>
          <w:lang w:val="fr-FR"/>
        </w:rPr>
        <w:t xml:space="preserve"> et dont la prouvabilité </w:t>
      </w:r>
      <w:r w:rsidR="003502DE" w:rsidRPr="00953692">
        <w:rPr>
          <w:sz w:val="24"/>
          <w:szCs w:val="24"/>
          <w:lang w:val="fr-FR"/>
        </w:rPr>
        <w:t>relève</w:t>
      </w:r>
      <w:r w:rsidR="003D02D2" w:rsidRPr="00953692">
        <w:rPr>
          <w:sz w:val="24"/>
          <w:szCs w:val="24"/>
          <w:lang w:val="fr-FR"/>
        </w:rPr>
        <w:t xml:space="preserve"> de l’ordre de la concrétude</w:t>
      </w:r>
      <w:r w:rsidR="00A53726" w:rsidRPr="00953692">
        <w:rPr>
          <w:sz w:val="24"/>
          <w:szCs w:val="24"/>
          <w:lang w:val="fr-FR"/>
        </w:rPr>
        <w:t xml:space="preserve">. L’accusé avait donc l’obligation d’apporter les éléments </w:t>
      </w:r>
      <w:r w:rsidR="00B64D56" w:rsidRPr="00953692">
        <w:rPr>
          <w:sz w:val="24"/>
          <w:szCs w:val="24"/>
          <w:lang w:val="fr-FR"/>
        </w:rPr>
        <w:t>prouvant</w:t>
      </w:r>
      <w:r w:rsidR="00A53726" w:rsidRPr="00953692">
        <w:rPr>
          <w:sz w:val="24"/>
          <w:szCs w:val="24"/>
          <w:lang w:val="fr-FR"/>
        </w:rPr>
        <w:t xml:space="preserve"> la préjudiciabilité du temps écoulé sur son droit de préparer sa défense. Dans ce cas, on aurait conclu que l’accusé a raté ou perdu </w:t>
      </w:r>
      <w:r w:rsidR="003502DE" w:rsidRPr="00953692">
        <w:rPr>
          <w:sz w:val="24"/>
          <w:szCs w:val="24"/>
          <w:lang w:val="fr-FR"/>
        </w:rPr>
        <w:t xml:space="preserve">une </w:t>
      </w:r>
      <w:r w:rsidR="00A53726" w:rsidRPr="00953692">
        <w:rPr>
          <w:sz w:val="24"/>
          <w:szCs w:val="24"/>
          <w:lang w:val="fr-FR"/>
        </w:rPr>
        <w:t>opportunité</w:t>
      </w:r>
      <w:r w:rsidR="003502DE" w:rsidRPr="00953692">
        <w:rPr>
          <w:sz w:val="24"/>
          <w:szCs w:val="24"/>
          <w:lang w:val="fr-FR"/>
        </w:rPr>
        <w:t xml:space="preserve"> qui lui avait été propice</w:t>
      </w:r>
      <w:r w:rsidR="00A53726" w:rsidRPr="00953692">
        <w:rPr>
          <w:sz w:val="24"/>
          <w:szCs w:val="24"/>
          <w:lang w:val="fr-FR"/>
        </w:rPr>
        <w:t>. On découvre en réalité l’hypothèse très plausible de cet aspect d’interdépendance</w:t>
      </w:r>
      <w:r w:rsidR="00E27486" w:rsidRPr="00953692">
        <w:rPr>
          <w:sz w:val="24"/>
          <w:szCs w:val="24"/>
          <w:lang w:val="fr-FR"/>
        </w:rPr>
        <w:t xml:space="preserve">. </w:t>
      </w:r>
      <w:r w:rsidR="00090A57" w:rsidRPr="00953692">
        <w:rPr>
          <w:sz w:val="24"/>
          <w:szCs w:val="24"/>
          <w:lang w:val="fr-FR"/>
        </w:rPr>
        <w:t>Pour le droit de disposer du temps nécessaire, s</w:t>
      </w:r>
      <w:r w:rsidR="00E27486" w:rsidRPr="00953692">
        <w:rPr>
          <w:sz w:val="24"/>
          <w:szCs w:val="24"/>
          <w:lang w:val="fr-FR"/>
        </w:rPr>
        <w:t>eul le passage du temps ne suffit pas, il faut prouver le préjudice matériel, palpable ou concret</w:t>
      </w:r>
      <w:r w:rsidR="00090A57" w:rsidRPr="00953692">
        <w:rPr>
          <w:sz w:val="24"/>
          <w:szCs w:val="24"/>
          <w:lang w:val="fr-FR"/>
        </w:rPr>
        <w:t xml:space="preserve"> que la violation du droit d’être jugé sans retard excessif entraine.</w:t>
      </w:r>
    </w:p>
    <w:p w14:paraId="22E3505A" w14:textId="612469ED" w:rsidR="00B203C0" w:rsidRPr="00953692" w:rsidRDefault="00C35B73" w:rsidP="00864BBF">
      <w:pPr>
        <w:spacing w:after="0" w:line="276" w:lineRule="auto"/>
        <w:ind w:firstLine="1134"/>
        <w:jc w:val="both"/>
        <w:rPr>
          <w:sz w:val="24"/>
          <w:szCs w:val="24"/>
          <w:lang w:val="fr-FR"/>
        </w:rPr>
      </w:pPr>
      <w:r w:rsidRPr="00953692">
        <w:rPr>
          <w:b/>
          <w:bCs/>
          <w:sz w:val="24"/>
          <w:szCs w:val="24"/>
          <w:lang w:val="fr-FR"/>
        </w:rPr>
        <w:t>366</w:t>
      </w:r>
      <w:r w:rsidR="00B64D56" w:rsidRPr="00953692">
        <w:rPr>
          <w:b/>
          <w:bCs/>
          <w:sz w:val="24"/>
          <w:szCs w:val="24"/>
          <w:lang w:val="fr-FR"/>
        </w:rPr>
        <w:t>.</w:t>
      </w:r>
      <w:r w:rsidR="00B64D56" w:rsidRPr="00953692">
        <w:rPr>
          <w:sz w:val="24"/>
          <w:szCs w:val="24"/>
          <w:lang w:val="fr-FR"/>
        </w:rPr>
        <w:t xml:space="preserve"> </w:t>
      </w:r>
      <w:r w:rsidR="00090A57" w:rsidRPr="00953692">
        <w:rPr>
          <w:sz w:val="24"/>
          <w:szCs w:val="24"/>
          <w:lang w:val="fr-FR"/>
        </w:rPr>
        <w:t>Par ailleurs</w:t>
      </w:r>
      <w:r w:rsidR="00AE6C77" w:rsidRPr="00953692">
        <w:rPr>
          <w:sz w:val="24"/>
          <w:szCs w:val="24"/>
          <w:lang w:val="fr-FR"/>
        </w:rPr>
        <w:t xml:space="preserve">, </w:t>
      </w:r>
      <w:r w:rsidR="00090A57" w:rsidRPr="00953692">
        <w:rPr>
          <w:sz w:val="24"/>
          <w:szCs w:val="24"/>
          <w:lang w:val="fr-FR"/>
        </w:rPr>
        <w:t xml:space="preserve">en matière de violation du délai raisonnable, </w:t>
      </w:r>
      <w:r w:rsidR="0036247F" w:rsidRPr="00953692">
        <w:rPr>
          <w:sz w:val="24"/>
          <w:szCs w:val="24"/>
          <w:lang w:val="fr-FR"/>
        </w:rPr>
        <w:t>la Chambre d’appel qui a entrepris l’œuvre du premier juge a conclu</w:t>
      </w:r>
      <w:r w:rsidR="00B4620D" w:rsidRPr="00953692">
        <w:rPr>
          <w:sz w:val="24"/>
          <w:szCs w:val="24"/>
          <w:lang w:val="fr-FR"/>
        </w:rPr>
        <w:t xml:space="preserve"> de manière générale</w:t>
      </w:r>
      <w:r w:rsidR="0036247F" w:rsidRPr="00953692">
        <w:rPr>
          <w:sz w:val="24"/>
          <w:szCs w:val="24"/>
          <w:lang w:val="fr-FR"/>
        </w:rPr>
        <w:t xml:space="preserve"> qu’en cherchant à ce que l’accusé démontre le préjudice qu’il aurait subi d’un retard de sept ans, la Chambre de première instance a versé dans l’erreur, car ce très grand retard et la prolongation de la détention provisoire résultant des circonstances de l’affaire constituent en soi un préjudice</w:t>
      </w:r>
      <w:r w:rsidR="009A566E" w:rsidRPr="00953692">
        <w:rPr>
          <w:rStyle w:val="Appelnotedebasdep"/>
          <w:sz w:val="24"/>
          <w:szCs w:val="24"/>
          <w:lang w:val="fr-FR"/>
        </w:rPr>
        <w:footnoteReference w:customMarkFollows="1" w:id="284"/>
        <w:t>260</w:t>
      </w:r>
      <w:r w:rsidR="0036247F" w:rsidRPr="00953692">
        <w:rPr>
          <w:sz w:val="24"/>
          <w:szCs w:val="24"/>
          <w:lang w:val="fr-FR"/>
        </w:rPr>
        <w:t xml:space="preserve">. </w:t>
      </w:r>
      <w:r w:rsidR="00865DCE" w:rsidRPr="00953692">
        <w:rPr>
          <w:sz w:val="24"/>
          <w:szCs w:val="24"/>
          <w:lang w:val="fr-FR"/>
        </w:rPr>
        <w:t>On en vient finalement à la conclusion selon laquelle, le temps mis en cause en matière de violation du délai raisonnable reste en réalité un préjudice et demeurant dans ce cadre strict, les juges ne peuvent exiger d’autres preuves matérielles</w:t>
      </w:r>
      <w:r w:rsidR="00090A57" w:rsidRPr="00953692">
        <w:rPr>
          <w:sz w:val="24"/>
          <w:szCs w:val="24"/>
          <w:lang w:val="fr-FR"/>
        </w:rPr>
        <w:t xml:space="preserve"> (le temps n’est pas une abstraction en soi)</w:t>
      </w:r>
      <w:r w:rsidR="00865DCE" w:rsidRPr="00953692">
        <w:rPr>
          <w:sz w:val="24"/>
          <w:szCs w:val="24"/>
          <w:lang w:val="fr-FR"/>
        </w:rPr>
        <w:t xml:space="preserve">. Mais </w:t>
      </w:r>
      <w:r w:rsidR="00633021" w:rsidRPr="00953692">
        <w:rPr>
          <w:sz w:val="24"/>
          <w:szCs w:val="24"/>
          <w:lang w:val="fr-FR"/>
        </w:rPr>
        <w:t xml:space="preserve">il n’en reste pas moins que ce temps litigieux est susceptible d’affecter le droit de l’accusé de disposer du temps et les moyens </w:t>
      </w:r>
      <w:r w:rsidR="00633021" w:rsidRPr="00953692">
        <w:rPr>
          <w:sz w:val="24"/>
          <w:szCs w:val="24"/>
          <w:lang w:val="fr-FR"/>
        </w:rPr>
        <w:lastRenderedPageBreak/>
        <w:t>nécessaires à la préparation de sa défense</w:t>
      </w:r>
      <w:r w:rsidR="00D737AD" w:rsidRPr="00953692">
        <w:rPr>
          <w:sz w:val="24"/>
          <w:szCs w:val="24"/>
          <w:lang w:val="fr-FR"/>
        </w:rPr>
        <w:t xml:space="preserve"> </w:t>
      </w:r>
      <w:r w:rsidR="00A22EF6" w:rsidRPr="00953692">
        <w:rPr>
          <w:sz w:val="24"/>
          <w:szCs w:val="24"/>
          <w:lang w:val="fr-FR"/>
        </w:rPr>
        <w:t xml:space="preserve">dont </w:t>
      </w:r>
      <w:r w:rsidR="00D737AD" w:rsidRPr="00953692">
        <w:rPr>
          <w:sz w:val="24"/>
          <w:szCs w:val="24"/>
          <w:lang w:val="fr-FR"/>
        </w:rPr>
        <w:t>il conviendrait de prouver</w:t>
      </w:r>
      <w:r w:rsidR="008F6000" w:rsidRPr="00953692">
        <w:rPr>
          <w:sz w:val="24"/>
          <w:szCs w:val="24"/>
          <w:lang w:val="fr-FR"/>
        </w:rPr>
        <w:t xml:space="preserve"> (il s’agit en réalité de deux objets différents)</w:t>
      </w:r>
      <w:r w:rsidR="00633021" w:rsidRPr="00953692">
        <w:rPr>
          <w:sz w:val="24"/>
          <w:szCs w:val="24"/>
          <w:lang w:val="fr-FR"/>
        </w:rPr>
        <w:t>.</w:t>
      </w:r>
    </w:p>
    <w:p w14:paraId="7380F8BA" w14:textId="5BAFEF16" w:rsidR="0044602A" w:rsidRPr="00953692" w:rsidRDefault="00C35B73" w:rsidP="00864BBF">
      <w:pPr>
        <w:spacing w:after="0" w:line="276" w:lineRule="auto"/>
        <w:ind w:firstLine="1134"/>
        <w:jc w:val="both"/>
        <w:rPr>
          <w:sz w:val="24"/>
          <w:szCs w:val="24"/>
          <w:lang w:val="fr-FR"/>
        </w:rPr>
      </w:pPr>
      <w:r w:rsidRPr="00953692">
        <w:rPr>
          <w:b/>
          <w:bCs/>
          <w:sz w:val="24"/>
          <w:szCs w:val="24"/>
          <w:lang w:val="fr-FR"/>
        </w:rPr>
        <w:t>367</w:t>
      </w:r>
      <w:r w:rsidR="002E69A8" w:rsidRPr="00953692">
        <w:rPr>
          <w:b/>
          <w:bCs/>
          <w:sz w:val="24"/>
          <w:szCs w:val="24"/>
          <w:lang w:val="fr-FR"/>
        </w:rPr>
        <w:t>.</w:t>
      </w:r>
      <w:r w:rsidR="002E69A8" w:rsidRPr="00953692">
        <w:rPr>
          <w:sz w:val="24"/>
          <w:szCs w:val="24"/>
          <w:lang w:val="fr-FR"/>
        </w:rPr>
        <w:t xml:space="preserve"> </w:t>
      </w:r>
      <w:r w:rsidR="00B01222" w:rsidRPr="00953692">
        <w:rPr>
          <w:sz w:val="24"/>
          <w:szCs w:val="24"/>
          <w:lang w:val="fr-FR"/>
        </w:rPr>
        <w:t>Dans l’affaire Setako</w:t>
      </w:r>
      <w:r w:rsidR="00E44EB4" w:rsidRPr="00953692">
        <w:rPr>
          <w:sz w:val="24"/>
          <w:szCs w:val="24"/>
          <w:lang w:val="fr-FR"/>
        </w:rPr>
        <w:t xml:space="preserve">, </w:t>
      </w:r>
      <w:r w:rsidR="00410BAA" w:rsidRPr="00953692">
        <w:rPr>
          <w:sz w:val="24"/>
          <w:szCs w:val="24"/>
          <w:lang w:val="fr-FR"/>
        </w:rPr>
        <w:t>l’accusé a associé la violation de son droit d’</w:t>
      </w:r>
      <w:r w:rsidR="00364402" w:rsidRPr="00953692">
        <w:rPr>
          <w:sz w:val="24"/>
          <w:szCs w:val="24"/>
          <w:lang w:val="fr-FR"/>
        </w:rPr>
        <w:t>être</w:t>
      </w:r>
      <w:r w:rsidR="00410BAA" w:rsidRPr="00953692">
        <w:rPr>
          <w:sz w:val="24"/>
          <w:szCs w:val="24"/>
          <w:lang w:val="fr-FR"/>
        </w:rPr>
        <w:t xml:space="preserve"> jugé sans retard excessif à son droit de disposer du temps et des moyens nécessaires à la préparation de sa défense. </w:t>
      </w:r>
      <w:r w:rsidR="006D7C26" w:rsidRPr="00953692">
        <w:rPr>
          <w:sz w:val="24"/>
          <w:szCs w:val="24"/>
          <w:lang w:val="fr-FR"/>
        </w:rPr>
        <w:t xml:space="preserve">Devant la Chambre d’appel, il a soutenu que le fait pour la Chambre de première instance </w:t>
      </w:r>
      <w:r w:rsidR="008A7E47" w:rsidRPr="00953692">
        <w:rPr>
          <w:sz w:val="24"/>
          <w:szCs w:val="24"/>
          <w:lang w:val="fr-FR"/>
        </w:rPr>
        <w:t>d’autoriser la modification de l’acte d’accusation initial d</w:t>
      </w:r>
      <w:r w:rsidR="00304AF2" w:rsidRPr="00953692">
        <w:rPr>
          <w:sz w:val="24"/>
          <w:szCs w:val="24"/>
          <w:lang w:val="fr-FR"/>
        </w:rPr>
        <w:t>u</w:t>
      </w:r>
      <w:r w:rsidR="008A7E47" w:rsidRPr="00953692">
        <w:rPr>
          <w:sz w:val="24"/>
          <w:szCs w:val="24"/>
          <w:lang w:val="fr-FR"/>
        </w:rPr>
        <w:t xml:space="preserve"> 22 mars 2004</w:t>
      </w:r>
      <w:r w:rsidR="0025348A" w:rsidRPr="00953692">
        <w:rPr>
          <w:sz w:val="24"/>
          <w:szCs w:val="24"/>
          <w:lang w:val="fr-FR"/>
        </w:rPr>
        <w:t>,</w:t>
      </w:r>
      <w:r w:rsidR="008A7E47" w:rsidRPr="00953692">
        <w:rPr>
          <w:sz w:val="24"/>
          <w:szCs w:val="24"/>
          <w:lang w:val="fr-FR"/>
        </w:rPr>
        <w:t xml:space="preserve"> trois ans après, donc le 10 mars et 23 juin 2008</w:t>
      </w:r>
      <w:r w:rsidR="009A566E" w:rsidRPr="00953692">
        <w:rPr>
          <w:rStyle w:val="Appelnotedebasdep"/>
          <w:sz w:val="24"/>
          <w:szCs w:val="24"/>
          <w:lang w:val="fr-FR"/>
        </w:rPr>
        <w:footnoteReference w:customMarkFollows="1" w:id="285"/>
        <w:t>261</w:t>
      </w:r>
      <w:r w:rsidR="006B7C6B" w:rsidRPr="00953692">
        <w:rPr>
          <w:sz w:val="24"/>
          <w:szCs w:val="24"/>
          <w:lang w:val="fr-FR"/>
        </w:rPr>
        <w:t xml:space="preserve">. </w:t>
      </w:r>
      <w:r w:rsidR="00642468" w:rsidRPr="00953692">
        <w:rPr>
          <w:sz w:val="24"/>
          <w:szCs w:val="24"/>
          <w:lang w:val="fr-FR"/>
        </w:rPr>
        <w:t>Il a affirmé que cette modification viole son droit d’être jugé sans retard excessif et le préjudice qui en a résulté</w:t>
      </w:r>
      <w:r w:rsidR="00920B0C" w:rsidRPr="00953692">
        <w:rPr>
          <w:sz w:val="24"/>
          <w:szCs w:val="24"/>
          <w:lang w:val="fr-FR"/>
        </w:rPr>
        <w:t xml:space="preserve"> n</w:t>
      </w:r>
      <w:r w:rsidR="00642468" w:rsidRPr="00953692">
        <w:rPr>
          <w:sz w:val="24"/>
          <w:szCs w:val="24"/>
          <w:lang w:val="fr-FR"/>
        </w:rPr>
        <w:t xml:space="preserve">’est </w:t>
      </w:r>
      <w:r w:rsidR="00920B0C" w:rsidRPr="00953692">
        <w:rPr>
          <w:sz w:val="24"/>
          <w:szCs w:val="24"/>
          <w:lang w:val="fr-FR"/>
        </w:rPr>
        <w:t xml:space="preserve">rien d’autre que </w:t>
      </w:r>
      <w:r w:rsidR="00642468" w:rsidRPr="00953692">
        <w:rPr>
          <w:sz w:val="24"/>
          <w:szCs w:val="24"/>
          <w:lang w:val="fr-FR"/>
        </w:rPr>
        <w:t>l’élargissement sensible du champ des accusations. L’appelant précise que </w:t>
      </w:r>
      <w:r w:rsidR="00BA60C2" w:rsidRPr="00953692">
        <w:rPr>
          <w:sz w:val="24"/>
          <w:szCs w:val="24"/>
          <w:lang w:val="fr-FR"/>
        </w:rPr>
        <w:t>« </w:t>
      </w:r>
      <w:r w:rsidR="00642468" w:rsidRPr="00953692">
        <w:rPr>
          <w:sz w:val="24"/>
          <w:szCs w:val="24"/>
          <w:lang w:val="fr-FR"/>
        </w:rPr>
        <w:t xml:space="preserve">faute des moyens et de temps, il n’a pas pu consacrer les ressources nécessaires </w:t>
      </w:r>
      <w:r w:rsidR="00CD51EE" w:rsidRPr="00953692">
        <w:rPr>
          <w:sz w:val="24"/>
          <w:szCs w:val="24"/>
          <w:lang w:val="fr-FR"/>
        </w:rPr>
        <w:t xml:space="preserve">aux enquêtes qu’il menait. C’est-à-dire qu’il a </w:t>
      </w:r>
      <w:r w:rsidR="00D378C3" w:rsidRPr="00953692">
        <w:rPr>
          <w:sz w:val="24"/>
          <w:szCs w:val="24"/>
          <w:lang w:val="fr-FR"/>
        </w:rPr>
        <w:t>dû</w:t>
      </w:r>
      <w:r w:rsidR="00CD51EE" w:rsidRPr="00953692">
        <w:rPr>
          <w:sz w:val="24"/>
          <w:szCs w:val="24"/>
          <w:lang w:val="fr-FR"/>
        </w:rPr>
        <w:t xml:space="preserve"> mettre fin à ces enquêtes </w:t>
      </w:r>
      <w:r w:rsidR="003E6FC8" w:rsidRPr="00953692">
        <w:rPr>
          <w:sz w:val="24"/>
          <w:szCs w:val="24"/>
          <w:lang w:val="fr-FR"/>
        </w:rPr>
        <w:t xml:space="preserve">initiales </w:t>
      </w:r>
      <w:r w:rsidR="00CD51EE" w:rsidRPr="00953692">
        <w:rPr>
          <w:sz w:val="24"/>
          <w:szCs w:val="24"/>
          <w:lang w:val="fr-FR"/>
        </w:rPr>
        <w:t xml:space="preserve">pour </w:t>
      </w:r>
      <w:r w:rsidR="003E6FC8" w:rsidRPr="00953692">
        <w:rPr>
          <w:sz w:val="24"/>
          <w:szCs w:val="24"/>
          <w:lang w:val="fr-FR"/>
        </w:rPr>
        <w:t>se concentrer aux nouvelles charges</w:t>
      </w:r>
      <w:r w:rsidR="00BA60C2" w:rsidRPr="00953692">
        <w:rPr>
          <w:sz w:val="24"/>
          <w:szCs w:val="24"/>
          <w:lang w:val="fr-FR"/>
        </w:rPr>
        <w:t> »</w:t>
      </w:r>
      <w:r w:rsidR="009A566E" w:rsidRPr="00953692">
        <w:rPr>
          <w:rStyle w:val="Appelnotedebasdep"/>
          <w:sz w:val="24"/>
          <w:szCs w:val="24"/>
          <w:lang w:val="fr-FR"/>
        </w:rPr>
        <w:footnoteReference w:customMarkFollows="1" w:id="286"/>
        <w:t>262</w:t>
      </w:r>
      <w:r w:rsidR="003E6FC8" w:rsidRPr="00953692">
        <w:rPr>
          <w:sz w:val="24"/>
          <w:szCs w:val="24"/>
          <w:lang w:val="fr-FR"/>
        </w:rPr>
        <w:t>.</w:t>
      </w:r>
    </w:p>
    <w:p w14:paraId="1B9E721E" w14:textId="0D8EE91C" w:rsidR="00D378C3" w:rsidRPr="00953692" w:rsidRDefault="00C35B73" w:rsidP="00864BBF">
      <w:pPr>
        <w:spacing w:after="0" w:line="276" w:lineRule="auto"/>
        <w:ind w:firstLine="1134"/>
        <w:jc w:val="both"/>
        <w:rPr>
          <w:sz w:val="24"/>
          <w:szCs w:val="24"/>
          <w:lang w:val="fr-FR"/>
        </w:rPr>
      </w:pPr>
      <w:r w:rsidRPr="00953692">
        <w:rPr>
          <w:b/>
          <w:bCs/>
          <w:sz w:val="24"/>
          <w:szCs w:val="24"/>
          <w:lang w:val="fr-FR"/>
        </w:rPr>
        <w:t>368</w:t>
      </w:r>
      <w:r w:rsidR="002E69A8" w:rsidRPr="00953692">
        <w:rPr>
          <w:b/>
          <w:bCs/>
          <w:sz w:val="24"/>
          <w:szCs w:val="24"/>
          <w:lang w:val="fr-FR"/>
        </w:rPr>
        <w:t>.</w:t>
      </w:r>
      <w:r w:rsidR="002E69A8" w:rsidRPr="00953692">
        <w:rPr>
          <w:sz w:val="24"/>
          <w:szCs w:val="24"/>
          <w:lang w:val="fr-FR"/>
        </w:rPr>
        <w:t xml:space="preserve"> </w:t>
      </w:r>
      <w:r w:rsidR="00D378C3" w:rsidRPr="00953692">
        <w:rPr>
          <w:sz w:val="24"/>
          <w:szCs w:val="24"/>
          <w:lang w:val="fr-FR"/>
        </w:rPr>
        <w:t xml:space="preserve">La Chambre d’appel </w:t>
      </w:r>
      <w:r w:rsidR="00BA60C2" w:rsidRPr="00953692">
        <w:rPr>
          <w:sz w:val="24"/>
          <w:szCs w:val="24"/>
          <w:lang w:val="fr-FR"/>
        </w:rPr>
        <w:t xml:space="preserve">a eu à rappeler la prise en compte </w:t>
      </w:r>
      <w:r w:rsidR="00E0157B" w:rsidRPr="00953692">
        <w:rPr>
          <w:sz w:val="24"/>
          <w:szCs w:val="24"/>
          <w:lang w:val="fr-FR"/>
        </w:rPr>
        <w:t xml:space="preserve">par la Chambre de première instance </w:t>
      </w:r>
      <w:r w:rsidR="00BA60C2" w:rsidRPr="00953692">
        <w:rPr>
          <w:sz w:val="24"/>
          <w:szCs w:val="24"/>
          <w:lang w:val="fr-FR"/>
        </w:rPr>
        <w:t>du danger que représent</w:t>
      </w:r>
      <w:r w:rsidR="009740CA" w:rsidRPr="00953692">
        <w:rPr>
          <w:sz w:val="24"/>
          <w:szCs w:val="24"/>
          <w:lang w:val="fr-FR"/>
        </w:rPr>
        <w:t>aient toutes les modifications envisagées par le Procureur, en ce qu’elles auraient, au cas</w:t>
      </w:r>
      <w:r w:rsidR="002E69A8" w:rsidRPr="00953692">
        <w:rPr>
          <w:sz w:val="24"/>
          <w:szCs w:val="24"/>
          <w:lang w:val="fr-FR"/>
        </w:rPr>
        <w:t xml:space="preserve"> où</w:t>
      </w:r>
      <w:r w:rsidR="009740CA" w:rsidRPr="00953692">
        <w:rPr>
          <w:sz w:val="24"/>
          <w:szCs w:val="24"/>
          <w:lang w:val="fr-FR"/>
        </w:rPr>
        <w:t xml:space="preserve"> elle les avait toutes autorisées, retardé excessivement l’instance.</w:t>
      </w:r>
      <w:r w:rsidR="00AC04A6" w:rsidRPr="00953692">
        <w:rPr>
          <w:sz w:val="24"/>
          <w:szCs w:val="24"/>
          <w:lang w:val="fr-FR"/>
        </w:rPr>
        <w:t xml:space="preserve"> </w:t>
      </w:r>
      <w:r w:rsidR="0025348A" w:rsidRPr="00953692">
        <w:rPr>
          <w:rStyle w:val="grammar"/>
          <w:rFonts w:cs="Times New Roman"/>
          <w:sz w:val="24"/>
          <w:szCs w:val="24"/>
          <w:lang w:val="fr-FR"/>
        </w:rPr>
        <w:t>À</w:t>
      </w:r>
      <w:r w:rsidR="0025348A" w:rsidRPr="00953692">
        <w:rPr>
          <w:rFonts w:cs="Times New Roman"/>
          <w:sz w:val="24"/>
          <w:szCs w:val="24"/>
          <w:shd w:val="clear" w:color="auto" w:fill="FFFFFF"/>
          <w:lang w:val="fr-FR"/>
        </w:rPr>
        <w:t xml:space="preserve"> cet effet,</w:t>
      </w:r>
      <w:r w:rsidR="0025348A" w:rsidRPr="00953692">
        <w:rPr>
          <w:rFonts w:ascii="Tahoma" w:hAnsi="Tahoma" w:cs="Tahoma"/>
          <w:sz w:val="24"/>
          <w:szCs w:val="24"/>
          <w:shd w:val="clear" w:color="auto" w:fill="FFFFFF"/>
          <w:lang w:val="fr-FR"/>
        </w:rPr>
        <w:t xml:space="preserve"> </w:t>
      </w:r>
      <w:r w:rsidR="0076520B" w:rsidRPr="00953692">
        <w:rPr>
          <w:sz w:val="24"/>
          <w:szCs w:val="24"/>
          <w:lang w:val="fr-FR"/>
        </w:rPr>
        <w:t>la Chambre de première instance n’avait</w:t>
      </w:r>
      <w:r w:rsidR="0025348A" w:rsidRPr="00953692">
        <w:rPr>
          <w:sz w:val="24"/>
          <w:szCs w:val="24"/>
          <w:lang w:val="fr-FR"/>
        </w:rPr>
        <w:t xml:space="preserve"> </w:t>
      </w:r>
      <w:r w:rsidR="0076520B" w:rsidRPr="00953692">
        <w:rPr>
          <w:sz w:val="24"/>
          <w:szCs w:val="24"/>
          <w:lang w:val="fr-FR"/>
        </w:rPr>
        <w:t>pu « autoriser que les modifications qui renforçaient l’équité du procès, notamment en exposant plus clairement ses idées sur la responsabilité pénale de l’accusé, en supprimant toutes allégations factuelles qu</w:t>
      </w:r>
      <w:r w:rsidR="00A22EF6" w:rsidRPr="00953692">
        <w:rPr>
          <w:sz w:val="24"/>
          <w:szCs w:val="24"/>
          <w:lang w:val="fr-FR"/>
        </w:rPr>
        <w:t>e le procureur</w:t>
      </w:r>
      <w:r w:rsidR="0076520B" w:rsidRPr="00953692">
        <w:rPr>
          <w:sz w:val="24"/>
          <w:szCs w:val="24"/>
          <w:lang w:val="fr-FR"/>
        </w:rPr>
        <w:t xml:space="preserve"> ne souhait</w:t>
      </w:r>
      <w:r w:rsidR="0025348A" w:rsidRPr="00953692">
        <w:rPr>
          <w:sz w:val="24"/>
          <w:szCs w:val="24"/>
          <w:lang w:val="fr-FR"/>
        </w:rPr>
        <w:t>ait</w:t>
      </w:r>
      <w:r w:rsidR="0076520B" w:rsidRPr="00953692">
        <w:rPr>
          <w:sz w:val="24"/>
          <w:szCs w:val="24"/>
          <w:lang w:val="fr-FR"/>
        </w:rPr>
        <w:t xml:space="preserve"> plus maintenir et en corrigeant telle ou telle allégation factuelle existante ou en la complétant »</w:t>
      </w:r>
      <w:r w:rsidR="009A566E" w:rsidRPr="00953692">
        <w:rPr>
          <w:rStyle w:val="Appelnotedebasdep"/>
          <w:sz w:val="24"/>
          <w:szCs w:val="24"/>
          <w:lang w:val="fr-FR"/>
        </w:rPr>
        <w:footnoteReference w:customMarkFollows="1" w:id="287"/>
        <w:t>263</w:t>
      </w:r>
      <w:r w:rsidR="0076520B" w:rsidRPr="00953692">
        <w:rPr>
          <w:sz w:val="24"/>
          <w:szCs w:val="24"/>
          <w:lang w:val="fr-FR"/>
        </w:rPr>
        <w:t xml:space="preserve">. La Chambre d’appel n’a relevé aucune erreur et a jugé que, le fait pour la Chambre de première instance d’autoriser les modifications de l’acte d’accusation ne suffit pas à démontrer </w:t>
      </w:r>
      <w:r w:rsidR="0025348A" w:rsidRPr="00953692">
        <w:rPr>
          <w:sz w:val="24"/>
          <w:szCs w:val="24"/>
          <w:lang w:val="fr-FR"/>
        </w:rPr>
        <w:t xml:space="preserve">(ipso facto) </w:t>
      </w:r>
      <w:r w:rsidR="0076520B" w:rsidRPr="00953692">
        <w:rPr>
          <w:sz w:val="24"/>
          <w:szCs w:val="24"/>
          <w:lang w:val="fr-FR"/>
        </w:rPr>
        <w:t>que les modifications étaient intempestives ou qu’elles ont causé quelque préjudice</w:t>
      </w:r>
      <w:r w:rsidR="002E69A8" w:rsidRPr="00953692">
        <w:rPr>
          <w:sz w:val="24"/>
          <w:szCs w:val="24"/>
          <w:lang w:val="fr-FR"/>
        </w:rPr>
        <w:t xml:space="preserve"> que ce soit</w:t>
      </w:r>
      <w:r w:rsidR="0076520B" w:rsidRPr="00953692">
        <w:rPr>
          <w:sz w:val="24"/>
          <w:szCs w:val="24"/>
          <w:lang w:val="fr-FR"/>
        </w:rPr>
        <w:t xml:space="preserve"> à Setako</w:t>
      </w:r>
      <w:r w:rsidR="009A566E" w:rsidRPr="00953692">
        <w:rPr>
          <w:rStyle w:val="Appelnotedebasdep"/>
          <w:sz w:val="24"/>
          <w:szCs w:val="24"/>
          <w:lang w:val="fr-FR"/>
        </w:rPr>
        <w:footnoteReference w:customMarkFollows="1" w:id="288"/>
        <w:t>264</w:t>
      </w:r>
      <w:r w:rsidR="0076520B" w:rsidRPr="00953692">
        <w:rPr>
          <w:sz w:val="24"/>
          <w:szCs w:val="24"/>
          <w:lang w:val="fr-FR"/>
        </w:rPr>
        <w:t>.</w:t>
      </w:r>
    </w:p>
    <w:p w14:paraId="1ABBB7BC" w14:textId="6A0102B5" w:rsidR="005F6B90" w:rsidRPr="00953692" w:rsidRDefault="00C35B73" w:rsidP="00864BBF">
      <w:pPr>
        <w:spacing w:after="0" w:line="276" w:lineRule="auto"/>
        <w:ind w:firstLine="1134"/>
        <w:jc w:val="both"/>
        <w:rPr>
          <w:sz w:val="24"/>
          <w:szCs w:val="24"/>
          <w:lang w:val="fr-FR"/>
        </w:rPr>
      </w:pPr>
      <w:r w:rsidRPr="00953692">
        <w:rPr>
          <w:b/>
          <w:bCs/>
          <w:sz w:val="24"/>
          <w:szCs w:val="24"/>
          <w:lang w:val="fr-FR"/>
        </w:rPr>
        <w:t>369</w:t>
      </w:r>
      <w:r w:rsidR="00C5639E" w:rsidRPr="00953692">
        <w:rPr>
          <w:b/>
          <w:bCs/>
          <w:sz w:val="24"/>
          <w:szCs w:val="24"/>
          <w:lang w:val="fr-FR"/>
        </w:rPr>
        <w:t>.</w:t>
      </w:r>
      <w:r w:rsidR="00C5639E" w:rsidRPr="00953692">
        <w:rPr>
          <w:sz w:val="24"/>
          <w:szCs w:val="24"/>
          <w:lang w:val="fr-FR"/>
        </w:rPr>
        <w:t xml:space="preserve"> </w:t>
      </w:r>
      <w:r w:rsidR="00DC71EB" w:rsidRPr="00953692">
        <w:rPr>
          <w:sz w:val="24"/>
          <w:szCs w:val="24"/>
          <w:lang w:val="fr-FR"/>
        </w:rPr>
        <w:t xml:space="preserve">Pour rencontrer précisément la préoccupation de l’appelant, la Chambre d’appel a relevé que </w:t>
      </w:r>
      <w:r w:rsidR="007C6399" w:rsidRPr="00953692">
        <w:rPr>
          <w:sz w:val="24"/>
          <w:szCs w:val="24"/>
          <w:lang w:val="fr-FR"/>
        </w:rPr>
        <w:t>les faits sur lesquels enquêtait l’appelant avant les modifications figuraient déjà dans l’acte d’accusation confirmé le 22 mars 2004, et qu’elle</w:t>
      </w:r>
      <w:r w:rsidR="00A22EF6" w:rsidRPr="00953692">
        <w:rPr>
          <w:sz w:val="24"/>
          <w:szCs w:val="24"/>
          <w:lang w:val="fr-FR"/>
        </w:rPr>
        <w:t xml:space="preserve"> (la Chambre d’appel)</w:t>
      </w:r>
      <w:r w:rsidR="007C6399" w:rsidRPr="00953692">
        <w:rPr>
          <w:sz w:val="24"/>
          <w:szCs w:val="24"/>
          <w:lang w:val="fr-FR"/>
        </w:rPr>
        <w:t xml:space="preserve"> ne comprenait pas </w:t>
      </w:r>
      <w:r w:rsidR="00607CA0" w:rsidRPr="00953692">
        <w:rPr>
          <w:sz w:val="24"/>
          <w:szCs w:val="24"/>
          <w:lang w:val="fr-FR"/>
        </w:rPr>
        <w:t>pourquoi</w:t>
      </w:r>
      <w:r w:rsidR="007C6399" w:rsidRPr="00953692">
        <w:rPr>
          <w:sz w:val="24"/>
          <w:szCs w:val="24"/>
          <w:lang w:val="fr-FR"/>
        </w:rPr>
        <w:t xml:space="preserve"> jusqu’aux modifications de l’acte d’accusation</w:t>
      </w:r>
      <w:r w:rsidR="00C5639E" w:rsidRPr="00953692">
        <w:rPr>
          <w:sz w:val="24"/>
          <w:szCs w:val="24"/>
          <w:lang w:val="fr-FR"/>
        </w:rPr>
        <w:t xml:space="preserve">, </w:t>
      </w:r>
      <w:r w:rsidR="007C6399" w:rsidRPr="00953692">
        <w:rPr>
          <w:sz w:val="24"/>
          <w:szCs w:val="24"/>
          <w:lang w:val="fr-FR"/>
        </w:rPr>
        <w:t xml:space="preserve">notamment le 24 septembre 2007, </w:t>
      </w:r>
      <w:r w:rsidR="00C5639E" w:rsidRPr="00953692">
        <w:rPr>
          <w:sz w:val="24"/>
          <w:szCs w:val="24"/>
          <w:lang w:val="fr-FR"/>
        </w:rPr>
        <w:t>Setako n’avait pas pu enquêter pleinement</w:t>
      </w:r>
      <w:r w:rsidR="007C6399" w:rsidRPr="00953692">
        <w:rPr>
          <w:sz w:val="24"/>
          <w:szCs w:val="24"/>
          <w:lang w:val="fr-FR"/>
        </w:rPr>
        <w:t xml:space="preserve">. </w:t>
      </w:r>
      <w:r w:rsidR="001A5D57" w:rsidRPr="00953692">
        <w:rPr>
          <w:sz w:val="24"/>
          <w:szCs w:val="24"/>
          <w:lang w:val="fr-FR"/>
        </w:rPr>
        <w:t>La Chambre d’appel a remarqué en outre que, le Procureur a commencé à exposer la thèse à charge le 25 août 2008, la Défense ayant commencé à présenter les moyens à décharge le 4 mai 2009, respectivement 11 et 19 mois après le dépôt de l’acte d’accusation du 24 septembre 2007. Elle a conclu à cet effet que, Setako a disposé d’une période raisonnable après le dépôt de l’acte d’accusation du 24 septembre 2007</w:t>
      </w:r>
      <w:r w:rsidR="00397D3E" w:rsidRPr="00953692">
        <w:rPr>
          <w:sz w:val="24"/>
          <w:szCs w:val="24"/>
          <w:lang w:val="fr-FR"/>
        </w:rPr>
        <w:t>,</w:t>
      </w:r>
      <w:r w:rsidR="001A5D57" w:rsidRPr="00953692">
        <w:rPr>
          <w:sz w:val="24"/>
          <w:szCs w:val="24"/>
          <w:lang w:val="fr-FR"/>
        </w:rPr>
        <w:t xml:space="preserve"> pour achever de préparer sa </w:t>
      </w:r>
      <w:r w:rsidR="001A5D57" w:rsidRPr="00953692">
        <w:rPr>
          <w:sz w:val="24"/>
          <w:szCs w:val="24"/>
          <w:lang w:val="fr-FR"/>
        </w:rPr>
        <w:lastRenderedPageBreak/>
        <w:t>défense</w:t>
      </w:r>
      <w:r w:rsidR="002D277F" w:rsidRPr="00953692">
        <w:rPr>
          <w:rStyle w:val="Appelnotedebasdep"/>
          <w:sz w:val="24"/>
          <w:szCs w:val="24"/>
          <w:lang w:val="fr-FR"/>
        </w:rPr>
        <w:footnoteReference w:customMarkFollows="1" w:id="289"/>
        <w:t>265</w:t>
      </w:r>
      <w:r w:rsidR="001A5D57" w:rsidRPr="00953692">
        <w:rPr>
          <w:sz w:val="24"/>
          <w:szCs w:val="24"/>
          <w:lang w:val="fr-FR"/>
        </w:rPr>
        <w:t>.</w:t>
      </w:r>
      <w:r w:rsidR="00397D3E" w:rsidRPr="00953692">
        <w:rPr>
          <w:sz w:val="24"/>
          <w:szCs w:val="24"/>
          <w:lang w:val="fr-FR"/>
        </w:rPr>
        <w:t xml:space="preserve"> Et à cet effet, la longue durée mise en cause par l’accusé n’a pas affecté ce droit fondamental qui lui est reconnu.</w:t>
      </w:r>
    </w:p>
    <w:p w14:paraId="16B634C3" w14:textId="6CC4E7F3" w:rsidR="00BC1362" w:rsidRPr="00953692" w:rsidRDefault="00C35B73" w:rsidP="002D277F">
      <w:pPr>
        <w:spacing w:line="276" w:lineRule="auto"/>
        <w:ind w:firstLine="1134"/>
        <w:jc w:val="both"/>
        <w:rPr>
          <w:sz w:val="24"/>
          <w:szCs w:val="24"/>
          <w:lang w:val="fr-FR"/>
        </w:rPr>
      </w:pPr>
      <w:r w:rsidRPr="00953692">
        <w:rPr>
          <w:b/>
          <w:bCs/>
          <w:sz w:val="24"/>
          <w:szCs w:val="24"/>
          <w:lang w:val="fr-FR"/>
        </w:rPr>
        <w:t>370</w:t>
      </w:r>
      <w:r w:rsidR="00C5639E" w:rsidRPr="00953692">
        <w:rPr>
          <w:b/>
          <w:bCs/>
          <w:sz w:val="24"/>
          <w:szCs w:val="24"/>
          <w:lang w:val="fr-FR"/>
        </w:rPr>
        <w:t>.</w:t>
      </w:r>
      <w:r w:rsidR="00C5639E" w:rsidRPr="00953692">
        <w:rPr>
          <w:sz w:val="24"/>
          <w:szCs w:val="24"/>
          <w:lang w:val="fr-FR"/>
        </w:rPr>
        <w:t xml:space="preserve"> </w:t>
      </w:r>
      <w:r w:rsidR="000A63CD" w:rsidRPr="00953692">
        <w:rPr>
          <w:sz w:val="24"/>
          <w:szCs w:val="24"/>
          <w:lang w:val="fr-FR"/>
        </w:rPr>
        <w:t xml:space="preserve">Il ressort </w:t>
      </w:r>
      <w:r w:rsidR="00A73D95" w:rsidRPr="00953692">
        <w:rPr>
          <w:sz w:val="24"/>
          <w:szCs w:val="24"/>
          <w:lang w:val="fr-FR"/>
        </w:rPr>
        <w:t xml:space="preserve">enfin </w:t>
      </w:r>
      <w:r w:rsidR="000A63CD" w:rsidRPr="00953692">
        <w:rPr>
          <w:sz w:val="24"/>
          <w:szCs w:val="24"/>
          <w:lang w:val="fr-FR"/>
        </w:rPr>
        <w:t>de cette affaire</w:t>
      </w:r>
      <w:r w:rsidR="00C8450D" w:rsidRPr="00953692">
        <w:rPr>
          <w:sz w:val="24"/>
          <w:szCs w:val="24"/>
          <w:lang w:val="fr-FR"/>
        </w:rPr>
        <w:t>,</w:t>
      </w:r>
      <w:r w:rsidR="000A63CD" w:rsidRPr="00953692">
        <w:rPr>
          <w:sz w:val="24"/>
          <w:szCs w:val="24"/>
          <w:lang w:val="fr-FR"/>
        </w:rPr>
        <w:t xml:space="preserve"> l</w:t>
      </w:r>
      <w:r w:rsidR="00F4420C" w:rsidRPr="00953692">
        <w:rPr>
          <w:sz w:val="24"/>
          <w:szCs w:val="24"/>
          <w:lang w:val="fr-FR"/>
        </w:rPr>
        <w:t xml:space="preserve">a probabilité qu’une violation du droit d’être jugé sans retard excessif débouche </w:t>
      </w:r>
      <w:r w:rsidR="00C14FBD" w:rsidRPr="00953692">
        <w:rPr>
          <w:sz w:val="24"/>
          <w:szCs w:val="24"/>
          <w:lang w:val="fr-FR"/>
        </w:rPr>
        <w:t>sur</w:t>
      </w:r>
      <w:r w:rsidR="00F4420C" w:rsidRPr="00953692">
        <w:rPr>
          <w:sz w:val="24"/>
          <w:szCs w:val="24"/>
          <w:lang w:val="fr-FR"/>
        </w:rPr>
        <w:t xml:space="preserve"> l’impossibilité pour l’accusé de bénéficier du temps et des moyens nécessaires </w:t>
      </w:r>
      <w:r w:rsidR="003502DE" w:rsidRPr="00953692">
        <w:rPr>
          <w:sz w:val="24"/>
          <w:szCs w:val="24"/>
          <w:lang w:val="fr-FR"/>
        </w:rPr>
        <w:t>à la préparation de sa défense. Du raisonnement de la Chambre d’appel</w:t>
      </w:r>
      <w:r w:rsidR="00E845DE" w:rsidRPr="00953692">
        <w:rPr>
          <w:sz w:val="24"/>
          <w:szCs w:val="24"/>
          <w:lang w:val="fr-FR"/>
        </w:rPr>
        <w:t>,</w:t>
      </w:r>
      <w:r w:rsidR="003502DE" w:rsidRPr="00953692">
        <w:rPr>
          <w:sz w:val="24"/>
          <w:szCs w:val="24"/>
          <w:lang w:val="fr-FR"/>
        </w:rPr>
        <w:t xml:space="preserve"> on déduit qu’il </w:t>
      </w:r>
      <w:r w:rsidR="00C14FBD" w:rsidRPr="00953692">
        <w:rPr>
          <w:sz w:val="24"/>
          <w:szCs w:val="24"/>
          <w:lang w:val="fr-FR"/>
        </w:rPr>
        <w:t xml:space="preserve">doit </w:t>
      </w:r>
      <w:r w:rsidR="003502DE" w:rsidRPr="00953692">
        <w:rPr>
          <w:sz w:val="24"/>
          <w:szCs w:val="24"/>
          <w:lang w:val="fr-FR"/>
        </w:rPr>
        <w:t>s’agir des modifications intempestives.</w:t>
      </w:r>
      <w:r w:rsidR="00397D3E" w:rsidRPr="00953692">
        <w:rPr>
          <w:sz w:val="24"/>
          <w:szCs w:val="24"/>
          <w:lang w:val="fr-FR"/>
        </w:rPr>
        <w:t xml:space="preserve"> </w:t>
      </w:r>
      <w:r w:rsidR="008271DF" w:rsidRPr="00953692">
        <w:rPr>
          <w:sz w:val="24"/>
          <w:szCs w:val="24"/>
          <w:lang w:val="fr-FR"/>
        </w:rPr>
        <w:t>En suivant</w:t>
      </w:r>
      <w:r w:rsidR="00397D3E" w:rsidRPr="00953692">
        <w:rPr>
          <w:sz w:val="24"/>
          <w:szCs w:val="24"/>
          <w:lang w:val="fr-FR"/>
        </w:rPr>
        <w:t xml:space="preserve"> </w:t>
      </w:r>
      <w:r w:rsidR="00204618" w:rsidRPr="00953692">
        <w:rPr>
          <w:sz w:val="24"/>
          <w:szCs w:val="24"/>
          <w:lang w:val="fr-FR"/>
        </w:rPr>
        <w:t>c</w:t>
      </w:r>
      <w:r w:rsidR="00397D3E" w:rsidRPr="00953692">
        <w:rPr>
          <w:sz w:val="24"/>
          <w:szCs w:val="24"/>
          <w:lang w:val="fr-FR"/>
        </w:rPr>
        <w:t>e raisonnement,</w:t>
      </w:r>
      <w:r w:rsidR="003502DE" w:rsidRPr="00953692">
        <w:rPr>
          <w:sz w:val="24"/>
          <w:szCs w:val="24"/>
          <w:lang w:val="fr-FR"/>
        </w:rPr>
        <w:t xml:space="preserve"> </w:t>
      </w:r>
      <w:r w:rsidR="00397D3E" w:rsidRPr="00953692">
        <w:rPr>
          <w:sz w:val="24"/>
          <w:szCs w:val="24"/>
          <w:lang w:val="fr-FR"/>
        </w:rPr>
        <w:t>l</w:t>
      </w:r>
      <w:r w:rsidR="003502DE" w:rsidRPr="00953692">
        <w:rPr>
          <w:sz w:val="24"/>
          <w:szCs w:val="24"/>
          <w:lang w:val="fr-FR"/>
        </w:rPr>
        <w:t>’intempestivité</w:t>
      </w:r>
      <w:r w:rsidR="00F53D84" w:rsidRPr="00953692">
        <w:rPr>
          <w:sz w:val="24"/>
          <w:szCs w:val="24"/>
          <w:lang w:val="fr-FR"/>
        </w:rPr>
        <w:t xml:space="preserve"> des modifications</w:t>
      </w:r>
      <w:r w:rsidR="003502DE" w:rsidRPr="00953692">
        <w:rPr>
          <w:sz w:val="24"/>
          <w:szCs w:val="24"/>
          <w:lang w:val="fr-FR"/>
        </w:rPr>
        <w:t xml:space="preserve"> </w:t>
      </w:r>
      <w:r w:rsidR="00F53D84" w:rsidRPr="00953692">
        <w:rPr>
          <w:sz w:val="24"/>
          <w:szCs w:val="24"/>
          <w:lang w:val="fr-FR"/>
        </w:rPr>
        <w:t>sera prise au sens ordinaire selon lequel, celle</w:t>
      </w:r>
      <w:r w:rsidR="00C14FBD" w:rsidRPr="00953692">
        <w:rPr>
          <w:sz w:val="24"/>
          <w:szCs w:val="24"/>
          <w:lang w:val="fr-FR"/>
        </w:rPr>
        <w:t>s</w:t>
      </w:r>
      <w:r w:rsidR="00F53D84" w:rsidRPr="00953692">
        <w:rPr>
          <w:sz w:val="24"/>
          <w:szCs w:val="24"/>
          <w:lang w:val="fr-FR"/>
        </w:rPr>
        <w:t xml:space="preserve">-ci </w:t>
      </w:r>
      <w:r w:rsidR="00DA3B22" w:rsidRPr="00953692">
        <w:rPr>
          <w:sz w:val="24"/>
          <w:szCs w:val="24"/>
          <w:lang w:val="fr-FR"/>
        </w:rPr>
        <w:t>s</w:t>
      </w:r>
      <w:r w:rsidR="00F53D84" w:rsidRPr="00953692">
        <w:rPr>
          <w:sz w:val="24"/>
          <w:szCs w:val="24"/>
          <w:lang w:val="fr-FR"/>
        </w:rPr>
        <w:t>ont survenues</w:t>
      </w:r>
      <w:r w:rsidR="00BD4350" w:rsidRPr="00953692">
        <w:rPr>
          <w:sz w:val="24"/>
          <w:szCs w:val="24"/>
          <w:lang w:val="fr-FR"/>
        </w:rPr>
        <w:t xml:space="preserve"> ou surviennent</w:t>
      </w:r>
      <w:r w:rsidR="00F53D84" w:rsidRPr="00953692">
        <w:rPr>
          <w:sz w:val="24"/>
          <w:szCs w:val="24"/>
          <w:lang w:val="fr-FR"/>
        </w:rPr>
        <w:t xml:space="preserve"> </w:t>
      </w:r>
      <w:r w:rsidR="00BD4350" w:rsidRPr="00953692">
        <w:rPr>
          <w:sz w:val="24"/>
          <w:szCs w:val="24"/>
          <w:lang w:val="fr-FR"/>
        </w:rPr>
        <w:t>inopportunément</w:t>
      </w:r>
      <w:r w:rsidR="00C14FBD" w:rsidRPr="00953692">
        <w:rPr>
          <w:sz w:val="24"/>
          <w:szCs w:val="24"/>
          <w:lang w:val="fr-FR"/>
        </w:rPr>
        <w:t>,</w:t>
      </w:r>
      <w:r w:rsidR="00BD4350" w:rsidRPr="00953692">
        <w:rPr>
          <w:sz w:val="24"/>
          <w:szCs w:val="24"/>
          <w:lang w:val="fr-FR"/>
        </w:rPr>
        <w:t xml:space="preserve"> </w:t>
      </w:r>
      <w:r w:rsidR="00F53D84" w:rsidRPr="00953692">
        <w:rPr>
          <w:sz w:val="24"/>
          <w:szCs w:val="24"/>
          <w:lang w:val="fr-FR"/>
        </w:rPr>
        <w:t>au mauvais moment</w:t>
      </w:r>
      <w:r w:rsidR="00DA3B22" w:rsidRPr="00953692">
        <w:rPr>
          <w:sz w:val="24"/>
          <w:szCs w:val="24"/>
          <w:lang w:val="fr-FR"/>
        </w:rPr>
        <w:t xml:space="preserve">, </w:t>
      </w:r>
      <w:r w:rsidR="00F53D84" w:rsidRPr="00953692">
        <w:rPr>
          <w:sz w:val="24"/>
          <w:szCs w:val="24"/>
          <w:lang w:val="fr-FR"/>
        </w:rPr>
        <w:t xml:space="preserve">évidemment </w:t>
      </w:r>
      <w:r w:rsidR="00346AD5" w:rsidRPr="00953692">
        <w:rPr>
          <w:sz w:val="24"/>
          <w:szCs w:val="24"/>
          <w:lang w:val="fr-FR"/>
        </w:rPr>
        <w:t>au dépourvu</w:t>
      </w:r>
      <w:r w:rsidR="00A73D95" w:rsidRPr="00953692">
        <w:rPr>
          <w:sz w:val="24"/>
          <w:szCs w:val="24"/>
          <w:lang w:val="fr-FR"/>
        </w:rPr>
        <w:t xml:space="preserve"> de l’accusé. </w:t>
      </w:r>
      <w:r w:rsidR="00346AD5" w:rsidRPr="00953692">
        <w:rPr>
          <w:sz w:val="24"/>
          <w:szCs w:val="24"/>
          <w:lang w:val="fr-FR"/>
        </w:rPr>
        <w:t>Ce n’est pas le nombre en soi, mais le temps supplémentaire ou le prolongement de la durée que ces</w:t>
      </w:r>
      <w:r w:rsidR="00A73D95" w:rsidRPr="00953692">
        <w:rPr>
          <w:sz w:val="24"/>
          <w:szCs w:val="24"/>
          <w:lang w:val="fr-FR"/>
        </w:rPr>
        <w:t xml:space="preserve"> modifications </w:t>
      </w:r>
      <w:r w:rsidR="00346AD5" w:rsidRPr="00953692">
        <w:rPr>
          <w:sz w:val="24"/>
          <w:szCs w:val="24"/>
          <w:lang w:val="fr-FR"/>
        </w:rPr>
        <w:t>impliquent ;</w:t>
      </w:r>
      <w:r w:rsidR="00A73D95" w:rsidRPr="00953692">
        <w:rPr>
          <w:sz w:val="24"/>
          <w:szCs w:val="24"/>
          <w:lang w:val="fr-FR"/>
        </w:rPr>
        <w:t xml:space="preserve"> désavantage</w:t>
      </w:r>
      <w:r w:rsidR="00346AD5" w:rsidRPr="00953692">
        <w:rPr>
          <w:sz w:val="24"/>
          <w:szCs w:val="24"/>
          <w:lang w:val="fr-FR"/>
        </w:rPr>
        <w:t>a</w:t>
      </w:r>
      <w:r w:rsidR="00A73D95" w:rsidRPr="00953692">
        <w:rPr>
          <w:sz w:val="24"/>
          <w:szCs w:val="24"/>
          <w:lang w:val="fr-FR"/>
        </w:rPr>
        <w:t>nt</w:t>
      </w:r>
      <w:r w:rsidR="00BD4350" w:rsidRPr="00953692">
        <w:rPr>
          <w:sz w:val="24"/>
          <w:szCs w:val="24"/>
          <w:lang w:val="fr-FR"/>
        </w:rPr>
        <w:t xml:space="preserve"> l’accusé</w:t>
      </w:r>
      <w:r w:rsidR="00A73D95" w:rsidRPr="00953692">
        <w:rPr>
          <w:sz w:val="24"/>
          <w:szCs w:val="24"/>
          <w:lang w:val="fr-FR"/>
        </w:rPr>
        <w:t xml:space="preserve">, le mettant dans l’impossibilité de préparer sa défense. </w:t>
      </w:r>
      <w:r w:rsidR="00950B9D" w:rsidRPr="00953692">
        <w:rPr>
          <w:sz w:val="24"/>
          <w:szCs w:val="24"/>
          <w:lang w:val="fr-FR"/>
        </w:rPr>
        <w:t>Ainsi, l’accusé devra prouver à travers des éléments matériels le préjudice subi, en</w:t>
      </w:r>
      <w:r w:rsidR="00E845DE" w:rsidRPr="00953692">
        <w:rPr>
          <w:sz w:val="24"/>
          <w:szCs w:val="24"/>
          <w:lang w:val="fr-FR"/>
        </w:rPr>
        <w:t xml:space="preserve"> </w:t>
      </w:r>
      <w:r w:rsidR="00950B9D" w:rsidRPr="00953692">
        <w:rPr>
          <w:sz w:val="24"/>
          <w:szCs w:val="24"/>
          <w:lang w:val="fr-FR"/>
        </w:rPr>
        <w:t xml:space="preserve">tant </w:t>
      </w:r>
      <w:r w:rsidR="00C14FBD" w:rsidRPr="00953692">
        <w:rPr>
          <w:sz w:val="24"/>
          <w:szCs w:val="24"/>
          <w:lang w:val="fr-FR"/>
        </w:rPr>
        <w:t xml:space="preserve">que </w:t>
      </w:r>
      <w:r w:rsidR="00950B9D" w:rsidRPr="00953692">
        <w:rPr>
          <w:sz w:val="24"/>
          <w:szCs w:val="24"/>
          <w:lang w:val="fr-FR"/>
        </w:rPr>
        <w:t>conséquence de la violation de son droit d’être jugé sans retard.</w:t>
      </w:r>
      <w:r w:rsidR="00E34F03" w:rsidRPr="00953692">
        <w:rPr>
          <w:sz w:val="24"/>
          <w:szCs w:val="24"/>
          <w:lang w:val="fr-FR"/>
        </w:rPr>
        <w:t xml:space="preserve"> Il s’agit des éléments factuels que le juge en déterminera la valeur probante. Il peut s’agir, par exemple, d</w:t>
      </w:r>
      <w:r w:rsidR="00346AD5" w:rsidRPr="00953692">
        <w:rPr>
          <w:sz w:val="24"/>
          <w:szCs w:val="24"/>
          <w:lang w:val="fr-FR"/>
        </w:rPr>
        <w:t>’un</w:t>
      </w:r>
      <w:r w:rsidR="00E34F03" w:rsidRPr="00953692">
        <w:rPr>
          <w:sz w:val="24"/>
          <w:szCs w:val="24"/>
          <w:lang w:val="fr-FR"/>
        </w:rPr>
        <w:t xml:space="preserve"> défaut ou </w:t>
      </w:r>
      <w:r w:rsidR="00346AD5" w:rsidRPr="00953692">
        <w:rPr>
          <w:sz w:val="24"/>
          <w:szCs w:val="24"/>
          <w:lang w:val="fr-FR"/>
        </w:rPr>
        <w:t xml:space="preserve">d’un </w:t>
      </w:r>
      <w:r w:rsidR="00E34F03" w:rsidRPr="00953692">
        <w:rPr>
          <w:sz w:val="24"/>
          <w:szCs w:val="24"/>
          <w:lang w:val="fr-FR"/>
        </w:rPr>
        <w:t xml:space="preserve">refus du </w:t>
      </w:r>
      <w:r w:rsidR="00DB1BE5" w:rsidRPr="00953692">
        <w:rPr>
          <w:sz w:val="24"/>
          <w:szCs w:val="24"/>
          <w:lang w:val="fr-FR"/>
        </w:rPr>
        <w:t xml:space="preserve">Procureur </w:t>
      </w:r>
      <w:r w:rsidR="00E34F03" w:rsidRPr="00953692">
        <w:rPr>
          <w:sz w:val="24"/>
          <w:szCs w:val="24"/>
          <w:lang w:val="fr-FR"/>
        </w:rPr>
        <w:t>de lui communiquer des pièces dont il en avait besoin à son temps</w:t>
      </w:r>
      <w:r w:rsidR="00DB1BE5" w:rsidRPr="00953692">
        <w:rPr>
          <w:sz w:val="24"/>
          <w:szCs w:val="24"/>
          <w:lang w:val="fr-FR"/>
        </w:rPr>
        <w:t xml:space="preserve"> pour la préparation de sa défense</w:t>
      </w:r>
      <w:r w:rsidR="00E34F03" w:rsidRPr="00953692">
        <w:rPr>
          <w:sz w:val="24"/>
          <w:szCs w:val="24"/>
          <w:lang w:val="fr-FR"/>
        </w:rPr>
        <w:t>.</w:t>
      </w:r>
    </w:p>
    <w:p w14:paraId="17430953" w14:textId="3A912211" w:rsidR="00BC1362" w:rsidRPr="00953692" w:rsidRDefault="00B203C0" w:rsidP="002D277F">
      <w:pPr>
        <w:pStyle w:val="Titre2"/>
        <w:spacing w:after="160" w:line="276" w:lineRule="auto"/>
        <w:ind w:left="1134"/>
        <w:jc w:val="both"/>
        <w:rPr>
          <w:rFonts w:ascii="Times New Roman" w:hAnsi="Times New Roman" w:cs="Times New Roman"/>
          <w:i/>
          <w:iCs/>
          <w:color w:val="auto"/>
          <w:sz w:val="24"/>
          <w:szCs w:val="24"/>
          <w:lang w:val="fr-FR"/>
        </w:rPr>
      </w:pPr>
      <w:bookmarkStart w:id="78" w:name="_Toc195179439"/>
      <w:bookmarkStart w:id="79" w:name="_Hlk118297422"/>
      <w:r w:rsidRPr="00953692">
        <w:rPr>
          <w:rFonts w:ascii="Times New Roman" w:hAnsi="Times New Roman" w:cs="Times New Roman"/>
          <w:b/>
          <w:bCs/>
          <w:color w:val="auto"/>
          <w:sz w:val="24"/>
          <w:szCs w:val="24"/>
          <w:lang w:val="fr-FR"/>
        </w:rPr>
        <w:t>Section 0</w:t>
      </w:r>
      <w:r w:rsidR="006B0D4F" w:rsidRPr="00953692">
        <w:rPr>
          <w:rFonts w:ascii="Times New Roman" w:hAnsi="Times New Roman" w:cs="Times New Roman"/>
          <w:b/>
          <w:bCs/>
          <w:color w:val="auto"/>
          <w:sz w:val="24"/>
          <w:szCs w:val="24"/>
          <w:lang w:val="fr-FR"/>
        </w:rPr>
        <w:t>2</w:t>
      </w:r>
      <w:r w:rsidRPr="00953692">
        <w:rPr>
          <w:rFonts w:ascii="Times New Roman" w:hAnsi="Times New Roman" w:cs="Times New Roman"/>
          <w:b/>
          <w:bCs/>
          <w:color w:val="auto"/>
          <w:sz w:val="24"/>
          <w:szCs w:val="24"/>
          <w:lang w:val="fr-FR"/>
        </w:rPr>
        <w:t xml:space="preserve">. Le droit d’exiger </w:t>
      </w:r>
      <w:r w:rsidR="00297C91" w:rsidRPr="00953692">
        <w:rPr>
          <w:rFonts w:ascii="Times New Roman" w:hAnsi="Times New Roman" w:cs="Times New Roman"/>
          <w:b/>
          <w:bCs/>
          <w:color w:val="auto"/>
          <w:sz w:val="24"/>
          <w:szCs w:val="24"/>
          <w:lang w:val="fr-FR"/>
        </w:rPr>
        <w:t>une</w:t>
      </w:r>
      <w:r w:rsidRPr="00953692">
        <w:rPr>
          <w:rFonts w:ascii="Times New Roman" w:hAnsi="Times New Roman" w:cs="Times New Roman"/>
          <w:b/>
          <w:bCs/>
          <w:color w:val="auto"/>
          <w:sz w:val="24"/>
          <w:szCs w:val="24"/>
          <w:lang w:val="fr-FR"/>
        </w:rPr>
        <w:t xml:space="preserve"> communication des pièces, </w:t>
      </w:r>
      <w:r w:rsidRPr="00953692">
        <w:rPr>
          <w:rFonts w:ascii="Times New Roman" w:hAnsi="Times New Roman" w:cs="Times New Roman"/>
          <w:i/>
          <w:iCs/>
          <w:color w:val="auto"/>
          <w:sz w:val="24"/>
          <w:szCs w:val="24"/>
          <w:lang w:val="fr-FR"/>
        </w:rPr>
        <w:t xml:space="preserve">motif de </w:t>
      </w:r>
      <w:r w:rsidR="00463F05" w:rsidRPr="00953692">
        <w:rPr>
          <w:rFonts w:ascii="Times New Roman" w:hAnsi="Times New Roman" w:cs="Times New Roman"/>
          <w:i/>
          <w:iCs/>
          <w:color w:val="auto"/>
          <w:sz w:val="24"/>
          <w:szCs w:val="24"/>
          <w:lang w:val="fr-FR"/>
        </w:rPr>
        <w:t>retardement</w:t>
      </w:r>
      <w:r w:rsidRPr="00953692">
        <w:rPr>
          <w:rFonts w:ascii="Times New Roman" w:hAnsi="Times New Roman" w:cs="Times New Roman"/>
          <w:i/>
          <w:iCs/>
          <w:color w:val="auto"/>
          <w:sz w:val="24"/>
          <w:szCs w:val="24"/>
          <w:lang w:val="fr-FR"/>
        </w:rPr>
        <w:t xml:space="preserve"> d</w:t>
      </w:r>
      <w:r w:rsidR="00463F05" w:rsidRPr="00953692">
        <w:rPr>
          <w:rFonts w:ascii="Times New Roman" w:hAnsi="Times New Roman" w:cs="Times New Roman"/>
          <w:i/>
          <w:iCs/>
          <w:color w:val="auto"/>
          <w:sz w:val="24"/>
          <w:szCs w:val="24"/>
          <w:lang w:val="fr-FR"/>
        </w:rPr>
        <w:t>u procès</w:t>
      </w:r>
      <w:r w:rsidRPr="00953692">
        <w:rPr>
          <w:rFonts w:ascii="Times New Roman" w:hAnsi="Times New Roman" w:cs="Times New Roman"/>
          <w:i/>
          <w:iCs/>
          <w:color w:val="auto"/>
          <w:sz w:val="24"/>
          <w:szCs w:val="24"/>
          <w:lang w:val="fr-FR"/>
        </w:rPr>
        <w:t xml:space="preserve"> sur fondement du procès équitable</w:t>
      </w:r>
      <w:r w:rsidR="00301EF5" w:rsidRPr="00953692">
        <w:rPr>
          <w:rFonts w:ascii="Times New Roman" w:hAnsi="Times New Roman" w:cs="Times New Roman"/>
          <w:i/>
          <w:iCs/>
          <w:color w:val="auto"/>
          <w:sz w:val="24"/>
          <w:szCs w:val="24"/>
          <w:lang w:val="fr-FR"/>
        </w:rPr>
        <w:t xml:space="preserve"> et rapide</w:t>
      </w:r>
      <w:bookmarkEnd w:id="78"/>
    </w:p>
    <w:p w14:paraId="3336EC94" w14:textId="41CBA397" w:rsidR="00A63309" w:rsidRPr="00953692" w:rsidRDefault="006E5DF9" w:rsidP="002D277F">
      <w:pPr>
        <w:spacing w:after="0" w:line="276" w:lineRule="auto"/>
        <w:ind w:firstLine="1134"/>
        <w:jc w:val="both"/>
        <w:rPr>
          <w:rFonts w:cs="Times New Roman"/>
          <w:sz w:val="24"/>
          <w:szCs w:val="24"/>
          <w:lang w:val="fr-FR"/>
        </w:rPr>
      </w:pPr>
      <w:bookmarkStart w:id="80" w:name="_Hlk116676318"/>
      <w:bookmarkEnd w:id="79"/>
      <w:r w:rsidRPr="00953692">
        <w:rPr>
          <w:rFonts w:cs="Times New Roman"/>
          <w:b/>
          <w:bCs/>
          <w:sz w:val="24"/>
          <w:szCs w:val="24"/>
          <w:lang w:val="fr-FR"/>
        </w:rPr>
        <w:t>371</w:t>
      </w:r>
      <w:r w:rsidR="00272910" w:rsidRPr="00953692">
        <w:rPr>
          <w:rFonts w:cs="Times New Roman"/>
          <w:b/>
          <w:bCs/>
          <w:sz w:val="24"/>
          <w:szCs w:val="24"/>
          <w:lang w:val="fr-FR"/>
        </w:rPr>
        <w:t>.</w:t>
      </w:r>
      <w:r w:rsidR="00272910" w:rsidRPr="00953692">
        <w:rPr>
          <w:rFonts w:cs="Times New Roman"/>
          <w:sz w:val="24"/>
          <w:szCs w:val="24"/>
          <w:lang w:val="fr-FR"/>
        </w:rPr>
        <w:t xml:space="preserve"> </w:t>
      </w:r>
      <w:r w:rsidR="00991D93" w:rsidRPr="00953692">
        <w:rPr>
          <w:rFonts w:cs="Times New Roman"/>
          <w:sz w:val="24"/>
          <w:szCs w:val="24"/>
          <w:lang w:val="fr-FR"/>
        </w:rPr>
        <w:t>Le déroulement normal donc</w:t>
      </w:r>
      <w:r w:rsidR="00E845DE" w:rsidRPr="00953692">
        <w:rPr>
          <w:rFonts w:cs="Times New Roman"/>
          <w:sz w:val="24"/>
          <w:szCs w:val="24"/>
          <w:lang w:val="fr-FR"/>
        </w:rPr>
        <w:t>,</w:t>
      </w:r>
      <w:r w:rsidR="005C20F2" w:rsidRPr="00953692">
        <w:rPr>
          <w:rFonts w:cs="Times New Roman"/>
          <w:sz w:val="24"/>
          <w:szCs w:val="24"/>
          <w:lang w:val="fr-FR"/>
        </w:rPr>
        <w:t xml:space="preserve"> équitable et</w:t>
      </w:r>
      <w:r w:rsidR="00991D93" w:rsidRPr="00953692">
        <w:rPr>
          <w:rFonts w:cs="Times New Roman"/>
          <w:sz w:val="24"/>
          <w:szCs w:val="24"/>
          <w:lang w:val="fr-FR"/>
        </w:rPr>
        <w:t xml:space="preserve"> rapide d’un procès</w:t>
      </w:r>
      <w:r w:rsidR="005C20F2" w:rsidRPr="00953692">
        <w:rPr>
          <w:rFonts w:cs="Times New Roman"/>
          <w:sz w:val="24"/>
          <w:szCs w:val="24"/>
          <w:lang w:val="fr-FR"/>
        </w:rPr>
        <w:t xml:space="preserve"> pénal international</w:t>
      </w:r>
      <w:r w:rsidR="00991D93" w:rsidRPr="00953692">
        <w:rPr>
          <w:rFonts w:cs="Times New Roman"/>
          <w:sz w:val="24"/>
          <w:szCs w:val="24"/>
          <w:lang w:val="fr-FR"/>
        </w:rPr>
        <w:t xml:space="preserve"> tient aussi à la communication des pièces faite par les parties de manière réciproque. </w:t>
      </w:r>
      <w:r w:rsidR="009445E4" w:rsidRPr="00953692">
        <w:rPr>
          <w:rFonts w:cs="Times New Roman"/>
          <w:sz w:val="24"/>
          <w:szCs w:val="24"/>
          <w:lang w:val="fr-FR"/>
        </w:rPr>
        <w:t>D</w:t>
      </w:r>
      <w:r w:rsidR="005C20F2" w:rsidRPr="00953692">
        <w:rPr>
          <w:rFonts w:cs="Times New Roman"/>
          <w:sz w:val="24"/>
          <w:szCs w:val="24"/>
          <w:lang w:val="fr-FR"/>
        </w:rPr>
        <w:t>ès avant l</w:t>
      </w:r>
      <w:r w:rsidR="009445E4" w:rsidRPr="00953692">
        <w:rPr>
          <w:rFonts w:cs="Times New Roman"/>
          <w:sz w:val="24"/>
          <w:szCs w:val="24"/>
          <w:lang w:val="fr-FR"/>
        </w:rPr>
        <w:t>’audiencement</w:t>
      </w:r>
      <w:r w:rsidR="005C20F2" w:rsidRPr="00953692">
        <w:rPr>
          <w:rFonts w:cs="Times New Roman"/>
          <w:sz w:val="24"/>
          <w:szCs w:val="24"/>
          <w:lang w:val="fr-FR"/>
        </w:rPr>
        <w:t>, les parties sont convié</w:t>
      </w:r>
      <w:r w:rsidR="00FE4396" w:rsidRPr="00953692">
        <w:rPr>
          <w:rFonts w:cs="Times New Roman"/>
          <w:sz w:val="24"/>
          <w:szCs w:val="24"/>
          <w:lang w:val="fr-FR"/>
        </w:rPr>
        <w:t>e</w:t>
      </w:r>
      <w:r w:rsidR="005C20F2" w:rsidRPr="00953692">
        <w:rPr>
          <w:rFonts w:cs="Times New Roman"/>
          <w:sz w:val="24"/>
          <w:szCs w:val="24"/>
          <w:lang w:val="fr-FR"/>
        </w:rPr>
        <w:t xml:space="preserve">s à s’échanger des pièces, notamment lors des conférences de mise en état de l’affaire. </w:t>
      </w:r>
      <w:r w:rsidR="00991D93" w:rsidRPr="00953692">
        <w:rPr>
          <w:rFonts w:cs="Times New Roman"/>
          <w:sz w:val="24"/>
          <w:szCs w:val="24"/>
          <w:lang w:val="fr-FR"/>
        </w:rPr>
        <w:t xml:space="preserve">La partie qui fait </w:t>
      </w:r>
      <w:r w:rsidR="005C20F2" w:rsidRPr="00953692">
        <w:rPr>
          <w:rFonts w:cs="Times New Roman"/>
          <w:sz w:val="24"/>
          <w:szCs w:val="24"/>
          <w:lang w:val="fr-FR"/>
        </w:rPr>
        <w:t xml:space="preserve">ou veut faire </w:t>
      </w:r>
      <w:r w:rsidR="00991D93" w:rsidRPr="00953692">
        <w:rPr>
          <w:rFonts w:cs="Times New Roman"/>
          <w:sz w:val="24"/>
          <w:szCs w:val="24"/>
          <w:lang w:val="fr-FR"/>
        </w:rPr>
        <w:t>état d’une pièce au cours du procès, se doit de l</w:t>
      </w:r>
      <w:r w:rsidR="005C20F2" w:rsidRPr="00953692">
        <w:rPr>
          <w:rFonts w:cs="Times New Roman"/>
          <w:sz w:val="24"/>
          <w:szCs w:val="24"/>
          <w:lang w:val="fr-FR"/>
        </w:rPr>
        <w:t>a</w:t>
      </w:r>
      <w:r w:rsidR="00991D93" w:rsidRPr="00953692">
        <w:rPr>
          <w:rFonts w:cs="Times New Roman"/>
          <w:sz w:val="24"/>
          <w:szCs w:val="24"/>
          <w:lang w:val="fr-FR"/>
        </w:rPr>
        <w:t xml:space="preserve"> communiquer à son adversaire.</w:t>
      </w:r>
      <w:r w:rsidR="00EE2E0F" w:rsidRPr="00953692">
        <w:rPr>
          <w:rFonts w:cs="Times New Roman"/>
          <w:sz w:val="24"/>
          <w:szCs w:val="24"/>
          <w:lang w:val="fr-FR"/>
        </w:rPr>
        <w:t xml:space="preserve"> Et à cet effet,</w:t>
      </w:r>
      <w:r w:rsidR="004B3646" w:rsidRPr="00953692">
        <w:rPr>
          <w:rFonts w:cs="Times New Roman"/>
          <w:sz w:val="24"/>
          <w:szCs w:val="24"/>
          <w:lang w:val="fr-FR"/>
        </w:rPr>
        <w:t xml:space="preserve"> la pratique montre que les difficultés d’une communication </w:t>
      </w:r>
      <w:r w:rsidR="00272910" w:rsidRPr="00953692">
        <w:rPr>
          <w:rFonts w:cs="Times New Roman"/>
          <w:sz w:val="24"/>
          <w:szCs w:val="24"/>
          <w:lang w:val="fr-FR"/>
        </w:rPr>
        <w:t>peuvent être</w:t>
      </w:r>
      <w:r w:rsidR="004B3646" w:rsidRPr="00953692">
        <w:rPr>
          <w:rFonts w:cs="Times New Roman"/>
          <w:sz w:val="24"/>
          <w:szCs w:val="24"/>
          <w:lang w:val="fr-FR"/>
        </w:rPr>
        <w:t xml:space="preserve"> constatées</w:t>
      </w:r>
      <w:r w:rsidR="00FE4396" w:rsidRPr="00953692">
        <w:rPr>
          <w:rFonts w:cs="Times New Roman"/>
          <w:sz w:val="24"/>
          <w:szCs w:val="24"/>
          <w:lang w:val="fr-FR"/>
        </w:rPr>
        <w:t xml:space="preserve"> aussi</w:t>
      </w:r>
      <w:r w:rsidR="004B3646" w:rsidRPr="00953692">
        <w:rPr>
          <w:rFonts w:cs="Times New Roman"/>
          <w:sz w:val="24"/>
          <w:szCs w:val="24"/>
          <w:lang w:val="fr-FR"/>
        </w:rPr>
        <w:t xml:space="preserve"> dès l’entame du procès</w:t>
      </w:r>
      <w:r w:rsidR="00272910" w:rsidRPr="00953692">
        <w:rPr>
          <w:rFonts w:cs="Times New Roman"/>
          <w:sz w:val="24"/>
          <w:szCs w:val="24"/>
          <w:lang w:val="fr-FR"/>
        </w:rPr>
        <w:t>, et</w:t>
      </w:r>
      <w:r w:rsidR="004B3646" w:rsidRPr="00953692">
        <w:rPr>
          <w:rFonts w:cs="Times New Roman"/>
          <w:sz w:val="24"/>
          <w:szCs w:val="24"/>
          <w:lang w:val="fr-FR"/>
        </w:rPr>
        <w:t xml:space="preserve"> </w:t>
      </w:r>
      <w:r w:rsidR="00BE69F7" w:rsidRPr="00953692">
        <w:rPr>
          <w:rFonts w:cs="Times New Roman"/>
          <w:sz w:val="24"/>
          <w:szCs w:val="24"/>
          <w:lang w:val="fr-FR"/>
        </w:rPr>
        <w:t>sont susceptibles</w:t>
      </w:r>
      <w:r w:rsidR="004B3646" w:rsidRPr="00953692">
        <w:rPr>
          <w:rFonts w:cs="Times New Roman"/>
          <w:sz w:val="24"/>
          <w:szCs w:val="24"/>
          <w:lang w:val="fr-FR"/>
        </w:rPr>
        <w:t xml:space="preserve"> </w:t>
      </w:r>
      <w:r w:rsidR="00BE69F7" w:rsidRPr="00953692">
        <w:rPr>
          <w:rFonts w:cs="Times New Roman"/>
          <w:sz w:val="24"/>
          <w:szCs w:val="24"/>
          <w:lang w:val="fr-FR"/>
        </w:rPr>
        <w:t>de</w:t>
      </w:r>
      <w:r w:rsidR="004B3646" w:rsidRPr="00953692">
        <w:rPr>
          <w:rFonts w:cs="Times New Roman"/>
          <w:sz w:val="24"/>
          <w:szCs w:val="24"/>
          <w:lang w:val="fr-FR"/>
        </w:rPr>
        <w:t xml:space="preserve"> </w:t>
      </w:r>
      <w:r w:rsidR="00272910" w:rsidRPr="00953692">
        <w:rPr>
          <w:rFonts w:cs="Times New Roman"/>
          <w:sz w:val="24"/>
          <w:szCs w:val="24"/>
          <w:lang w:val="fr-FR"/>
        </w:rPr>
        <w:t>constituer</w:t>
      </w:r>
      <w:r w:rsidR="004B3646" w:rsidRPr="00953692">
        <w:rPr>
          <w:rFonts w:cs="Times New Roman"/>
          <w:sz w:val="24"/>
          <w:szCs w:val="24"/>
          <w:lang w:val="fr-FR"/>
        </w:rPr>
        <w:t xml:space="preserve"> la </w:t>
      </w:r>
      <w:r w:rsidR="00BE69F7" w:rsidRPr="00953692">
        <w:rPr>
          <w:rFonts w:cs="Times New Roman"/>
          <w:sz w:val="24"/>
          <w:szCs w:val="24"/>
          <w:lang w:val="fr-FR"/>
        </w:rPr>
        <w:t>source</w:t>
      </w:r>
      <w:r w:rsidR="004B3646" w:rsidRPr="00953692">
        <w:rPr>
          <w:rFonts w:cs="Times New Roman"/>
          <w:sz w:val="24"/>
          <w:szCs w:val="24"/>
          <w:lang w:val="fr-FR"/>
        </w:rPr>
        <w:t xml:space="preserve"> d’un retard</w:t>
      </w:r>
      <w:r w:rsidR="00BE69F7" w:rsidRPr="00953692">
        <w:rPr>
          <w:rFonts w:cs="Times New Roman"/>
          <w:sz w:val="24"/>
          <w:szCs w:val="24"/>
          <w:lang w:val="fr-FR"/>
        </w:rPr>
        <w:t>,</w:t>
      </w:r>
      <w:r w:rsidR="004B3646" w:rsidRPr="00953692">
        <w:rPr>
          <w:rFonts w:cs="Times New Roman"/>
          <w:sz w:val="24"/>
          <w:szCs w:val="24"/>
          <w:lang w:val="fr-FR"/>
        </w:rPr>
        <w:t xml:space="preserve"> </w:t>
      </w:r>
      <w:r w:rsidR="00272910" w:rsidRPr="00953692">
        <w:rPr>
          <w:rFonts w:cs="Times New Roman"/>
          <w:sz w:val="24"/>
          <w:szCs w:val="24"/>
          <w:lang w:val="fr-FR"/>
        </w:rPr>
        <w:t>sur le</w:t>
      </w:r>
      <w:r w:rsidR="004B3646" w:rsidRPr="00953692">
        <w:rPr>
          <w:rFonts w:cs="Times New Roman"/>
          <w:sz w:val="24"/>
          <w:szCs w:val="24"/>
          <w:lang w:val="fr-FR"/>
        </w:rPr>
        <w:t xml:space="preserve">quel l’accusé pourrait s’appuyer </w:t>
      </w:r>
      <w:r w:rsidR="00BE69F7" w:rsidRPr="00953692">
        <w:rPr>
          <w:rFonts w:cs="Times New Roman"/>
          <w:sz w:val="24"/>
          <w:szCs w:val="24"/>
          <w:lang w:val="fr-FR"/>
        </w:rPr>
        <w:t>aux fins</w:t>
      </w:r>
      <w:r w:rsidR="004B3646" w:rsidRPr="00953692">
        <w:rPr>
          <w:rFonts w:cs="Times New Roman"/>
          <w:sz w:val="24"/>
          <w:szCs w:val="24"/>
          <w:lang w:val="fr-FR"/>
        </w:rPr>
        <w:t xml:space="preserve"> </w:t>
      </w:r>
      <w:r w:rsidR="009561E9" w:rsidRPr="00953692">
        <w:rPr>
          <w:rFonts w:cs="Times New Roman"/>
          <w:sz w:val="24"/>
          <w:szCs w:val="24"/>
          <w:lang w:val="fr-FR"/>
        </w:rPr>
        <w:t>de prétendre que</w:t>
      </w:r>
      <w:r w:rsidR="004B3646" w:rsidRPr="00953692">
        <w:rPr>
          <w:rFonts w:cs="Times New Roman"/>
          <w:sz w:val="24"/>
          <w:szCs w:val="24"/>
          <w:lang w:val="fr-FR"/>
        </w:rPr>
        <w:t xml:space="preserve"> son droit à un délai raisonnable</w:t>
      </w:r>
      <w:r w:rsidR="009561E9" w:rsidRPr="00953692">
        <w:rPr>
          <w:rFonts w:cs="Times New Roman"/>
          <w:sz w:val="24"/>
          <w:szCs w:val="24"/>
          <w:lang w:val="fr-FR"/>
        </w:rPr>
        <w:t xml:space="preserve"> a été violé</w:t>
      </w:r>
      <w:r w:rsidR="004B3646" w:rsidRPr="00953692">
        <w:rPr>
          <w:rFonts w:cs="Times New Roman"/>
          <w:sz w:val="24"/>
          <w:szCs w:val="24"/>
          <w:lang w:val="fr-FR"/>
        </w:rPr>
        <w:t>.</w:t>
      </w:r>
      <w:r w:rsidR="00272910" w:rsidRPr="00953692">
        <w:rPr>
          <w:rFonts w:cs="Times New Roman"/>
          <w:sz w:val="24"/>
          <w:szCs w:val="24"/>
          <w:lang w:val="fr-FR"/>
        </w:rPr>
        <w:t xml:space="preserve"> </w:t>
      </w:r>
    </w:p>
    <w:p w14:paraId="09739E69" w14:textId="77777777" w:rsidR="002D277F" w:rsidRPr="00953692" w:rsidRDefault="006E5DF9" w:rsidP="002D277F">
      <w:pPr>
        <w:spacing w:line="276" w:lineRule="auto"/>
        <w:ind w:firstLine="1134"/>
        <w:jc w:val="both"/>
        <w:rPr>
          <w:rFonts w:cs="Times New Roman"/>
          <w:sz w:val="24"/>
          <w:szCs w:val="24"/>
          <w:lang w:val="fr-FR"/>
        </w:rPr>
      </w:pPr>
      <w:r w:rsidRPr="00953692">
        <w:rPr>
          <w:rFonts w:cs="Times New Roman"/>
          <w:b/>
          <w:bCs/>
          <w:sz w:val="24"/>
          <w:szCs w:val="24"/>
          <w:lang w:val="fr-FR"/>
        </w:rPr>
        <w:t>372.</w:t>
      </w:r>
      <w:r w:rsidRPr="00953692">
        <w:rPr>
          <w:rFonts w:cs="Times New Roman"/>
          <w:sz w:val="24"/>
          <w:szCs w:val="24"/>
          <w:lang w:val="fr-FR"/>
        </w:rPr>
        <w:t xml:space="preserve"> </w:t>
      </w:r>
      <w:r w:rsidR="00BE69F7" w:rsidRPr="00953692">
        <w:rPr>
          <w:rFonts w:cs="Times New Roman"/>
          <w:sz w:val="24"/>
          <w:szCs w:val="24"/>
          <w:lang w:val="fr-FR"/>
        </w:rPr>
        <w:t xml:space="preserve">C’est </w:t>
      </w:r>
      <w:r w:rsidR="001F3B36" w:rsidRPr="00953692">
        <w:rPr>
          <w:rFonts w:cs="Times New Roman"/>
          <w:sz w:val="24"/>
          <w:szCs w:val="24"/>
          <w:lang w:val="fr-FR"/>
        </w:rPr>
        <w:t xml:space="preserve">en </w:t>
      </w:r>
      <w:r w:rsidR="00BE69F7" w:rsidRPr="00953692">
        <w:rPr>
          <w:rFonts w:cs="Times New Roman"/>
          <w:sz w:val="24"/>
          <w:szCs w:val="24"/>
          <w:lang w:val="fr-FR"/>
        </w:rPr>
        <w:t>effet dans ce sens que</w:t>
      </w:r>
      <w:r w:rsidR="00FE4396" w:rsidRPr="00953692">
        <w:rPr>
          <w:rFonts w:cs="Times New Roman"/>
          <w:sz w:val="24"/>
          <w:szCs w:val="24"/>
          <w:lang w:val="fr-FR"/>
        </w:rPr>
        <w:t xml:space="preserve"> n</w:t>
      </w:r>
      <w:r w:rsidR="004B3646" w:rsidRPr="00953692">
        <w:rPr>
          <w:rFonts w:cs="Times New Roman"/>
          <w:sz w:val="24"/>
          <w:szCs w:val="24"/>
          <w:lang w:val="fr-FR"/>
        </w:rPr>
        <w:t>ous verrons dans le</w:t>
      </w:r>
      <w:r w:rsidR="00BE69F7" w:rsidRPr="00953692">
        <w:rPr>
          <w:rFonts w:cs="Times New Roman"/>
          <w:sz w:val="24"/>
          <w:szCs w:val="24"/>
          <w:lang w:val="fr-FR"/>
        </w:rPr>
        <w:t xml:space="preserve"> cadre de cette seconde section</w:t>
      </w:r>
      <w:r w:rsidR="004B3646" w:rsidRPr="00953692">
        <w:rPr>
          <w:rFonts w:cs="Times New Roman"/>
          <w:sz w:val="24"/>
          <w:szCs w:val="24"/>
          <w:lang w:val="fr-FR"/>
        </w:rPr>
        <w:t xml:space="preserve"> </w:t>
      </w:r>
      <w:r w:rsidR="00BE69F7" w:rsidRPr="00953692">
        <w:rPr>
          <w:rFonts w:cs="Times New Roman"/>
          <w:sz w:val="24"/>
          <w:szCs w:val="24"/>
          <w:lang w:val="fr-FR"/>
        </w:rPr>
        <w:t>c</w:t>
      </w:r>
      <w:r w:rsidR="004B3646" w:rsidRPr="00953692">
        <w:rPr>
          <w:rFonts w:cs="Times New Roman"/>
          <w:sz w:val="24"/>
          <w:szCs w:val="24"/>
          <w:lang w:val="fr-FR"/>
        </w:rPr>
        <w:t>e</w:t>
      </w:r>
      <w:r w:rsidR="00B50716" w:rsidRPr="00953692">
        <w:rPr>
          <w:rFonts w:cs="Times New Roman"/>
          <w:sz w:val="24"/>
          <w:szCs w:val="24"/>
          <w:lang w:val="fr-FR"/>
        </w:rPr>
        <w:t xml:space="preserve"> conflit </w:t>
      </w:r>
      <w:r w:rsidR="00FE4396" w:rsidRPr="00953692">
        <w:rPr>
          <w:rFonts w:cs="Times New Roman"/>
          <w:sz w:val="24"/>
          <w:szCs w:val="24"/>
          <w:lang w:val="fr-FR"/>
        </w:rPr>
        <w:t>surgissant</w:t>
      </w:r>
      <w:r w:rsidR="00B50716" w:rsidRPr="00953692">
        <w:rPr>
          <w:rFonts w:cs="Times New Roman"/>
          <w:sz w:val="24"/>
          <w:szCs w:val="24"/>
          <w:lang w:val="fr-FR"/>
        </w:rPr>
        <w:t xml:space="preserve"> entre l</w:t>
      </w:r>
      <w:r w:rsidR="009141DB" w:rsidRPr="00953692">
        <w:rPr>
          <w:rFonts w:cs="Times New Roman"/>
          <w:sz w:val="24"/>
          <w:szCs w:val="24"/>
          <w:lang w:val="fr-FR"/>
        </w:rPr>
        <w:t xml:space="preserve">’exigence d’une communication des pièces et le </w:t>
      </w:r>
      <w:r w:rsidR="00BE69F7" w:rsidRPr="00953692">
        <w:rPr>
          <w:rFonts w:cs="Times New Roman"/>
          <w:sz w:val="24"/>
          <w:szCs w:val="24"/>
          <w:lang w:val="fr-FR"/>
        </w:rPr>
        <w:t>droit</w:t>
      </w:r>
      <w:r w:rsidR="009141DB" w:rsidRPr="00953692">
        <w:rPr>
          <w:rFonts w:cs="Times New Roman"/>
          <w:sz w:val="24"/>
          <w:szCs w:val="24"/>
          <w:lang w:val="fr-FR"/>
        </w:rPr>
        <w:t xml:space="preserve"> d’être jugé sans retard excessif (§2.).</w:t>
      </w:r>
      <w:r w:rsidR="00DE263C" w:rsidRPr="00953692">
        <w:rPr>
          <w:rFonts w:cs="Times New Roman"/>
          <w:sz w:val="24"/>
          <w:szCs w:val="24"/>
          <w:lang w:val="fr-FR"/>
        </w:rPr>
        <w:t xml:space="preserve"> Mais</w:t>
      </w:r>
      <w:r w:rsidR="009141DB" w:rsidRPr="00953692">
        <w:rPr>
          <w:rFonts w:cs="Times New Roman"/>
          <w:sz w:val="24"/>
          <w:szCs w:val="24"/>
          <w:lang w:val="fr-FR"/>
        </w:rPr>
        <w:t xml:space="preserve"> </w:t>
      </w:r>
      <w:r w:rsidR="00DE263C" w:rsidRPr="00953692">
        <w:rPr>
          <w:rFonts w:cs="Times New Roman"/>
          <w:sz w:val="24"/>
          <w:szCs w:val="24"/>
          <w:lang w:val="fr-FR"/>
        </w:rPr>
        <w:t>b</w:t>
      </w:r>
      <w:r w:rsidR="009141DB" w:rsidRPr="00953692">
        <w:rPr>
          <w:rFonts w:cs="Times New Roman"/>
          <w:sz w:val="24"/>
          <w:szCs w:val="24"/>
          <w:lang w:val="fr-FR"/>
        </w:rPr>
        <w:t>ien avant</w:t>
      </w:r>
      <w:r w:rsidR="00DE263C" w:rsidRPr="00953692">
        <w:rPr>
          <w:rFonts w:cs="Times New Roman"/>
          <w:sz w:val="24"/>
          <w:szCs w:val="24"/>
          <w:lang w:val="fr-FR"/>
        </w:rPr>
        <w:t xml:space="preserve"> cela</w:t>
      </w:r>
      <w:r w:rsidR="009141DB" w:rsidRPr="00953692">
        <w:rPr>
          <w:rFonts w:cs="Times New Roman"/>
          <w:sz w:val="24"/>
          <w:szCs w:val="24"/>
          <w:lang w:val="fr-FR"/>
        </w:rPr>
        <w:t xml:space="preserve">, il sied d’aborder brièvement la manière dont ces juridictions internationales envisagent </w:t>
      </w:r>
      <w:r w:rsidR="00BE69F7" w:rsidRPr="00953692">
        <w:rPr>
          <w:rFonts w:cs="Times New Roman"/>
          <w:sz w:val="24"/>
          <w:szCs w:val="24"/>
          <w:lang w:val="fr-FR"/>
        </w:rPr>
        <w:t>cette</w:t>
      </w:r>
      <w:r w:rsidR="009141DB" w:rsidRPr="00953692">
        <w:rPr>
          <w:rFonts w:cs="Times New Roman"/>
          <w:sz w:val="24"/>
          <w:szCs w:val="24"/>
          <w:lang w:val="fr-FR"/>
        </w:rPr>
        <w:t xml:space="preserve"> communication des pièces du début à la fin du procès (§1.).</w:t>
      </w:r>
      <w:bookmarkStart w:id="81" w:name="_Toc195179440"/>
      <w:bookmarkEnd w:id="80"/>
    </w:p>
    <w:p w14:paraId="30B18616" w14:textId="34F19CFB" w:rsidR="00FB34F5" w:rsidRPr="00953692" w:rsidRDefault="00FE17FD" w:rsidP="002D277F">
      <w:pPr>
        <w:spacing w:line="276" w:lineRule="auto"/>
        <w:ind w:firstLine="1134"/>
        <w:jc w:val="both"/>
        <w:rPr>
          <w:rFonts w:cs="Times New Roman"/>
          <w:sz w:val="24"/>
          <w:szCs w:val="24"/>
          <w:lang w:val="fr-FR"/>
        </w:rPr>
      </w:pPr>
      <w:r>
        <w:rPr>
          <w:i/>
          <w:iCs/>
          <w:sz w:val="24"/>
          <w:szCs w:val="24"/>
          <w:lang w:val="fr-FR"/>
        </w:rPr>
        <w:t xml:space="preserve">Paragraphe </w:t>
      </w:r>
      <w:r w:rsidR="00B203C0" w:rsidRPr="00953692">
        <w:rPr>
          <w:i/>
          <w:iCs/>
          <w:sz w:val="24"/>
          <w:szCs w:val="24"/>
          <w:lang w:val="fr-FR"/>
        </w:rPr>
        <w:t>1. Communication des pièces, élément du procès équitable</w:t>
      </w:r>
      <w:r w:rsidR="00301EF5" w:rsidRPr="00953692">
        <w:rPr>
          <w:i/>
          <w:iCs/>
          <w:sz w:val="24"/>
          <w:szCs w:val="24"/>
          <w:lang w:val="fr-FR"/>
        </w:rPr>
        <w:t xml:space="preserve"> et rapide</w:t>
      </w:r>
      <w:bookmarkEnd w:id="81"/>
    </w:p>
    <w:p w14:paraId="74E3E3ED" w14:textId="47FDCE0F" w:rsidR="003B7664" w:rsidRPr="00953692" w:rsidRDefault="006E5DF9" w:rsidP="002D277F">
      <w:pPr>
        <w:spacing w:after="0" w:line="276" w:lineRule="auto"/>
        <w:ind w:firstLine="1134"/>
        <w:jc w:val="both"/>
        <w:rPr>
          <w:sz w:val="24"/>
          <w:szCs w:val="24"/>
          <w:lang w:val="fr-FR"/>
        </w:rPr>
      </w:pPr>
      <w:r w:rsidRPr="00953692">
        <w:rPr>
          <w:b/>
          <w:bCs/>
          <w:sz w:val="24"/>
          <w:szCs w:val="24"/>
          <w:lang w:val="fr-FR"/>
        </w:rPr>
        <w:t>373</w:t>
      </w:r>
      <w:r w:rsidR="00146C10" w:rsidRPr="00953692">
        <w:rPr>
          <w:b/>
          <w:bCs/>
          <w:sz w:val="24"/>
          <w:szCs w:val="24"/>
          <w:lang w:val="fr-FR"/>
        </w:rPr>
        <w:t>.</w:t>
      </w:r>
      <w:r w:rsidR="00146C10" w:rsidRPr="00953692">
        <w:rPr>
          <w:sz w:val="24"/>
          <w:szCs w:val="24"/>
          <w:lang w:val="fr-FR"/>
        </w:rPr>
        <w:t xml:space="preserve"> </w:t>
      </w:r>
      <w:r w:rsidR="00301EF5" w:rsidRPr="00953692">
        <w:rPr>
          <w:sz w:val="24"/>
          <w:szCs w:val="24"/>
          <w:lang w:val="fr-FR"/>
        </w:rPr>
        <w:t xml:space="preserve">La doctrine définit </w:t>
      </w:r>
      <w:r w:rsidR="00301EF5" w:rsidRPr="00953692">
        <w:rPr>
          <w:rFonts w:cs="Times New Roman"/>
          <w:sz w:val="24"/>
          <w:szCs w:val="24"/>
          <w:lang w:val="fr-FR"/>
        </w:rPr>
        <w:t>l</w:t>
      </w:r>
      <w:r w:rsidR="0068292B" w:rsidRPr="00953692">
        <w:rPr>
          <w:rFonts w:cs="Times New Roman"/>
          <w:sz w:val="24"/>
          <w:szCs w:val="24"/>
          <w:lang w:val="fr-FR"/>
        </w:rPr>
        <w:t xml:space="preserve">a communication </w:t>
      </w:r>
      <w:r w:rsidR="00301EF5" w:rsidRPr="00953692">
        <w:rPr>
          <w:rFonts w:cs="Times New Roman"/>
          <w:sz w:val="24"/>
          <w:szCs w:val="24"/>
          <w:lang w:val="fr-FR"/>
        </w:rPr>
        <w:t xml:space="preserve">comme </w:t>
      </w:r>
      <w:r w:rsidR="0068292B" w:rsidRPr="00953692">
        <w:rPr>
          <w:rFonts w:cs="Times New Roman"/>
          <w:sz w:val="24"/>
          <w:szCs w:val="24"/>
          <w:lang w:val="fr-FR"/>
        </w:rPr>
        <w:t xml:space="preserve">le fait de </w:t>
      </w:r>
      <w:r w:rsidR="0068292B" w:rsidRPr="00953692">
        <w:rPr>
          <w:rFonts w:cs="Times New Roman"/>
          <w:i/>
          <w:iCs/>
          <w:sz w:val="24"/>
          <w:szCs w:val="24"/>
          <w:lang w:val="fr-FR"/>
        </w:rPr>
        <w:t xml:space="preserve">verser </w:t>
      </w:r>
      <w:r w:rsidR="00647EAA" w:rsidRPr="00953692">
        <w:rPr>
          <w:rFonts w:cs="Times New Roman"/>
          <w:i/>
          <w:iCs/>
          <w:sz w:val="24"/>
          <w:szCs w:val="24"/>
          <w:lang w:val="fr-FR"/>
        </w:rPr>
        <w:t>« </w:t>
      </w:r>
      <w:r w:rsidR="0068292B" w:rsidRPr="00953692">
        <w:rPr>
          <w:rFonts w:cs="Times New Roman"/>
          <w:i/>
          <w:iCs/>
          <w:sz w:val="24"/>
          <w:szCs w:val="24"/>
          <w:lang w:val="fr-FR"/>
        </w:rPr>
        <w:t>aux débats tout document susceptible de permettre ou favoriser la preuve de certains éléments du litige</w:t>
      </w:r>
      <w:r w:rsidR="00647EAA" w:rsidRPr="00953692">
        <w:rPr>
          <w:rFonts w:cs="Times New Roman"/>
          <w:i/>
          <w:iCs/>
          <w:sz w:val="24"/>
          <w:szCs w:val="24"/>
          <w:lang w:val="fr-FR"/>
        </w:rPr>
        <w:t> »</w:t>
      </w:r>
      <w:r w:rsidR="002D277F" w:rsidRPr="00953692">
        <w:rPr>
          <w:rStyle w:val="Appelnotedebasdep"/>
          <w:rFonts w:cs="Times New Roman"/>
          <w:sz w:val="24"/>
          <w:szCs w:val="24"/>
          <w:lang w:val="fr-FR"/>
        </w:rPr>
        <w:footnoteReference w:customMarkFollows="1" w:id="290"/>
        <w:t>266</w:t>
      </w:r>
      <w:r w:rsidR="0068292B" w:rsidRPr="00953692">
        <w:rPr>
          <w:rFonts w:cs="Times New Roman"/>
          <w:sz w:val="24"/>
          <w:szCs w:val="24"/>
          <w:lang w:val="fr-FR"/>
        </w:rPr>
        <w:t xml:space="preserve">. </w:t>
      </w:r>
      <w:r w:rsidR="00647EAA" w:rsidRPr="00953692">
        <w:rPr>
          <w:rFonts w:cs="Times New Roman"/>
          <w:sz w:val="24"/>
          <w:szCs w:val="24"/>
          <w:lang w:val="fr-FR"/>
        </w:rPr>
        <w:t>En fait, « l</w:t>
      </w:r>
      <w:r w:rsidR="009445E4" w:rsidRPr="00953692">
        <w:rPr>
          <w:sz w:val="24"/>
          <w:szCs w:val="24"/>
          <w:lang w:val="fr-FR"/>
        </w:rPr>
        <w:t xml:space="preserve">es plaideurs doivent se communiquer les pièces dont ils se servent </w:t>
      </w:r>
      <w:r w:rsidR="009445E4" w:rsidRPr="00953692">
        <w:rPr>
          <w:sz w:val="24"/>
          <w:szCs w:val="24"/>
          <w:lang w:val="fr-FR"/>
        </w:rPr>
        <w:lastRenderedPageBreak/>
        <w:t>tant en appel qu’en première instance. Cette communication, si elle n’est pas faite spontanément, peut être exigée par l’intermédiaire du juge ou du tribunal qui peuvent assortir sa non-exécution, dans un certain délai, d’une astreinte</w:t>
      </w:r>
      <w:r w:rsidR="00647EAA" w:rsidRPr="00953692">
        <w:rPr>
          <w:sz w:val="24"/>
          <w:szCs w:val="24"/>
          <w:lang w:val="fr-FR"/>
        </w:rPr>
        <w:t> »</w:t>
      </w:r>
      <w:r w:rsidR="002D277F" w:rsidRPr="00953692">
        <w:rPr>
          <w:rStyle w:val="Appelnotedebasdep"/>
          <w:sz w:val="24"/>
          <w:szCs w:val="24"/>
          <w:lang w:val="fr-FR"/>
        </w:rPr>
        <w:footnoteReference w:customMarkFollows="1" w:id="291"/>
        <w:t>267</w:t>
      </w:r>
      <w:r w:rsidR="009445E4" w:rsidRPr="00953692">
        <w:rPr>
          <w:sz w:val="24"/>
          <w:szCs w:val="24"/>
          <w:lang w:val="fr-FR"/>
        </w:rPr>
        <w:t>.</w:t>
      </w:r>
      <w:r w:rsidR="003B7664" w:rsidRPr="00953692">
        <w:rPr>
          <w:sz w:val="24"/>
          <w:szCs w:val="24"/>
          <w:lang w:val="fr-FR"/>
        </w:rPr>
        <w:t xml:space="preserve"> </w:t>
      </w:r>
      <w:r w:rsidR="0058318F" w:rsidRPr="00953692">
        <w:rPr>
          <w:sz w:val="24"/>
          <w:szCs w:val="24"/>
          <w:lang w:val="fr-FR"/>
        </w:rPr>
        <w:t>En procédure pénale internationale, l</w:t>
      </w:r>
      <w:r w:rsidR="003B7664" w:rsidRPr="00953692">
        <w:rPr>
          <w:sz w:val="24"/>
          <w:szCs w:val="24"/>
          <w:lang w:val="fr-FR"/>
        </w:rPr>
        <w:t xml:space="preserve">a communication des pièces est avant tout au déroulement du procès ce que le carburant est à une voiture. </w:t>
      </w:r>
      <w:r w:rsidR="0058318F" w:rsidRPr="00953692">
        <w:rPr>
          <w:sz w:val="24"/>
          <w:szCs w:val="24"/>
          <w:lang w:val="fr-FR"/>
        </w:rPr>
        <w:t>Car, l</w:t>
      </w:r>
      <w:r w:rsidR="003B7664" w:rsidRPr="00953692">
        <w:rPr>
          <w:sz w:val="24"/>
          <w:szCs w:val="24"/>
          <w:lang w:val="fr-FR"/>
        </w:rPr>
        <w:t>e procès</w:t>
      </w:r>
      <w:r w:rsidR="003613A0" w:rsidRPr="00953692">
        <w:rPr>
          <w:sz w:val="24"/>
          <w:szCs w:val="24"/>
          <w:lang w:val="fr-FR"/>
        </w:rPr>
        <w:t xml:space="preserve"> pénal international</w:t>
      </w:r>
      <w:r w:rsidR="003B7664" w:rsidRPr="00953692">
        <w:rPr>
          <w:sz w:val="24"/>
          <w:szCs w:val="24"/>
          <w:lang w:val="fr-FR"/>
        </w:rPr>
        <w:t xml:space="preserve"> ne peut se tenir si les parties ne savent pas très exactement ce qu’elles devront soutenir devant les juges ; sur quoi les débats judiciaires </w:t>
      </w:r>
      <w:r w:rsidR="002805DC" w:rsidRPr="00953692">
        <w:rPr>
          <w:sz w:val="24"/>
          <w:szCs w:val="24"/>
          <w:lang w:val="fr-FR"/>
        </w:rPr>
        <w:t>auront lieu</w:t>
      </w:r>
      <w:r w:rsidR="003B7664" w:rsidRPr="00953692">
        <w:rPr>
          <w:sz w:val="24"/>
          <w:szCs w:val="24"/>
          <w:lang w:val="fr-FR"/>
        </w:rPr>
        <w:t>.</w:t>
      </w:r>
    </w:p>
    <w:p w14:paraId="17369746" w14:textId="2B8A9917" w:rsidR="002640F1" w:rsidRPr="00953692" w:rsidRDefault="006E5DF9" w:rsidP="002D277F">
      <w:pPr>
        <w:spacing w:after="0" w:line="276" w:lineRule="auto"/>
        <w:ind w:firstLine="1134"/>
        <w:jc w:val="both"/>
        <w:rPr>
          <w:rFonts w:cs="Times New Roman"/>
          <w:sz w:val="24"/>
          <w:szCs w:val="24"/>
          <w:lang w:val="fr-FR"/>
        </w:rPr>
      </w:pPr>
      <w:r w:rsidRPr="00953692">
        <w:rPr>
          <w:b/>
          <w:bCs/>
          <w:sz w:val="24"/>
          <w:szCs w:val="24"/>
          <w:lang w:val="fr-FR"/>
        </w:rPr>
        <w:t>374</w:t>
      </w:r>
      <w:r w:rsidR="003D58B2" w:rsidRPr="00953692">
        <w:rPr>
          <w:b/>
          <w:bCs/>
          <w:sz w:val="24"/>
          <w:szCs w:val="24"/>
          <w:lang w:val="fr-FR"/>
        </w:rPr>
        <w:t>.</w:t>
      </w:r>
      <w:r w:rsidR="003D58B2" w:rsidRPr="00953692">
        <w:rPr>
          <w:sz w:val="24"/>
          <w:szCs w:val="24"/>
          <w:lang w:val="fr-FR"/>
        </w:rPr>
        <w:t xml:space="preserve"> </w:t>
      </w:r>
      <w:r w:rsidR="0058318F" w:rsidRPr="00953692">
        <w:rPr>
          <w:sz w:val="24"/>
          <w:szCs w:val="24"/>
          <w:lang w:val="fr-FR"/>
        </w:rPr>
        <w:t>Il y a dans ce mécanisme emprunté à la procédure civile, les marques visibles du temps procédural</w:t>
      </w:r>
      <w:r w:rsidR="00763543" w:rsidRPr="00953692">
        <w:rPr>
          <w:sz w:val="24"/>
          <w:szCs w:val="24"/>
          <w:lang w:val="fr-FR"/>
        </w:rPr>
        <w:t>. Comme nous le rappellent Coralie Ambroise-Castérot et Chantal Combeau, « </w:t>
      </w:r>
      <w:r w:rsidR="00763543" w:rsidRPr="00953692">
        <w:rPr>
          <w:rFonts w:cs="Times New Roman"/>
          <w:sz w:val="24"/>
          <w:szCs w:val="24"/>
          <w:lang w:val="fr-FR"/>
        </w:rPr>
        <w:t>la procédure pénale, divisée en trois phases - enquête, instruction, jugement -, n'est pas un concept unitaire. La force du secret évolue dans le temps procédural, au cours de ces différentes phases »</w:t>
      </w:r>
      <w:r w:rsidR="00A91370" w:rsidRPr="00953692">
        <w:rPr>
          <w:rStyle w:val="Appelnotedebasdep"/>
          <w:rFonts w:cs="Times New Roman"/>
          <w:sz w:val="24"/>
          <w:szCs w:val="24"/>
          <w:lang w:val="fr-FR"/>
        </w:rPr>
        <w:footnoteReference w:customMarkFollows="1" w:id="292"/>
        <w:t>268</w:t>
      </w:r>
      <w:r w:rsidR="00763543" w:rsidRPr="00953692">
        <w:rPr>
          <w:rFonts w:cs="Times New Roman"/>
          <w:sz w:val="24"/>
          <w:szCs w:val="24"/>
          <w:lang w:val="fr-FR"/>
        </w:rPr>
        <w:t xml:space="preserve">. </w:t>
      </w:r>
      <w:r w:rsidR="006408BB" w:rsidRPr="00953692">
        <w:rPr>
          <w:rFonts w:cs="Times New Roman"/>
          <w:sz w:val="24"/>
          <w:szCs w:val="24"/>
          <w:lang w:val="fr-FR"/>
        </w:rPr>
        <w:t xml:space="preserve">Dès le moment où l’on quitte la phase d’enquête </w:t>
      </w:r>
      <w:r w:rsidR="002640F1" w:rsidRPr="00953692">
        <w:rPr>
          <w:rFonts w:cs="Times New Roman"/>
          <w:sz w:val="24"/>
          <w:szCs w:val="24"/>
          <w:lang w:val="fr-FR"/>
        </w:rPr>
        <w:t>caractéris</w:t>
      </w:r>
      <w:r w:rsidR="006408BB" w:rsidRPr="00953692">
        <w:rPr>
          <w:rFonts w:cs="Times New Roman"/>
          <w:sz w:val="24"/>
          <w:szCs w:val="24"/>
          <w:lang w:val="fr-FR"/>
        </w:rPr>
        <w:t>é</w:t>
      </w:r>
      <w:r w:rsidR="002640F1" w:rsidRPr="00953692">
        <w:rPr>
          <w:rFonts w:cs="Times New Roman"/>
          <w:sz w:val="24"/>
          <w:szCs w:val="24"/>
          <w:lang w:val="fr-FR"/>
        </w:rPr>
        <w:t>e</w:t>
      </w:r>
      <w:r w:rsidR="006408BB" w:rsidRPr="00953692">
        <w:rPr>
          <w:rFonts w:cs="Times New Roman"/>
          <w:sz w:val="24"/>
          <w:szCs w:val="24"/>
          <w:lang w:val="fr-FR"/>
        </w:rPr>
        <w:t xml:space="preserve"> par les caractères </w:t>
      </w:r>
      <w:r w:rsidR="003613A0" w:rsidRPr="00953692">
        <w:rPr>
          <w:rFonts w:cs="Times New Roman"/>
          <w:sz w:val="24"/>
          <w:szCs w:val="24"/>
          <w:lang w:val="fr-FR"/>
        </w:rPr>
        <w:t xml:space="preserve">écrit, </w:t>
      </w:r>
      <w:r w:rsidR="006408BB" w:rsidRPr="00953692">
        <w:rPr>
          <w:rFonts w:cs="Times New Roman"/>
          <w:sz w:val="24"/>
          <w:szCs w:val="24"/>
          <w:lang w:val="fr-FR"/>
        </w:rPr>
        <w:t>inquisitoire</w:t>
      </w:r>
      <w:r w:rsidR="003613A0" w:rsidRPr="00953692">
        <w:rPr>
          <w:rFonts w:cs="Times New Roman"/>
          <w:sz w:val="24"/>
          <w:szCs w:val="24"/>
          <w:lang w:val="fr-FR"/>
        </w:rPr>
        <w:t xml:space="preserve"> ou non contradictoire</w:t>
      </w:r>
      <w:r w:rsidR="006408BB" w:rsidRPr="00953692">
        <w:rPr>
          <w:rFonts w:cs="Times New Roman"/>
          <w:sz w:val="24"/>
          <w:szCs w:val="24"/>
          <w:lang w:val="fr-FR"/>
        </w:rPr>
        <w:t xml:space="preserve"> et secret</w:t>
      </w:r>
      <w:r w:rsidR="003613A0" w:rsidRPr="00953692">
        <w:rPr>
          <w:rFonts w:cs="Times New Roman"/>
          <w:sz w:val="24"/>
          <w:szCs w:val="24"/>
          <w:lang w:val="fr-FR"/>
        </w:rPr>
        <w:t xml:space="preserve">, l’accusé </w:t>
      </w:r>
      <w:r w:rsidR="009528D9" w:rsidRPr="00953692">
        <w:rPr>
          <w:rFonts w:cs="Times New Roman"/>
          <w:sz w:val="24"/>
          <w:szCs w:val="24"/>
          <w:lang w:val="fr-FR"/>
        </w:rPr>
        <w:t>a donc le droit de prendre connaissance des pièces détenues par le procureur</w:t>
      </w:r>
      <w:r w:rsidR="002640F1" w:rsidRPr="00953692">
        <w:rPr>
          <w:rFonts w:cs="Times New Roman"/>
          <w:sz w:val="24"/>
          <w:szCs w:val="24"/>
          <w:lang w:val="fr-FR"/>
        </w:rPr>
        <w:t xml:space="preserve"> et ce, mutatis mutandis</w:t>
      </w:r>
      <w:r w:rsidR="009528D9" w:rsidRPr="00953692">
        <w:rPr>
          <w:rFonts w:cs="Times New Roman"/>
          <w:sz w:val="24"/>
          <w:szCs w:val="24"/>
          <w:lang w:val="fr-FR"/>
        </w:rPr>
        <w:t>.</w:t>
      </w:r>
      <w:r w:rsidR="00C62742" w:rsidRPr="00953692">
        <w:rPr>
          <w:rFonts w:cs="Times New Roman"/>
          <w:sz w:val="24"/>
          <w:szCs w:val="24"/>
          <w:lang w:val="fr-FR"/>
        </w:rPr>
        <w:t xml:space="preserve"> </w:t>
      </w:r>
      <w:r w:rsidR="00E6150F" w:rsidRPr="00953692">
        <w:rPr>
          <w:rFonts w:cs="Times New Roman"/>
          <w:sz w:val="24"/>
          <w:szCs w:val="24"/>
          <w:lang w:val="fr-FR"/>
        </w:rPr>
        <w:t>La communication des pièces correspond donc au droit d’accès au dossier</w:t>
      </w:r>
      <w:r w:rsidR="00A91370" w:rsidRPr="00953692">
        <w:rPr>
          <w:rStyle w:val="Appelnotedebasdep"/>
          <w:rFonts w:cs="Times New Roman"/>
          <w:sz w:val="24"/>
          <w:szCs w:val="24"/>
          <w:lang w:val="fr-FR"/>
        </w:rPr>
        <w:footnoteReference w:customMarkFollows="1" w:id="293"/>
        <w:t>269</w:t>
      </w:r>
      <w:r w:rsidR="00E6150F" w:rsidRPr="00953692">
        <w:rPr>
          <w:rFonts w:cs="Times New Roman"/>
          <w:sz w:val="24"/>
          <w:szCs w:val="24"/>
          <w:lang w:val="fr-FR"/>
        </w:rPr>
        <w:t xml:space="preserve"> ; droit qui n’avait la même obligatoriété au moment de l’enquête. En fait, durant l’enquête, le procureur n’a pas l’obligation mais plutôt le choix de communiquer au suspect ou à l’inculpé toute pièce qu’il estime utile à l’aboutissement de ses investigations. </w:t>
      </w:r>
      <w:r w:rsidR="004E0DFD" w:rsidRPr="00953692">
        <w:rPr>
          <w:rFonts w:cs="Times New Roman"/>
          <w:sz w:val="24"/>
          <w:szCs w:val="24"/>
          <w:lang w:val="fr-FR"/>
        </w:rPr>
        <w:t>Rappelons-le</w:t>
      </w:r>
      <w:r w:rsidR="002047C1" w:rsidRPr="00953692">
        <w:rPr>
          <w:rFonts w:cs="Times New Roman"/>
          <w:sz w:val="24"/>
          <w:szCs w:val="24"/>
          <w:lang w:val="fr-FR"/>
        </w:rPr>
        <w:t>,</w:t>
      </w:r>
      <w:r w:rsidR="004E0DFD" w:rsidRPr="00953692">
        <w:rPr>
          <w:rFonts w:cs="Times New Roman"/>
          <w:sz w:val="24"/>
          <w:szCs w:val="24"/>
          <w:lang w:val="fr-FR"/>
        </w:rPr>
        <w:t xml:space="preserve"> qu’il a les pleins pouvoirs de mettre fin à son enquête et de ne pas envoyer le dossier en instance du jugement ou d’instruction.</w:t>
      </w:r>
      <w:r w:rsidR="00993BA6" w:rsidRPr="00953692">
        <w:rPr>
          <w:rFonts w:cs="Times New Roman"/>
          <w:sz w:val="24"/>
          <w:szCs w:val="24"/>
          <w:lang w:val="fr-FR"/>
        </w:rPr>
        <w:t xml:space="preserve"> </w:t>
      </w:r>
      <w:r w:rsidR="007D1B44" w:rsidRPr="00953692">
        <w:rPr>
          <w:rFonts w:cs="Times New Roman"/>
          <w:sz w:val="24"/>
          <w:szCs w:val="24"/>
          <w:lang w:val="fr-FR"/>
        </w:rPr>
        <w:t>L</w:t>
      </w:r>
      <w:r w:rsidR="00993BA6" w:rsidRPr="00953692">
        <w:rPr>
          <w:rFonts w:cs="Times New Roman"/>
          <w:sz w:val="24"/>
          <w:szCs w:val="24"/>
          <w:lang w:val="fr-FR"/>
        </w:rPr>
        <w:t>e dossier qu’il détient est utilisé selon bon lui semble, peut-on ainsi dire.</w:t>
      </w:r>
    </w:p>
    <w:p w14:paraId="52F97273" w14:textId="20F0CF56" w:rsidR="00FF743D" w:rsidRPr="00953692" w:rsidRDefault="009A273B"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375</w:t>
      </w:r>
      <w:r w:rsidR="002640F1" w:rsidRPr="00953692">
        <w:rPr>
          <w:rFonts w:cs="Times New Roman"/>
          <w:b/>
          <w:bCs/>
          <w:sz w:val="24"/>
          <w:szCs w:val="24"/>
          <w:lang w:val="fr-FR"/>
        </w:rPr>
        <w:t>.</w:t>
      </w:r>
      <w:r w:rsidR="002640F1" w:rsidRPr="00953692">
        <w:rPr>
          <w:rFonts w:cs="Times New Roman"/>
          <w:sz w:val="24"/>
          <w:szCs w:val="24"/>
          <w:lang w:val="fr-FR"/>
        </w:rPr>
        <w:t xml:space="preserve"> </w:t>
      </w:r>
      <w:r w:rsidR="004E0DFD" w:rsidRPr="00953692">
        <w:rPr>
          <w:rFonts w:cs="Times New Roman"/>
          <w:sz w:val="24"/>
          <w:szCs w:val="24"/>
          <w:lang w:val="fr-FR"/>
        </w:rPr>
        <w:t>Par contre, l</w:t>
      </w:r>
      <w:r w:rsidR="008A7FCE" w:rsidRPr="00953692">
        <w:rPr>
          <w:rFonts w:cs="Times New Roman"/>
          <w:sz w:val="24"/>
          <w:szCs w:val="24"/>
          <w:lang w:val="fr-FR"/>
        </w:rPr>
        <w:t>’apparition du juge ou de l’organe juridictionnel</w:t>
      </w:r>
      <w:r w:rsidR="004E0DFD" w:rsidRPr="00953692">
        <w:rPr>
          <w:rFonts w:cs="Times New Roman"/>
          <w:sz w:val="24"/>
          <w:szCs w:val="24"/>
          <w:lang w:val="fr-FR"/>
        </w:rPr>
        <w:t xml:space="preserve"> (</w:t>
      </w:r>
      <w:r w:rsidR="00993BA6" w:rsidRPr="00953692">
        <w:rPr>
          <w:rFonts w:cs="Times New Roman"/>
          <w:sz w:val="24"/>
          <w:szCs w:val="24"/>
          <w:lang w:val="fr-FR"/>
        </w:rPr>
        <w:t>parlant notamment du juge d’</w:t>
      </w:r>
      <w:r w:rsidR="004E0DFD" w:rsidRPr="00953692">
        <w:rPr>
          <w:rFonts w:cs="Times New Roman"/>
          <w:sz w:val="24"/>
          <w:szCs w:val="24"/>
          <w:lang w:val="fr-FR"/>
        </w:rPr>
        <w:t>instruction), la procédure cesse d’être à sens unique et s’ouvre à la contradiction, dont l’accès au dossier apparait ici comme étant la base</w:t>
      </w:r>
      <w:r w:rsidR="00A91370" w:rsidRPr="00953692">
        <w:rPr>
          <w:rStyle w:val="Appelnotedebasdep"/>
          <w:rFonts w:cs="Times New Roman"/>
          <w:sz w:val="24"/>
          <w:szCs w:val="24"/>
          <w:lang w:val="fr-FR"/>
        </w:rPr>
        <w:footnoteReference w:customMarkFollows="1" w:id="294"/>
        <w:t>270</w:t>
      </w:r>
      <w:r w:rsidR="004E0DFD" w:rsidRPr="00953692">
        <w:rPr>
          <w:rFonts w:cs="Times New Roman"/>
          <w:sz w:val="24"/>
          <w:szCs w:val="24"/>
          <w:lang w:val="fr-FR"/>
        </w:rPr>
        <w:t xml:space="preserve">. Dans ce sens, le droit d’accès au dossier </w:t>
      </w:r>
      <w:r w:rsidR="004E0DFD" w:rsidRPr="00953692">
        <w:rPr>
          <w:sz w:val="24"/>
          <w:szCs w:val="24"/>
          <w:lang w:val="fr-FR"/>
        </w:rPr>
        <w:t>permettrait la discussion des preuves, engendrerait le droit d’en réclamer de nouvelles ainsi que celui de contester</w:t>
      </w:r>
      <w:r w:rsidR="00993BA6" w:rsidRPr="00953692">
        <w:rPr>
          <w:sz w:val="24"/>
          <w:szCs w:val="24"/>
          <w:lang w:val="fr-FR"/>
        </w:rPr>
        <w:t>, par exemple,</w:t>
      </w:r>
      <w:r w:rsidR="004E0DFD" w:rsidRPr="00953692">
        <w:rPr>
          <w:sz w:val="24"/>
          <w:szCs w:val="24"/>
          <w:lang w:val="fr-FR"/>
        </w:rPr>
        <w:t xml:space="preserve"> la régularité de la procédure</w:t>
      </w:r>
      <w:r w:rsidR="00A91370" w:rsidRPr="00953692">
        <w:rPr>
          <w:rStyle w:val="Appelnotedebasdep"/>
          <w:sz w:val="24"/>
          <w:szCs w:val="24"/>
          <w:lang w:val="fr-FR"/>
        </w:rPr>
        <w:footnoteReference w:customMarkFollows="1" w:id="295"/>
        <w:t>271</w:t>
      </w:r>
      <w:r w:rsidR="00607D10" w:rsidRPr="00953692">
        <w:rPr>
          <w:sz w:val="24"/>
          <w:szCs w:val="24"/>
          <w:lang w:val="fr-FR"/>
        </w:rPr>
        <w:t>.</w:t>
      </w:r>
      <w:r w:rsidR="001F21A7" w:rsidRPr="00953692">
        <w:rPr>
          <w:sz w:val="24"/>
          <w:szCs w:val="24"/>
          <w:lang w:val="fr-FR"/>
        </w:rPr>
        <w:t xml:space="preserve"> Avec l’évolution de la procédure pénale, cesse également le caractère secret, cédant place à la publicité</w:t>
      </w:r>
      <w:r w:rsidR="008A7FCE" w:rsidRPr="00953692">
        <w:rPr>
          <w:rFonts w:cs="Times New Roman"/>
          <w:sz w:val="24"/>
          <w:szCs w:val="24"/>
          <w:lang w:val="fr-FR"/>
        </w:rPr>
        <w:t xml:space="preserve">, qui </w:t>
      </w:r>
      <w:r w:rsidR="001F21A7" w:rsidRPr="00953692">
        <w:rPr>
          <w:rFonts w:cs="Times New Roman"/>
          <w:sz w:val="24"/>
          <w:szCs w:val="24"/>
          <w:lang w:val="fr-FR"/>
        </w:rPr>
        <w:t xml:space="preserve">ne </w:t>
      </w:r>
      <w:r w:rsidR="008A7FCE" w:rsidRPr="00953692">
        <w:rPr>
          <w:rFonts w:cs="Times New Roman"/>
          <w:sz w:val="24"/>
          <w:szCs w:val="24"/>
          <w:lang w:val="fr-FR"/>
        </w:rPr>
        <w:t xml:space="preserve">commence </w:t>
      </w:r>
      <w:r w:rsidR="001F21A7" w:rsidRPr="00953692">
        <w:rPr>
          <w:rFonts w:cs="Times New Roman"/>
          <w:sz w:val="24"/>
          <w:szCs w:val="24"/>
          <w:lang w:val="fr-FR"/>
        </w:rPr>
        <w:t xml:space="preserve">que </w:t>
      </w:r>
      <w:r w:rsidR="008A7FCE" w:rsidRPr="00953692">
        <w:rPr>
          <w:rFonts w:cs="Times New Roman"/>
          <w:sz w:val="24"/>
          <w:szCs w:val="24"/>
          <w:lang w:val="fr-FR"/>
        </w:rPr>
        <w:t xml:space="preserve">progressivement d’abord par la communication des pièces entre les parties avant de s’étendre finalement au public, </w:t>
      </w:r>
      <w:r w:rsidR="008A7FCE" w:rsidRPr="00953692">
        <w:rPr>
          <w:rFonts w:cs="Times New Roman"/>
          <w:sz w:val="24"/>
          <w:szCs w:val="24"/>
          <w:lang w:val="fr-FR"/>
        </w:rPr>
        <w:lastRenderedPageBreak/>
        <w:t>désignant ainsi toute personne intéressée d’assister aux audiences</w:t>
      </w:r>
      <w:r w:rsidR="00A91370" w:rsidRPr="00953692">
        <w:rPr>
          <w:rStyle w:val="Appelnotedebasdep"/>
          <w:rFonts w:cs="Times New Roman"/>
          <w:sz w:val="24"/>
          <w:szCs w:val="24"/>
          <w:lang w:val="fr-FR"/>
        </w:rPr>
        <w:footnoteReference w:customMarkFollows="1" w:id="296"/>
        <w:t>272</w:t>
      </w:r>
      <w:r w:rsidR="008A7FCE" w:rsidRPr="00953692">
        <w:rPr>
          <w:rFonts w:cs="Times New Roman"/>
          <w:sz w:val="24"/>
          <w:szCs w:val="24"/>
          <w:lang w:val="fr-FR"/>
        </w:rPr>
        <w:t>.</w:t>
      </w:r>
      <w:r w:rsidR="003A70AC" w:rsidRPr="00953692">
        <w:rPr>
          <w:rFonts w:cs="Times New Roman"/>
          <w:sz w:val="24"/>
          <w:szCs w:val="24"/>
          <w:lang w:val="fr-FR"/>
        </w:rPr>
        <w:t xml:space="preserve"> </w:t>
      </w:r>
      <w:r w:rsidR="003A70AC" w:rsidRPr="00953692">
        <w:rPr>
          <w:rFonts w:eastAsia="Times New Roman" w:cs="Times New Roman"/>
          <w:sz w:val="24"/>
          <w:szCs w:val="24"/>
          <w:lang w:val="fr-FR"/>
        </w:rPr>
        <w:t>Si la contradiction réaffirme l’adversité ou la divergence (en principe) des points de vue entre la Défense et l’Accusation</w:t>
      </w:r>
      <w:r w:rsidR="002047C1" w:rsidRPr="00953692">
        <w:rPr>
          <w:rFonts w:eastAsia="Times New Roman" w:cs="Times New Roman"/>
          <w:sz w:val="24"/>
          <w:szCs w:val="24"/>
          <w:lang w:val="fr-FR"/>
        </w:rPr>
        <w:t> ;</w:t>
      </w:r>
      <w:r w:rsidR="003A70AC" w:rsidRPr="00953692">
        <w:rPr>
          <w:rFonts w:eastAsia="Times New Roman" w:cs="Times New Roman"/>
          <w:sz w:val="24"/>
          <w:szCs w:val="24"/>
          <w:lang w:val="fr-FR"/>
        </w:rPr>
        <w:t xml:space="preserve"> la publicité des débats permet</w:t>
      </w:r>
      <w:r w:rsidR="002D54E0" w:rsidRPr="00953692">
        <w:rPr>
          <w:rFonts w:eastAsia="Times New Roman" w:cs="Times New Roman"/>
          <w:sz w:val="24"/>
          <w:szCs w:val="24"/>
          <w:lang w:val="fr-FR"/>
        </w:rPr>
        <w:t>trait</w:t>
      </w:r>
      <w:r w:rsidR="003A70AC" w:rsidRPr="00953692">
        <w:rPr>
          <w:rFonts w:eastAsia="Times New Roman" w:cs="Times New Roman"/>
          <w:sz w:val="24"/>
          <w:szCs w:val="24"/>
          <w:lang w:val="fr-FR"/>
        </w:rPr>
        <w:t xml:space="preserve"> à nulle partie d’en prétexter ignorance</w:t>
      </w:r>
      <w:r w:rsidR="002D54E0" w:rsidRPr="00953692">
        <w:rPr>
          <w:rFonts w:eastAsia="Times New Roman" w:cs="Times New Roman"/>
          <w:sz w:val="24"/>
          <w:szCs w:val="24"/>
          <w:lang w:val="fr-FR"/>
        </w:rPr>
        <w:t>, tout en limitant</w:t>
      </w:r>
      <w:r w:rsidR="003A70AC" w:rsidRPr="00953692">
        <w:rPr>
          <w:rFonts w:eastAsia="Times New Roman" w:cs="Times New Roman"/>
          <w:sz w:val="24"/>
          <w:szCs w:val="24"/>
          <w:lang w:val="fr-FR"/>
        </w:rPr>
        <w:t xml:space="preserve"> </w:t>
      </w:r>
      <w:r w:rsidR="003A70AC" w:rsidRPr="00953692">
        <w:rPr>
          <w:rFonts w:eastAsia="Times New Roman" w:cs="Times New Roman"/>
          <w:i/>
          <w:sz w:val="24"/>
          <w:szCs w:val="24"/>
          <w:lang w:val="fr-FR"/>
        </w:rPr>
        <w:t>aussi le débordement du juge</w:t>
      </w:r>
      <w:r w:rsidR="00A91370" w:rsidRPr="00953692">
        <w:rPr>
          <w:rStyle w:val="Appelnotedebasdep"/>
          <w:rFonts w:cs="Times New Roman"/>
          <w:sz w:val="24"/>
          <w:szCs w:val="24"/>
          <w:lang w:val="fr-FR"/>
        </w:rPr>
        <w:footnoteReference w:customMarkFollows="1" w:id="297"/>
        <w:t>273</w:t>
      </w:r>
      <w:r w:rsidR="002D54E0" w:rsidRPr="00953692">
        <w:rPr>
          <w:rFonts w:cs="Times New Roman"/>
          <w:sz w:val="24"/>
          <w:szCs w:val="24"/>
          <w:lang w:val="fr-FR"/>
        </w:rPr>
        <w:t>.</w:t>
      </w:r>
    </w:p>
    <w:p w14:paraId="2DA6EBE7" w14:textId="5245BD23" w:rsidR="00B63920" w:rsidRPr="00953692" w:rsidRDefault="009A273B" w:rsidP="00864BBF">
      <w:pPr>
        <w:spacing w:after="0" w:line="276" w:lineRule="auto"/>
        <w:ind w:firstLine="1134"/>
        <w:jc w:val="both"/>
        <w:rPr>
          <w:sz w:val="24"/>
          <w:szCs w:val="24"/>
          <w:lang w:val="fr-FR"/>
        </w:rPr>
      </w:pPr>
      <w:r w:rsidRPr="00953692">
        <w:rPr>
          <w:b/>
          <w:bCs/>
          <w:sz w:val="24"/>
          <w:szCs w:val="24"/>
          <w:lang w:val="fr-FR"/>
        </w:rPr>
        <w:t>376</w:t>
      </w:r>
      <w:r w:rsidR="00632ECF" w:rsidRPr="00953692">
        <w:rPr>
          <w:b/>
          <w:bCs/>
          <w:sz w:val="24"/>
          <w:szCs w:val="24"/>
          <w:lang w:val="fr-FR"/>
        </w:rPr>
        <w:t>.</w:t>
      </w:r>
      <w:r w:rsidR="00632ECF" w:rsidRPr="00953692">
        <w:rPr>
          <w:sz w:val="24"/>
          <w:szCs w:val="24"/>
          <w:lang w:val="fr-FR"/>
        </w:rPr>
        <w:t xml:space="preserve"> </w:t>
      </w:r>
      <w:r w:rsidR="009D6172" w:rsidRPr="00953692">
        <w:rPr>
          <w:sz w:val="24"/>
          <w:szCs w:val="24"/>
          <w:lang w:val="fr-FR"/>
        </w:rPr>
        <w:t xml:space="preserve">La communication des pièces ou d’éléments de preuve </w:t>
      </w:r>
      <w:r w:rsidR="00632ECF" w:rsidRPr="00953692">
        <w:rPr>
          <w:sz w:val="24"/>
          <w:szCs w:val="24"/>
          <w:lang w:val="fr-FR"/>
        </w:rPr>
        <w:t xml:space="preserve">est donc un élément incontestable du procès équitable, puisqu’elle est liée à l’effectivité des droits de la défense. L’accusé ne peut </w:t>
      </w:r>
      <w:r w:rsidR="00251CB0" w:rsidRPr="00953692">
        <w:rPr>
          <w:sz w:val="24"/>
          <w:szCs w:val="24"/>
          <w:lang w:val="fr-FR"/>
        </w:rPr>
        <w:t xml:space="preserve">se défendre </w:t>
      </w:r>
      <w:r w:rsidR="00632ECF" w:rsidRPr="00953692">
        <w:rPr>
          <w:sz w:val="24"/>
          <w:szCs w:val="24"/>
          <w:lang w:val="fr-FR"/>
        </w:rPr>
        <w:t>et</w:t>
      </w:r>
      <w:r w:rsidR="00993BA6" w:rsidRPr="00953692">
        <w:rPr>
          <w:sz w:val="24"/>
          <w:szCs w:val="24"/>
          <w:lang w:val="fr-FR"/>
        </w:rPr>
        <w:t>,</w:t>
      </w:r>
      <w:r w:rsidR="00632ECF" w:rsidRPr="00953692">
        <w:rPr>
          <w:sz w:val="24"/>
          <w:szCs w:val="24"/>
          <w:lang w:val="fr-FR"/>
        </w:rPr>
        <w:t xml:space="preserve"> avant </w:t>
      </w:r>
      <w:r w:rsidR="00993BA6" w:rsidRPr="00953692">
        <w:rPr>
          <w:sz w:val="24"/>
          <w:szCs w:val="24"/>
          <w:lang w:val="fr-FR"/>
        </w:rPr>
        <w:t>tout,</w:t>
      </w:r>
      <w:r w:rsidR="00251CB0" w:rsidRPr="00953692">
        <w:rPr>
          <w:sz w:val="24"/>
          <w:szCs w:val="24"/>
          <w:lang w:val="fr-FR"/>
        </w:rPr>
        <w:t xml:space="preserve"> mieux préparer ses moyens</w:t>
      </w:r>
      <w:r w:rsidR="00632ECF" w:rsidRPr="00953692">
        <w:rPr>
          <w:sz w:val="24"/>
          <w:szCs w:val="24"/>
          <w:lang w:val="fr-FR"/>
        </w:rPr>
        <w:t xml:space="preserve"> de défense s’il ne reçoit pas du procureur ces pièces qui fondent son inculpation ou sa mise en cause</w:t>
      </w:r>
      <w:r w:rsidR="00251CB0" w:rsidRPr="00953692">
        <w:rPr>
          <w:sz w:val="24"/>
          <w:szCs w:val="24"/>
          <w:lang w:val="fr-FR"/>
        </w:rPr>
        <w:t xml:space="preserve">. </w:t>
      </w:r>
      <w:r w:rsidR="00632ECF" w:rsidRPr="00953692">
        <w:rPr>
          <w:sz w:val="24"/>
          <w:szCs w:val="24"/>
          <w:lang w:val="fr-FR"/>
        </w:rPr>
        <w:t>Mais les juridictions pénales internationales en font aussi un élément de rapidité du procès, parlant notamment de la phase juridictionnelle, qui est toujours précédée</w:t>
      </w:r>
      <w:r w:rsidR="00994BAC" w:rsidRPr="00953692">
        <w:rPr>
          <w:sz w:val="24"/>
          <w:szCs w:val="24"/>
          <w:lang w:val="fr-FR"/>
        </w:rPr>
        <w:t xml:space="preserve"> des conférences de mise en état dont le but est notamment d’organiser </w:t>
      </w:r>
      <w:r w:rsidR="00632ECF" w:rsidRPr="00953692">
        <w:rPr>
          <w:sz w:val="24"/>
          <w:szCs w:val="24"/>
          <w:lang w:val="fr-FR"/>
        </w:rPr>
        <w:t>cette communication</w:t>
      </w:r>
      <w:r w:rsidR="00994BAC" w:rsidRPr="00953692">
        <w:rPr>
          <w:sz w:val="24"/>
          <w:szCs w:val="24"/>
          <w:lang w:val="fr-FR"/>
        </w:rPr>
        <w:t xml:space="preserve"> entre les parties. </w:t>
      </w:r>
      <w:r w:rsidR="00D751BC" w:rsidRPr="00953692">
        <w:rPr>
          <w:sz w:val="24"/>
          <w:szCs w:val="24"/>
          <w:lang w:val="fr-FR"/>
        </w:rPr>
        <w:t>A en croire l’esprit de ces préparations, o</w:t>
      </w:r>
      <w:r w:rsidR="00994BAC" w:rsidRPr="00953692">
        <w:rPr>
          <w:sz w:val="24"/>
          <w:szCs w:val="24"/>
          <w:lang w:val="fr-FR"/>
        </w:rPr>
        <w:t xml:space="preserve">n peut </w:t>
      </w:r>
      <w:r w:rsidR="00E40367" w:rsidRPr="00953692">
        <w:rPr>
          <w:sz w:val="24"/>
          <w:szCs w:val="24"/>
          <w:lang w:val="fr-FR"/>
        </w:rPr>
        <w:t>en conséquence</w:t>
      </w:r>
      <w:r w:rsidR="00994BAC" w:rsidRPr="00953692">
        <w:rPr>
          <w:sz w:val="24"/>
          <w:szCs w:val="24"/>
          <w:lang w:val="fr-FR"/>
        </w:rPr>
        <w:t xml:space="preserve"> dire que</w:t>
      </w:r>
      <w:r w:rsidR="00E40367" w:rsidRPr="00953692">
        <w:rPr>
          <w:sz w:val="24"/>
          <w:szCs w:val="24"/>
          <w:lang w:val="fr-FR"/>
        </w:rPr>
        <w:t>,</w:t>
      </w:r>
      <w:r w:rsidR="00994BAC" w:rsidRPr="00953692">
        <w:rPr>
          <w:sz w:val="24"/>
          <w:szCs w:val="24"/>
          <w:lang w:val="fr-FR"/>
        </w:rPr>
        <w:t xml:space="preserve"> le procès se prépare</w:t>
      </w:r>
      <w:r w:rsidR="00683723" w:rsidRPr="00953692">
        <w:rPr>
          <w:sz w:val="24"/>
          <w:szCs w:val="24"/>
          <w:lang w:val="fr-FR"/>
        </w:rPr>
        <w:t xml:space="preserve"> et commence</w:t>
      </w:r>
      <w:r w:rsidR="00D751BC" w:rsidRPr="00953692">
        <w:rPr>
          <w:sz w:val="24"/>
          <w:szCs w:val="24"/>
          <w:lang w:val="fr-FR"/>
        </w:rPr>
        <w:t xml:space="preserve"> </w:t>
      </w:r>
      <w:r w:rsidR="00683723" w:rsidRPr="00953692">
        <w:rPr>
          <w:sz w:val="24"/>
          <w:szCs w:val="24"/>
          <w:lang w:val="fr-FR"/>
        </w:rPr>
        <w:t>par</w:t>
      </w:r>
      <w:r w:rsidR="00994BAC" w:rsidRPr="00953692">
        <w:rPr>
          <w:sz w:val="24"/>
          <w:szCs w:val="24"/>
          <w:lang w:val="fr-FR"/>
        </w:rPr>
        <w:t xml:space="preserve"> la communication des pièces.</w:t>
      </w:r>
      <w:r w:rsidR="00146C10" w:rsidRPr="00953692">
        <w:rPr>
          <w:sz w:val="24"/>
          <w:szCs w:val="24"/>
          <w:lang w:val="fr-FR"/>
        </w:rPr>
        <w:t xml:space="preserve"> Il s’agit d’une étape essentielle qu</w:t>
      </w:r>
      <w:r w:rsidR="006E163D" w:rsidRPr="00953692">
        <w:rPr>
          <w:sz w:val="24"/>
          <w:szCs w:val="24"/>
          <w:lang w:val="fr-FR"/>
        </w:rPr>
        <w:t>i</w:t>
      </w:r>
      <w:r w:rsidR="00146C10" w:rsidRPr="00953692">
        <w:rPr>
          <w:sz w:val="24"/>
          <w:szCs w:val="24"/>
          <w:lang w:val="fr-FR"/>
        </w:rPr>
        <w:t xml:space="preserve"> tient d’ailleurs le procès en l’état</w:t>
      </w:r>
      <w:r w:rsidR="00D751BC" w:rsidRPr="00953692">
        <w:rPr>
          <w:sz w:val="24"/>
          <w:szCs w:val="24"/>
          <w:lang w:val="fr-FR"/>
        </w:rPr>
        <w:t> : p</w:t>
      </w:r>
      <w:r w:rsidR="00146C10" w:rsidRPr="00953692">
        <w:rPr>
          <w:sz w:val="24"/>
          <w:szCs w:val="24"/>
          <w:lang w:val="fr-FR"/>
        </w:rPr>
        <w:t>lus le procureur tarde à communiquer les pièces comme prévu, moins l’accusé n’a les bases pour préparer sa défense ; et conséquemment, plus l’instance tarde</w:t>
      </w:r>
      <w:r w:rsidR="00E37EBE" w:rsidRPr="00953692">
        <w:rPr>
          <w:sz w:val="24"/>
          <w:szCs w:val="24"/>
          <w:lang w:val="fr-FR"/>
        </w:rPr>
        <w:t>rait</w:t>
      </w:r>
      <w:r w:rsidR="00146C10" w:rsidRPr="00953692">
        <w:rPr>
          <w:sz w:val="24"/>
          <w:szCs w:val="24"/>
          <w:lang w:val="fr-FR"/>
        </w:rPr>
        <w:t xml:space="preserve"> à commencer.</w:t>
      </w:r>
    </w:p>
    <w:p w14:paraId="40DFDAF5" w14:textId="0E53BD0B" w:rsidR="00067374" w:rsidRPr="00953692" w:rsidRDefault="009A273B" w:rsidP="00864BBF">
      <w:pPr>
        <w:spacing w:after="0" w:line="276" w:lineRule="auto"/>
        <w:ind w:firstLine="1134"/>
        <w:jc w:val="both"/>
        <w:rPr>
          <w:sz w:val="24"/>
          <w:szCs w:val="24"/>
          <w:lang w:val="fr-FR"/>
        </w:rPr>
      </w:pPr>
      <w:r w:rsidRPr="00953692">
        <w:rPr>
          <w:b/>
          <w:bCs/>
          <w:sz w:val="24"/>
          <w:szCs w:val="24"/>
          <w:lang w:val="fr-FR"/>
        </w:rPr>
        <w:t>377</w:t>
      </w:r>
      <w:r w:rsidR="00146C10" w:rsidRPr="00953692">
        <w:rPr>
          <w:b/>
          <w:bCs/>
          <w:sz w:val="24"/>
          <w:szCs w:val="24"/>
          <w:lang w:val="fr-FR"/>
        </w:rPr>
        <w:t>.</w:t>
      </w:r>
      <w:r w:rsidR="00146C10" w:rsidRPr="00953692">
        <w:rPr>
          <w:sz w:val="24"/>
          <w:szCs w:val="24"/>
          <w:lang w:val="fr-FR"/>
        </w:rPr>
        <w:t xml:space="preserve"> </w:t>
      </w:r>
      <w:r w:rsidR="00067374" w:rsidRPr="00953692">
        <w:rPr>
          <w:sz w:val="24"/>
          <w:szCs w:val="24"/>
          <w:lang w:val="fr-FR"/>
        </w:rPr>
        <w:t>Si devant les TPI la procédure ex parte de confirmation de l’acte d’accusation empêche toute communication</w:t>
      </w:r>
      <w:r w:rsidR="00D751BC" w:rsidRPr="00953692">
        <w:rPr>
          <w:sz w:val="24"/>
          <w:szCs w:val="24"/>
          <w:lang w:val="fr-FR"/>
        </w:rPr>
        <w:t xml:space="preserve"> (obligatoire)</w:t>
      </w:r>
      <w:r w:rsidR="00067374" w:rsidRPr="00953692">
        <w:rPr>
          <w:sz w:val="24"/>
          <w:szCs w:val="24"/>
          <w:lang w:val="fr-FR"/>
        </w:rPr>
        <w:t xml:space="preserve"> avant la phase décisoire du procès, en revanche d</w:t>
      </w:r>
      <w:r w:rsidR="00502151" w:rsidRPr="00953692">
        <w:rPr>
          <w:sz w:val="24"/>
          <w:szCs w:val="24"/>
          <w:lang w:val="fr-FR"/>
        </w:rPr>
        <w:t>evant l</w:t>
      </w:r>
      <w:r w:rsidR="00F03254" w:rsidRPr="00953692">
        <w:rPr>
          <w:sz w:val="24"/>
          <w:szCs w:val="24"/>
          <w:lang w:val="fr-FR"/>
        </w:rPr>
        <w:t>a CPI, la communication des pièces commence dès la phase de la confirmation des charges</w:t>
      </w:r>
      <w:r w:rsidR="00584239" w:rsidRPr="00953692">
        <w:rPr>
          <w:sz w:val="24"/>
          <w:szCs w:val="24"/>
          <w:lang w:val="fr-FR"/>
        </w:rPr>
        <w:t xml:space="preserve">. </w:t>
      </w:r>
      <w:r w:rsidR="00006332" w:rsidRPr="00953692">
        <w:rPr>
          <w:sz w:val="24"/>
          <w:szCs w:val="24"/>
          <w:lang w:val="fr-FR"/>
        </w:rPr>
        <w:t xml:space="preserve">Pour rappel, cette phase est contradictoire et il est tout à fait évident que les parties se communiquent des pièces. </w:t>
      </w:r>
      <w:r w:rsidR="00067374" w:rsidRPr="00953692">
        <w:rPr>
          <w:sz w:val="24"/>
          <w:szCs w:val="24"/>
          <w:lang w:val="fr-FR"/>
        </w:rPr>
        <w:t xml:space="preserve">Avant le début de l’audience consacrée à cette confirmation des charges, </w:t>
      </w:r>
      <w:r w:rsidR="00067374" w:rsidRPr="00953692">
        <w:rPr>
          <w:i/>
          <w:iCs/>
          <w:sz w:val="24"/>
          <w:szCs w:val="24"/>
          <w:lang w:val="fr-FR"/>
        </w:rPr>
        <w:t>il est fait obligation au</w:t>
      </w:r>
      <w:r w:rsidR="00006332" w:rsidRPr="00953692">
        <w:rPr>
          <w:i/>
          <w:iCs/>
          <w:sz w:val="24"/>
          <w:szCs w:val="24"/>
          <w:lang w:val="fr-FR"/>
        </w:rPr>
        <w:t xml:space="preserve"> Procureur</w:t>
      </w:r>
      <w:r w:rsidR="00067374" w:rsidRPr="00953692">
        <w:rPr>
          <w:i/>
          <w:iCs/>
          <w:sz w:val="24"/>
          <w:szCs w:val="24"/>
          <w:lang w:val="fr-FR"/>
        </w:rPr>
        <w:t xml:space="preserve"> de</w:t>
      </w:r>
      <w:r w:rsidR="00006332" w:rsidRPr="00953692">
        <w:rPr>
          <w:i/>
          <w:iCs/>
          <w:sz w:val="24"/>
          <w:szCs w:val="24"/>
          <w:lang w:val="fr-FR"/>
        </w:rPr>
        <w:t xml:space="preserve"> communique</w:t>
      </w:r>
      <w:r w:rsidR="00067374" w:rsidRPr="00953692">
        <w:rPr>
          <w:i/>
          <w:iCs/>
          <w:sz w:val="24"/>
          <w:szCs w:val="24"/>
          <w:lang w:val="fr-FR"/>
        </w:rPr>
        <w:t>r</w:t>
      </w:r>
      <w:r w:rsidR="00006332" w:rsidRPr="00953692">
        <w:rPr>
          <w:i/>
          <w:iCs/>
          <w:sz w:val="24"/>
          <w:szCs w:val="24"/>
          <w:lang w:val="fr-FR"/>
        </w:rPr>
        <w:t xml:space="preserve"> à la </w:t>
      </w:r>
      <w:r w:rsidR="00067374" w:rsidRPr="00953692">
        <w:rPr>
          <w:i/>
          <w:iCs/>
          <w:sz w:val="24"/>
          <w:szCs w:val="24"/>
          <w:lang w:val="fr-FR"/>
        </w:rPr>
        <w:t>D</w:t>
      </w:r>
      <w:r w:rsidR="00006332" w:rsidRPr="00953692">
        <w:rPr>
          <w:i/>
          <w:iCs/>
          <w:sz w:val="24"/>
          <w:szCs w:val="24"/>
          <w:lang w:val="fr-FR"/>
        </w:rPr>
        <w:t xml:space="preserve">éfense, dès que cela est possible, les éléments de preuve en sa possession ou à sa disposition dont il estime qu'ils disculpent l'accusé ou tendent à le disculper ou à atténuer sa culpabilité, ou sont de nature à entamer la crédibilité des éléments de preuve à charge. </w:t>
      </w:r>
      <w:r w:rsidR="00952DF4" w:rsidRPr="00953692">
        <w:rPr>
          <w:i/>
          <w:iCs/>
          <w:sz w:val="24"/>
          <w:szCs w:val="24"/>
          <w:lang w:val="fr-FR"/>
        </w:rPr>
        <w:t>Il peut s’agir également des éléments susceptibles de permettre à l’accusé de préparer sa défense</w:t>
      </w:r>
      <w:r w:rsidR="00A91370" w:rsidRPr="00953692">
        <w:rPr>
          <w:rStyle w:val="Appelnotedebasdep"/>
          <w:sz w:val="24"/>
          <w:szCs w:val="24"/>
          <w:lang w:val="fr-FR"/>
        </w:rPr>
        <w:footnoteReference w:customMarkFollows="1" w:id="298"/>
        <w:t>274</w:t>
      </w:r>
      <w:r w:rsidR="00952DF4" w:rsidRPr="00953692">
        <w:rPr>
          <w:sz w:val="24"/>
          <w:szCs w:val="24"/>
          <w:lang w:val="fr-FR"/>
        </w:rPr>
        <w:t xml:space="preserve">. </w:t>
      </w:r>
    </w:p>
    <w:p w14:paraId="471C61EB" w14:textId="11F1C211" w:rsidR="00786DE2" w:rsidRPr="00953692" w:rsidRDefault="009A273B" w:rsidP="00864BBF">
      <w:pPr>
        <w:spacing w:after="0" w:line="276" w:lineRule="auto"/>
        <w:ind w:firstLine="1134"/>
        <w:jc w:val="both"/>
        <w:rPr>
          <w:sz w:val="24"/>
          <w:szCs w:val="24"/>
          <w:lang w:val="fr-FR"/>
        </w:rPr>
      </w:pPr>
      <w:r w:rsidRPr="00953692">
        <w:rPr>
          <w:b/>
          <w:bCs/>
          <w:sz w:val="24"/>
          <w:szCs w:val="24"/>
          <w:lang w:val="fr-FR"/>
        </w:rPr>
        <w:t>378</w:t>
      </w:r>
      <w:r w:rsidR="00067374" w:rsidRPr="00953692">
        <w:rPr>
          <w:b/>
          <w:bCs/>
          <w:sz w:val="24"/>
          <w:szCs w:val="24"/>
          <w:lang w:val="fr-FR"/>
        </w:rPr>
        <w:t>.</w:t>
      </w:r>
      <w:r w:rsidR="00067374" w:rsidRPr="00953692">
        <w:rPr>
          <w:i/>
          <w:iCs/>
          <w:sz w:val="24"/>
          <w:szCs w:val="24"/>
          <w:lang w:val="fr-FR"/>
        </w:rPr>
        <w:t xml:space="preserve"> </w:t>
      </w:r>
      <w:r w:rsidR="00E06D1F" w:rsidRPr="00953692">
        <w:rPr>
          <w:i/>
          <w:iCs/>
          <w:sz w:val="24"/>
          <w:szCs w:val="24"/>
          <w:lang w:val="fr-FR"/>
        </w:rPr>
        <w:t>En ce qui concerne des éléments de preuve à charge, c’est au Procureur de mesurer ce qu’il considère justifié de communiquer à la Défense</w:t>
      </w:r>
      <w:r w:rsidR="00A91370" w:rsidRPr="00953692">
        <w:rPr>
          <w:rStyle w:val="Appelnotedebasdep"/>
          <w:sz w:val="24"/>
          <w:szCs w:val="24"/>
          <w:lang w:val="fr-FR"/>
        </w:rPr>
        <w:footnoteReference w:customMarkFollows="1" w:id="299"/>
        <w:t>275</w:t>
      </w:r>
      <w:r w:rsidR="00E06D1F" w:rsidRPr="00953692">
        <w:rPr>
          <w:sz w:val="24"/>
          <w:szCs w:val="24"/>
          <w:lang w:val="fr-FR"/>
        </w:rPr>
        <w:t>.</w:t>
      </w:r>
      <w:r w:rsidR="00235AEA" w:rsidRPr="00953692">
        <w:rPr>
          <w:sz w:val="24"/>
          <w:szCs w:val="24"/>
          <w:lang w:val="fr-FR"/>
        </w:rPr>
        <w:t xml:space="preserve"> Cette sélection du </w:t>
      </w:r>
      <w:r w:rsidR="00067374" w:rsidRPr="00953692">
        <w:rPr>
          <w:sz w:val="24"/>
          <w:szCs w:val="24"/>
          <w:lang w:val="fr-FR"/>
        </w:rPr>
        <w:t>P</w:t>
      </w:r>
      <w:r w:rsidR="00235AEA" w:rsidRPr="00953692">
        <w:rPr>
          <w:sz w:val="24"/>
          <w:szCs w:val="24"/>
          <w:lang w:val="fr-FR"/>
        </w:rPr>
        <w:t xml:space="preserve">rocureur des éléments à communiquer devra prendre en compte les intérêts de la </w:t>
      </w:r>
      <w:r w:rsidR="00235AEA" w:rsidRPr="00953692">
        <w:rPr>
          <w:sz w:val="24"/>
          <w:szCs w:val="24"/>
          <w:lang w:val="fr-FR"/>
        </w:rPr>
        <w:lastRenderedPageBreak/>
        <w:t>Défense, précisément, s’agissant des débats qu’il souhaite engager devant le juge.</w:t>
      </w:r>
      <w:r w:rsidR="00E06D1F" w:rsidRPr="00953692">
        <w:rPr>
          <w:sz w:val="24"/>
          <w:szCs w:val="24"/>
          <w:lang w:val="fr-FR"/>
        </w:rPr>
        <w:t xml:space="preserve"> </w:t>
      </w:r>
      <w:r w:rsidR="00235AEA" w:rsidRPr="00953692">
        <w:rPr>
          <w:sz w:val="24"/>
          <w:szCs w:val="24"/>
          <w:lang w:val="fr-FR"/>
        </w:rPr>
        <w:t>On en vient au droit de l’accusé de disposer du temps et moyens nécessaire à la préparation de sa défense pour affirmer que le choix laissé au procureur ne peut en aucun cas être au préjudice de l’accusé.</w:t>
      </w:r>
    </w:p>
    <w:p w14:paraId="415720FA" w14:textId="261AA761" w:rsidR="00AA2D29" w:rsidRPr="00953692" w:rsidRDefault="009A273B" w:rsidP="00864BBF">
      <w:pPr>
        <w:spacing w:after="0" w:line="276" w:lineRule="auto"/>
        <w:ind w:firstLine="1134"/>
        <w:jc w:val="both"/>
        <w:rPr>
          <w:sz w:val="24"/>
          <w:szCs w:val="24"/>
          <w:lang w:val="fr-FR"/>
        </w:rPr>
      </w:pPr>
      <w:r w:rsidRPr="00953692">
        <w:rPr>
          <w:b/>
          <w:bCs/>
          <w:sz w:val="24"/>
          <w:szCs w:val="24"/>
          <w:lang w:val="fr-FR"/>
        </w:rPr>
        <w:t>379</w:t>
      </w:r>
      <w:r w:rsidR="005B25D3" w:rsidRPr="00953692">
        <w:rPr>
          <w:b/>
          <w:bCs/>
          <w:sz w:val="24"/>
          <w:szCs w:val="24"/>
          <w:lang w:val="fr-FR"/>
        </w:rPr>
        <w:t>.</w:t>
      </w:r>
      <w:r w:rsidR="005B25D3" w:rsidRPr="00953692">
        <w:rPr>
          <w:sz w:val="24"/>
          <w:szCs w:val="24"/>
          <w:lang w:val="fr-FR"/>
        </w:rPr>
        <w:t xml:space="preserve"> </w:t>
      </w:r>
      <w:r w:rsidR="000A7191" w:rsidRPr="00953692">
        <w:rPr>
          <w:sz w:val="24"/>
          <w:szCs w:val="24"/>
          <w:lang w:val="fr-FR"/>
        </w:rPr>
        <w:t>Pour compléter cet</w:t>
      </w:r>
      <w:r w:rsidR="00786DE2" w:rsidRPr="00953692">
        <w:rPr>
          <w:sz w:val="24"/>
          <w:szCs w:val="24"/>
          <w:lang w:val="fr-FR"/>
        </w:rPr>
        <w:t xml:space="preserve"> article 67-2</w:t>
      </w:r>
      <w:r w:rsidR="005B25D3" w:rsidRPr="00953692">
        <w:rPr>
          <w:sz w:val="24"/>
          <w:szCs w:val="24"/>
          <w:lang w:val="fr-FR"/>
        </w:rPr>
        <w:t xml:space="preserve"> du statut de Rome</w:t>
      </w:r>
      <w:r w:rsidR="000A7191" w:rsidRPr="00953692">
        <w:rPr>
          <w:sz w:val="24"/>
          <w:szCs w:val="24"/>
          <w:lang w:val="fr-FR"/>
        </w:rPr>
        <w:t>, la règle 121</w:t>
      </w:r>
      <w:r w:rsidR="00C7610C" w:rsidRPr="00953692">
        <w:rPr>
          <w:sz w:val="24"/>
          <w:szCs w:val="24"/>
          <w:lang w:val="fr-FR"/>
        </w:rPr>
        <w:t>-3</w:t>
      </w:r>
      <w:r w:rsidR="000A7191" w:rsidRPr="00953692">
        <w:rPr>
          <w:sz w:val="24"/>
          <w:szCs w:val="24"/>
          <w:lang w:val="fr-FR"/>
        </w:rPr>
        <w:t xml:space="preserve"> du RPP de la CPI prév</w:t>
      </w:r>
      <w:r w:rsidR="00C7610C" w:rsidRPr="00953692">
        <w:rPr>
          <w:sz w:val="24"/>
          <w:szCs w:val="24"/>
          <w:lang w:val="fr-FR"/>
        </w:rPr>
        <w:t xml:space="preserve">oit un délai de 30 jours au plus tard avant la date de l’audience pour que le </w:t>
      </w:r>
      <w:r w:rsidR="00AA2D29" w:rsidRPr="00953692">
        <w:rPr>
          <w:sz w:val="24"/>
          <w:szCs w:val="24"/>
          <w:lang w:val="fr-FR"/>
        </w:rPr>
        <w:t>P</w:t>
      </w:r>
      <w:r w:rsidR="00C7610C" w:rsidRPr="00953692">
        <w:rPr>
          <w:sz w:val="24"/>
          <w:szCs w:val="24"/>
          <w:lang w:val="fr-FR"/>
        </w:rPr>
        <w:t>rocureur remet</w:t>
      </w:r>
      <w:r w:rsidR="005B25D3" w:rsidRPr="00953692">
        <w:rPr>
          <w:sz w:val="24"/>
          <w:szCs w:val="24"/>
          <w:lang w:val="fr-FR"/>
        </w:rPr>
        <w:t>te</w:t>
      </w:r>
      <w:r w:rsidR="00C7610C" w:rsidRPr="00953692">
        <w:rPr>
          <w:sz w:val="24"/>
          <w:szCs w:val="24"/>
          <w:lang w:val="fr-FR"/>
        </w:rPr>
        <w:t xml:space="preserve"> à la Chambre préliminaire et à la personne accusée </w:t>
      </w:r>
      <w:r w:rsidR="00CE33B9" w:rsidRPr="00953692">
        <w:rPr>
          <w:sz w:val="24"/>
          <w:szCs w:val="24"/>
          <w:lang w:val="fr-FR"/>
        </w:rPr>
        <w:t xml:space="preserve">un état détaillé des charges et l’inventaire des preuves qu’il entend produire à l’audience. </w:t>
      </w:r>
      <w:r w:rsidR="00C7610C" w:rsidRPr="00953692">
        <w:rPr>
          <w:sz w:val="24"/>
          <w:szCs w:val="24"/>
          <w:lang w:val="fr-FR"/>
        </w:rPr>
        <w:t>Et lorsqu’il y a des nouveaux éléments après l</w:t>
      </w:r>
      <w:r w:rsidR="00AA2D29" w:rsidRPr="00953692">
        <w:rPr>
          <w:sz w:val="24"/>
          <w:szCs w:val="24"/>
          <w:lang w:val="fr-FR"/>
        </w:rPr>
        <w:t>’observation</w:t>
      </w:r>
      <w:r w:rsidR="00C7610C" w:rsidRPr="00953692">
        <w:rPr>
          <w:sz w:val="24"/>
          <w:szCs w:val="24"/>
          <w:lang w:val="fr-FR"/>
        </w:rPr>
        <w:t xml:space="preserve"> de ce délai de 30 jours, le </w:t>
      </w:r>
      <w:r w:rsidR="00AA2D29" w:rsidRPr="00953692">
        <w:rPr>
          <w:sz w:val="24"/>
          <w:szCs w:val="24"/>
          <w:lang w:val="fr-FR"/>
        </w:rPr>
        <w:t>P</w:t>
      </w:r>
      <w:r w:rsidR="00C7610C" w:rsidRPr="00953692">
        <w:rPr>
          <w:sz w:val="24"/>
          <w:szCs w:val="24"/>
          <w:lang w:val="fr-FR"/>
        </w:rPr>
        <w:t>rocureur peut néanmoins les déposer dans les 15 jours qui précèdent la date de l’audience.</w:t>
      </w:r>
      <w:r w:rsidR="00703A92" w:rsidRPr="00953692">
        <w:rPr>
          <w:sz w:val="24"/>
          <w:szCs w:val="24"/>
          <w:lang w:val="fr-FR"/>
        </w:rPr>
        <w:t xml:space="preserve"> La Défense possède également un délai de 15 jours pour remettre à la Chambre ses moyens de preuve. </w:t>
      </w:r>
    </w:p>
    <w:p w14:paraId="5FCB15FE" w14:textId="46C172BB" w:rsidR="00786DE2" w:rsidRPr="00953692" w:rsidRDefault="009A273B" w:rsidP="00864BBF">
      <w:pPr>
        <w:spacing w:after="0" w:line="276" w:lineRule="auto"/>
        <w:ind w:firstLine="1134"/>
        <w:jc w:val="both"/>
        <w:rPr>
          <w:sz w:val="24"/>
          <w:szCs w:val="24"/>
          <w:lang w:val="fr-FR"/>
        </w:rPr>
      </w:pPr>
      <w:r w:rsidRPr="00953692">
        <w:rPr>
          <w:b/>
          <w:bCs/>
          <w:sz w:val="24"/>
          <w:szCs w:val="24"/>
          <w:lang w:val="fr-FR"/>
        </w:rPr>
        <w:t>380</w:t>
      </w:r>
      <w:r w:rsidR="00AA2D29" w:rsidRPr="00953692">
        <w:rPr>
          <w:b/>
          <w:bCs/>
          <w:sz w:val="24"/>
          <w:szCs w:val="24"/>
          <w:lang w:val="fr-FR"/>
        </w:rPr>
        <w:t>.</w:t>
      </w:r>
      <w:r w:rsidR="00AA2D29" w:rsidRPr="00953692">
        <w:rPr>
          <w:sz w:val="24"/>
          <w:szCs w:val="24"/>
          <w:lang w:val="fr-FR"/>
        </w:rPr>
        <w:t xml:space="preserve"> </w:t>
      </w:r>
      <w:r w:rsidR="00596980" w:rsidRPr="00953692">
        <w:rPr>
          <w:sz w:val="24"/>
          <w:szCs w:val="24"/>
          <w:lang w:val="fr-FR"/>
        </w:rPr>
        <w:t>Après la confirmation des charges et avant le début du procès, les parties n’ont pas à communiquer les éléments de preuve déjà communiqués</w:t>
      </w:r>
      <w:r w:rsidR="00A91370" w:rsidRPr="00953692">
        <w:rPr>
          <w:rStyle w:val="Appelnotedebasdep"/>
          <w:sz w:val="24"/>
          <w:szCs w:val="24"/>
          <w:lang w:val="fr-FR"/>
        </w:rPr>
        <w:footnoteReference w:customMarkFollows="1" w:id="300"/>
        <w:t>276</w:t>
      </w:r>
      <w:r w:rsidR="00596980" w:rsidRPr="00953692">
        <w:rPr>
          <w:sz w:val="24"/>
          <w:szCs w:val="24"/>
          <w:lang w:val="fr-FR"/>
        </w:rPr>
        <w:t xml:space="preserve">. </w:t>
      </w:r>
      <w:r w:rsidR="00ED4DBD" w:rsidRPr="00953692">
        <w:rPr>
          <w:sz w:val="24"/>
          <w:szCs w:val="24"/>
          <w:lang w:val="fr-FR"/>
        </w:rPr>
        <w:t xml:space="preserve">La </w:t>
      </w:r>
      <w:r w:rsidR="0010742C" w:rsidRPr="00953692">
        <w:rPr>
          <w:sz w:val="24"/>
          <w:szCs w:val="24"/>
          <w:lang w:val="fr-FR"/>
        </w:rPr>
        <w:t>C</w:t>
      </w:r>
      <w:r w:rsidR="00ED4DBD" w:rsidRPr="00953692">
        <w:rPr>
          <w:sz w:val="24"/>
          <w:szCs w:val="24"/>
          <w:lang w:val="fr-FR"/>
        </w:rPr>
        <w:t xml:space="preserve">hambre de première instance fixe le délai au cours duquel d’autres pièces peuvent être communiqués. Les </w:t>
      </w:r>
      <w:r w:rsidR="005B25D3" w:rsidRPr="00953692">
        <w:rPr>
          <w:sz w:val="24"/>
          <w:szCs w:val="24"/>
          <w:lang w:val="fr-FR"/>
        </w:rPr>
        <w:t>C</w:t>
      </w:r>
      <w:r w:rsidR="00ED4DBD" w:rsidRPr="00953692">
        <w:rPr>
          <w:sz w:val="24"/>
          <w:szCs w:val="24"/>
          <w:lang w:val="fr-FR"/>
        </w:rPr>
        <w:t>hambres de la CPI ont estimé que cette communication à ce stade s’effectue d’habitude trois mois avant l’ouverture du procès</w:t>
      </w:r>
      <w:r w:rsidR="005B25D3" w:rsidRPr="00953692">
        <w:rPr>
          <w:sz w:val="24"/>
          <w:szCs w:val="24"/>
          <w:lang w:val="fr-FR"/>
        </w:rPr>
        <w:t xml:space="preserve"> (en première et seconde instances)</w:t>
      </w:r>
      <w:r w:rsidR="00A91370" w:rsidRPr="00953692">
        <w:rPr>
          <w:rStyle w:val="Appelnotedebasdep"/>
          <w:sz w:val="24"/>
          <w:szCs w:val="24"/>
          <w:lang w:val="fr-FR"/>
        </w:rPr>
        <w:footnoteReference w:customMarkFollows="1" w:id="301"/>
        <w:t>277</w:t>
      </w:r>
      <w:r w:rsidR="00ED4DBD" w:rsidRPr="00953692">
        <w:rPr>
          <w:sz w:val="24"/>
          <w:szCs w:val="24"/>
          <w:lang w:val="fr-FR"/>
        </w:rPr>
        <w:t>.</w:t>
      </w:r>
    </w:p>
    <w:p w14:paraId="6F8D2441" w14:textId="7180C59B" w:rsidR="00AD0EC5" w:rsidRPr="00953692" w:rsidRDefault="009A273B" w:rsidP="00864BBF">
      <w:pPr>
        <w:spacing w:after="0" w:line="276" w:lineRule="auto"/>
        <w:ind w:firstLine="1134"/>
        <w:jc w:val="both"/>
        <w:rPr>
          <w:sz w:val="24"/>
          <w:szCs w:val="24"/>
          <w:lang w:val="fr-FR"/>
        </w:rPr>
      </w:pPr>
      <w:r w:rsidRPr="00953692">
        <w:rPr>
          <w:b/>
          <w:bCs/>
          <w:sz w:val="24"/>
          <w:szCs w:val="24"/>
          <w:lang w:val="fr-FR"/>
        </w:rPr>
        <w:t>381</w:t>
      </w:r>
      <w:r w:rsidR="00681FF7" w:rsidRPr="00953692">
        <w:rPr>
          <w:b/>
          <w:bCs/>
          <w:sz w:val="24"/>
          <w:szCs w:val="24"/>
          <w:lang w:val="fr-FR"/>
        </w:rPr>
        <w:t>.</w:t>
      </w:r>
      <w:r w:rsidR="00681FF7" w:rsidRPr="00953692">
        <w:rPr>
          <w:sz w:val="24"/>
          <w:szCs w:val="24"/>
          <w:lang w:val="fr-FR"/>
        </w:rPr>
        <w:t xml:space="preserve"> </w:t>
      </w:r>
      <w:r w:rsidR="00786DE2" w:rsidRPr="00953692">
        <w:rPr>
          <w:sz w:val="24"/>
          <w:szCs w:val="24"/>
          <w:lang w:val="fr-FR"/>
        </w:rPr>
        <w:t xml:space="preserve">Devant les TPI, dans </w:t>
      </w:r>
      <w:r w:rsidR="00035A67" w:rsidRPr="00953692">
        <w:rPr>
          <w:sz w:val="24"/>
          <w:szCs w:val="24"/>
          <w:lang w:val="fr-FR"/>
        </w:rPr>
        <w:t>les trente jours</w:t>
      </w:r>
      <w:r w:rsidR="00786DE2" w:rsidRPr="00953692">
        <w:rPr>
          <w:sz w:val="24"/>
          <w:szCs w:val="24"/>
          <w:lang w:val="fr-FR"/>
        </w:rPr>
        <w:t xml:space="preserve"> qui suivent la comparution initiale, le </w:t>
      </w:r>
      <w:r w:rsidR="00681FF7" w:rsidRPr="00953692">
        <w:rPr>
          <w:sz w:val="24"/>
          <w:szCs w:val="24"/>
          <w:lang w:val="fr-FR"/>
        </w:rPr>
        <w:t>P</w:t>
      </w:r>
      <w:r w:rsidR="00786DE2" w:rsidRPr="00953692">
        <w:rPr>
          <w:sz w:val="24"/>
          <w:szCs w:val="24"/>
          <w:lang w:val="fr-FR"/>
        </w:rPr>
        <w:t xml:space="preserve">rocureur communique à la défense copie de toutes les pièces justificatives jointes à l’acte d’accusation lors de la demande de confirmation ainsi que de toutes les déclarations antérieures de l’accusé par lui recueillies ; et </w:t>
      </w:r>
      <w:r w:rsidR="00035A67" w:rsidRPr="00953692">
        <w:rPr>
          <w:sz w:val="24"/>
          <w:szCs w:val="24"/>
          <w:lang w:val="fr-FR"/>
        </w:rPr>
        <w:t>a</w:t>
      </w:r>
      <w:r w:rsidR="00786DE2" w:rsidRPr="00953692">
        <w:rPr>
          <w:sz w:val="24"/>
          <w:szCs w:val="24"/>
          <w:lang w:val="fr-FR"/>
        </w:rPr>
        <w:t>u plus tard soixante jours avant la date fixée pour le début du procès, copie des déclarations de tous les témoins qu</w:t>
      </w:r>
      <w:r w:rsidR="00035A67" w:rsidRPr="00953692">
        <w:rPr>
          <w:sz w:val="24"/>
          <w:szCs w:val="24"/>
          <w:lang w:val="fr-FR"/>
        </w:rPr>
        <w:t>’il</w:t>
      </w:r>
      <w:r w:rsidR="00786DE2" w:rsidRPr="00953692">
        <w:rPr>
          <w:sz w:val="24"/>
          <w:szCs w:val="24"/>
          <w:lang w:val="fr-FR"/>
        </w:rPr>
        <w:t xml:space="preserve"> entend appeler à la barre</w:t>
      </w:r>
      <w:r w:rsidR="00A91370" w:rsidRPr="00953692">
        <w:rPr>
          <w:rStyle w:val="Appelnotedebasdep"/>
          <w:sz w:val="24"/>
          <w:szCs w:val="24"/>
          <w:lang w:val="fr-FR"/>
        </w:rPr>
        <w:footnoteReference w:customMarkFollows="1" w:id="302"/>
        <w:t>278</w:t>
      </w:r>
      <w:r w:rsidR="00786DE2" w:rsidRPr="00953692">
        <w:rPr>
          <w:sz w:val="24"/>
          <w:szCs w:val="24"/>
          <w:lang w:val="fr-FR"/>
        </w:rPr>
        <w:t>.</w:t>
      </w:r>
      <w:r w:rsidR="00AD1A03" w:rsidRPr="00953692">
        <w:rPr>
          <w:sz w:val="24"/>
          <w:szCs w:val="24"/>
          <w:lang w:val="fr-FR"/>
        </w:rPr>
        <w:t xml:space="preserve"> </w:t>
      </w:r>
    </w:p>
    <w:p w14:paraId="5E2DBEBF" w14:textId="4BB3EE5C" w:rsidR="00786DE2" w:rsidRPr="00953692" w:rsidRDefault="009A273B" w:rsidP="00864BBF">
      <w:pPr>
        <w:spacing w:after="0" w:line="276" w:lineRule="auto"/>
        <w:ind w:firstLine="1134"/>
        <w:jc w:val="both"/>
        <w:rPr>
          <w:sz w:val="24"/>
          <w:szCs w:val="24"/>
          <w:lang w:val="fr-FR"/>
        </w:rPr>
      </w:pPr>
      <w:r w:rsidRPr="00953692">
        <w:rPr>
          <w:b/>
          <w:bCs/>
          <w:sz w:val="24"/>
          <w:szCs w:val="24"/>
          <w:lang w:val="fr-FR"/>
        </w:rPr>
        <w:t>382</w:t>
      </w:r>
      <w:r w:rsidR="00AD0EC5" w:rsidRPr="00953692">
        <w:rPr>
          <w:b/>
          <w:bCs/>
          <w:sz w:val="24"/>
          <w:szCs w:val="24"/>
          <w:lang w:val="fr-FR"/>
        </w:rPr>
        <w:t>.</w:t>
      </w:r>
      <w:r w:rsidR="00AD0EC5" w:rsidRPr="00953692">
        <w:rPr>
          <w:sz w:val="24"/>
          <w:szCs w:val="24"/>
          <w:lang w:val="fr-FR"/>
        </w:rPr>
        <w:t xml:space="preserve"> Dans le même ordre d’idées, l</w:t>
      </w:r>
      <w:r w:rsidR="00AD1A03" w:rsidRPr="00953692">
        <w:rPr>
          <w:sz w:val="24"/>
          <w:szCs w:val="24"/>
          <w:lang w:val="fr-FR"/>
        </w:rPr>
        <w:t xml:space="preserve">’article 110 du RPP du TSL prévoit également un délai de trente jours suivant la comparution initiale et laisse à la </w:t>
      </w:r>
      <w:r w:rsidR="00681FF7" w:rsidRPr="00953692">
        <w:rPr>
          <w:sz w:val="24"/>
          <w:szCs w:val="24"/>
          <w:lang w:val="fr-FR"/>
        </w:rPr>
        <w:t>C</w:t>
      </w:r>
      <w:r w:rsidR="00AD1A03" w:rsidRPr="00953692">
        <w:rPr>
          <w:sz w:val="24"/>
          <w:szCs w:val="24"/>
          <w:lang w:val="fr-FR"/>
        </w:rPr>
        <w:t xml:space="preserve">hambre de première instance ou au juge de la mise en état les pouvoirs de fixer la date </w:t>
      </w:r>
      <w:r w:rsidR="00CF6527" w:rsidRPr="00953692">
        <w:rPr>
          <w:sz w:val="24"/>
          <w:szCs w:val="24"/>
          <w:lang w:val="fr-FR"/>
        </w:rPr>
        <w:t xml:space="preserve">à laquelle le procureur devra communiquer à la défense les copies des déclarations de tous les témoins que ce dernier entend citer au procès, et de toutes les déclarations écrites, des comptes rendus de dépositions ou de tout autre compte rendu </w:t>
      </w:r>
      <w:r w:rsidR="000A1398" w:rsidRPr="00953692">
        <w:rPr>
          <w:sz w:val="24"/>
          <w:szCs w:val="24"/>
          <w:lang w:val="fr-FR"/>
        </w:rPr>
        <w:t>ou de toutes autres déclarations à charge.</w:t>
      </w:r>
      <w:r w:rsidR="00AD0EC5" w:rsidRPr="00953692">
        <w:rPr>
          <w:sz w:val="24"/>
          <w:szCs w:val="24"/>
          <w:lang w:val="fr-FR"/>
        </w:rPr>
        <w:t xml:space="preserve"> Il convient de rappeler en effet que, devant ces juridictions, la comparution initiale intervient en principe avant la confirmation de l’acte d’accusation ; la personne mise en cause arrive et se présente devant le juge en qualité d’accusé et a droit à cet effet d’accéder au dossier complet.</w:t>
      </w:r>
    </w:p>
    <w:p w14:paraId="6D9A266F" w14:textId="2885A799" w:rsidR="00542E60" w:rsidRPr="00953692" w:rsidRDefault="009A273B" w:rsidP="00864BBF">
      <w:pPr>
        <w:spacing w:after="0" w:line="276" w:lineRule="auto"/>
        <w:ind w:firstLine="1134"/>
        <w:jc w:val="both"/>
        <w:rPr>
          <w:sz w:val="24"/>
          <w:szCs w:val="24"/>
          <w:lang w:val="fr-FR"/>
        </w:rPr>
      </w:pPr>
      <w:r w:rsidRPr="00953692">
        <w:rPr>
          <w:b/>
          <w:bCs/>
          <w:sz w:val="24"/>
          <w:szCs w:val="24"/>
          <w:lang w:val="fr-FR"/>
        </w:rPr>
        <w:t>383</w:t>
      </w:r>
      <w:r w:rsidR="00681FF7" w:rsidRPr="00953692">
        <w:rPr>
          <w:b/>
          <w:bCs/>
          <w:sz w:val="24"/>
          <w:szCs w:val="24"/>
          <w:lang w:val="fr-FR"/>
        </w:rPr>
        <w:t>.</w:t>
      </w:r>
      <w:r w:rsidR="00681FF7" w:rsidRPr="00953692">
        <w:rPr>
          <w:sz w:val="24"/>
          <w:szCs w:val="24"/>
          <w:lang w:val="fr-FR"/>
        </w:rPr>
        <w:t xml:space="preserve"> </w:t>
      </w:r>
      <w:r w:rsidR="00C373AE" w:rsidRPr="00953692">
        <w:rPr>
          <w:sz w:val="24"/>
          <w:szCs w:val="24"/>
          <w:lang w:val="fr-FR"/>
        </w:rPr>
        <w:t xml:space="preserve">Il s’agit là en effet du cas-type ordinaire d’une communication des pièces qui intervient d’ailleurs obligatoirement </w:t>
      </w:r>
      <w:r w:rsidR="004841FB" w:rsidRPr="00953692">
        <w:rPr>
          <w:sz w:val="24"/>
          <w:szCs w:val="24"/>
          <w:lang w:val="fr-FR"/>
        </w:rPr>
        <w:t xml:space="preserve">avant le procès </w:t>
      </w:r>
      <w:r w:rsidR="00C373AE" w:rsidRPr="00953692">
        <w:rPr>
          <w:sz w:val="24"/>
          <w:szCs w:val="24"/>
          <w:lang w:val="fr-FR"/>
        </w:rPr>
        <w:t>et</w:t>
      </w:r>
      <w:r w:rsidR="004841FB" w:rsidRPr="00953692">
        <w:rPr>
          <w:sz w:val="24"/>
          <w:szCs w:val="24"/>
          <w:lang w:val="fr-FR"/>
        </w:rPr>
        <w:t xml:space="preserve"> en</w:t>
      </w:r>
      <w:r w:rsidR="00C373AE" w:rsidRPr="00953692">
        <w:rPr>
          <w:sz w:val="24"/>
          <w:szCs w:val="24"/>
          <w:lang w:val="fr-FR"/>
        </w:rPr>
        <w:t xml:space="preserve"> conditionne la tenue</w:t>
      </w:r>
      <w:r w:rsidR="004841FB" w:rsidRPr="00953692">
        <w:rPr>
          <w:sz w:val="24"/>
          <w:szCs w:val="24"/>
          <w:lang w:val="fr-FR"/>
        </w:rPr>
        <w:t xml:space="preserve"> (ou le commencement)</w:t>
      </w:r>
      <w:r w:rsidR="00C373AE" w:rsidRPr="00953692">
        <w:rPr>
          <w:sz w:val="24"/>
          <w:szCs w:val="24"/>
          <w:lang w:val="fr-FR"/>
        </w:rPr>
        <w:t xml:space="preserve">. </w:t>
      </w:r>
      <w:r w:rsidR="003E0045" w:rsidRPr="00953692">
        <w:rPr>
          <w:sz w:val="24"/>
          <w:szCs w:val="24"/>
          <w:lang w:val="fr-FR"/>
        </w:rPr>
        <w:t xml:space="preserve">Dans ce cas, </w:t>
      </w:r>
      <w:r w:rsidR="00B05BBE" w:rsidRPr="00953692">
        <w:rPr>
          <w:sz w:val="24"/>
          <w:szCs w:val="24"/>
          <w:lang w:val="fr-FR"/>
        </w:rPr>
        <w:t>on a vu qu’</w:t>
      </w:r>
      <w:r w:rsidR="003E0045" w:rsidRPr="00953692">
        <w:rPr>
          <w:sz w:val="24"/>
          <w:szCs w:val="24"/>
          <w:lang w:val="fr-FR"/>
        </w:rPr>
        <w:t xml:space="preserve">il y a </w:t>
      </w:r>
      <w:r w:rsidR="00B05BBE" w:rsidRPr="00953692">
        <w:rPr>
          <w:sz w:val="24"/>
          <w:szCs w:val="24"/>
          <w:lang w:val="fr-FR"/>
        </w:rPr>
        <w:t xml:space="preserve">bien </w:t>
      </w:r>
      <w:r w:rsidR="003E0045" w:rsidRPr="00953692">
        <w:rPr>
          <w:sz w:val="24"/>
          <w:szCs w:val="24"/>
          <w:lang w:val="fr-FR"/>
        </w:rPr>
        <w:t>des délais légaux</w:t>
      </w:r>
      <w:r w:rsidR="00B05BBE" w:rsidRPr="00953692">
        <w:rPr>
          <w:sz w:val="24"/>
          <w:szCs w:val="24"/>
          <w:lang w:val="fr-FR"/>
        </w:rPr>
        <w:t xml:space="preserve"> ou statutaires</w:t>
      </w:r>
      <w:r w:rsidR="003E0045" w:rsidRPr="00953692">
        <w:rPr>
          <w:sz w:val="24"/>
          <w:szCs w:val="24"/>
          <w:lang w:val="fr-FR"/>
        </w:rPr>
        <w:t xml:space="preserve"> qui doivent être respectés </w:t>
      </w:r>
      <w:r w:rsidR="00B05BBE" w:rsidRPr="00953692">
        <w:rPr>
          <w:sz w:val="24"/>
          <w:szCs w:val="24"/>
          <w:lang w:val="fr-FR"/>
        </w:rPr>
        <w:t>et qui laissent</w:t>
      </w:r>
      <w:r w:rsidR="003E0045" w:rsidRPr="00953692">
        <w:rPr>
          <w:sz w:val="24"/>
          <w:szCs w:val="24"/>
          <w:lang w:val="fr-FR"/>
        </w:rPr>
        <w:t xml:space="preserve"> à l’accusé </w:t>
      </w:r>
      <w:r w:rsidR="00B05BBE" w:rsidRPr="00953692">
        <w:rPr>
          <w:sz w:val="24"/>
          <w:szCs w:val="24"/>
          <w:lang w:val="fr-FR"/>
        </w:rPr>
        <w:t xml:space="preserve">le temps </w:t>
      </w:r>
      <w:r w:rsidR="003E0045" w:rsidRPr="00953692">
        <w:rPr>
          <w:sz w:val="24"/>
          <w:szCs w:val="24"/>
          <w:lang w:val="fr-FR"/>
        </w:rPr>
        <w:t>d’en prendre bien connaissance</w:t>
      </w:r>
      <w:r w:rsidR="00B05BBE" w:rsidRPr="00953692">
        <w:rPr>
          <w:sz w:val="24"/>
          <w:szCs w:val="24"/>
          <w:lang w:val="fr-FR"/>
        </w:rPr>
        <w:t xml:space="preserve">, </w:t>
      </w:r>
      <w:r w:rsidR="00B05BBE" w:rsidRPr="00953692">
        <w:rPr>
          <w:sz w:val="24"/>
          <w:szCs w:val="24"/>
          <w:lang w:val="fr-FR"/>
        </w:rPr>
        <w:lastRenderedPageBreak/>
        <w:t xml:space="preserve">puisque ces pièces devront </w:t>
      </w:r>
      <w:r w:rsidR="00A70663" w:rsidRPr="00953692">
        <w:rPr>
          <w:sz w:val="24"/>
          <w:szCs w:val="24"/>
          <w:lang w:val="fr-FR"/>
        </w:rPr>
        <w:t>être</w:t>
      </w:r>
      <w:r w:rsidR="00B05BBE" w:rsidRPr="00953692">
        <w:rPr>
          <w:sz w:val="24"/>
          <w:szCs w:val="24"/>
          <w:lang w:val="fr-FR"/>
        </w:rPr>
        <w:t xml:space="preserve"> remis</w:t>
      </w:r>
      <w:r w:rsidR="00E40367" w:rsidRPr="00953692">
        <w:rPr>
          <w:sz w:val="24"/>
          <w:szCs w:val="24"/>
          <w:lang w:val="fr-FR"/>
        </w:rPr>
        <w:t>es</w:t>
      </w:r>
      <w:r w:rsidR="00B05BBE" w:rsidRPr="00953692">
        <w:rPr>
          <w:sz w:val="24"/>
          <w:szCs w:val="24"/>
          <w:lang w:val="fr-FR"/>
        </w:rPr>
        <w:t xml:space="preserve"> quelques jours ou moins avant le début du procès</w:t>
      </w:r>
      <w:r w:rsidR="003E0045" w:rsidRPr="00953692">
        <w:rPr>
          <w:sz w:val="24"/>
          <w:szCs w:val="24"/>
          <w:lang w:val="fr-FR"/>
        </w:rPr>
        <w:t>. Ces délais peuvent être modifiés</w:t>
      </w:r>
      <w:r w:rsidR="00525AFD" w:rsidRPr="00953692">
        <w:rPr>
          <w:sz w:val="24"/>
          <w:szCs w:val="24"/>
          <w:lang w:val="fr-FR"/>
        </w:rPr>
        <w:t>, donc prorogés</w:t>
      </w:r>
      <w:r w:rsidR="003E0045" w:rsidRPr="00953692">
        <w:rPr>
          <w:sz w:val="24"/>
          <w:szCs w:val="24"/>
          <w:lang w:val="fr-FR"/>
        </w:rPr>
        <w:t xml:space="preserve"> par les juges à la demande des parties</w:t>
      </w:r>
      <w:r w:rsidR="00A91370" w:rsidRPr="00953692">
        <w:rPr>
          <w:rStyle w:val="Appelnotedebasdep"/>
          <w:sz w:val="24"/>
          <w:szCs w:val="24"/>
          <w:lang w:val="fr-FR"/>
        </w:rPr>
        <w:footnoteReference w:customMarkFollows="1" w:id="303"/>
        <w:t>279</w:t>
      </w:r>
      <w:r w:rsidR="003E0045" w:rsidRPr="00953692">
        <w:rPr>
          <w:sz w:val="24"/>
          <w:szCs w:val="24"/>
          <w:lang w:val="fr-FR"/>
        </w:rPr>
        <w:t xml:space="preserve">. </w:t>
      </w:r>
    </w:p>
    <w:p w14:paraId="2DC313D1" w14:textId="2BB3D193" w:rsidR="003E0045" w:rsidRPr="00953692" w:rsidRDefault="009A273B" w:rsidP="00864BBF">
      <w:pPr>
        <w:spacing w:after="0" w:line="276" w:lineRule="auto"/>
        <w:ind w:firstLine="1134"/>
        <w:jc w:val="both"/>
        <w:rPr>
          <w:sz w:val="24"/>
          <w:szCs w:val="24"/>
          <w:lang w:val="fr-FR"/>
        </w:rPr>
      </w:pPr>
      <w:r w:rsidRPr="00953692">
        <w:rPr>
          <w:b/>
          <w:bCs/>
          <w:sz w:val="24"/>
          <w:szCs w:val="24"/>
          <w:lang w:val="fr-FR"/>
        </w:rPr>
        <w:t>384</w:t>
      </w:r>
      <w:r w:rsidR="00D82C47" w:rsidRPr="00953692">
        <w:rPr>
          <w:b/>
          <w:bCs/>
          <w:sz w:val="24"/>
          <w:szCs w:val="24"/>
          <w:lang w:val="fr-FR"/>
        </w:rPr>
        <w:t>.</w:t>
      </w:r>
      <w:r w:rsidR="00D82C47" w:rsidRPr="00953692">
        <w:rPr>
          <w:sz w:val="24"/>
          <w:szCs w:val="24"/>
          <w:lang w:val="fr-FR"/>
        </w:rPr>
        <w:t xml:space="preserve"> </w:t>
      </w:r>
      <w:r w:rsidR="003E0045" w:rsidRPr="00953692">
        <w:rPr>
          <w:sz w:val="24"/>
          <w:szCs w:val="24"/>
          <w:lang w:val="fr-FR"/>
        </w:rPr>
        <w:t>En pratique, l’accusé sollicite plutôt une communication progressive, lui évitant ainsi de recevoir à la fois un gros volume des pièces le jour où expire le délai pour la communication</w:t>
      </w:r>
      <w:r w:rsidR="00A91370" w:rsidRPr="00953692">
        <w:rPr>
          <w:rStyle w:val="Appelnotedebasdep"/>
          <w:sz w:val="24"/>
          <w:szCs w:val="24"/>
          <w:lang w:val="fr-FR"/>
        </w:rPr>
        <w:footnoteReference w:customMarkFollows="1" w:id="304"/>
        <w:t>280 </w:t>
      </w:r>
      <w:r w:rsidR="00D82C47" w:rsidRPr="00953692">
        <w:rPr>
          <w:sz w:val="24"/>
          <w:szCs w:val="24"/>
          <w:lang w:val="fr-FR"/>
        </w:rPr>
        <w:t>; c</w:t>
      </w:r>
      <w:r w:rsidR="003E0045" w:rsidRPr="00953692">
        <w:rPr>
          <w:sz w:val="24"/>
          <w:szCs w:val="24"/>
          <w:lang w:val="fr-FR"/>
        </w:rPr>
        <w:t>e qui le mettrait dans l’impossibilité pratique de préparer sa défense.</w:t>
      </w:r>
      <w:r w:rsidR="00681FF7" w:rsidRPr="00953692">
        <w:rPr>
          <w:sz w:val="24"/>
          <w:szCs w:val="24"/>
          <w:lang w:val="fr-FR"/>
        </w:rPr>
        <w:t xml:space="preserve"> On peut se rapporter à la notion de la progressivité de l’information, développé dans la première partie de cette étude. En fait, la communication des pièces est assimilable à la réalisation du droit d’être informé de façon détaillée de ce dont on est accusé. Les pièces, notamment à charge</w:t>
      </w:r>
      <w:r w:rsidR="00876856" w:rsidRPr="00953692">
        <w:rPr>
          <w:sz w:val="24"/>
          <w:szCs w:val="24"/>
          <w:lang w:val="fr-FR"/>
        </w:rPr>
        <w:t>,</w:t>
      </w:r>
      <w:r w:rsidR="00681FF7" w:rsidRPr="00953692">
        <w:rPr>
          <w:sz w:val="24"/>
          <w:szCs w:val="24"/>
          <w:lang w:val="fr-FR"/>
        </w:rPr>
        <w:t xml:space="preserve"> détaillent mieux les accusations portées contre l’accusé.</w:t>
      </w:r>
      <w:r w:rsidR="00D82C47" w:rsidRPr="00953692">
        <w:rPr>
          <w:sz w:val="24"/>
          <w:szCs w:val="24"/>
          <w:lang w:val="fr-FR"/>
        </w:rPr>
        <w:t xml:space="preserve"> Ainsi, le droit d’accès au dossier dans le cadre d’une communication des pièces serait une continuité </w:t>
      </w:r>
      <w:r w:rsidR="00DC4C78" w:rsidRPr="00953692">
        <w:rPr>
          <w:sz w:val="24"/>
          <w:szCs w:val="24"/>
          <w:lang w:val="fr-FR"/>
        </w:rPr>
        <w:t>du droit de l’accusé d’être informé des charges et accusations portées contre lui.</w:t>
      </w:r>
    </w:p>
    <w:p w14:paraId="55E68027" w14:textId="480CA9D2" w:rsidR="00C373AE" w:rsidRPr="00953692" w:rsidRDefault="009A273B" w:rsidP="00864BBF">
      <w:pPr>
        <w:spacing w:after="0" w:line="276" w:lineRule="auto"/>
        <w:ind w:firstLine="1134"/>
        <w:jc w:val="both"/>
        <w:rPr>
          <w:sz w:val="24"/>
          <w:szCs w:val="24"/>
          <w:lang w:val="fr-FR"/>
        </w:rPr>
      </w:pPr>
      <w:r w:rsidRPr="00953692">
        <w:rPr>
          <w:b/>
          <w:bCs/>
          <w:sz w:val="24"/>
          <w:szCs w:val="24"/>
          <w:lang w:val="fr-FR"/>
        </w:rPr>
        <w:t>385</w:t>
      </w:r>
      <w:r w:rsidR="00E46484" w:rsidRPr="00953692">
        <w:rPr>
          <w:b/>
          <w:bCs/>
          <w:sz w:val="24"/>
          <w:szCs w:val="24"/>
          <w:lang w:val="fr-FR"/>
        </w:rPr>
        <w:t>.</w:t>
      </w:r>
      <w:r w:rsidR="00E46484" w:rsidRPr="00953692">
        <w:rPr>
          <w:sz w:val="24"/>
          <w:szCs w:val="24"/>
          <w:lang w:val="fr-FR"/>
        </w:rPr>
        <w:t xml:space="preserve"> </w:t>
      </w:r>
      <w:r w:rsidR="00264441" w:rsidRPr="00953692">
        <w:rPr>
          <w:sz w:val="24"/>
          <w:szCs w:val="24"/>
          <w:lang w:val="fr-FR"/>
        </w:rPr>
        <w:t>Dans la droite ligne de cette progressivité, i</w:t>
      </w:r>
      <w:r w:rsidR="0087686C" w:rsidRPr="00953692">
        <w:rPr>
          <w:sz w:val="24"/>
          <w:szCs w:val="24"/>
          <w:lang w:val="fr-FR"/>
        </w:rPr>
        <w:t xml:space="preserve">l est en outre le cas où le procureur ou les victimes, dans le système qui les admet à prendre part au procès, souhaitent verser dans les débats une pièce qui n’a pas été préalablement communiquée. Il peut s’agir pour le procureur de la modification de l’acte d’accusation ou d’une pièce qui devrait conforter ses accusations ; pour les victimes, il peut également s’agir de tout élément qui vise à réconforter leur position en démontrant davantage l’implication de l’accusé dans les faits dont on l’accuse. Dans tous les cas, et c’est ce qui nous intéresse le plus, c’est l’incidence que cette communication peut avoir </w:t>
      </w:r>
      <w:r w:rsidR="00264441" w:rsidRPr="00953692">
        <w:rPr>
          <w:sz w:val="24"/>
          <w:szCs w:val="24"/>
          <w:lang w:val="fr-FR"/>
        </w:rPr>
        <w:t>sur</w:t>
      </w:r>
      <w:r w:rsidR="0087686C" w:rsidRPr="00953692">
        <w:rPr>
          <w:sz w:val="24"/>
          <w:szCs w:val="24"/>
          <w:lang w:val="fr-FR"/>
        </w:rPr>
        <w:t xml:space="preserve"> le cours du procès. Il s’agit essentiellement d</w:t>
      </w:r>
      <w:r w:rsidR="00264441" w:rsidRPr="00953692">
        <w:rPr>
          <w:sz w:val="24"/>
          <w:szCs w:val="24"/>
          <w:lang w:val="fr-FR"/>
        </w:rPr>
        <w:t xml:space="preserve">e deux </w:t>
      </w:r>
      <w:r w:rsidR="0087686C" w:rsidRPr="00953692">
        <w:rPr>
          <w:sz w:val="24"/>
          <w:szCs w:val="24"/>
          <w:lang w:val="fr-FR"/>
        </w:rPr>
        <w:t>incidence</w:t>
      </w:r>
      <w:r w:rsidR="00525AFD" w:rsidRPr="00953692">
        <w:rPr>
          <w:sz w:val="24"/>
          <w:szCs w:val="24"/>
          <w:lang w:val="fr-FR"/>
        </w:rPr>
        <w:t>s</w:t>
      </w:r>
      <w:r w:rsidR="0087686C" w:rsidRPr="00953692">
        <w:rPr>
          <w:sz w:val="24"/>
          <w:szCs w:val="24"/>
          <w:lang w:val="fr-FR"/>
        </w:rPr>
        <w:t xml:space="preserve"> </w:t>
      </w:r>
      <w:r w:rsidR="00264441" w:rsidRPr="00953692">
        <w:rPr>
          <w:sz w:val="24"/>
          <w:szCs w:val="24"/>
          <w:lang w:val="fr-FR"/>
        </w:rPr>
        <w:t>ayant trait au temps</w:t>
      </w:r>
      <w:r w:rsidR="0087686C" w:rsidRPr="00953692">
        <w:rPr>
          <w:sz w:val="24"/>
          <w:szCs w:val="24"/>
          <w:lang w:val="fr-FR"/>
        </w:rPr>
        <w:t>.</w:t>
      </w:r>
    </w:p>
    <w:p w14:paraId="17AAED55" w14:textId="7DE9E37E" w:rsidR="0087686C" w:rsidRPr="00953692" w:rsidRDefault="009A273B" w:rsidP="00864BBF">
      <w:pPr>
        <w:spacing w:after="0" w:line="276" w:lineRule="auto"/>
        <w:ind w:firstLine="1134"/>
        <w:jc w:val="both"/>
        <w:rPr>
          <w:rFonts w:cs="Times New Roman"/>
          <w:sz w:val="24"/>
          <w:szCs w:val="24"/>
          <w:lang w:val="fr-FR"/>
        </w:rPr>
      </w:pPr>
      <w:r w:rsidRPr="00953692">
        <w:rPr>
          <w:b/>
          <w:bCs/>
          <w:sz w:val="24"/>
          <w:szCs w:val="24"/>
          <w:lang w:val="fr-FR"/>
        </w:rPr>
        <w:t>386</w:t>
      </w:r>
      <w:r w:rsidR="00E46484" w:rsidRPr="00953692">
        <w:rPr>
          <w:b/>
          <w:bCs/>
          <w:sz w:val="24"/>
          <w:szCs w:val="24"/>
          <w:lang w:val="fr-FR"/>
        </w:rPr>
        <w:t>.</w:t>
      </w:r>
      <w:r w:rsidR="00E46484" w:rsidRPr="00953692">
        <w:rPr>
          <w:sz w:val="24"/>
          <w:szCs w:val="24"/>
          <w:lang w:val="fr-FR"/>
        </w:rPr>
        <w:t xml:space="preserve"> </w:t>
      </w:r>
      <w:r w:rsidR="0087686C" w:rsidRPr="00953692">
        <w:rPr>
          <w:sz w:val="24"/>
          <w:szCs w:val="24"/>
          <w:lang w:val="fr-FR"/>
        </w:rPr>
        <w:t xml:space="preserve">La première, moins problématique, </w:t>
      </w:r>
      <w:r w:rsidR="009C5F28" w:rsidRPr="00953692">
        <w:rPr>
          <w:sz w:val="24"/>
          <w:szCs w:val="24"/>
          <w:lang w:val="fr-FR"/>
        </w:rPr>
        <w:t xml:space="preserve">surgit </w:t>
      </w:r>
      <w:r w:rsidR="0087686C" w:rsidRPr="00953692">
        <w:rPr>
          <w:sz w:val="24"/>
          <w:szCs w:val="24"/>
          <w:lang w:val="fr-FR"/>
        </w:rPr>
        <w:t xml:space="preserve">lorsque la Chambre de céans estime nécessaire de faire droit à la demande </w:t>
      </w:r>
      <w:r w:rsidR="00525AFD" w:rsidRPr="00953692">
        <w:rPr>
          <w:sz w:val="24"/>
          <w:szCs w:val="24"/>
          <w:lang w:val="fr-FR"/>
        </w:rPr>
        <w:t xml:space="preserve">du </w:t>
      </w:r>
      <w:r w:rsidR="009C5F28" w:rsidRPr="00953692">
        <w:rPr>
          <w:sz w:val="24"/>
          <w:szCs w:val="24"/>
          <w:lang w:val="fr-FR"/>
        </w:rPr>
        <w:t>P</w:t>
      </w:r>
      <w:r w:rsidR="00525AFD" w:rsidRPr="00953692">
        <w:rPr>
          <w:sz w:val="24"/>
          <w:szCs w:val="24"/>
          <w:lang w:val="fr-FR"/>
        </w:rPr>
        <w:t>rocureur ou de la victime</w:t>
      </w:r>
      <w:r w:rsidR="009C5F28" w:rsidRPr="00953692">
        <w:rPr>
          <w:sz w:val="24"/>
          <w:szCs w:val="24"/>
          <w:lang w:val="fr-FR"/>
        </w:rPr>
        <w:t> ; à cet effet,</w:t>
      </w:r>
      <w:r w:rsidR="00525AFD" w:rsidRPr="00953692">
        <w:rPr>
          <w:sz w:val="24"/>
          <w:szCs w:val="24"/>
          <w:lang w:val="fr-FR"/>
        </w:rPr>
        <w:t xml:space="preserve"> il doit être accordé à l’accusé un temps nécessaire à la préparation de sa défense. </w:t>
      </w:r>
      <w:r w:rsidR="0018090D" w:rsidRPr="00953692">
        <w:rPr>
          <w:sz w:val="24"/>
          <w:szCs w:val="24"/>
          <w:lang w:val="fr-FR"/>
        </w:rPr>
        <w:t>Dans l’affaire Thomas Lubanga devant la CPI, la Chambre d’appel a, par exemple, conclu qu’il est possible qu’une Chambre de première instance</w:t>
      </w:r>
      <w:r w:rsidR="0018090D" w:rsidRPr="00953692">
        <w:rPr>
          <w:rFonts w:cs="Times New Roman"/>
          <w:sz w:val="24"/>
          <w:szCs w:val="24"/>
          <w:lang w:val="fr-FR"/>
        </w:rPr>
        <w:t xml:space="preserve"> </w:t>
      </w:r>
      <w:r w:rsidR="0018090D" w:rsidRPr="00953692">
        <w:rPr>
          <w:rFonts w:cs="Times New Roman"/>
          <w:i/>
          <w:iCs/>
          <w:sz w:val="24"/>
          <w:szCs w:val="24"/>
          <w:lang w:val="fr-FR"/>
        </w:rPr>
        <w:t>demande aux victimes de produire des éléments de preuve qui n’avaient pas été auparavant communiqués aux accusés. En pareil cas, la Chambre de première instance ordonnera la communication de ces éléments de preuve à la Défense dans un délai suffisant avant leur présentation au procès et prendra toute autre mesure nécessaire pour s’assurer du respect du droit de l’accusé à un procès équitable, en particulier de son droit de disposer du temps et des facilités nécessaires à la préparation de sa défense</w:t>
      </w:r>
      <w:r w:rsidR="00A91370" w:rsidRPr="00953692">
        <w:rPr>
          <w:rStyle w:val="Appelnotedebasdep"/>
          <w:rFonts w:cs="Times New Roman"/>
          <w:i/>
          <w:iCs/>
          <w:sz w:val="24"/>
          <w:szCs w:val="24"/>
          <w:lang w:val="fr-FR"/>
        </w:rPr>
        <w:footnoteReference w:customMarkFollows="1" w:id="305"/>
        <w:t>281</w:t>
      </w:r>
      <w:r w:rsidR="0018090D" w:rsidRPr="00953692">
        <w:rPr>
          <w:rFonts w:cs="Times New Roman"/>
          <w:i/>
          <w:iCs/>
          <w:sz w:val="24"/>
          <w:szCs w:val="24"/>
          <w:lang w:val="fr-FR"/>
        </w:rPr>
        <w:t>.</w:t>
      </w:r>
      <w:r w:rsidR="00C17A92" w:rsidRPr="00953692">
        <w:rPr>
          <w:rFonts w:cs="Times New Roman"/>
          <w:sz w:val="24"/>
          <w:szCs w:val="24"/>
          <w:lang w:val="fr-FR"/>
        </w:rPr>
        <w:t xml:space="preserve"> La communication des pièces nécessite alors une pause dans le cadre d’un procès équitable.</w:t>
      </w:r>
    </w:p>
    <w:p w14:paraId="7D331F3E" w14:textId="4FDA711C" w:rsidR="00542E60" w:rsidRPr="00953692" w:rsidRDefault="009A273B" w:rsidP="00864BBF">
      <w:pPr>
        <w:spacing w:after="0" w:line="276" w:lineRule="auto"/>
        <w:ind w:firstLine="1134"/>
        <w:jc w:val="both"/>
        <w:rPr>
          <w:sz w:val="24"/>
          <w:szCs w:val="24"/>
          <w:lang w:val="fr-FR"/>
        </w:rPr>
      </w:pPr>
      <w:r w:rsidRPr="00953692">
        <w:rPr>
          <w:b/>
          <w:bCs/>
          <w:sz w:val="24"/>
          <w:szCs w:val="24"/>
          <w:lang w:val="fr-FR"/>
        </w:rPr>
        <w:t>387</w:t>
      </w:r>
      <w:r w:rsidR="00E46484" w:rsidRPr="00953692">
        <w:rPr>
          <w:b/>
          <w:bCs/>
          <w:sz w:val="24"/>
          <w:szCs w:val="24"/>
          <w:lang w:val="fr-FR"/>
        </w:rPr>
        <w:t>.</w:t>
      </w:r>
      <w:r w:rsidR="00E46484" w:rsidRPr="00953692">
        <w:rPr>
          <w:sz w:val="24"/>
          <w:szCs w:val="24"/>
          <w:lang w:val="fr-FR"/>
        </w:rPr>
        <w:t xml:space="preserve"> </w:t>
      </w:r>
      <w:r w:rsidR="00F017E8" w:rsidRPr="00953692">
        <w:rPr>
          <w:sz w:val="24"/>
          <w:szCs w:val="24"/>
          <w:lang w:val="fr-FR"/>
        </w:rPr>
        <w:t>La seconde</w:t>
      </w:r>
      <w:r w:rsidR="00C17A92" w:rsidRPr="00953692">
        <w:rPr>
          <w:sz w:val="24"/>
          <w:szCs w:val="24"/>
          <w:lang w:val="fr-FR"/>
        </w:rPr>
        <w:t xml:space="preserve"> incidence</w:t>
      </w:r>
      <w:r w:rsidR="00F017E8" w:rsidRPr="00953692">
        <w:rPr>
          <w:sz w:val="24"/>
          <w:szCs w:val="24"/>
          <w:lang w:val="fr-FR"/>
        </w:rPr>
        <w:t xml:space="preserve"> se révèle dans l’hypothèse où le </w:t>
      </w:r>
      <w:r w:rsidR="00C17A92" w:rsidRPr="00953692">
        <w:rPr>
          <w:sz w:val="24"/>
          <w:szCs w:val="24"/>
          <w:lang w:val="fr-FR"/>
        </w:rPr>
        <w:t>P</w:t>
      </w:r>
      <w:r w:rsidR="00F017E8" w:rsidRPr="00953692">
        <w:rPr>
          <w:sz w:val="24"/>
          <w:szCs w:val="24"/>
          <w:lang w:val="fr-FR"/>
        </w:rPr>
        <w:t xml:space="preserve">rocureur refuse de communiquer à la défense une pièce en sa possession alors qu’il veuille ou non en faire état au procès, mais qui de toute évidence va de l’intérêt de la Défense. </w:t>
      </w:r>
      <w:r w:rsidR="00B05BBE" w:rsidRPr="00953692">
        <w:rPr>
          <w:sz w:val="24"/>
          <w:szCs w:val="24"/>
          <w:lang w:val="fr-FR"/>
        </w:rPr>
        <w:t xml:space="preserve">La pratique des </w:t>
      </w:r>
      <w:r w:rsidR="00B05BBE" w:rsidRPr="00953692">
        <w:rPr>
          <w:sz w:val="24"/>
          <w:szCs w:val="24"/>
          <w:lang w:val="fr-FR"/>
        </w:rPr>
        <w:lastRenderedPageBreak/>
        <w:t>juridictions pénales internationales montre que</w:t>
      </w:r>
      <w:r w:rsidR="00E46484" w:rsidRPr="00953692">
        <w:rPr>
          <w:sz w:val="24"/>
          <w:szCs w:val="24"/>
          <w:lang w:val="fr-FR"/>
        </w:rPr>
        <w:t>,</w:t>
      </w:r>
      <w:r w:rsidR="00B05BBE" w:rsidRPr="00953692">
        <w:rPr>
          <w:sz w:val="24"/>
          <w:szCs w:val="24"/>
          <w:lang w:val="fr-FR"/>
        </w:rPr>
        <w:t xml:space="preserve"> </w:t>
      </w:r>
      <w:r w:rsidR="00B05BBE" w:rsidRPr="00953692">
        <w:rPr>
          <w:i/>
          <w:iCs/>
          <w:sz w:val="24"/>
          <w:szCs w:val="24"/>
          <w:lang w:val="fr-FR"/>
        </w:rPr>
        <w:t>in pari casu</w:t>
      </w:r>
      <w:r w:rsidR="00B05BBE" w:rsidRPr="00953692">
        <w:rPr>
          <w:sz w:val="24"/>
          <w:szCs w:val="24"/>
          <w:lang w:val="fr-FR"/>
        </w:rPr>
        <w:t>, l’accusé a toujours eu l’intention de ne pas lâcher l’affaire. Et il en résulte finalement un blocage du processus</w:t>
      </w:r>
      <w:r w:rsidR="00140EF0" w:rsidRPr="00953692">
        <w:rPr>
          <w:sz w:val="24"/>
          <w:szCs w:val="24"/>
          <w:lang w:val="fr-FR"/>
        </w:rPr>
        <w:t>,</w:t>
      </w:r>
      <w:r w:rsidR="00B05BBE" w:rsidRPr="00953692">
        <w:rPr>
          <w:sz w:val="24"/>
          <w:szCs w:val="24"/>
          <w:lang w:val="fr-FR"/>
        </w:rPr>
        <w:t xml:space="preserve"> car le refus de communiquer une pièce à l</w:t>
      </w:r>
      <w:r w:rsidR="00140EF0" w:rsidRPr="00953692">
        <w:rPr>
          <w:sz w:val="24"/>
          <w:szCs w:val="24"/>
          <w:lang w:val="fr-FR"/>
        </w:rPr>
        <w:t>’accusé</w:t>
      </w:r>
      <w:r w:rsidR="00B05BBE" w:rsidRPr="00953692">
        <w:rPr>
          <w:sz w:val="24"/>
          <w:szCs w:val="24"/>
          <w:lang w:val="fr-FR"/>
        </w:rPr>
        <w:t xml:space="preserve"> touche fondamentalement à l’équité d</w:t>
      </w:r>
      <w:r w:rsidR="00140EF0" w:rsidRPr="00953692">
        <w:rPr>
          <w:sz w:val="24"/>
          <w:szCs w:val="24"/>
          <w:lang w:val="fr-FR"/>
        </w:rPr>
        <w:t>u procès</w:t>
      </w:r>
      <w:r w:rsidR="006D7C1C" w:rsidRPr="00953692">
        <w:rPr>
          <w:sz w:val="24"/>
          <w:szCs w:val="24"/>
          <w:lang w:val="fr-FR"/>
        </w:rPr>
        <w:t xml:space="preserve"> pour autant que l’accusé ne saurait se défendre sans qu’il ait accès au dossier ; on dirait, un dossier complet</w:t>
      </w:r>
      <w:r w:rsidR="00B05BBE" w:rsidRPr="00953692">
        <w:rPr>
          <w:sz w:val="24"/>
          <w:szCs w:val="24"/>
          <w:lang w:val="fr-FR"/>
        </w:rPr>
        <w:t>.</w:t>
      </w:r>
    </w:p>
    <w:p w14:paraId="0951F097" w14:textId="313F1117" w:rsidR="00CE5B68" w:rsidRPr="00953692" w:rsidRDefault="009A273B" w:rsidP="00864BBF">
      <w:pPr>
        <w:spacing w:after="0" w:line="276" w:lineRule="auto"/>
        <w:ind w:firstLine="1134"/>
        <w:jc w:val="both"/>
        <w:rPr>
          <w:sz w:val="24"/>
          <w:szCs w:val="24"/>
          <w:lang w:val="fr-FR"/>
        </w:rPr>
      </w:pPr>
      <w:r w:rsidRPr="00953692">
        <w:rPr>
          <w:b/>
          <w:bCs/>
          <w:sz w:val="24"/>
          <w:szCs w:val="24"/>
          <w:lang w:val="fr-FR"/>
        </w:rPr>
        <w:t>388</w:t>
      </w:r>
      <w:r w:rsidR="00DC4C78" w:rsidRPr="00953692">
        <w:rPr>
          <w:b/>
          <w:bCs/>
          <w:sz w:val="24"/>
          <w:szCs w:val="24"/>
          <w:lang w:val="fr-FR"/>
        </w:rPr>
        <w:t>.</w:t>
      </w:r>
      <w:r w:rsidR="00DC4C78" w:rsidRPr="00953692">
        <w:rPr>
          <w:sz w:val="24"/>
          <w:szCs w:val="24"/>
          <w:lang w:val="fr-FR"/>
        </w:rPr>
        <w:t xml:space="preserve"> </w:t>
      </w:r>
      <w:r w:rsidR="00B05BBE" w:rsidRPr="00953692">
        <w:rPr>
          <w:sz w:val="24"/>
          <w:szCs w:val="24"/>
          <w:lang w:val="fr-FR"/>
        </w:rPr>
        <w:t xml:space="preserve">Ce blocage </w:t>
      </w:r>
      <w:r w:rsidR="00E46484" w:rsidRPr="00953692">
        <w:rPr>
          <w:sz w:val="24"/>
          <w:szCs w:val="24"/>
          <w:lang w:val="fr-FR"/>
        </w:rPr>
        <w:t>fait naitre</w:t>
      </w:r>
      <w:r w:rsidR="00CA5FC2" w:rsidRPr="00953692">
        <w:rPr>
          <w:sz w:val="24"/>
          <w:szCs w:val="24"/>
          <w:lang w:val="fr-FR"/>
        </w:rPr>
        <w:t xml:space="preserve"> en réalité</w:t>
      </w:r>
      <w:r w:rsidR="00211019" w:rsidRPr="00953692">
        <w:rPr>
          <w:sz w:val="24"/>
          <w:szCs w:val="24"/>
          <w:lang w:val="fr-FR"/>
        </w:rPr>
        <w:t xml:space="preserve"> un conflit entre le besoin de garantir un procès équitable </w:t>
      </w:r>
      <w:r w:rsidR="00CA5FC2" w:rsidRPr="00953692">
        <w:rPr>
          <w:sz w:val="24"/>
          <w:szCs w:val="24"/>
          <w:lang w:val="fr-FR"/>
        </w:rPr>
        <w:t>au travers</w:t>
      </w:r>
      <w:r w:rsidR="00211019" w:rsidRPr="00953692">
        <w:rPr>
          <w:sz w:val="24"/>
          <w:szCs w:val="24"/>
          <w:lang w:val="fr-FR"/>
        </w:rPr>
        <w:t xml:space="preserve"> la communication d’une pièce profitable d’une manière ou d’une autre à l</w:t>
      </w:r>
      <w:r w:rsidR="00FC7702" w:rsidRPr="00953692">
        <w:rPr>
          <w:sz w:val="24"/>
          <w:szCs w:val="24"/>
          <w:lang w:val="fr-FR"/>
        </w:rPr>
        <w:t>’accusé</w:t>
      </w:r>
      <w:r w:rsidR="00E46484" w:rsidRPr="00953692">
        <w:rPr>
          <w:sz w:val="24"/>
          <w:szCs w:val="24"/>
          <w:lang w:val="fr-FR"/>
        </w:rPr>
        <w:t>, et le droit de celui-ci d’être jugé sans retard excessif</w:t>
      </w:r>
      <w:r w:rsidR="00FC7702" w:rsidRPr="00953692">
        <w:rPr>
          <w:sz w:val="24"/>
          <w:szCs w:val="24"/>
          <w:lang w:val="fr-FR"/>
        </w:rPr>
        <w:t xml:space="preserve">. </w:t>
      </w:r>
      <w:r w:rsidR="00F80A2A" w:rsidRPr="00953692">
        <w:rPr>
          <w:sz w:val="24"/>
          <w:szCs w:val="24"/>
          <w:lang w:val="fr-FR"/>
        </w:rPr>
        <w:t>Ironie du sort</w:t>
      </w:r>
      <w:r w:rsidR="00E46484" w:rsidRPr="00953692">
        <w:rPr>
          <w:sz w:val="24"/>
          <w:szCs w:val="24"/>
          <w:lang w:val="fr-FR"/>
        </w:rPr>
        <w:t>, c’est que l</w:t>
      </w:r>
      <w:r w:rsidR="00A70663" w:rsidRPr="00953692">
        <w:rPr>
          <w:sz w:val="24"/>
          <w:szCs w:val="24"/>
          <w:lang w:val="fr-FR"/>
        </w:rPr>
        <w:t xml:space="preserve">’accusé en prend également sa part lorsque, plus tard, il aura invoqué </w:t>
      </w:r>
      <w:r w:rsidR="00E46484" w:rsidRPr="00953692">
        <w:rPr>
          <w:sz w:val="24"/>
          <w:szCs w:val="24"/>
          <w:lang w:val="fr-FR"/>
        </w:rPr>
        <w:t>la violation de</w:t>
      </w:r>
      <w:r w:rsidR="00A70663" w:rsidRPr="00953692">
        <w:rPr>
          <w:sz w:val="24"/>
          <w:szCs w:val="24"/>
          <w:lang w:val="fr-FR"/>
        </w:rPr>
        <w:t xml:space="preserve"> son droit d’être jugé sans retard excessif</w:t>
      </w:r>
      <w:r w:rsidR="00BD141C" w:rsidRPr="00953692">
        <w:rPr>
          <w:sz w:val="24"/>
          <w:szCs w:val="24"/>
          <w:lang w:val="fr-FR"/>
        </w:rPr>
        <w:t>,</w:t>
      </w:r>
      <w:r w:rsidR="009C2572" w:rsidRPr="00953692">
        <w:rPr>
          <w:sz w:val="24"/>
          <w:szCs w:val="24"/>
          <w:lang w:val="fr-FR"/>
        </w:rPr>
        <w:t xml:space="preserve"> alors qu’à un moment</w:t>
      </w:r>
      <w:r w:rsidR="00140EF0" w:rsidRPr="00953692">
        <w:rPr>
          <w:sz w:val="24"/>
          <w:szCs w:val="24"/>
          <w:lang w:val="fr-FR"/>
        </w:rPr>
        <w:t xml:space="preserve"> ou </w:t>
      </w:r>
      <w:r w:rsidR="00CA5FC2" w:rsidRPr="00953692">
        <w:rPr>
          <w:sz w:val="24"/>
          <w:szCs w:val="24"/>
          <w:lang w:val="fr-FR"/>
        </w:rPr>
        <w:t xml:space="preserve">à </w:t>
      </w:r>
      <w:r w:rsidR="00140EF0" w:rsidRPr="00953692">
        <w:rPr>
          <w:sz w:val="24"/>
          <w:szCs w:val="24"/>
          <w:lang w:val="fr-FR"/>
        </w:rPr>
        <w:t>un autre</w:t>
      </w:r>
      <w:r w:rsidR="009C2572" w:rsidRPr="00953692">
        <w:rPr>
          <w:sz w:val="24"/>
          <w:szCs w:val="24"/>
          <w:lang w:val="fr-FR"/>
        </w:rPr>
        <w:t>,</w:t>
      </w:r>
      <w:r w:rsidR="00BD141C" w:rsidRPr="00953692">
        <w:rPr>
          <w:sz w:val="24"/>
          <w:szCs w:val="24"/>
          <w:lang w:val="fr-FR"/>
        </w:rPr>
        <w:t xml:space="preserve"> à sa demande ou </w:t>
      </w:r>
      <w:r w:rsidR="00CA5FC2" w:rsidRPr="00953692">
        <w:rPr>
          <w:sz w:val="24"/>
          <w:szCs w:val="24"/>
          <w:lang w:val="fr-FR"/>
        </w:rPr>
        <w:t xml:space="preserve">tout au moins </w:t>
      </w:r>
      <w:r w:rsidR="00BD141C" w:rsidRPr="00953692">
        <w:rPr>
          <w:sz w:val="24"/>
          <w:szCs w:val="24"/>
          <w:lang w:val="fr-FR"/>
        </w:rPr>
        <w:t>à son profit,</w:t>
      </w:r>
      <w:r w:rsidR="009C2572" w:rsidRPr="00953692">
        <w:rPr>
          <w:sz w:val="24"/>
          <w:szCs w:val="24"/>
          <w:lang w:val="fr-FR"/>
        </w:rPr>
        <w:t xml:space="preserve"> le procès s’était arrêté afin de faire respecter son propre droit </w:t>
      </w:r>
      <w:r w:rsidR="00BD141C" w:rsidRPr="00953692">
        <w:rPr>
          <w:sz w:val="24"/>
          <w:szCs w:val="24"/>
          <w:lang w:val="fr-FR"/>
        </w:rPr>
        <w:t>à une communication des pièces</w:t>
      </w:r>
      <w:r w:rsidR="009C2572" w:rsidRPr="00953692">
        <w:rPr>
          <w:sz w:val="24"/>
          <w:szCs w:val="24"/>
          <w:lang w:val="fr-FR"/>
        </w:rPr>
        <w:t>.</w:t>
      </w:r>
      <w:r w:rsidR="00FE49F9" w:rsidRPr="00953692">
        <w:rPr>
          <w:sz w:val="24"/>
          <w:szCs w:val="24"/>
          <w:lang w:val="fr-FR"/>
        </w:rPr>
        <w:t xml:space="preserve"> Il peut bien plaider la récalcitrance du procureur pour démontrer que le retard ne lui est pas imputable, mais le bénéfice d’un procès équitable qu’il en tire</w:t>
      </w:r>
      <w:r w:rsidR="0078354A" w:rsidRPr="00953692">
        <w:rPr>
          <w:sz w:val="24"/>
          <w:szCs w:val="24"/>
          <w:lang w:val="fr-FR"/>
        </w:rPr>
        <w:t xml:space="preserve"> (tirerait)</w:t>
      </w:r>
      <w:r w:rsidR="00FE49F9" w:rsidRPr="00953692">
        <w:rPr>
          <w:sz w:val="24"/>
          <w:szCs w:val="24"/>
          <w:lang w:val="fr-FR"/>
        </w:rPr>
        <w:t xml:space="preserve"> ne reste pas moins un facteur à prendre en compte pour justifier la durée du procès.</w:t>
      </w:r>
    </w:p>
    <w:p w14:paraId="39C456D3" w14:textId="6E657944" w:rsidR="00B65724" w:rsidRPr="00953692" w:rsidRDefault="009A273B" w:rsidP="00E622A6">
      <w:pPr>
        <w:spacing w:line="276" w:lineRule="auto"/>
        <w:ind w:firstLine="1134"/>
        <w:jc w:val="both"/>
        <w:rPr>
          <w:sz w:val="24"/>
          <w:szCs w:val="24"/>
          <w:lang w:val="fr-FR"/>
        </w:rPr>
      </w:pPr>
      <w:r w:rsidRPr="00953692">
        <w:rPr>
          <w:b/>
          <w:bCs/>
          <w:sz w:val="24"/>
          <w:szCs w:val="24"/>
          <w:lang w:val="fr-FR"/>
        </w:rPr>
        <w:t>389</w:t>
      </w:r>
      <w:r w:rsidR="00BD141C" w:rsidRPr="00953692">
        <w:rPr>
          <w:b/>
          <w:bCs/>
          <w:sz w:val="24"/>
          <w:szCs w:val="24"/>
          <w:lang w:val="fr-FR"/>
        </w:rPr>
        <w:t>.</w:t>
      </w:r>
      <w:r w:rsidR="00BD141C" w:rsidRPr="00953692">
        <w:rPr>
          <w:sz w:val="24"/>
          <w:szCs w:val="24"/>
          <w:lang w:val="fr-FR"/>
        </w:rPr>
        <w:t xml:space="preserve"> </w:t>
      </w:r>
      <w:r w:rsidR="00CA5FC2" w:rsidRPr="00953692">
        <w:rPr>
          <w:sz w:val="24"/>
          <w:szCs w:val="24"/>
          <w:lang w:val="fr-FR"/>
        </w:rPr>
        <w:t>C’est a</w:t>
      </w:r>
      <w:r w:rsidR="009C2572" w:rsidRPr="00953692">
        <w:rPr>
          <w:sz w:val="24"/>
          <w:szCs w:val="24"/>
          <w:lang w:val="fr-FR"/>
        </w:rPr>
        <w:t xml:space="preserve">insi, les lignes qui suivent examineront, somme toute, les quelques affaires qui ont directement confronté </w:t>
      </w:r>
      <w:r w:rsidR="001D097B" w:rsidRPr="00953692">
        <w:rPr>
          <w:sz w:val="24"/>
          <w:szCs w:val="24"/>
          <w:lang w:val="fr-FR"/>
        </w:rPr>
        <w:t>c</w:t>
      </w:r>
      <w:r w:rsidR="009C2572" w:rsidRPr="00953692">
        <w:rPr>
          <w:sz w:val="24"/>
          <w:szCs w:val="24"/>
          <w:lang w:val="fr-FR"/>
        </w:rPr>
        <w:t>es deux prérogatives de l’accusé</w:t>
      </w:r>
      <w:r w:rsidR="00800E4E" w:rsidRPr="00953692">
        <w:rPr>
          <w:sz w:val="24"/>
          <w:szCs w:val="24"/>
          <w:lang w:val="fr-FR"/>
        </w:rPr>
        <w:t>.</w:t>
      </w:r>
    </w:p>
    <w:p w14:paraId="6DAAA1BB" w14:textId="6D938092" w:rsidR="00F80A2A" w:rsidRPr="00953692" w:rsidRDefault="00FE17FD" w:rsidP="00E622A6">
      <w:pPr>
        <w:pStyle w:val="Titre3"/>
        <w:spacing w:after="160"/>
        <w:ind w:left="1134"/>
        <w:rPr>
          <w:rFonts w:ascii="Times New Roman" w:hAnsi="Times New Roman"/>
          <w:b w:val="0"/>
          <w:bCs/>
          <w:i/>
          <w:iCs/>
          <w:color w:val="auto"/>
          <w:sz w:val="24"/>
          <w:szCs w:val="24"/>
          <w:lang w:val="fr-FR"/>
        </w:rPr>
      </w:pPr>
      <w:bookmarkStart w:id="82" w:name="_Toc195179441"/>
      <w:r>
        <w:rPr>
          <w:rFonts w:ascii="Times New Roman" w:hAnsi="Times New Roman"/>
          <w:b w:val="0"/>
          <w:bCs/>
          <w:i/>
          <w:iCs/>
          <w:color w:val="auto"/>
          <w:sz w:val="24"/>
          <w:szCs w:val="24"/>
          <w:lang w:val="fr-FR"/>
        </w:rPr>
        <w:t xml:space="preserve">Paragraphe </w:t>
      </w:r>
      <w:r w:rsidR="00B203C0" w:rsidRPr="00953692">
        <w:rPr>
          <w:rFonts w:ascii="Times New Roman" w:hAnsi="Times New Roman"/>
          <w:b w:val="0"/>
          <w:bCs/>
          <w:i/>
          <w:iCs/>
          <w:color w:val="auto"/>
          <w:sz w:val="24"/>
          <w:szCs w:val="24"/>
          <w:lang w:val="fr-FR"/>
        </w:rPr>
        <w:t xml:space="preserve">2. </w:t>
      </w:r>
      <w:r w:rsidR="008C3254" w:rsidRPr="00953692">
        <w:rPr>
          <w:rFonts w:ascii="Times New Roman" w:hAnsi="Times New Roman"/>
          <w:b w:val="0"/>
          <w:bCs/>
          <w:i/>
          <w:iCs/>
          <w:color w:val="auto"/>
          <w:sz w:val="24"/>
          <w:szCs w:val="24"/>
          <w:lang w:val="fr-FR"/>
        </w:rPr>
        <w:t>Défaut de c</w:t>
      </w:r>
      <w:r w:rsidR="00B203C0" w:rsidRPr="00953692">
        <w:rPr>
          <w:rFonts w:ascii="Times New Roman" w:hAnsi="Times New Roman"/>
          <w:b w:val="0"/>
          <w:bCs/>
          <w:i/>
          <w:iCs/>
          <w:color w:val="auto"/>
          <w:sz w:val="24"/>
          <w:szCs w:val="24"/>
          <w:lang w:val="fr-FR"/>
        </w:rPr>
        <w:t>ommunication des pièces</w:t>
      </w:r>
      <w:r w:rsidR="00800E4E" w:rsidRPr="00953692">
        <w:rPr>
          <w:rFonts w:ascii="Times New Roman" w:hAnsi="Times New Roman"/>
          <w:b w:val="0"/>
          <w:bCs/>
          <w:i/>
          <w:iCs/>
          <w:color w:val="auto"/>
          <w:sz w:val="24"/>
          <w:szCs w:val="24"/>
          <w:lang w:val="fr-FR"/>
        </w:rPr>
        <w:t>, motif de la violation</w:t>
      </w:r>
      <w:r w:rsidR="00B203C0" w:rsidRPr="00953692">
        <w:rPr>
          <w:rFonts w:ascii="Times New Roman" w:hAnsi="Times New Roman"/>
          <w:b w:val="0"/>
          <w:bCs/>
          <w:i/>
          <w:iCs/>
          <w:color w:val="auto"/>
          <w:sz w:val="24"/>
          <w:szCs w:val="24"/>
          <w:lang w:val="fr-FR"/>
        </w:rPr>
        <w:t xml:space="preserve"> </w:t>
      </w:r>
      <w:r w:rsidR="00800E4E" w:rsidRPr="00953692">
        <w:rPr>
          <w:rFonts w:ascii="Times New Roman" w:hAnsi="Times New Roman"/>
          <w:b w:val="0"/>
          <w:bCs/>
          <w:i/>
          <w:iCs/>
          <w:color w:val="auto"/>
          <w:sz w:val="24"/>
          <w:szCs w:val="24"/>
          <w:lang w:val="fr-FR"/>
        </w:rPr>
        <w:t>du</w:t>
      </w:r>
      <w:r w:rsidR="00B203C0" w:rsidRPr="00953692">
        <w:rPr>
          <w:rFonts w:ascii="Times New Roman" w:hAnsi="Times New Roman"/>
          <w:b w:val="0"/>
          <w:bCs/>
          <w:i/>
          <w:iCs/>
          <w:color w:val="auto"/>
          <w:sz w:val="24"/>
          <w:szCs w:val="24"/>
          <w:lang w:val="fr-FR"/>
        </w:rPr>
        <w:t xml:space="preserve"> délai raisonnable</w:t>
      </w:r>
      <w:bookmarkEnd w:id="82"/>
    </w:p>
    <w:p w14:paraId="33EB190B" w14:textId="68F1D73F" w:rsidR="00F40177" w:rsidRPr="00953692" w:rsidRDefault="009A273B" w:rsidP="00864BBF">
      <w:pPr>
        <w:spacing w:after="0" w:line="276" w:lineRule="auto"/>
        <w:ind w:firstLine="1134"/>
        <w:jc w:val="both"/>
        <w:rPr>
          <w:sz w:val="24"/>
          <w:szCs w:val="24"/>
          <w:lang w:val="fr-FR"/>
        </w:rPr>
      </w:pPr>
      <w:r w:rsidRPr="00953692">
        <w:rPr>
          <w:b/>
          <w:bCs/>
          <w:sz w:val="24"/>
          <w:szCs w:val="24"/>
          <w:lang w:val="fr-FR"/>
        </w:rPr>
        <w:t>390</w:t>
      </w:r>
      <w:r w:rsidR="006219E7" w:rsidRPr="00953692">
        <w:rPr>
          <w:b/>
          <w:bCs/>
          <w:sz w:val="24"/>
          <w:szCs w:val="24"/>
          <w:lang w:val="fr-FR"/>
        </w:rPr>
        <w:t>.</w:t>
      </w:r>
      <w:r w:rsidR="006219E7" w:rsidRPr="00953692">
        <w:rPr>
          <w:sz w:val="24"/>
          <w:szCs w:val="24"/>
          <w:lang w:val="fr-FR"/>
        </w:rPr>
        <w:t xml:space="preserve"> </w:t>
      </w:r>
      <w:r w:rsidR="00E70BF5" w:rsidRPr="00953692">
        <w:rPr>
          <w:sz w:val="24"/>
          <w:szCs w:val="24"/>
          <w:lang w:val="fr-FR"/>
        </w:rPr>
        <w:t>Comme mentionné précédemment, la communication des pièces est</w:t>
      </w:r>
      <w:r w:rsidR="00616A3C" w:rsidRPr="00953692">
        <w:rPr>
          <w:sz w:val="24"/>
          <w:szCs w:val="24"/>
          <w:lang w:val="fr-FR"/>
        </w:rPr>
        <w:t xml:space="preserve"> sans nul doute</w:t>
      </w:r>
      <w:r w:rsidR="00E70BF5" w:rsidRPr="00953692">
        <w:rPr>
          <w:sz w:val="24"/>
          <w:szCs w:val="24"/>
          <w:lang w:val="fr-FR"/>
        </w:rPr>
        <w:t xml:space="preserve"> un élément indispensable à la tenue d’un procès équitable, notamment à l’égard de l’accusé. </w:t>
      </w:r>
      <w:r w:rsidR="00E22E60" w:rsidRPr="00953692">
        <w:rPr>
          <w:sz w:val="24"/>
          <w:szCs w:val="24"/>
          <w:lang w:val="fr-FR"/>
        </w:rPr>
        <w:t>Il est donc évident que lorsque le procureur, principal adversaire de l’accusé, refuse de communiquer</w:t>
      </w:r>
      <w:r w:rsidR="006219E7" w:rsidRPr="00953692">
        <w:rPr>
          <w:sz w:val="24"/>
          <w:szCs w:val="24"/>
          <w:lang w:val="fr-FR"/>
        </w:rPr>
        <w:t>,</w:t>
      </w:r>
      <w:r w:rsidR="00E22E60" w:rsidRPr="00953692">
        <w:rPr>
          <w:sz w:val="24"/>
          <w:szCs w:val="24"/>
          <w:lang w:val="fr-FR"/>
        </w:rPr>
        <w:t xml:space="preserve"> le procès ne peut se poursuivre normalement. L’accusé a par voie de conséquence</w:t>
      </w:r>
      <w:r w:rsidR="006219E7" w:rsidRPr="00953692">
        <w:rPr>
          <w:sz w:val="24"/>
          <w:szCs w:val="24"/>
          <w:lang w:val="fr-FR"/>
        </w:rPr>
        <w:t>,</w:t>
      </w:r>
      <w:r w:rsidR="00E22E60" w:rsidRPr="00953692">
        <w:rPr>
          <w:sz w:val="24"/>
          <w:szCs w:val="24"/>
          <w:lang w:val="fr-FR"/>
        </w:rPr>
        <w:t xml:space="preserve"> le droit de réclamer ladite pièce, à condition que celle-ci ne rentre pas sous le régime de l’incommunicabilité</w:t>
      </w:r>
      <w:r w:rsidR="0071577F" w:rsidRPr="00953692">
        <w:rPr>
          <w:sz w:val="24"/>
          <w:szCs w:val="24"/>
          <w:lang w:val="fr-FR"/>
        </w:rPr>
        <w:t xml:space="preserve"> telle que prévue dans les actes constitutifs de ces juridictions</w:t>
      </w:r>
      <w:r w:rsidR="00E622A6" w:rsidRPr="00953692">
        <w:rPr>
          <w:rStyle w:val="Appelnotedebasdep"/>
          <w:sz w:val="24"/>
          <w:szCs w:val="24"/>
          <w:lang w:val="fr-FR"/>
        </w:rPr>
        <w:footnoteReference w:customMarkFollows="1" w:id="306"/>
        <w:t>282</w:t>
      </w:r>
      <w:r w:rsidR="00E22E60" w:rsidRPr="00953692">
        <w:rPr>
          <w:sz w:val="24"/>
          <w:szCs w:val="24"/>
          <w:lang w:val="fr-FR"/>
        </w:rPr>
        <w:t xml:space="preserve">. Le juge est </w:t>
      </w:r>
      <w:r w:rsidR="0078354A" w:rsidRPr="00953692">
        <w:rPr>
          <w:sz w:val="24"/>
          <w:szCs w:val="24"/>
          <w:lang w:val="fr-FR"/>
        </w:rPr>
        <w:t>ainsi</w:t>
      </w:r>
      <w:r w:rsidR="00E22E60" w:rsidRPr="00953692">
        <w:rPr>
          <w:sz w:val="24"/>
          <w:szCs w:val="24"/>
          <w:lang w:val="fr-FR"/>
        </w:rPr>
        <w:t xml:space="preserve"> tenu, dans sa recherche d’un procès équitable, de faire </w:t>
      </w:r>
      <w:r w:rsidR="00E22E60" w:rsidRPr="00953692">
        <w:rPr>
          <w:sz w:val="24"/>
          <w:szCs w:val="24"/>
          <w:lang w:val="fr-FR"/>
        </w:rPr>
        <w:lastRenderedPageBreak/>
        <w:t xml:space="preserve">droit à cette demande en enjoignant au </w:t>
      </w:r>
      <w:r w:rsidR="00243658" w:rsidRPr="00953692">
        <w:rPr>
          <w:sz w:val="24"/>
          <w:szCs w:val="24"/>
          <w:lang w:val="fr-FR"/>
        </w:rPr>
        <w:t>P</w:t>
      </w:r>
      <w:r w:rsidR="00E22E60" w:rsidRPr="00953692">
        <w:rPr>
          <w:sz w:val="24"/>
          <w:szCs w:val="24"/>
          <w:lang w:val="fr-FR"/>
        </w:rPr>
        <w:t>rocureur de procéder à la communication selon les modalités qu’il détermine</w:t>
      </w:r>
      <w:r w:rsidR="00A25538" w:rsidRPr="00953692">
        <w:rPr>
          <w:sz w:val="24"/>
          <w:szCs w:val="24"/>
          <w:lang w:val="fr-FR"/>
        </w:rPr>
        <w:t>,</w:t>
      </w:r>
      <w:r w:rsidR="00E22E60" w:rsidRPr="00953692">
        <w:rPr>
          <w:sz w:val="24"/>
          <w:szCs w:val="24"/>
          <w:lang w:val="fr-FR"/>
        </w:rPr>
        <w:t xml:space="preserve"> le cas échéant. </w:t>
      </w:r>
    </w:p>
    <w:p w14:paraId="3652B1F7" w14:textId="2B599EA3" w:rsidR="00E5085E" w:rsidRPr="00953692" w:rsidRDefault="009A273B" w:rsidP="00864BBF">
      <w:pPr>
        <w:spacing w:after="0" w:line="276" w:lineRule="auto"/>
        <w:ind w:firstLine="1134"/>
        <w:jc w:val="both"/>
        <w:rPr>
          <w:sz w:val="24"/>
          <w:szCs w:val="24"/>
          <w:lang w:val="fr-FR"/>
        </w:rPr>
      </w:pPr>
      <w:r w:rsidRPr="00953692">
        <w:rPr>
          <w:b/>
          <w:bCs/>
          <w:sz w:val="24"/>
          <w:szCs w:val="24"/>
          <w:lang w:val="fr-FR"/>
        </w:rPr>
        <w:t>391.</w:t>
      </w:r>
      <w:r w:rsidRPr="00953692">
        <w:rPr>
          <w:sz w:val="24"/>
          <w:szCs w:val="24"/>
          <w:lang w:val="fr-FR"/>
        </w:rPr>
        <w:t xml:space="preserve"> </w:t>
      </w:r>
      <w:r w:rsidR="00E22E60" w:rsidRPr="00953692">
        <w:rPr>
          <w:sz w:val="24"/>
          <w:szCs w:val="24"/>
          <w:lang w:val="fr-FR"/>
        </w:rPr>
        <w:t xml:space="preserve">Lorsqu’il décide de suspendre le procès à cet effet, il est évident que l’on entre dans cette conflictualité </w:t>
      </w:r>
      <w:r w:rsidR="00E5085E" w:rsidRPr="00953692">
        <w:rPr>
          <w:sz w:val="24"/>
          <w:szCs w:val="24"/>
          <w:lang w:val="fr-FR"/>
        </w:rPr>
        <w:t>prospective</w:t>
      </w:r>
      <w:r w:rsidR="00E22E60" w:rsidRPr="00953692">
        <w:rPr>
          <w:sz w:val="24"/>
          <w:szCs w:val="24"/>
          <w:lang w:val="fr-FR"/>
        </w:rPr>
        <w:t xml:space="preserve"> avec le droit d’être jugé sans retard excessif</w:t>
      </w:r>
      <w:r w:rsidR="00E5085E" w:rsidRPr="00953692">
        <w:rPr>
          <w:sz w:val="24"/>
          <w:szCs w:val="24"/>
          <w:lang w:val="fr-FR"/>
        </w:rPr>
        <w:t>, car plus la suspension du procès perdure, moins l’accusé a la chance d’être jugé rapidement</w:t>
      </w:r>
      <w:r w:rsidRPr="00953692">
        <w:rPr>
          <w:sz w:val="24"/>
          <w:szCs w:val="24"/>
          <w:lang w:val="fr-FR"/>
        </w:rPr>
        <w:t xml:space="preserve"> ou dans un délai raisonnable</w:t>
      </w:r>
      <w:r w:rsidR="00E5085E" w:rsidRPr="00953692">
        <w:rPr>
          <w:sz w:val="24"/>
          <w:szCs w:val="24"/>
          <w:lang w:val="fr-FR"/>
        </w:rPr>
        <w:t>. L’analyse de la pratique montre qu’il peut se présenter deux cas de figures.</w:t>
      </w:r>
    </w:p>
    <w:p w14:paraId="10304085" w14:textId="55AF6CF0" w:rsidR="003A70AC" w:rsidRPr="00953692" w:rsidRDefault="009A273B" w:rsidP="00864BBF">
      <w:pPr>
        <w:spacing w:after="0" w:line="276" w:lineRule="auto"/>
        <w:ind w:firstLine="1134"/>
        <w:jc w:val="both"/>
        <w:rPr>
          <w:sz w:val="24"/>
          <w:szCs w:val="24"/>
          <w:lang w:val="fr-FR"/>
        </w:rPr>
      </w:pPr>
      <w:r w:rsidRPr="00953692">
        <w:rPr>
          <w:b/>
          <w:bCs/>
          <w:sz w:val="24"/>
          <w:szCs w:val="24"/>
          <w:lang w:val="fr-FR"/>
        </w:rPr>
        <w:t>392</w:t>
      </w:r>
      <w:r w:rsidR="009C2C6D" w:rsidRPr="00953692">
        <w:rPr>
          <w:b/>
          <w:bCs/>
          <w:sz w:val="24"/>
          <w:szCs w:val="24"/>
          <w:lang w:val="fr-FR"/>
        </w:rPr>
        <w:t>.</w:t>
      </w:r>
      <w:r w:rsidR="009C2C6D" w:rsidRPr="00953692">
        <w:rPr>
          <w:sz w:val="24"/>
          <w:szCs w:val="24"/>
          <w:lang w:val="fr-FR"/>
        </w:rPr>
        <w:t xml:space="preserve"> </w:t>
      </w:r>
      <w:r w:rsidR="0047154C" w:rsidRPr="00953692">
        <w:rPr>
          <w:sz w:val="24"/>
          <w:szCs w:val="24"/>
          <w:lang w:val="fr-FR"/>
        </w:rPr>
        <w:t>Le premier est ce</w:t>
      </w:r>
      <w:r w:rsidR="004841FB" w:rsidRPr="00953692">
        <w:rPr>
          <w:sz w:val="24"/>
          <w:szCs w:val="24"/>
          <w:lang w:val="fr-FR"/>
        </w:rPr>
        <w:t>lui</w:t>
      </w:r>
      <w:r w:rsidR="0047154C" w:rsidRPr="00953692">
        <w:rPr>
          <w:sz w:val="24"/>
          <w:szCs w:val="24"/>
          <w:lang w:val="fr-FR"/>
        </w:rPr>
        <w:t xml:space="preserve"> qui se présente durant la phase préparatoire au procès et en retarde l’ouverture. Lorsque le </w:t>
      </w:r>
      <w:r w:rsidR="00243658" w:rsidRPr="00953692">
        <w:rPr>
          <w:sz w:val="24"/>
          <w:szCs w:val="24"/>
          <w:lang w:val="fr-FR"/>
        </w:rPr>
        <w:t>P</w:t>
      </w:r>
      <w:r w:rsidR="0047154C" w:rsidRPr="00953692">
        <w:rPr>
          <w:sz w:val="24"/>
          <w:szCs w:val="24"/>
          <w:lang w:val="fr-FR"/>
        </w:rPr>
        <w:t xml:space="preserve">rocureur ne communique pas les pièces, il va sans dire que l’accusé ne soit pas en mesure de mieux préparer ses moyens de défense. </w:t>
      </w:r>
      <w:r w:rsidR="009C2C6D" w:rsidRPr="00953692">
        <w:rPr>
          <w:sz w:val="24"/>
          <w:szCs w:val="24"/>
          <w:lang w:val="fr-FR"/>
        </w:rPr>
        <w:t>On assisterait dans ce cas à une série</w:t>
      </w:r>
      <w:r w:rsidR="0047154C" w:rsidRPr="00953692">
        <w:rPr>
          <w:sz w:val="24"/>
          <w:szCs w:val="24"/>
          <w:lang w:val="fr-FR"/>
        </w:rPr>
        <w:t xml:space="preserve"> de report</w:t>
      </w:r>
      <w:r w:rsidR="009C2C6D" w:rsidRPr="00953692">
        <w:rPr>
          <w:sz w:val="24"/>
          <w:szCs w:val="24"/>
          <w:lang w:val="fr-FR"/>
        </w:rPr>
        <w:t>s</w:t>
      </w:r>
      <w:r w:rsidR="0047154C" w:rsidRPr="00953692">
        <w:rPr>
          <w:sz w:val="24"/>
          <w:szCs w:val="24"/>
          <w:lang w:val="fr-FR"/>
        </w:rPr>
        <w:t xml:space="preserve"> </w:t>
      </w:r>
      <w:r w:rsidR="009C2C6D" w:rsidRPr="00953692">
        <w:rPr>
          <w:sz w:val="24"/>
          <w:szCs w:val="24"/>
          <w:lang w:val="fr-FR"/>
        </w:rPr>
        <w:t>en attendant que la communication ait effectivement lieu</w:t>
      </w:r>
      <w:r w:rsidR="0047154C" w:rsidRPr="00953692">
        <w:rPr>
          <w:sz w:val="24"/>
          <w:szCs w:val="24"/>
          <w:lang w:val="fr-FR"/>
        </w:rPr>
        <w:t>.</w:t>
      </w:r>
      <w:r w:rsidR="008A6CBF" w:rsidRPr="00953692">
        <w:rPr>
          <w:sz w:val="24"/>
          <w:szCs w:val="24"/>
          <w:lang w:val="fr-FR"/>
        </w:rPr>
        <w:t xml:space="preserve"> Toutefois, l’organe juridictionnel peut sanctionner autrement la partie qui ne satisfait pas à l’obligation de communiquer, sans recourir à la suspension d’audience ou au report, le cas échéant</w:t>
      </w:r>
      <w:r w:rsidR="00E622A6" w:rsidRPr="00953692">
        <w:rPr>
          <w:rStyle w:val="Appelnotedebasdep"/>
          <w:sz w:val="24"/>
          <w:szCs w:val="24"/>
          <w:lang w:val="fr-FR"/>
        </w:rPr>
        <w:footnoteReference w:customMarkFollows="1" w:id="307"/>
        <w:t>283</w:t>
      </w:r>
      <w:r w:rsidR="008A6CBF" w:rsidRPr="00953692">
        <w:rPr>
          <w:sz w:val="24"/>
          <w:szCs w:val="24"/>
          <w:lang w:val="fr-FR"/>
        </w:rPr>
        <w:t xml:space="preserve">. </w:t>
      </w:r>
    </w:p>
    <w:p w14:paraId="677F2645" w14:textId="29AD7539" w:rsidR="007C2013" w:rsidRPr="00953692" w:rsidRDefault="009A273B" w:rsidP="00864BBF">
      <w:pPr>
        <w:spacing w:after="0" w:line="276" w:lineRule="auto"/>
        <w:ind w:firstLine="1134"/>
        <w:jc w:val="both"/>
        <w:rPr>
          <w:sz w:val="24"/>
          <w:szCs w:val="24"/>
          <w:lang w:val="fr-FR"/>
        </w:rPr>
      </w:pPr>
      <w:r w:rsidRPr="00953692">
        <w:rPr>
          <w:b/>
          <w:bCs/>
          <w:sz w:val="24"/>
          <w:szCs w:val="24"/>
          <w:lang w:val="fr-FR"/>
        </w:rPr>
        <w:t>393</w:t>
      </w:r>
      <w:r w:rsidR="00243658" w:rsidRPr="00953692">
        <w:rPr>
          <w:b/>
          <w:bCs/>
          <w:sz w:val="24"/>
          <w:szCs w:val="24"/>
          <w:lang w:val="fr-FR"/>
        </w:rPr>
        <w:t>.</w:t>
      </w:r>
      <w:r w:rsidR="00243658" w:rsidRPr="00953692">
        <w:rPr>
          <w:sz w:val="24"/>
          <w:szCs w:val="24"/>
          <w:lang w:val="fr-FR"/>
        </w:rPr>
        <w:t xml:space="preserve"> </w:t>
      </w:r>
      <w:r w:rsidR="000959BA" w:rsidRPr="00953692">
        <w:rPr>
          <w:sz w:val="24"/>
          <w:szCs w:val="24"/>
          <w:lang w:val="fr-FR"/>
        </w:rPr>
        <w:t>En revanche, s’il y a report ou suspension d’instance, c</w:t>
      </w:r>
      <w:r w:rsidR="006D34FA" w:rsidRPr="00953692">
        <w:rPr>
          <w:sz w:val="24"/>
          <w:szCs w:val="24"/>
          <w:lang w:val="fr-FR"/>
        </w:rPr>
        <w:t xml:space="preserve">es temps perdus peuvent </w:t>
      </w:r>
      <w:r w:rsidR="00041004" w:rsidRPr="00953692">
        <w:rPr>
          <w:sz w:val="24"/>
          <w:szCs w:val="24"/>
          <w:lang w:val="fr-FR"/>
        </w:rPr>
        <w:t xml:space="preserve">faire objet de computation </w:t>
      </w:r>
      <w:r w:rsidR="006D34FA" w:rsidRPr="00953692">
        <w:rPr>
          <w:sz w:val="24"/>
          <w:szCs w:val="24"/>
          <w:lang w:val="fr-FR"/>
        </w:rPr>
        <w:t xml:space="preserve">lorsque l’accusé aura invoqué la violation de son droit d’être jugé sans retard excessif. </w:t>
      </w:r>
      <w:r w:rsidR="004E68FF" w:rsidRPr="00953692">
        <w:rPr>
          <w:sz w:val="24"/>
          <w:szCs w:val="24"/>
          <w:lang w:val="fr-FR"/>
        </w:rPr>
        <w:t>Dans ce cas, ce serait le comportement d</w:t>
      </w:r>
      <w:r w:rsidR="00275E33" w:rsidRPr="00953692">
        <w:rPr>
          <w:sz w:val="24"/>
          <w:szCs w:val="24"/>
          <w:lang w:val="fr-FR"/>
        </w:rPr>
        <w:t xml:space="preserve">u </w:t>
      </w:r>
      <w:r w:rsidR="000959BA" w:rsidRPr="00953692">
        <w:rPr>
          <w:sz w:val="24"/>
          <w:szCs w:val="24"/>
          <w:lang w:val="fr-FR"/>
        </w:rPr>
        <w:t>P</w:t>
      </w:r>
      <w:r w:rsidR="00275E33" w:rsidRPr="00953692">
        <w:rPr>
          <w:sz w:val="24"/>
          <w:szCs w:val="24"/>
          <w:lang w:val="fr-FR"/>
        </w:rPr>
        <w:t xml:space="preserve">rocureur que l’accusé mettra en cause, précisément son refus délibéré de communiquer ou le manquement à cette obligation. </w:t>
      </w:r>
      <w:r w:rsidR="00302B48" w:rsidRPr="00953692">
        <w:rPr>
          <w:sz w:val="24"/>
          <w:szCs w:val="24"/>
          <w:lang w:val="fr-FR"/>
        </w:rPr>
        <w:t xml:space="preserve">Dans ce cas de figure, </w:t>
      </w:r>
      <w:r w:rsidR="00547210" w:rsidRPr="00953692">
        <w:rPr>
          <w:sz w:val="24"/>
          <w:szCs w:val="24"/>
          <w:lang w:val="fr-FR"/>
        </w:rPr>
        <w:t xml:space="preserve">l’affaire </w:t>
      </w:r>
      <w:r w:rsidR="000959BA" w:rsidRPr="00953692">
        <w:rPr>
          <w:sz w:val="24"/>
          <w:szCs w:val="24"/>
          <w:lang w:val="fr-FR"/>
        </w:rPr>
        <w:t xml:space="preserve">opposant </w:t>
      </w:r>
      <w:r w:rsidR="00975268" w:rsidRPr="00953692">
        <w:rPr>
          <w:sz w:val="24"/>
          <w:szCs w:val="24"/>
          <w:lang w:val="fr-FR"/>
        </w:rPr>
        <w:t xml:space="preserve">le Procureur </w:t>
      </w:r>
      <w:r w:rsidR="000959BA" w:rsidRPr="00953692">
        <w:rPr>
          <w:sz w:val="24"/>
          <w:szCs w:val="24"/>
          <w:lang w:val="fr-FR"/>
        </w:rPr>
        <w:t>à</w:t>
      </w:r>
      <w:r w:rsidR="00975268" w:rsidRPr="00953692">
        <w:rPr>
          <w:sz w:val="24"/>
          <w:szCs w:val="24"/>
          <w:lang w:val="fr-FR"/>
        </w:rPr>
        <w:t xml:space="preserve"> </w:t>
      </w:r>
      <w:r w:rsidR="00547210" w:rsidRPr="00953692">
        <w:rPr>
          <w:sz w:val="24"/>
          <w:szCs w:val="24"/>
          <w:lang w:val="fr-FR"/>
        </w:rPr>
        <w:t>Pauline Nyiramasuhuko</w:t>
      </w:r>
      <w:r w:rsidR="00975268" w:rsidRPr="00953692">
        <w:rPr>
          <w:sz w:val="24"/>
          <w:szCs w:val="24"/>
          <w:lang w:val="fr-FR"/>
        </w:rPr>
        <w:t xml:space="preserve"> et consorts</w:t>
      </w:r>
      <w:r w:rsidR="00547210" w:rsidRPr="00953692">
        <w:rPr>
          <w:sz w:val="24"/>
          <w:szCs w:val="24"/>
          <w:lang w:val="fr-FR"/>
        </w:rPr>
        <w:t xml:space="preserve"> devant le TPIR nous fournit une belle illustration </w:t>
      </w:r>
      <w:r w:rsidR="00975268" w:rsidRPr="00953692">
        <w:rPr>
          <w:sz w:val="24"/>
          <w:szCs w:val="24"/>
          <w:lang w:val="fr-FR"/>
        </w:rPr>
        <w:t>en ce que</w:t>
      </w:r>
      <w:r w:rsidR="000959BA" w:rsidRPr="00953692">
        <w:rPr>
          <w:sz w:val="24"/>
          <w:szCs w:val="24"/>
          <w:lang w:val="fr-FR"/>
        </w:rPr>
        <w:t>,</w:t>
      </w:r>
      <w:r w:rsidR="00975268" w:rsidRPr="00953692">
        <w:rPr>
          <w:sz w:val="24"/>
          <w:szCs w:val="24"/>
          <w:lang w:val="fr-FR"/>
        </w:rPr>
        <w:t xml:space="preserve"> les accusés s</w:t>
      </w:r>
      <w:r w:rsidR="007C2013" w:rsidRPr="00953692">
        <w:rPr>
          <w:sz w:val="24"/>
          <w:szCs w:val="24"/>
          <w:lang w:val="fr-FR"/>
        </w:rPr>
        <w:t>’étant</w:t>
      </w:r>
      <w:r w:rsidR="00975268" w:rsidRPr="00953692">
        <w:rPr>
          <w:sz w:val="24"/>
          <w:szCs w:val="24"/>
          <w:lang w:val="fr-FR"/>
        </w:rPr>
        <w:t xml:space="preserve"> plaint de la l</w:t>
      </w:r>
      <w:r w:rsidR="007C2013" w:rsidRPr="00953692">
        <w:rPr>
          <w:sz w:val="24"/>
          <w:szCs w:val="24"/>
          <w:lang w:val="fr-FR"/>
        </w:rPr>
        <w:t>o</w:t>
      </w:r>
      <w:r w:rsidR="00975268" w:rsidRPr="00953692">
        <w:rPr>
          <w:sz w:val="24"/>
          <w:szCs w:val="24"/>
          <w:lang w:val="fr-FR"/>
        </w:rPr>
        <w:t>ngue durée du procès, ont pr</w:t>
      </w:r>
      <w:r w:rsidR="007C2013" w:rsidRPr="00953692">
        <w:rPr>
          <w:sz w:val="24"/>
          <w:szCs w:val="24"/>
          <w:lang w:val="fr-FR"/>
        </w:rPr>
        <w:t>éalab</w:t>
      </w:r>
      <w:r w:rsidR="00975268" w:rsidRPr="00953692">
        <w:rPr>
          <w:sz w:val="24"/>
          <w:szCs w:val="24"/>
          <w:lang w:val="fr-FR"/>
        </w:rPr>
        <w:t xml:space="preserve">lement mis en cause le manquement du </w:t>
      </w:r>
      <w:r w:rsidR="000959BA" w:rsidRPr="00953692">
        <w:rPr>
          <w:sz w:val="24"/>
          <w:szCs w:val="24"/>
          <w:lang w:val="fr-FR"/>
        </w:rPr>
        <w:t>P</w:t>
      </w:r>
      <w:r w:rsidR="00975268" w:rsidRPr="00953692">
        <w:rPr>
          <w:sz w:val="24"/>
          <w:szCs w:val="24"/>
          <w:lang w:val="fr-FR"/>
        </w:rPr>
        <w:t>rocureur à son obligation de communiquer</w:t>
      </w:r>
      <w:r w:rsidR="00243658" w:rsidRPr="00953692">
        <w:rPr>
          <w:sz w:val="24"/>
          <w:szCs w:val="24"/>
          <w:lang w:val="fr-FR"/>
        </w:rPr>
        <w:t xml:space="preserve"> les éléments en sa possession</w:t>
      </w:r>
      <w:r w:rsidR="00975268" w:rsidRPr="00953692">
        <w:rPr>
          <w:sz w:val="24"/>
          <w:szCs w:val="24"/>
          <w:lang w:val="fr-FR"/>
        </w:rPr>
        <w:t>.</w:t>
      </w:r>
    </w:p>
    <w:p w14:paraId="60378DDB" w14:textId="06692529" w:rsidR="00A34820" w:rsidRPr="00953692" w:rsidRDefault="009A273B" w:rsidP="00864BBF">
      <w:pPr>
        <w:spacing w:after="0" w:line="276" w:lineRule="auto"/>
        <w:ind w:firstLine="1134"/>
        <w:jc w:val="both"/>
        <w:rPr>
          <w:sz w:val="24"/>
          <w:szCs w:val="24"/>
          <w:lang w:val="fr-FR"/>
        </w:rPr>
      </w:pPr>
      <w:r w:rsidRPr="00953692">
        <w:rPr>
          <w:b/>
          <w:bCs/>
          <w:sz w:val="24"/>
          <w:szCs w:val="24"/>
          <w:lang w:val="fr-FR"/>
        </w:rPr>
        <w:t>394</w:t>
      </w:r>
      <w:r w:rsidR="000959BA" w:rsidRPr="00953692">
        <w:rPr>
          <w:b/>
          <w:bCs/>
          <w:sz w:val="24"/>
          <w:szCs w:val="24"/>
          <w:lang w:val="fr-FR"/>
        </w:rPr>
        <w:t>.</w:t>
      </w:r>
      <w:r w:rsidR="000959BA" w:rsidRPr="00953692">
        <w:rPr>
          <w:sz w:val="24"/>
          <w:szCs w:val="24"/>
          <w:lang w:val="fr-FR"/>
        </w:rPr>
        <w:t xml:space="preserve"> </w:t>
      </w:r>
      <w:r w:rsidR="007C7A89" w:rsidRPr="00953692">
        <w:rPr>
          <w:sz w:val="24"/>
          <w:szCs w:val="24"/>
          <w:lang w:val="fr-FR"/>
        </w:rPr>
        <w:t xml:space="preserve">En fait, </w:t>
      </w:r>
      <w:r w:rsidR="00BF43A8" w:rsidRPr="00953692">
        <w:rPr>
          <w:sz w:val="24"/>
          <w:szCs w:val="24"/>
          <w:lang w:val="fr-FR"/>
        </w:rPr>
        <w:t xml:space="preserve">dans cette affaire, </w:t>
      </w:r>
      <w:r w:rsidR="00051C5F" w:rsidRPr="00953692">
        <w:rPr>
          <w:sz w:val="24"/>
          <w:szCs w:val="24"/>
          <w:lang w:val="fr-FR"/>
        </w:rPr>
        <w:t xml:space="preserve">Nyiramasuhuko, Ntahobali, Nteziryayo, Kanyabashi et Ndayambaje se sont plaint de la durée du procès variant entre 13 et 16 ans. Ils ont à cet effet estimé que leur droit d’être jugé sans retard excessif avait été violé, ayant ainsi pointé du doigt le comportement du </w:t>
      </w:r>
      <w:r w:rsidR="000959BA" w:rsidRPr="00953692">
        <w:rPr>
          <w:sz w:val="24"/>
          <w:szCs w:val="24"/>
          <w:lang w:val="fr-FR"/>
        </w:rPr>
        <w:t>P</w:t>
      </w:r>
      <w:r w:rsidR="00051C5F" w:rsidRPr="00953692">
        <w:rPr>
          <w:sz w:val="24"/>
          <w:szCs w:val="24"/>
          <w:lang w:val="fr-FR"/>
        </w:rPr>
        <w:t xml:space="preserve">rocureur. Les accusés ont notamment soutenu que les retards mis en cause sont dus </w:t>
      </w:r>
      <w:r w:rsidR="00D1725A" w:rsidRPr="00953692">
        <w:rPr>
          <w:sz w:val="24"/>
          <w:szCs w:val="24"/>
          <w:lang w:val="fr-FR"/>
        </w:rPr>
        <w:t xml:space="preserve">à la tardiveté de la communication des éléments de preuve et des documents pertinents faite par le </w:t>
      </w:r>
      <w:r w:rsidR="000959BA" w:rsidRPr="00953692">
        <w:rPr>
          <w:sz w:val="24"/>
          <w:szCs w:val="24"/>
          <w:lang w:val="fr-FR"/>
        </w:rPr>
        <w:t>P</w:t>
      </w:r>
      <w:r w:rsidR="00D1725A" w:rsidRPr="00953692">
        <w:rPr>
          <w:sz w:val="24"/>
          <w:szCs w:val="24"/>
          <w:lang w:val="fr-FR"/>
        </w:rPr>
        <w:t>rocureur</w:t>
      </w:r>
      <w:r w:rsidR="00607970" w:rsidRPr="00953692">
        <w:rPr>
          <w:sz w:val="24"/>
          <w:szCs w:val="24"/>
          <w:lang w:val="fr-FR"/>
        </w:rPr>
        <w:t>,</w:t>
      </w:r>
      <w:r w:rsidR="00D1725A" w:rsidRPr="00953692">
        <w:rPr>
          <w:sz w:val="24"/>
          <w:szCs w:val="24"/>
          <w:lang w:val="fr-FR"/>
        </w:rPr>
        <w:t xml:space="preserve"> et aux demandes répétées de report par lui formulées</w:t>
      </w:r>
      <w:r w:rsidR="00E622A6" w:rsidRPr="00953692">
        <w:rPr>
          <w:rStyle w:val="Appelnotedebasdep"/>
          <w:sz w:val="24"/>
          <w:szCs w:val="24"/>
          <w:lang w:val="fr-FR"/>
        </w:rPr>
        <w:footnoteReference w:customMarkFollows="1" w:id="308"/>
        <w:t>284</w:t>
      </w:r>
      <w:r w:rsidR="00D1725A" w:rsidRPr="00953692">
        <w:rPr>
          <w:sz w:val="24"/>
          <w:szCs w:val="24"/>
          <w:lang w:val="fr-FR"/>
        </w:rPr>
        <w:t xml:space="preserve">. </w:t>
      </w:r>
      <w:r w:rsidR="00502D1A" w:rsidRPr="00953692">
        <w:rPr>
          <w:sz w:val="24"/>
          <w:szCs w:val="24"/>
          <w:lang w:val="fr-FR"/>
        </w:rPr>
        <w:t>Ayant analysé principalement le critère de la complexité en mettant en exergue le nombre des pièces à conviction versées au dossier</w:t>
      </w:r>
      <w:r w:rsidR="002E7764" w:rsidRPr="00953692">
        <w:rPr>
          <w:sz w:val="24"/>
          <w:szCs w:val="24"/>
          <w:lang w:val="fr-FR"/>
        </w:rPr>
        <w:t xml:space="preserve"> et</w:t>
      </w:r>
      <w:r w:rsidR="00502D1A" w:rsidRPr="00953692">
        <w:rPr>
          <w:sz w:val="24"/>
          <w:szCs w:val="24"/>
          <w:lang w:val="fr-FR"/>
        </w:rPr>
        <w:t xml:space="preserve"> </w:t>
      </w:r>
      <w:r w:rsidR="00502D1A" w:rsidRPr="00953692">
        <w:rPr>
          <w:sz w:val="24"/>
          <w:szCs w:val="24"/>
          <w:lang w:val="fr-FR"/>
        </w:rPr>
        <w:lastRenderedPageBreak/>
        <w:t>le nombre des jours d’audiences</w:t>
      </w:r>
      <w:r w:rsidR="002E7764" w:rsidRPr="00953692">
        <w:rPr>
          <w:sz w:val="24"/>
          <w:szCs w:val="24"/>
          <w:lang w:val="fr-FR"/>
        </w:rPr>
        <w:t>,</w:t>
      </w:r>
      <w:r w:rsidR="00502D1A" w:rsidRPr="00953692">
        <w:rPr>
          <w:sz w:val="24"/>
          <w:szCs w:val="24"/>
          <w:lang w:val="fr-FR"/>
        </w:rPr>
        <w:t xml:space="preserve"> la Chambre de première instance est arrivée à la conclusion que la durée du procès était raisonnable, et qu’à cet effet, il n’y a pas lieu de procéder à l’analyse du comportement du procureur</w:t>
      </w:r>
      <w:r w:rsidR="00E622A6" w:rsidRPr="00953692">
        <w:rPr>
          <w:rStyle w:val="Appelnotedebasdep"/>
          <w:sz w:val="24"/>
          <w:szCs w:val="24"/>
          <w:lang w:val="fr-FR"/>
        </w:rPr>
        <w:footnoteReference w:customMarkFollows="1" w:id="309"/>
        <w:t>285</w:t>
      </w:r>
      <w:r w:rsidR="00502D1A" w:rsidRPr="00953692">
        <w:rPr>
          <w:sz w:val="24"/>
          <w:szCs w:val="24"/>
          <w:lang w:val="fr-FR"/>
        </w:rPr>
        <w:t>.</w:t>
      </w:r>
    </w:p>
    <w:p w14:paraId="0F430ADA" w14:textId="729A3EC7" w:rsidR="00F40177" w:rsidRPr="00953692" w:rsidRDefault="009A273B" w:rsidP="00864BBF">
      <w:pPr>
        <w:spacing w:after="0" w:line="276" w:lineRule="auto"/>
        <w:ind w:firstLine="1134"/>
        <w:jc w:val="both"/>
        <w:rPr>
          <w:sz w:val="24"/>
          <w:szCs w:val="24"/>
          <w:lang w:val="fr-FR"/>
        </w:rPr>
      </w:pPr>
      <w:r w:rsidRPr="00953692">
        <w:rPr>
          <w:b/>
          <w:bCs/>
          <w:sz w:val="24"/>
          <w:szCs w:val="24"/>
          <w:lang w:val="fr-FR"/>
        </w:rPr>
        <w:t>395</w:t>
      </w:r>
      <w:r w:rsidR="003743C8" w:rsidRPr="00953692">
        <w:rPr>
          <w:b/>
          <w:bCs/>
          <w:sz w:val="24"/>
          <w:szCs w:val="24"/>
          <w:lang w:val="fr-FR"/>
        </w:rPr>
        <w:t>.</w:t>
      </w:r>
      <w:r w:rsidR="003743C8" w:rsidRPr="00953692">
        <w:rPr>
          <w:sz w:val="24"/>
          <w:szCs w:val="24"/>
          <w:lang w:val="fr-FR"/>
        </w:rPr>
        <w:t xml:space="preserve"> </w:t>
      </w:r>
      <w:r w:rsidR="00C948F0" w:rsidRPr="00953692">
        <w:rPr>
          <w:sz w:val="24"/>
          <w:szCs w:val="24"/>
          <w:lang w:val="fr-FR"/>
        </w:rPr>
        <w:t>Les accusés ont formulé cette question comme moyen d’appel</w:t>
      </w:r>
      <w:r w:rsidR="00243658" w:rsidRPr="00953692">
        <w:rPr>
          <w:sz w:val="24"/>
          <w:szCs w:val="24"/>
          <w:lang w:val="fr-FR"/>
        </w:rPr>
        <w:t xml:space="preserve"> (contre le jugement de condamnation)</w:t>
      </w:r>
      <w:r w:rsidR="00C948F0" w:rsidRPr="00953692">
        <w:rPr>
          <w:sz w:val="24"/>
          <w:szCs w:val="24"/>
          <w:lang w:val="fr-FR"/>
        </w:rPr>
        <w:t>, ayant estimé que la Chambre de première instance a conclu à tort que la durée de l’instance pouvait s’expliquer par la complexité de l’affaire, et</w:t>
      </w:r>
      <w:r w:rsidR="003743C8" w:rsidRPr="00953692">
        <w:rPr>
          <w:sz w:val="24"/>
          <w:szCs w:val="24"/>
          <w:lang w:val="fr-FR"/>
        </w:rPr>
        <w:t xml:space="preserve"> ont </w:t>
      </w:r>
      <w:r w:rsidR="00C948F0" w:rsidRPr="00953692">
        <w:rPr>
          <w:sz w:val="24"/>
          <w:szCs w:val="24"/>
          <w:lang w:val="fr-FR"/>
        </w:rPr>
        <w:t>sout</w:t>
      </w:r>
      <w:r w:rsidR="003743C8" w:rsidRPr="00953692">
        <w:rPr>
          <w:sz w:val="24"/>
          <w:szCs w:val="24"/>
          <w:lang w:val="fr-FR"/>
        </w:rPr>
        <w:t>enu</w:t>
      </w:r>
      <w:r w:rsidR="00C948F0" w:rsidRPr="00953692">
        <w:rPr>
          <w:sz w:val="24"/>
          <w:szCs w:val="24"/>
          <w:lang w:val="fr-FR"/>
        </w:rPr>
        <w:t xml:space="preserve"> que les retards </w:t>
      </w:r>
      <w:r w:rsidR="007B3852" w:rsidRPr="00953692">
        <w:rPr>
          <w:sz w:val="24"/>
          <w:szCs w:val="24"/>
          <w:lang w:val="fr-FR"/>
        </w:rPr>
        <w:t xml:space="preserve">résultant du comportement du </w:t>
      </w:r>
      <w:r w:rsidR="00243658" w:rsidRPr="00953692">
        <w:rPr>
          <w:sz w:val="24"/>
          <w:szCs w:val="24"/>
          <w:lang w:val="fr-FR"/>
        </w:rPr>
        <w:t>P</w:t>
      </w:r>
      <w:r w:rsidR="007B3852" w:rsidRPr="00953692">
        <w:rPr>
          <w:sz w:val="24"/>
          <w:szCs w:val="24"/>
          <w:lang w:val="fr-FR"/>
        </w:rPr>
        <w:t>rocureur sont considérables et injustifiables</w:t>
      </w:r>
      <w:r w:rsidR="003743C8" w:rsidRPr="00953692">
        <w:rPr>
          <w:rStyle w:val="Appelnotedebasdep"/>
          <w:sz w:val="24"/>
          <w:szCs w:val="24"/>
          <w:lang w:val="fr-FR"/>
        </w:rPr>
        <w:footnoteReference w:customMarkFollows="1" w:id="310"/>
        <w:t>253</w:t>
      </w:r>
      <w:r w:rsidR="007B3852" w:rsidRPr="00953692">
        <w:rPr>
          <w:sz w:val="24"/>
          <w:szCs w:val="24"/>
          <w:lang w:val="fr-FR"/>
        </w:rPr>
        <w:t xml:space="preserve">. </w:t>
      </w:r>
    </w:p>
    <w:p w14:paraId="0EA7264A" w14:textId="32606924" w:rsidR="007B3852" w:rsidRPr="00953692" w:rsidRDefault="009A273B" w:rsidP="00864BBF">
      <w:pPr>
        <w:spacing w:after="0" w:line="276" w:lineRule="auto"/>
        <w:ind w:firstLine="1134"/>
        <w:jc w:val="both"/>
        <w:rPr>
          <w:sz w:val="24"/>
          <w:szCs w:val="24"/>
          <w:lang w:val="fr-FR"/>
        </w:rPr>
      </w:pPr>
      <w:r w:rsidRPr="00953692">
        <w:rPr>
          <w:b/>
          <w:bCs/>
          <w:sz w:val="24"/>
          <w:szCs w:val="24"/>
          <w:lang w:val="fr-FR"/>
        </w:rPr>
        <w:t>396.</w:t>
      </w:r>
      <w:r w:rsidRPr="00953692">
        <w:rPr>
          <w:sz w:val="24"/>
          <w:szCs w:val="24"/>
          <w:lang w:val="fr-FR"/>
        </w:rPr>
        <w:t xml:space="preserve"> </w:t>
      </w:r>
      <w:r w:rsidR="00F17BA9" w:rsidRPr="00953692">
        <w:rPr>
          <w:sz w:val="24"/>
          <w:szCs w:val="24"/>
          <w:lang w:val="fr-FR"/>
        </w:rPr>
        <w:t>Devant la Chambre d’appel, « l</w:t>
      </w:r>
      <w:r w:rsidR="007B3852" w:rsidRPr="00953692">
        <w:rPr>
          <w:sz w:val="24"/>
          <w:szCs w:val="24"/>
          <w:lang w:val="fr-FR"/>
        </w:rPr>
        <w:t>e Procureur a reconnu qu’il n’était pas prêt et qu’il avait mis du temps à s’acquitter de ses obligations de communication, facteurs dont dépendait l’ouverture du procès, mais il n’explique nullement pourquoi il n’était pas en mesure de communiquer certaines pièces pertinentes malgré les injonctions expresses de la Chambre de première instance</w:t>
      </w:r>
      <w:r w:rsidR="00F17BA9" w:rsidRPr="00953692">
        <w:rPr>
          <w:sz w:val="24"/>
          <w:szCs w:val="24"/>
          <w:lang w:val="fr-FR"/>
        </w:rPr>
        <w:t> »</w:t>
      </w:r>
      <w:r w:rsidR="00E622A6" w:rsidRPr="00953692">
        <w:rPr>
          <w:rStyle w:val="Appelnotedebasdep"/>
          <w:sz w:val="24"/>
          <w:szCs w:val="24"/>
          <w:lang w:val="fr-FR"/>
        </w:rPr>
        <w:footnoteReference w:customMarkFollows="1" w:id="311"/>
        <w:t>286</w:t>
      </w:r>
      <w:r w:rsidR="007B3852" w:rsidRPr="00953692">
        <w:rPr>
          <w:sz w:val="24"/>
          <w:szCs w:val="24"/>
          <w:lang w:val="fr-FR"/>
        </w:rPr>
        <w:t>.</w:t>
      </w:r>
      <w:r w:rsidR="00A34820" w:rsidRPr="00953692">
        <w:rPr>
          <w:sz w:val="24"/>
          <w:szCs w:val="24"/>
          <w:lang w:val="fr-FR"/>
        </w:rPr>
        <w:t xml:space="preserve"> La Chambre d’appel a donc conclu que le retard accumulé dans l’ouverture du procès est imputable largement au </w:t>
      </w:r>
      <w:r w:rsidR="00243658" w:rsidRPr="00953692">
        <w:rPr>
          <w:sz w:val="24"/>
          <w:szCs w:val="24"/>
          <w:lang w:val="fr-FR"/>
        </w:rPr>
        <w:t>P</w:t>
      </w:r>
      <w:r w:rsidR="00A34820" w:rsidRPr="00953692">
        <w:rPr>
          <w:sz w:val="24"/>
          <w:szCs w:val="24"/>
          <w:lang w:val="fr-FR"/>
        </w:rPr>
        <w:t xml:space="preserve">rocureur au vu de son incapacité à communiquer aux accusés les éléments de preuve et autres documents. Par conséquent, elle a </w:t>
      </w:r>
      <w:r w:rsidR="00A34820" w:rsidRPr="00953692">
        <w:rPr>
          <w:i/>
          <w:iCs/>
          <w:sz w:val="24"/>
          <w:szCs w:val="24"/>
          <w:lang w:val="fr-FR"/>
        </w:rPr>
        <w:t>estimé que la chambre de première instance a commis une erreur en concluant que la durée de la procédure était raisonnable et s’expliquait bien par la complexité de l’affaire</w:t>
      </w:r>
      <w:r w:rsidR="00E622A6" w:rsidRPr="00953692">
        <w:rPr>
          <w:rStyle w:val="Appelnotedebasdep"/>
          <w:sz w:val="24"/>
          <w:szCs w:val="24"/>
          <w:lang w:val="fr-FR"/>
        </w:rPr>
        <w:footnoteReference w:customMarkFollows="1" w:id="312"/>
        <w:t>287</w:t>
      </w:r>
      <w:r w:rsidR="00A34820" w:rsidRPr="00953692">
        <w:rPr>
          <w:sz w:val="24"/>
          <w:szCs w:val="24"/>
          <w:lang w:val="fr-FR"/>
        </w:rPr>
        <w:t>.</w:t>
      </w:r>
    </w:p>
    <w:p w14:paraId="465DC221" w14:textId="50725701" w:rsidR="00083933" w:rsidRPr="00953692" w:rsidRDefault="009A273B" w:rsidP="00864BBF">
      <w:pPr>
        <w:spacing w:after="0" w:line="276" w:lineRule="auto"/>
        <w:ind w:firstLine="1134"/>
        <w:jc w:val="both"/>
        <w:rPr>
          <w:sz w:val="24"/>
          <w:szCs w:val="24"/>
          <w:lang w:val="fr-FR"/>
        </w:rPr>
      </w:pPr>
      <w:r w:rsidRPr="00953692">
        <w:rPr>
          <w:b/>
          <w:bCs/>
          <w:sz w:val="24"/>
          <w:szCs w:val="24"/>
          <w:lang w:val="fr-FR"/>
        </w:rPr>
        <w:t>397</w:t>
      </w:r>
      <w:r w:rsidR="003743C8" w:rsidRPr="00953692">
        <w:rPr>
          <w:b/>
          <w:bCs/>
          <w:sz w:val="24"/>
          <w:szCs w:val="24"/>
          <w:lang w:val="fr-FR"/>
        </w:rPr>
        <w:t>.</w:t>
      </w:r>
      <w:r w:rsidR="003743C8" w:rsidRPr="00953692">
        <w:rPr>
          <w:sz w:val="24"/>
          <w:szCs w:val="24"/>
          <w:lang w:val="fr-FR"/>
        </w:rPr>
        <w:t xml:space="preserve"> </w:t>
      </w:r>
      <w:r w:rsidR="00584917" w:rsidRPr="00953692">
        <w:rPr>
          <w:sz w:val="24"/>
          <w:szCs w:val="24"/>
          <w:lang w:val="fr-FR"/>
        </w:rPr>
        <w:t>On voit</w:t>
      </w:r>
      <w:r w:rsidR="009C537B" w:rsidRPr="00953692">
        <w:rPr>
          <w:sz w:val="24"/>
          <w:szCs w:val="24"/>
          <w:lang w:val="fr-FR"/>
        </w:rPr>
        <w:t>,</w:t>
      </w:r>
      <w:r w:rsidR="00584917" w:rsidRPr="00953692">
        <w:rPr>
          <w:sz w:val="24"/>
          <w:szCs w:val="24"/>
          <w:lang w:val="fr-FR"/>
        </w:rPr>
        <w:t xml:space="preserve"> somme toute</w:t>
      </w:r>
      <w:r w:rsidR="00FE42FD" w:rsidRPr="00953692">
        <w:rPr>
          <w:sz w:val="24"/>
          <w:szCs w:val="24"/>
          <w:lang w:val="fr-FR"/>
        </w:rPr>
        <w:t>,</w:t>
      </w:r>
      <w:r w:rsidR="00584917" w:rsidRPr="00953692">
        <w:rPr>
          <w:sz w:val="24"/>
          <w:szCs w:val="24"/>
          <w:lang w:val="fr-FR"/>
        </w:rPr>
        <w:t xml:space="preserve"> dans cette affaire, cette conflictualité essentielle entre ces deux prérogatives de l’accusé qui peut dégénérer </w:t>
      </w:r>
      <w:r w:rsidR="00A77638" w:rsidRPr="00953692">
        <w:rPr>
          <w:sz w:val="24"/>
          <w:szCs w:val="24"/>
          <w:lang w:val="fr-FR"/>
        </w:rPr>
        <w:t>au profit de l’accusé, précisément d</w:t>
      </w:r>
      <w:r w:rsidR="003743C8" w:rsidRPr="00953692">
        <w:rPr>
          <w:sz w:val="24"/>
          <w:szCs w:val="24"/>
          <w:lang w:val="fr-FR"/>
        </w:rPr>
        <w:t>ans l’évaluation de</w:t>
      </w:r>
      <w:r w:rsidR="00A77638" w:rsidRPr="00953692">
        <w:rPr>
          <w:sz w:val="24"/>
          <w:szCs w:val="24"/>
          <w:lang w:val="fr-FR"/>
        </w:rPr>
        <w:t xml:space="preserve"> son droit d’être jugé dans un délai raisonnable.</w:t>
      </w:r>
      <w:r w:rsidR="00A122B1" w:rsidRPr="00953692">
        <w:rPr>
          <w:sz w:val="24"/>
          <w:szCs w:val="24"/>
          <w:lang w:val="fr-FR"/>
        </w:rPr>
        <w:t xml:space="preserve"> Si le procès a donc connu du retard, c’est</w:t>
      </w:r>
      <w:r w:rsidR="003743C8" w:rsidRPr="00953692">
        <w:rPr>
          <w:sz w:val="24"/>
          <w:szCs w:val="24"/>
          <w:lang w:val="fr-FR"/>
        </w:rPr>
        <w:t xml:space="preserve"> </w:t>
      </w:r>
      <w:r w:rsidR="00A122B1" w:rsidRPr="00953692">
        <w:rPr>
          <w:sz w:val="24"/>
          <w:szCs w:val="24"/>
          <w:lang w:val="fr-FR"/>
        </w:rPr>
        <w:t xml:space="preserve">exactement parce que le </w:t>
      </w:r>
      <w:r w:rsidR="007A1F6E" w:rsidRPr="00953692">
        <w:rPr>
          <w:sz w:val="24"/>
          <w:szCs w:val="24"/>
          <w:lang w:val="fr-FR"/>
        </w:rPr>
        <w:t>P</w:t>
      </w:r>
      <w:r w:rsidR="00A122B1" w:rsidRPr="00953692">
        <w:rPr>
          <w:sz w:val="24"/>
          <w:szCs w:val="24"/>
          <w:lang w:val="fr-FR"/>
        </w:rPr>
        <w:t>rocureur a retardé la communication de preuves</w:t>
      </w:r>
      <w:r w:rsidR="003743C8" w:rsidRPr="00953692">
        <w:rPr>
          <w:sz w:val="24"/>
          <w:szCs w:val="24"/>
          <w:lang w:val="fr-FR"/>
        </w:rPr>
        <w:t>, alors qu’</w:t>
      </w:r>
      <w:r w:rsidR="00A122B1" w:rsidRPr="00953692">
        <w:rPr>
          <w:sz w:val="24"/>
          <w:szCs w:val="24"/>
          <w:lang w:val="fr-FR"/>
        </w:rPr>
        <w:t>il</w:t>
      </w:r>
      <w:r w:rsidR="003743C8" w:rsidRPr="00953692">
        <w:rPr>
          <w:sz w:val="24"/>
          <w:szCs w:val="24"/>
          <w:lang w:val="fr-FR"/>
        </w:rPr>
        <w:t xml:space="preserve"> en</w:t>
      </w:r>
      <w:r w:rsidR="00A122B1" w:rsidRPr="00953692">
        <w:rPr>
          <w:sz w:val="24"/>
          <w:szCs w:val="24"/>
          <w:lang w:val="fr-FR"/>
        </w:rPr>
        <w:t xml:space="preserve"> avait l’obligation. La </w:t>
      </w:r>
      <w:r w:rsidR="003743C8" w:rsidRPr="00953692">
        <w:rPr>
          <w:sz w:val="24"/>
          <w:szCs w:val="24"/>
          <w:lang w:val="fr-FR"/>
        </w:rPr>
        <w:t>C</w:t>
      </w:r>
      <w:r w:rsidR="00A122B1" w:rsidRPr="00953692">
        <w:rPr>
          <w:sz w:val="24"/>
          <w:szCs w:val="24"/>
          <w:lang w:val="fr-FR"/>
        </w:rPr>
        <w:t>hambre d’appel, pour pouvoir rattacher ces retards à la violation du droit de l’accusé d’être jugé sans retard</w:t>
      </w:r>
      <w:r w:rsidR="003743C8" w:rsidRPr="00953692">
        <w:rPr>
          <w:sz w:val="24"/>
          <w:szCs w:val="24"/>
          <w:lang w:val="fr-FR"/>
        </w:rPr>
        <w:t xml:space="preserve"> excessif</w:t>
      </w:r>
      <w:r w:rsidR="00A122B1" w:rsidRPr="00953692">
        <w:rPr>
          <w:sz w:val="24"/>
          <w:szCs w:val="24"/>
          <w:lang w:val="fr-FR"/>
        </w:rPr>
        <w:t xml:space="preserve">, a </w:t>
      </w:r>
      <w:r w:rsidR="003743C8" w:rsidRPr="00953692">
        <w:rPr>
          <w:sz w:val="24"/>
          <w:szCs w:val="24"/>
          <w:lang w:val="fr-FR"/>
        </w:rPr>
        <w:t>dû</w:t>
      </w:r>
      <w:r w:rsidR="00A122B1" w:rsidRPr="00953692">
        <w:rPr>
          <w:sz w:val="24"/>
          <w:szCs w:val="24"/>
          <w:lang w:val="fr-FR"/>
        </w:rPr>
        <w:t xml:space="preserve"> s’attendre à une explication du </w:t>
      </w:r>
      <w:r w:rsidR="003743C8" w:rsidRPr="00953692">
        <w:rPr>
          <w:sz w:val="24"/>
          <w:szCs w:val="24"/>
          <w:lang w:val="fr-FR"/>
        </w:rPr>
        <w:t>P</w:t>
      </w:r>
      <w:r w:rsidR="00A122B1" w:rsidRPr="00953692">
        <w:rPr>
          <w:sz w:val="24"/>
          <w:szCs w:val="24"/>
          <w:lang w:val="fr-FR"/>
        </w:rPr>
        <w:t xml:space="preserve">rocureur. </w:t>
      </w:r>
      <w:r w:rsidR="009C537B" w:rsidRPr="00953692">
        <w:rPr>
          <w:rStyle w:val="grammar"/>
          <w:rFonts w:cs="Times New Roman"/>
          <w:sz w:val="24"/>
          <w:szCs w:val="24"/>
          <w:lang w:val="fr-FR"/>
        </w:rPr>
        <w:t>À</w:t>
      </w:r>
      <w:r w:rsidR="009C537B" w:rsidRPr="00953692">
        <w:rPr>
          <w:rFonts w:cs="Times New Roman"/>
          <w:sz w:val="24"/>
          <w:szCs w:val="24"/>
          <w:shd w:val="clear" w:color="auto" w:fill="FFFFFF"/>
          <w:lang w:val="fr-FR"/>
        </w:rPr>
        <w:t xml:space="preserve"> défaut</w:t>
      </w:r>
      <w:r w:rsidR="009C537B" w:rsidRPr="00953692">
        <w:rPr>
          <w:rFonts w:ascii="Tahoma" w:hAnsi="Tahoma" w:cs="Tahoma"/>
          <w:sz w:val="24"/>
          <w:szCs w:val="24"/>
          <w:shd w:val="clear" w:color="auto" w:fill="FFFFFF"/>
          <w:lang w:val="fr-FR"/>
        </w:rPr>
        <w:t xml:space="preserve"> </w:t>
      </w:r>
      <w:r w:rsidR="00083933" w:rsidRPr="00953692">
        <w:rPr>
          <w:sz w:val="24"/>
          <w:szCs w:val="24"/>
          <w:lang w:val="fr-FR"/>
        </w:rPr>
        <w:t>d’une explication, il va sans dire que les retards constatés rentrent parfaitement dans la ligne de mire du délai raisonnable. Les retards sanctionnables sont ceux qui ne s’expliquent pas</w:t>
      </w:r>
      <w:r w:rsidR="009550E2" w:rsidRPr="00953692">
        <w:rPr>
          <w:sz w:val="24"/>
          <w:szCs w:val="24"/>
          <w:lang w:val="fr-FR"/>
        </w:rPr>
        <w:t xml:space="preserve">, car l’excessivité </w:t>
      </w:r>
      <w:r w:rsidR="00BF1AFC" w:rsidRPr="00953692">
        <w:rPr>
          <w:sz w:val="24"/>
          <w:szCs w:val="24"/>
          <w:lang w:val="fr-FR"/>
        </w:rPr>
        <w:t>d’un retard est avant tout</w:t>
      </w:r>
      <w:r w:rsidR="009550E2" w:rsidRPr="00953692">
        <w:rPr>
          <w:sz w:val="24"/>
          <w:szCs w:val="24"/>
          <w:lang w:val="fr-FR"/>
        </w:rPr>
        <w:t xml:space="preserve"> </w:t>
      </w:r>
      <w:r w:rsidR="00BF1AFC" w:rsidRPr="00953692">
        <w:rPr>
          <w:sz w:val="24"/>
          <w:szCs w:val="24"/>
          <w:lang w:val="fr-FR"/>
        </w:rPr>
        <w:t xml:space="preserve">son </w:t>
      </w:r>
      <w:r w:rsidR="009550E2" w:rsidRPr="00953692">
        <w:rPr>
          <w:sz w:val="24"/>
          <w:szCs w:val="24"/>
          <w:lang w:val="fr-FR"/>
        </w:rPr>
        <w:t>injustification.</w:t>
      </w:r>
      <w:r w:rsidR="00AC1847" w:rsidRPr="00953692">
        <w:rPr>
          <w:sz w:val="24"/>
          <w:szCs w:val="24"/>
          <w:lang w:val="fr-FR"/>
        </w:rPr>
        <w:t xml:space="preserve"> Le temps de la justice doit être justifié à la limite bien</w:t>
      </w:r>
      <w:r w:rsidR="00094B42" w:rsidRPr="00953692">
        <w:rPr>
          <w:sz w:val="24"/>
          <w:szCs w:val="24"/>
          <w:lang w:val="fr-FR"/>
        </w:rPr>
        <w:t>-</w:t>
      </w:r>
      <w:r w:rsidR="00EB557C" w:rsidRPr="00953692">
        <w:rPr>
          <w:sz w:val="24"/>
          <w:szCs w:val="24"/>
          <w:lang w:val="fr-FR"/>
        </w:rPr>
        <w:t>sûr</w:t>
      </w:r>
      <w:r w:rsidR="00AC1847" w:rsidRPr="00953692">
        <w:rPr>
          <w:sz w:val="24"/>
          <w:szCs w:val="24"/>
          <w:lang w:val="fr-FR"/>
        </w:rPr>
        <w:t xml:space="preserve"> des droits procéduraux garantis à l’accusé.</w:t>
      </w:r>
    </w:p>
    <w:p w14:paraId="52E47A7D" w14:textId="1ADCE43C" w:rsidR="00D96D87" w:rsidRPr="00953692" w:rsidRDefault="009A273B" w:rsidP="00864BBF">
      <w:pPr>
        <w:spacing w:after="0" w:line="276" w:lineRule="auto"/>
        <w:ind w:firstLine="1134"/>
        <w:jc w:val="both"/>
        <w:rPr>
          <w:sz w:val="24"/>
          <w:szCs w:val="24"/>
          <w:lang w:val="fr-FR"/>
        </w:rPr>
      </w:pPr>
      <w:r w:rsidRPr="00953692">
        <w:rPr>
          <w:b/>
          <w:bCs/>
          <w:sz w:val="24"/>
          <w:szCs w:val="24"/>
          <w:lang w:val="fr-FR"/>
        </w:rPr>
        <w:t>398</w:t>
      </w:r>
      <w:r w:rsidR="00BD2EB3" w:rsidRPr="00953692">
        <w:rPr>
          <w:b/>
          <w:bCs/>
          <w:sz w:val="24"/>
          <w:szCs w:val="24"/>
          <w:lang w:val="fr-FR"/>
        </w:rPr>
        <w:t>.</w:t>
      </w:r>
      <w:r w:rsidR="00BD2EB3" w:rsidRPr="00953692">
        <w:rPr>
          <w:sz w:val="24"/>
          <w:szCs w:val="24"/>
          <w:lang w:val="fr-FR"/>
        </w:rPr>
        <w:t xml:space="preserve"> </w:t>
      </w:r>
      <w:r w:rsidR="005A120D" w:rsidRPr="00953692">
        <w:rPr>
          <w:sz w:val="24"/>
          <w:szCs w:val="24"/>
          <w:lang w:val="fr-FR"/>
        </w:rPr>
        <w:t xml:space="preserve">Mais la conflictualité est à retrouver dans le chef </w:t>
      </w:r>
      <w:r w:rsidR="00EE7FE6" w:rsidRPr="00953692">
        <w:rPr>
          <w:sz w:val="24"/>
          <w:szCs w:val="24"/>
          <w:lang w:val="fr-FR"/>
        </w:rPr>
        <w:t xml:space="preserve">de </w:t>
      </w:r>
      <w:r w:rsidR="005A120D" w:rsidRPr="00953692">
        <w:rPr>
          <w:sz w:val="24"/>
          <w:szCs w:val="24"/>
          <w:lang w:val="fr-FR"/>
        </w:rPr>
        <w:t xml:space="preserve">l’accusé. C’est </w:t>
      </w:r>
      <w:r w:rsidR="00D81994" w:rsidRPr="00953692">
        <w:rPr>
          <w:sz w:val="24"/>
          <w:szCs w:val="24"/>
          <w:lang w:val="fr-FR"/>
        </w:rPr>
        <w:t>cette association impossible</w:t>
      </w:r>
      <w:r w:rsidR="005A120D" w:rsidRPr="00953692">
        <w:rPr>
          <w:sz w:val="24"/>
          <w:szCs w:val="24"/>
          <w:lang w:val="fr-FR"/>
        </w:rPr>
        <w:t xml:space="preserve"> </w:t>
      </w:r>
      <w:r w:rsidR="00D81994" w:rsidRPr="00953692">
        <w:rPr>
          <w:sz w:val="24"/>
          <w:szCs w:val="24"/>
          <w:lang w:val="fr-FR"/>
        </w:rPr>
        <w:t>de la patience</w:t>
      </w:r>
      <w:r w:rsidR="00EB2CF6" w:rsidRPr="00953692">
        <w:rPr>
          <w:sz w:val="24"/>
          <w:szCs w:val="24"/>
          <w:lang w:val="fr-FR"/>
        </w:rPr>
        <w:t xml:space="preserve"> </w:t>
      </w:r>
      <w:r w:rsidR="006B2FA3" w:rsidRPr="00953692">
        <w:rPr>
          <w:sz w:val="24"/>
          <w:szCs w:val="24"/>
          <w:lang w:val="fr-FR"/>
        </w:rPr>
        <w:t>(</w:t>
      </w:r>
      <w:r w:rsidR="00EB2CF6" w:rsidRPr="00953692">
        <w:rPr>
          <w:sz w:val="24"/>
          <w:szCs w:val="24"/>
          <w:lang w:val="fr-FR"/>
        </w:rPr>
        <w:t>jusqu’à ce que le procureur communique les éléments dont il a besoin</w:t>
      </w:r>
      <w:r w:rsidR="006B2FA3" w:rsidRPr="00953692">
        <w:rPr>
          <w:sz w:val="24"/>
          <w:szCs w:val="24"/>
          <w:lang w:val="fr-FR"/>
        </w:rPr>
        <w:t>)</w:t>
      </w:r>
      <w:r w:rsidR="00EB2CF6" w:rsidRPr="00953692">
        <w:rPr>
          <w:sz w:val="24"/>
          <w:szCs w:val="24"/>
          <w:lang w:val="fr-FR"/>
        </w:rPr>
        <w:t xml:space="preserve"> </w:t>
      </w:r>
      <w:r w:rsidR="00D81994" w:rsidRPr="00953692">
        <w:rPr>
          <w:sz w:val="24"/>
          <w:szCs w:val="24"/>
          <w:lang w:val="fr-FR"/>
        </w:rPr>
        <w:t>avec la nécessité</w:t>
      </w:r>
      <w:r w:rsidR="000F754F" w:rsidRPr="00953692">
        <w:rPr>
          <w:sz w:val="24"/>
          <w:szCs w:val="24"/>
          <w:lang w:val="fr-FR"/>
        </w:rPr>
        <w:t xml:space="preserve"> d’être jugé sans retard excessif</w:t>
      </w:r>
      <w:r w:rsidR="006B2FA3" w:rsidRPr="00953692">
        <w:rPr>
          <w:sz w:val="24"/>
          <w:szCs w:val="24"/>
          <w:lang w:val="fr-FR"/>
        </w:rPr>
        <w:t xml:space="preserve"> (qui implique une forme d’empressement</w:t>
      </w:r>
      <w:r w:rsidR="007A1F6E" w:rsidRPr="00953692">
        <w:rPr>
          <w:sz w:val="24"/>
          <w:szCs w:val="24"/>
          <w:lang w:val="fr-FR"/>
        </w:rPr>
        <w:t xml:space="preserve"> ou de continuité de la procédure</w:t>
      </w:r>
      <w:r w:rsidR="006B2FA3" w:rsidRPr="00953692">
        <w:rPr>
          <w:sz w:val="24"/>
          <w:szCs w:val="24"/>
          <w:lang w:val="fr-FR"/>
        </w:rPr>
        <w:t>)</w:t>
      </w:r>
      <w:r w:rsidR="00837C29" w:rsidRPr="00953692">
        <w:rPr>
          <w:sz w:val="24"/>
          <w:szCs w:val="24"/>
          <w:lang w:val="fr-FR"/>
        </w:rPr>
        <w:t xml:space="preserve">. </w:t>
      </w:r>
      <w:r w:rsidR="007A1F6E" w:rsidRPr="00953692">
        <w:rPr>
          <w:sz w:val="24"/>
          <w:szCs w:val="24"/>
          <w:lang w:val="fr-FR"/>
        </w:rPr>
        <w:t>En d’autres termes, l’accusé se doit de patienter jusqu’à ce que son adversaire s’exécute d’une part, et son souci d’être jugé rapidement</w:t>
      </w:r>
      <w:r w:rsidR="00C44597" w:rsidRPr="00953692">
        <w:rPr>
          <w:sz w:val="24"/>
          <w:szCs w:val="24"/>
          <w:lang w:val="fr-FR"/>
        </w:rPr>
        <w:t xml:space="preserve"> d’autre part</w:t>
      </w:r>
      <w:r w:rsidR="007A1F6E" w:rsidRPr="00953692">
        <w:rPr>
          <w:sz w:val="24"/>
          <w:szCs w:val="24"/>
          <w:lang w:val="fr-FR"/>
        </w:rPr>
        <w:t xml:space="preserve">. </w:t>
      </w:r>
      <w:r w:rsidR="00837C29" w:rsidRPr="00953692">
        <w:rPr>
          <w:sz w:val="24"/>
          <w:szCs w:val="24"/>
          <w:lang w:val="fr-FR"/>
        </w:rPr>
        <w:t xml:space="preserve">On y trouve </w:t>
      </w:r>
      <w:r w:rsidR="007A1F6E" w:rsidRPr="00953692">
        <w:rPr>
          <w:sz w:val="24"/>
          <w:szCs w:val="24"/>
          <w:lang w:val="fr-FR"/>
        </w:rPr>
        <w:t>de façon beaucoup plus subtile</w:t>
      </w:r>
      <w:r w:rsidR="00837C29" w:rsidRPr="00953692">
        <w:rPr>
          <w:sz w:val="24"/>
          <w:szCs w:val="24"/>
          <w:lang w:val="fr-FR"/>
        </w:rPr>
        <w:t xml:space="preserve"> le caractère essentiel de cette conflictualité</w:t>
      </w:r>
      <w:r w:rsidR="007A1F6E" w:rsidRPr="00953692">
        <w:rPr>
          <w:sz w:val="24"/>
          <w:szCs w:val="24"/>
          <w:lang w:val="fr-FR"/>
        </w:rPr>
        <w:t> :</w:t>
      </w:r>
      <w:r w:rsidR="00837C29" w:rsidRPr="00953692">
        <w:rPr>
          <w:sz w:val="24"/>
          <w:szCs w:val="24"/>
          <w:lang w:val="fr-FR"/>
        </w:rPr>
        <w:t xml:space="preserve"> </w:t>
      </w:r>
      <w:r w:rsidR="007A1F6E" w:rsidRPr="00953692">
        <w:rPr>
          <w:i/>
          <w:iCs/>
          <w:sz w:val="24"/>
          <w:szCs w:val="24"/>
          <w:lang w:val="fr-FR"/>
        </w:rPr>
        <w:t>l</w:t>
      </w:r>
      <w:r w:rsidR="00837C29" w:rsidRPr="00953692">
        <w:rPr>
          <w:i/>
          <w:iCs/>
          <w:sz w:val="24"/>
          <w:szCs w:val="24"/>
          <w:lang w:val="fr-FR"/>
        </w:rPr>
        <w:t>’accusé ne peut</w:t>
      </w:r>
      <w:r w:rsidR="00BD2EB3" w:rsidRPr="00953692">
        <w:rPr>
          <w:i/>
          <w:iCs/>
          <w:sz w:val="24"/>
          <w:szCs w:val="24"/>
          <w:lang w:val="fr-FR"/>
        </w:rPr>
        <w:t xml:space="preserve"> pas</w:t>
      </w:r>
      <w:r w:rsidR="00837C29" w:rsidRPr="00953692">
        <w:rPr>
          <w:i/>
          <w:iCs/>
          <w:sz w:val="24"/>
          <w:szCs w:val="24"/>
          <w:lang w:val="fr-FR"/>
        </w:rPr>
        <w:t xml:space="preserve"> passer outre cette communication qui touche à l’équité du procès</w:t>
      </w:r>
      <w:r w:rsidR="00D81994" w:rsidRPr="00953692">
        <w:rPr>
          <w:i/>
          <w:iCs/>
          <w:sz w:val="24"/>
          <w:szCs w:val="24"/>
          <w:lang w:val="fr-FR"/>
        </w:rPr>
        <w:t xml:space="preserve"> ; </w:t>
      </w:r>
      <w:r w:rsidR="00BD2EB3" w:rsidRPr="00953692">
        <w:rPr>
          <w:i/>
          <w:iCs/>
          <w:sz w:val="24"/>
          <w:szCs w:val="24"/>
          <w:lang w:val="fr-FR"/>
        </w:rPr>
        <w:t xml:space="preserve">il </w:t>
      </w:r>
      <w:r w:rsidR="00D81994" w:rsidRPr="00953692">
        <w:rPr>
          <w:i/>
          <w:iCs/>
          <w:sz w:val="24"/>
          <w:szCs w:val="24"/>
          <w:lang w:val="fr-FR"/>
        </w:rPr>
        <w:t>ne peut non plus renoncer à son droit d’</w:t>
      </w:r>
      <w:r w:rsidR="00E533C2" w:rsidRPr="00953692">
        <w:rPr>
          <w:i/>
          <w:iCs/>
          <w:sz w:val="24"/>
          <w:szCs w:val="24"/>
          <w:lang w:val="fr-FR"/>
        </w:rPr>
        <w:t>être</w:t>
      </w:r>
      <w:r w:rsidR="00D81994" w:rsidRPr="00953692">
        <w:rPr>
          <w:i/>
          <w:iCs/>
          <w:sz w:val="24"/>
          <w:szCs w:val="24"/>
          <w:lang w:val="fr-FR"/>
        </w:rPr>
        <w:t xml:space="preserve"> jugé sans </w:t>
      </w:r>
      <w:r w:rsidR="00D81994" w:rsidRPr="00953692">
        <w:rPr>
          <w:i/>
          <w:iCs/>
          <w:sz w:val="24"/>
          <w:szCs w:val="24"/>
          <w:lang w:val="fr-FR"/>
        </w:rPr>
        <w:lastRenderedPageBreak/>
        <w:t>retard excessif, touchant à la rapidité de la procédure</w:t>
      </w:r>
      <w:r w:rsidR="003F5E7A" w:rsidRPr="00953692">
        <w:rPr>
          <w:sz w:val="24"/>
          <w:szCs w:val="24"/>
          <w:lang w:val="fr-FR"/>
        </w:rPr>
        <w:t xml:space="preserve">. </w:t>
      </w:r>
      <w:r w:rsidR="00BF2AB6" w:rsidRPr="00953692">
        <w:rPr>
          <w:sz w:val="24"/>
          <w:szCs w:val="24"/>
          <w:lang w:val="fr-FR"/>
        </w:rPr>
        <w:t>Conformément à tous les actes constitutifs de ces juridictions pénales internationales, c</w:t>
      </w:r>
      <w:r w:rsidR="00D81994" w:rsidRPr="00953692">
        <w:rPr>
          <w:sz w:val="24"/>
          <w:szCs w:val="24"/>
          <w:lang w:val="fr-FR"/>
        </w:rPr>
        <w:t xml:space="preserve">es deux éléments, </w:t>
      </w:r>
      <w:r w:rsidR="004841FB" w:rsidRPr="00953692">
        <w:rPr>
          <w:sz w:val="24"/>
          <w:szCs w:val="24"/>
          <w:lang w:val="fr-FR"/>
        </w:rPr>
        <w:t>‘’</w:t>
      </w:r>
      <w:r w:rsidR="00D81994" w:rsidRPr="00953692">
        <w:rPr>
          <w:sz w:val="24"/>
          <w:szCs w:val="24"/>
          <w:lang w:val="fr-FR"/>
        </w:rPr>
        <w:t>équité et rapidité</w:t>
      </w:r>
      <w:r w:rsidR="00F67B5E" w:rsidRPr="00953692">
        <w:rPr>
          <w:sz w:val="24"/>
          <w:szCs w:val="24"/>
          <w:lang w:val="fr-FR"/>
        </w:rPr>
        <w:t>’’</w:t>
      </w:r>
      <w:r w:rsidR="00D81994" w:rsidRPr="00953692">
        <w:rPr>
          <w:sz w:val="24"/>
          <w:szCs w:val="24"/>
          <w:lang w:val="fr-FR"/>
        </w:rPr>
        <w:t xml:space="preserve">, </w:t>
      </w:r>
      <w:r w:rsidR="00C44597" w:rsidRPr="00953692">
        <w:rPr>
          <w:sz w:val="24"/>
          <w:szCs w:val="24"/>
          <w:lang w:val="fr-FR"/>
        </w:rPr>
        <w:t>restent</w:t>
      </w:r>
      <w:r w:rsidR="00D81994" w:rsidRPr="00953692">
        <w:rPr>
          <w:sz w:val="24"/>
          <w:szCs w:val="24"/>
          <w:lang w:val="fr-FR"/>
        </w:rPr>
        <w:t xml:space="preserve"> indispensable</w:t>
      </w:r>
      <w:r w:rsidR="00C44597" w:rsidRPr="00953692">
        <w:rPr>
          <w:sz w:val="24"/>
          <w:szCs w:val="24"/>
          <w:lang w:val="fr-FR"/>
        </w:rPr>
        <w:t>s</w:t>
      </w:r>
      <w:r w:rsidR="00F67B5E" w:rsidRPr="00953692">
        <w:rPr>
          <w:sz w:val="24"/>
          <w:szCs w:val="24"/>
          <w:lang w:val="fr-FR"/>
        </w:rPr>
        <w:t>.</w:t>
      </w:r>
      <w:r w:rsidR="00D96D87" w:rsidRPr="00953692">
        <w:rPr>
          <w:rFonts w:eastAsia="Times New Roman" w:cs="Times New Roman"/>
          <w:i/>
          <w:sz w:val="24"/>
          <w:szCs w:val="24"/>
          <w:lang w:val="fr-FR"/>
        </w:rPr>
        <w:t xml:space="preserve"> </w:t>
      </w:r>
      <w:r w:rsidR="00F67B5E" w:rsidRPr="00953692">
        <w:rPr>
          <w:rFonts w:eastAsia="Times New Roman" w:cs="Times New Roman"/>
          <w:i/>
          <w:sz w:val="24"/>
          <w:szCs w:val="24"/>
          <w:lang w:val="fr-FR"/>
        </w:rPr>
        <w:t>Le Deuxième rapport de la Cour sur l’élaboration d’indicateurs de résultats pour la Cour pénale internationale</w:t>
      </w:r>
      <w:r w:rsidR="00F67B5E" w:rsidRPr="00953692">
        <w:rPr>
          <w:rFonts w:eastAsia="Times New Roman" w:cs="Times New Roman"/>
          <w:sz w:val="24"/>
          <w:szCs w:val="24"/>
          <w:lang w:val="fr-FR"/>
        </w:rPr>
        <w:t>, évoque l’indissociabilité de ces deux notions</w:t>
      </w:r>
      <w:r w:rsidR="00E622A6" w:rsidRPr="00953692">
        <w:rPr>
          <w:rStyle w:val="Appelnotedebasdep"/>
          <w:rFonts w:eastAsia="Times New Roman" w:cs="Times New Roman"/>
          <w:sz w:val="24"/>
          <w:szCs w:val="24"/>
          <w:lang w:val="fr-FR"/>
        </w:rPr>
        <w:footnoteReference w:customMarkFollows="1" w:id="313"/>
        <w:t>288</w:t>
      </w:r>
      <w:r w:rsidR="00F67B5E" w:rsidRPr="00953692">
        <w:rPr>
          <w:rFonts w:eastAsia="Times New Roman" w:cs="Times New Roman"/>
          <w:sz w:val="24"/>
          <w:szCs w:val="24"/>
          <w:lang w:val="fr-FR"/>
        </w:rPr>
        <w:t>.</w:t>
      </w:r>
      <w:r w:rsidR="00F67B5E" w:rsidRPr="00953692">
        <w:rPr>
          <w:sz w:val="24"/>
          <w:szCs w:val="24"/>
          <w:lang w:val="fr-FR"/>
        </w:rPr>
        <w:t xml:space="preserve"> </w:t>
      </w:r>
    </w:p>
    <w:p w14:paraId="473C6FBA" w14:textId="749197A0" w:rsidR="002610A2" w:rsidRPr="00953692" w:rsidRDefault="009A273B" w:rsidP="00864BBF">
      <w:pPr>
        <w:spacing w:after="0" w:line="276" w:lineRule="auto"/>
        <w:ind w:firstLine="1134"/>
        <w:jc w:val="both"/>
        <w:rPr>
          <w:rFonts w:eastAsia="Times New Roman" w:cs="Times New Roman"/>
          <w:i/>
          <w:sz w:val="24"/>
          <w:szCs w:val="24"/>
          <w:lang w:val="fr-FR"/>
        </w:rPr>
      </w:pPr>
      <w:r w:rsidRPr="00953692">
        <w:rPr>
          <w:b/>
          <w:bCs/>
          <w:sz w:val="24"/>
          <w:szCs w:val="24"/>
          <w:lang w:val="fr-FR"/>
        </w:rPr>
        <w:t>399</w:t>
      </w:r>
      <w:r w:rsidR="00D96D87" w:rsidRPr="00953692">
        <w:rPr>
          <w:b/>
          <w:bCs/>
          <w:sz w:val="24"/>
          <w:szCs w:val="24"/>
          <w:lang w:val="fr-FR"/>
        </w:rPr>
        <w:t>.</w:t>
      </w:r>
      <w:r w:rsidR="00D96D87" w:rsidRPr="00953692">
        <w:rPr>
          <w:sz w:val="24"/>
          <w:szCs w:val="24"/>
          <w:lang w:val="fr-FR"/>
        </w:rPr>
        <w:t xml:space="preserve"> </w:t>
      </w:r>
      <w:r w:rsidR="00F67B5E" w:rsidRPr="00953692">
        <w:rPr>
          <w:sz w:val="24"/>
          <w:szCs w:val="24"/>
          <w:lang w:val="fr-FR"/>
        </w:rPr>
        <w:t>E</w:t>
      </w:r>
      <w:r w:rsidR="00D81994" w:rsidRPr="00953692">
        <w:rPr>
          <w:sz w:val="24"/>
          <w:szCs w:val="24"/>
          <w:lang w:val="fr-FR"/>
        </w:rPr>
        <w:t>t</w:t>
      </w:r>
      <w:r w:rsidR="00F67B5E" w:rsidRPr="00953692">
        <w:rPr>
          <w:sz w:val="24"/>
          <w:szCs w:val="24"/>
          <w:lang w:val="fr-FR"/>
        </w:rPr>
        <w:t xml:space="preserve"> pourtant,</w:t>
      </w:r>
      <w:r w:rsidR="00D81994" w:rsidRPr="00953692">
        <w:rPr>
          <w:sz w:val="24"/>
          <w:szCs w:val="24"/>
          <w:lang w:val="fr-FR"/>
        </w:rPr>
        <w:t xml:space="preserve"> dans le cas sous examen, ils sont mis en conflit. </w:t>
      </w:r>
      <w:r w:rsidR="00E533C2" w:rsidRPr="00953692">
        <w:rPr>
          <w:sz w:val="24"/>
          <w:szCs w:val="24"/>
          <w:lang w:val="fr-FR"/>
        </w:rPr>
        <w:t>Mais ce conflit n’est pas insoluble</w:t>
      </w:r>
      <w:r w:rsidR="00F67B5E" w:rsidRPr="00953692">
        <w:rPr>
          <w:sz w:val="24"/>
          <w:szCs w:val="24"/>
          <w:lang w:val="fr-FR"/>
        </w:rPr>
        <w:t>, et</w:t>
      </w:r>
      <w:r w:rsidR="0046780A" w:rsidRPr="00953692">
        <w:rPr>
          <w:sz w:val="24"/>
          <w:szCs w:val="24"/>
          <w:lang w:val="fr-FR"/>
        </w:rPr>
        <w:t xml:space="preserve"> dans un premier temps</w:t>
      </w:r>
      <w:r w:rsidR="00F67B5E" w:rsidRPr="00953692">
        <w:rPr>
          <w:sz w:val="24"/>
          <w:szCs w:val="24"/>
          <w:lang w:val="fr-FR"/>
        </w:rPr>
        <w:t>, on en redoute moins</w:t>
      </w:r>
      <w:r w:rsidR="0046780A" w:rsidRPr="00953692">
        <w:rPr>
          <w:sz w:val="24"/>
          <w:szCs w:val="24"/>
          <w:lang w:val="fr-FR"/>
        </w:rPr>
        <w:t>.</w:t>
      </w:r>
      <w:r w:rsidR="00E533C2" w:rsidRPr="00953692">
        <w:rPr>
          <w:sz w:val="24"/>
          <w:szCs w:val="24"/>
          <w:lang w:val="fr-FR"/>
        </w:rPr>
        <w:t xml:space="preserve"> </w:t>
      </w:r>
      <w:r w:rsidR="0046780A" w:rsidRPr="00953692">
        <w:rPr>
          <w:sz w:val="24"/>
          <w:szCs w:val="24"/>
          <w:lang w:val="fr-FR"/>
        </w:rPr>
        <w:t>I</w:t>
      </w:r>
      <w:r w:rsidR="00E533C2" w:rsidRPr="00953692">
        <w:rPr>
          <w:sz w:val="24"/>
          <w:szCs w:val="24"/>
          <w:lang w:val="fr-FR"/>
        </w:rPr>
        <w:t>l suffit qu’il soit plus tôt résolu,</w:t>
      </w:r>
      <w:r w:rsidR="00BD2EB3" w:rsidRPr="00953692">
        <w:rPr>
          <w:sz w:val="24"/>
          <w:szCs w:val="24"/>
          <w:lang w:val="fr-FR"/>
        </w:rPr>
        <w:t xml:space="preserve"> c’est-à-dire que la communication requise ait lieu</w:t>
      </w:r>
      <w:r w:rsidR="00D96D87" w:rsidRPr="00953692">
        <w:rPr>
          <w:sz w:val="24"/>
          <w:szCs w:val="24"/>
          <w:lang w:val="fr-FR"/>
        </w:rPr>
        <w:t xml:space="preserve"> pour qu’il en soit mis un terme</w:t>
      </w:r>
      <w:r w:rsidR="00BD2EB3" w:rsidRPr="00953692">
        <w:rPr>
          <w:sz w:val="24"/>
          <w:szCs w:val="24"/>
          <w:lang w:val="fr-FR"/>
        </w:rPr>
        <w:t>.</w:t>
      </w:r>
      <w:r w:rsidR="00E533C2" w:rsidRPr="00953692">
        <w:rPr>
          <w:sz w:val="24"/>
          <w:szCs w:val="24"/>
          <w:lang w:val="fr-FR"/>
        </w:rPr>
        <w:t xml:space="preserve"> </w:t>
      </w:r>
      <w:r w:rsidR="00BD2EB3" w:rsidRPr="00953692">
        <w:rPr>
          <w:sz w:val="24"/>
          <w:szCs w:val="24"/>
          <w:lang w:val="fr-FR"/>
        </w:rPr>
        <w:t>A</w:t>
      </w:r>
      <w:r w:rsidR="00E533C2" w:rsidRPr="00953692">
        <w:rPr>
          <w:sz w:val="24"/>
          <w:szCs w:val="24"/>
          <w:lang w:val="fr-FR"/>
        </w:rPr>
        <w:t xml:space="preserve"> contrario, on </w:t>
      </w:r>
      <w:r w:rsidR="00BD2EB3" w:rsidRPr="00953692">
        <w:rPr>
          <w:sz w:val="24"/>
          <w:szCs w:val="24"/>
          <w:lang w:val="fr-FR"/>
        </w:rPr>
        <w:t xml:space="preserve">acheminerait vers </w:t>
      </w:r>
      <w:r w:rsidR="00D96D87" w:rsidRPr="00953692">
        <w:rPr>
          <w:sz w:val="24"/>
          <w:szCs w:val="24"/>
          <w:lang w:val="fr-FR"/>
        </w:rPr>
        <w:t xml:space="preserve">(ou on </w:t>
      </w:r>
      <w:r w:rsidR="00E533C2" w:rsidRPr="00953692">
        <w:rPr>
          <w:sz w:val="24"/>
          <w:szCs w:val="24"/>
          <w:lang w:val="fr-FR"/>
        </w:rPr>
        <w:t>aboutirait à</w:t>
      </w:r>
      <w:r w:rsidR="00BD2EB3" w:rsidRPr="00953692">
        <w:rPr>
          <w:sz w:val="24"/>
          <w:szCs w:val="24"/>
          <w:lang w:val="fr-FR"/>
        </w:rPr>
        <w:t>)</w:t>
      </w:r>
      <w:r w:rsidR="00E533C2" w:rsidRPr="00953692">
        <w:rPr>
          <w:sz w:val="24"/>
          <w:szCs w:val="24"/>
          <w:lang w:val="fr-FR"/>
        </w:rPr>
        <w:t xml:space="preserve"> la violation </w:t>
      </w:r>
      <w:r w:rsidR="0046780A" w:rsidRPr="00953692">
        <w:rPr>
          <w:sz w:val="24"/>
          <w:szCs w:val="24"/>
          <w:lang w:val="fr-FR"/>
        </w:rPr>
        <w:t>inévitable de l’autre, donc du droit de l’accusé d’être jugé sans retard excessif.</w:t>
      </w:r>
    </w:p>
    <w:p w14:paraId="7921535A" w14:textId="3F7E0FE3" w:rsidR="003E598F" w:rsidRPr="00953692" w:rsidRDefault="009A273B" w:rsidP="00864BBF">
      <w:pPr>
        <w:spacing w:after="0" w:line="276" w:lineRule="auto"/>
        <w:ind w:firstLine="1134"/>
        <w:jc w:val="both"/>
        <w:rPr>
          <w:sz w:val="24"/>
          <w:szCs w:val="24"/>
          <w:lang w:val="fr-FR"/>
        </w:rPr>
      </w:pPr>
      <w:r w:rsidRPr="00953692">
        <w:rPr>
          <w:b/>
          <w:bCs/>
          <w:sz w:val="24"/>
          <w:szCs w:val="24"/>
          <w:lang w:val="fr-FR"/>
        </w:rPr>
        <w:t>400</w:t>
      </w:r>
      <w:r w:rsidR="00BD2EB3" w:rsidRPr="00953692">
        <w:rPr>
          <w:b/>
          <w:bCs/>
          <w:sz w:val="24"/>
          <w:szCs w:val="24"/>
          <w:lang w:val="fr-FR"/>
        </w:rPr>
        <w:t>.</w:t>
      </w:r>
      <w:r w:rsidR="00BD2EB3" w:rsidRPr="00953692">
        <w:rPr>
          <w:sz w:val="24"/>
          <w:szCs w:val="24"/>
          <w:lang w:val="fr-FR"/>
        </w:rPr>
        <w:t xml:space="preserve"> </w:t>
      </w:r>
      <w:r w:rsidR="008354CC" w:rsidRPr="00953692">
        <w:rPr>
          <w:sz w:val="24"/>
          <w:szCs w:val="24"/>
          <w:lang w:val="fr-FR"/>
        </w:rPr>
        <w:t>Le second cas de figure</w:t>
      </w:r>
      <w:r w:rsidR="00291CBD" w:rsidRPr="00953692">
        <w:rPr>
          <w:sz w:val="24"/>
          <w:szCs w:val="24"/>
          <w:lang w:val="fr-FR"/>
        </w:rPr>
        <w:t xml:space="preserve"> intervient plutôt en cours du procès. </w:t>
      </w:r>
      <w:r w:rsidR="002E7764" w:rsidRPr="00953692">
        <w:rPr>
          <w:sz w:val="24"/>
          <w:szCs w:val="24"/>
          <w:lang w:val="fr-FR"/>
        </w:rPr>
        <w:t>L’accusé ne peut continuer le procès s’il ne re</w:t>
      </w:r>
      <w:r w:rsidR="00C863F9" w:rsidRPr="00953692">
        <w:rPr>
          <w:sz w:val="24"/>
          <w:szCs w:val="24"/>
          <w:lang w:val="fr-FR"/>
        </w:rPr>
        <w:t>çoi</w:t>
      </w:r>
      <w:r w:rsidR="002E7764" w:rsidRPr="00953692">
        <w:rPr>
          <w:sz w:val="24"/>
          <w:szCs w:val="24"/>
          <w:lang w:val="fr-FR"/>
        </w:rPr>
        <w:t xml:space="preserve">t du </w:t>
      </w:r>
      <w:r w:rsidR="00BD2EB3" w:rsidRPr="00953692">
        <w:rPr>
          <w:sz w:val="24"/>
          <w:szCs w:val="24"/>
          <w:lang w:val="fr-FR"/>
        </w:rPr>
        <w:t>P</w:t>
      </w:r>
      <w:r w:rsidR="002E7764" w:rsidRPr="00953692">
        <w:rPr>
          <w:sz w:val="24"/>
          <w:szCs w:val="24"/>
          <w:lang w:val="fr-FR"/>
        </w:rPr>
        <w:t>rocureur une pièce</w:t>
      </w:r>
      <w:r w:rsidR="00C863F9" w:rsidRPr="00953692">
        <w:rPr>
          <w:sz w:val="24"/>
          <w:szCs w:val="24"/>
          <w:lang w:val="fr-FR"/>
        </w:rPr>
        <w:t>,</w:t>
      </w:r>
      <w:r w:rsidR="002E7764" w:rsidRPr="00953692">
        <w:rPr>
          <w:sz w:val="24"/>
          <w:szCs w:val="24"/>
          <w:lang w:val="fr-FR"/>
        </w:rPr>
        <w:t xml:space="preserve"> dont l’indispensabilité à sa défense est mise en avant sous la marque de l’équité. </w:t>
      </w:r>
      <w:r w:rsidR="003B4311" w:rsidRPr="00953692">
        <w:rPr>
          <w:sz w:val="24"/>
          <w:szCs w:val="24"/>
          <w:lang w:val="fr-FR"/>
        </w:rPr>
        <w:t xml:space="preserve">Devant la CPI, Thomas Lubanga constata que les déclarations de témoins qu’il cita contredirent celles de témoins cités par le </w:t>
      </w:r>
      <w:r w:rsidR="00BD2EB3" w:rsidRPr="00953692">
        <w:rPr>
          <w:sz w:val="24"/>
          <w:szCs w:val="24"/>
          <w:lang w:val="fr-FR"/>
        </w:rPr>
        <w:t>P</w:t>
      </w:r>
      <w:r w:rsidR="003B4311" w:rsidRPr="00953692">
        <w:rPr>
          <w:sz w:val="24"/>
          <w:szCs w:val="24"/>
          <w:lang w:val="fr-FR"/>
        </w:rPr>
        <w:t xml:space="preserve">rocureur, alors que ce dernier les connut par l’intermédiaire 143. L’accusé demanda à cet effet </w:t>
      </w:r>
      <w:r w:rsidR="00A717B5" w:rsidRPr="00953692">
        <w:rPr>
          <w:sz w:val="24"/>
          <w:szCs w:val="24"/>
          <w:lang w:val="fr-FR"/>
        </w:rPr>
        <w:t xml:space="preserve">à la Chambre d’enjoindre au </w:t>
      </w:r>
      <w:r w:rsidR="00BD2EB3" w:rsidRPr="00953692">
        <w:rPr>
          <w:sz w:val="24"/>
          <w:szCs w:val="24"/>
          <w:lang w:val="fr-FR"/>
        </w:rPr>
        <w:t>P</w:t>
      </w:r>
      <w:r w:rsidR="00A717B5" w:rsidRPr="00953692">
        <w:rPr>
          <w:sz w:val="24"/>
          <w:szCs w:val="24"/>
          <w:lang w:val="fr-FR"/>
        </w:rPr>
        <w:t xml:space="preserve">rocureur de lui communiquer l’identité de cet intermédiaire. </w:t>
      </w:r>
      <w:r w:rsidR="00083693" w:rsidRPr="00953692">
        <w:rPr>
          <w:sz w:val="24"/>
          <w:szCs w:val="24"/>
          <w:lang w:val="fr-FR"/>
        </w:rPr>
        <w:t xml:space="preserve">En fait, il </w:t>
      </w:r>
      <w:r w:rsidR="00D96D87" w:rsidRPr="00953692">
        <w:rPr>
          <w:sz w:val="24"/>
          <w:szCs w:val="24"/>
          <w:lang w:val="fr-FR"/>
        </w:rPr>
        <w:t>fit</w:t>
      </w:r>
      <w:r w:rsidR="00083693" w:rsidRPr="00953692">
        <w:rPr>
          <w:sz w:val="24"/>
          <w:szCs w:val="24"/>
          <w:lang w:val="fr-FR"/>
        </w:rPr>
        <w:t xml:space="preserve"> de cette communication une condition préalable à la poursuite de l’interrogatoire des témoins qu’il menait. Le 12 mai 2010</w:t>
      </w:r>
      <w:r w:rsidR="009C537B" w:rsidRPr="00953692">
        <w:rPr>
          <w:sz w:val="24"/>
          <w:szCs w:val="24"/>
          <w:lang w:val="fr-FR"/>
        </w:rPr>
        <w:t>,</w:t>
      </w:r>
      <w:r w:rsidR="00083693" w:rsidRPr="00953692">
        <w:rPr>
          <w:sz w:val="24"/>
          <w:szCs w:val="24"/>
          <w:lang w:val="fr-FR"/>
        </w:rPr>
        <w:t xml:space="preserve"> la Chambre de première instance fit droit à la requête de l’accusé. En raison des mesures de protection des victimes, le</w:t>
      </w:r>
      <w:r w:rsidR="0057191D" w:rsidRPr="00953692">
        <w:rPr>
          <w:sz w:val="24"/>
          <w:szCs w:val="24"/>
          <w:lang w:val="fr-FR"/>
        </w:rPr>
        <w:t xml:space="preserve"> </w:t>
      </w:r>
      <w:r w:rsidR="00D96D87" w:rsidRPr="00953692">
        <w:rPr>
          <w:sz w:val="24"/>
          <w:szCs w:val="24"/>
          <w:lang w:val="fr-FR"/>
        </w:rPr>
        <w:t>P</w:t>
      </w:r>
      <w:r w:rsidR="0057191D" w:rsidRPr="00953692">
        <w:rPr>
          <w:sz w:val="24"/>
          <w:szCs w:val="24"/>
          <w:lang w:val="fr-FR"/>
        </w:rPr>
        <w:t>rocureur n’a pas en réalité obtempéré à la Décision de la Chambre</w:t>
      </w:r>
      <w:r w:rsidR="00317800" w:rsidRPr="00953692">
        <w:rPr>
          <w:sz w:val="24"/>
          <w:szCs w:val="24"/>
          <w:lang w:val="fr-FR"/>
        </w:rPr>
        <w:t xml:space="preserve">, </w:t>
      </w:r>
      <w:r w:rsidR="0057191D" w:rsidRPr="00953692">
        <w:rPr>
          <w:sz w:val="24"/>
          <w:szCs w:val="24"/>
          <w:lang w:val="fr-FR"/>
        </w:rPr>
        <w:t>et cette affaire dans l’affaire a connu des rebondissements</w:t>
      </w:r>
      <w:r w:rsidR="00E622A6" w:rsidRPr="00953692">
        <w:rPr>
          <w:rStyle w:val="Appelnotedebasdep"/>
          <w:sz w:val="24"/>
          <w:szCs w:val="24"/>
          <w:lang w:val="fr-FR"/>
        </w:rPr>
        <w:footnoteReference w:customMarkFollows="1" w:id="314"/>
        <w:t>289</w:t>
      </w:r>
      <w:r w:rsidR="0057191D" w:rsidRPr="00953692">
        <w:rPr>
          <w:sz w:val="24"/>
          <w:szCs w:val="24"/>
          <w:lang w:val="fr-FR"/>
        </w:rPr>
        <w:t xml:space="preserve"> jusqu’au 10 juillet </w:t>
      </w:r>
      <w:r w:rsidR="00441C41" w:rsidRPr="00953692">
        <w:rPr>
          <w:sz w:val="24"/>
          <w:szCs w:val="24"/>
          <w:lang w:val="fr-FR"/>
        </w:rPr>
        <w:t xml:space="preserve">2010, date à laquelle la Chambre a suspendu l’instance pour abus de procédure, globalement en raison du refus du </w:t>
      </w:r>
      <w:r w:rsidR="00BD2EB3" w:rsidRPr="00953692">
        <w:rPr>
          <w:sz w:val="24"/>
          <w:szCs w:val="24"/>
          <w:lang w:val="fr-FR"/>
        </w:rPr>
        <w:t>P</w:t>
      </w:r>
      <w:r w:rsidR="00441C41" w:rsidRPr="00953692">
        <w:rPr>
          <w:sz w:val="24"/>
          <w:szCs w:val="24"/>
          <w:lang w:val="fr-FR"/>
        </w:rPr>
        <w:t>rocureur d’exécuter ses différentes ordonnances</w:t>
      </w:r>
      <w:r w:rsidR="00E622A6" w:rsidRPr="00953692">
        <w:rPr>
          <w:rStyle w:val="Appelnotedebasdep"/>
          <w:sz w:val="24"/>
          <w:szCs w:val="24"/>
          <w:lang w:val="fr-FR"/>
        </w:rPr>
        <w:footnoteReference w:customMarkFollows="1" w:id="315"/>
        <w:t>290</w:t>
      </w:r>
      <w:r w:rsidR="00441C41" w:rsidRPr="00953692">
        <w:rPr>
          <w:sz w:val="24"/>
          <w:szCs w:val="24"/>
          <w:lang w:val="fr-FR"/>
        </w:rPr>
        <w:t>.</w:t>
      </w:r>
    </w:p>
    <w:p w14:paraId="26D50640" w14:textId="25D972FF" w:rsidR="006D1D6F" w:rsidRPr="00953692" w:rsidRDefault="009A273B" w:rsidP="00864BBF">
      <w:pPr>
        <w:spacing w:after="0" w:line="276" w:lineRule="auto"/>
        <w:ind w:firstLine="1134"/>
        <w:jc w:val="both"/>
        <w:rPr>
          <w:sz w:val="24"/>
          <w:szCs w:val="24"/>
          <w:lang w:val="fr-FR"/>
        </w:rPr>
      </w:pPr>
      <w:r w:rsidRPr="00953692">
        <w:rPr>
          <w:b/>
          <w:bCs/>
          <w:sz w:val="24"/>
          <w:szCs w:val="24"/>
          <w:lang w:val="fr-FR"/>
        </w:rPr>
        <w:t>401</w:t>
      </w:r>
      <w:r w:rsidR="00BD2EB3" w:rsidRPr="00953692">
        <w:rPr>
          <w:b/>
          <w:bCs/>
          <w:sz w:val="24"/>
          <w:szCs w:val="24"/>
          <w:lang w:val="fr-FR"/>
        </w:rPr>
        <w:t>.</w:t>
      </w:r>
      <w:r w:rsidR="00BD2EB3" w:rsidRPr="00953692">
        <w:rPr>
          <w:sz w:val="24"/>
          <w:szCs w:val="24"/>
          <w:lang w:val="fr-FR"/>
        </w:rPr>
        <w:t xml:space="preserve"> </w:t>
      </w:r>
      <w:r w:rsidR="00674A6A" w:rsidRPr="00953692">
        <w:rPr>
          <w:sz w:val="24"/>
          <w:szCs w:val="24"/>
          <w:lang w:val="fr-FR"/>
        </w:rPr>
        <w:t>Il est vrai qu’en procédant à la suspension d’audience, la Chambre de première instance a eu en vue l’impossibilité de conduire le procès</w:t>
      </w:r>
      <w:r w:rsidR="002E42AE" w:rsidRPr="00953692">
        <w:rPr>
          <w:sz w:val="24"/>
          <w:szCs w:val="24"/>
          <w:lang w:val="fr-FR"/>
        </w:rPr>
        <w:t xml:space="preserve"> avec équité</w:t>
      </w:r>
      <w:r w:rsidR="00674A6A" w:rsidRPr="00953692">
        <w:rPr>
          <w:sz w:val="24"/>
          <w:szCs w:val="24"/>
          <w:lang w:val="fr-FR"/>
        </w:rPr>
        <w:t xml:space="preserve"> à l’égard de l’accusé</w:t>
      </w:r>
      <w:r w:rsidR="00E622A6" w:rsidRPr="00953692">
        <w:rPr>
          <w:rStyle w:val="Appelnotedebasdep"/>
          <w:sz w:val="24"/>
          <w:szCs w:val="24"/>
          <w:lang w:val="fr-FR"/>
        </w:rPr>
        <w:footnoteReference w:customMarkFollows="1" w:id="316"/>
        <w:t>291</w:t>
      </w:r>
      <w:r w:rsidR="00674A6A" w:rsidRPr="00953692">
        <w:rPr>
          <w:sz w:val="24"/>
          <w:szCs w:val="24"/>
          <w:lang w:val="fr-FR"/>
        </w:rPr>
        <w:t>, sans faire allusion à l’effet dilatoire de cette mesure. L’accusé, lui non plus</w:t>
      </w:r>
      <w:r w:rsidR="00637824" w:rsidRPr="00953692">
        <w:rPr>
          <w:sz w:val="24"/>
          <w:szCs w:val="24"/>
          <w:lang w:val="fr-FR"/>
        </w:rPr>
        <w:t xml:space="preserve"> </w:t>
      </w:r>
      <w:r w:rsidR="00637824" w:rsidRPr="00953692">
        <w:rPr>
          <w:sz w:val="24"/>
          <w:szCs w:val="24"/>
          <w:lang w:val="fr-FR"/>
        </w:rPr>
        <w:lastRenderedPageBreak/>
        <w:t>n’</w:t>
      </w:r>
      <w:r w:rsidR="00674A6A" w:rsidRPr="00953692">
        <w:rPr>
          <w:sz w:val="24"/>
          <w:szCs w:val="24"/>
          <w:lang w:val="fr-FR"/>
        </w:rPr>
        <w:t>a vu le danger</w:t>
      </w:r>
      <w:r w:rsidR="006D1D6F" w:rsidRPr="00953692">
        <w:rPr>
          <w:sz w:val="24"/>
          <w:szCs w:val="24"/>
          <w:lang w:val="fr-FR"/>
        </w:rPr>
        <w:t xml:space="preserve"> (le conflit)</w:t>
      </w:r>
      <w:r w:rsidR="00D96D87" w:rsidRPr="00953692">
        <w:rPr>
          <w:sz w:val="24"/>
          <w:szCs w:val="24"/>
          <w:lang w:val="fr-FR"/>
        </w:rPr>
        <w:t xml:space="preserve"> de cette suspension d’audience</w:t>
      </w:r>
      <w:r w:rsidR="00674A6A" w:rsidRPr="00953692">
        <w:rPr>
          <w:sz w:val="24"/>
          <w:szCs w:val="24"/>
          <w:lang w:val="fr-FR"/>
        </w:rPr>
        <w:t xml:space="preserve">, car visiblement enchanté par la </w:t>
      </w:r>
      <w:r w:rsidR="00D96D87" w:rsidRPr="00953692">
        <w:rPr>
          <w:sz w:val="24"/>
          <w:szCs w:val="24"/>
          <w:lang w:val="fr-FR"/>
        </w:rPr>
        <w:t>D</w:t>
      </w:r>
      <w:r w:rsidR="00674A6A" w:rsidRPr="00953692">
        <w:rPr>
          <w:sz w:val="24"/>
          <w:szCs w:val="24"/>
          <w:lang w:val="fr-FR"/>
        </w:rPr>
        <w:t>écision de la Chambre de le remettre en liberté</w:t>
      </w:r>
      <w:r w:rsidR="00E622A6" w:rsidRPr="00953692">
        <w:rPr>
          <w:rStyle w:val="Appelnotedebasdep"/>
          <w:sz w:val="24"/>
          <w:szCs w:val="24"/>
          <w:lang w:val="fr-FR"/>
        </w:rPr>
        <w:footnoteReference w:customMarkFollows="1" w:id="317"/>
        <w:t>292</w:t>
      </w:r>
      <w:r w:rsidR="00D96D87" w:rsidRPr="00953692">
        <w:rPr>
          <w:sz w:val="24"/>
          <w:szCs w:val="24"/>
          <w:lang w:val="fr-FR"/>
        </w:rPr>
        <w:t>, conséquemment à la d</w:t>
      </w:r>
      <w:r w:rsidR="006D1D6F" w:rsidRPr="00953692">
        <w:rPr>
          <w:sz w:val="24"/>
          <w:szCs w:val="24"/>
          <w:lang w:val="fr-FR"/>
        </w:rPr>
        <w:t>écision de suspendre l’audience. Car pour la Chambre d’appel, l’audience étant suspendue pour défaut de communication imputable au Procureur, l’accusé devait bénéficier d’une libération provisoire.</w:t>
      </w:r>
      <w:r w:rsidR="00674A6A" w:rsidRPr="00953692">
        <w:rPr>
          <w:sz w:val="24"/>
          <w:szCs w:val="24"/>
          <w:lang w:val="fr-FR"/>
        </w:rPr>
        <w:t xml:space="preserve"> Par contre, la Chambre d’appel</w:t>
      </w:r>
      <w:r w:rsidR="006D1D6F" w:rsidRPr="00953692">
        <w:rPr>
          <w:sz w:val="24"/>
          <w:szCs w:val="24"/>
          <w:lang w:val="fr-FR"/>
        </w:rPr>
        <w:t xml:space="preserve"> qui avait été </w:t>
      </w:r>
      <w:r w:rsidR="00674A6A" w:rsidRPr="00953692">
        <w:rPr>
          <w:sz w:val="24"/>
          <w:szCs w:val="24"/>
          <w:lang w:val="fr-FR"/>
        </w:rPr>
        <w:t>saisie par l’appel</w:t>
      </w:r>
      <w:r w:rsidR="006D1D6F" w:rsidRPr="00953692">
        <w:rPr>
          <w:sz w:val="24"/>
          <w:szCs w:val="24"/>
          <w:lang w:val="fr-FR"/>
        </w:rPr>
        <w:t xml:space="preserve"> interlocutoire</w:t>
      </w:r>
      <w:r w:rsidR="00674A6A" w:rsidRPr="00953692">
        <w:rPr>
          <w:sz w:val="24"/>
          <w:szCs w:val="24"/>
          <w:lang w:val="fr-FR"/>
        </w:rPr>
        <w:t xml:space="preserve"> du </w:t>
      </w:r>
      <w:r w:rsidR="006D1D6F" w:rsidRPr="00953692">
        <w:rPr>
          <w:sz w:val="24"/>
          <w:szCs w:val="24"/>
          <w:lang w:val="fr-FR"/>
        </w:rPr>
        <w:t>P</w:t>
      </w:r>
      <w:r w:rsidR="00674A6A" w:rsidRPr="00953692">
        <w:rPr>
          <w:sz w:val="24"/>
          <w:szCs w:val="24"/>
          <w:lang w:val="fr-FR"/>
        </w:rPr>
        <w:t>rocureur</w:t>
      </w:r>
      <w:r w:rsidR="006D1D6F" w:rsidRPr="00953692">
        <w:rPr>
          <w:sz w:val="24"/>
          <w:szCs w:val="24"/>
          <w:lang w:val="fr-FR"/>
        </w:rPr>
        <w:t>,</w:t>
      </w:r>
      <w:r w:rsidR="00674A6A" w:rsidRPr="00953692">
        <w:rPr>
          <w:sz w:val="24"/>
          <w:szCs w:val="24"/>
          <w:lang w:val="fr-FR"/>
        </w:rPr>
        <w:t xml:space="preserve"> qui reprochait à la Chambre de première instance une décision excessive et prématuré</w:t>
      </w:r>
      <w:r w:rsidR="006D1D6F" w:rsidRPr="00953692">
        <w:rPr>
          <w:sz w:val="24"/>
          <w:szCs w:val="24"/>
          <w:lang w:val="fr-FR"/>
        </w:rPr>
        <w:t>e</w:t>
      </w:r>
      <w:r w:rsidR="00E622A6" w:rsidRPr="00953692">
        <w:rPr>
          <w:rStyle w:val="Appelnotedebasdep"/>
          <w:sz w:val="24"/>
          <w:szCs w:val="24"/>
          <w:lang w:val="fr-FR"/>
        </w:rPr>
        <w:footnoteReference w:customMarkFollows="1" w:id="318"/>
        <w:t>293</w:t>
      </w:r>
      <w:r w:rsidR="00674A6A" w:rsidRPr="00953692">
        <w:rPr>
          <w:sz w:val="24"/>
          <w:szCs w:val="24"/>
          <w:lang w:val="fr-FR"/>
        </w:rPr>
        <w:t xml:space="preserve">, </w:t>
      </w:r>
      <w:r w:rsidR="009A7637" w:rsidRPr="00953692">
        <w:rPr>
          <w:sz w:val="24"/>
          <w:szCs w:val="24"/>
          <w:lang w:val="fr-FR"/>
        </w:rPr>
        <w:t xml:space="preserve">a </w:t>
      </w:r>
      <w:r w:rsidR="006D1D6F" w:rsidRPr="00953692">
        <w:rPr>
          <w:sz w:val="24"/>
          <w:szCs w:val="24"/>
          <w:lang w:val="fr-FR"/>
        </w:rPr>
        <w:t xml:space="preserve">bien </w:t>
      </w:r>
      <w:r w:rsidR="009A7637" w:rsidRPr="00953692">
        <w:rPr>
          <w:sz w:val="24"/>
          <w:szCs w:val="24"/>
          <w:lang w:val="fr-FR"/>
        </w:rPr>
        <w:t xml:space="preserve">pu voir </w:t>
      </w:r>
      <w:r w:rsidR="006D1D6F" w:rsidRPr="00953692">
        <w:rPr>
          <w:sz w:val="24"/>
          <w:szCs w:val="24"/>
          <w:lang w:val="fr-FR"/>
        </w:rPr>
        <w:t xml:space="preserve">subtilement </w:t>
      </w:r>
      <w:r w:rsidR="009A7637" w:rsidRPr="00953692">
        <w:rPr>
          <w:sz w:val="24"/>
          <w:szCs w:val="24"/>
          <w:lang w:val="fr-FR"/>
        </w:rPr>
        <w:t xml:space="preserve">les conséquences d’une telle décision </w:t>
      </w:r>
      <w:r w:rsidR="006D1D6F" w:rsidRPr="00953692">
        <w:rPr>
          <w:sz w:val="24"/>
          <w:szCs w:val="24"/>
          <w:lang w:val="fr-FR"/>
        </w:rPr>
        <w:t xml:space="preserve">(de </w:t>
      </w:r>
      <w:r w:rsidRPr="00953692">
        <w:rPr>
          <w:sz w:val="24"/>
          <w:szCs w:val="24"/>
          <w:lang w:val="fr-FR"/>
        </w:rPr>
        <w:t>suspension</w:t>
      </w:r>
      <w:r w:rsidR="006D1D6F" w:rsidRPr="00953692">
        <w:rPr>
          <w:sz w:val="24"/>
          <w:szCs w:val="24"/>
          <w:lang w:val="fr-FR"/>
        </w:rPr>
        <w:t xml:space="preserve">) </w:t>
      </w:r>
      <w:r w:rsidR="009A7637" w:rsidRPr="00953692">
        <w:rPr>
          <w:sz w:val="24"/>
          <w:szCs w:val="24"/>
          <w:lang w:val="fr-FR"/>
        </w:rPr>
        <w:t>sur la durée globale de l’instance</w:t>
      </w:r>
      <w:r w:rsidR="006D1D6F" w:rsidRPr="00953692">
        <w:rPr>
          <w:sz w:val="24"/>
          <w:szCs w:val="24"/>
          <w:lang w:val="fr-FR"/>
        </w:rPr>
        <w:t xml:space="preserve"> et particulièrement, sur le droit de l’accusé lui-même d’être jugé sans retard excessif.</w:t>
      </w:r>
    </w:p>
    <w:p w14:paraId="3EAAF407" w14:textId="154FF9F4" w:rsidR="00964F9C" w:rsidRPr="00953692" w:rsidRDefault="009A273B" w:rsidP="00864BBF">
      <w:pPr>
        <w:spacing w:after="0" w:line="276" w:lineRule="auto"/>
        <w:ind w:firstLine="1134"/>
        <w:jc w:val="both"/>
        <w:rPr>
          <w:sz w:val="24"/>
          <w:szCs w:val="24"/>
          <w:lang w:val="fr-FR"/>
        </w:rPr>
      </w:pPr>
      <w:r w:rsidRPr="00953692">
        <w:rPr>
          <w:b/>
          <w:bCs/>
          <w:sz w:val="24"/>
          <w:szCs w:val="24"/>
          <w:lang w:val="fr-FR"/>
        </w:rPr>
        <w:t>40</w:t>
      </w:r>
      <w:r w:rsidR="001E0FAD" w:rsidRPr="00953692">
        <w:rPr>
          <w:b/>
          <w:bCs/>
          <w:sz w:val="24"/>
          <w:szCs w:val="24"/>
          <w:lang w:val="fr-FR"/>
        </w:rPr>
        <w:t>2.</w:t>
      </w:r>
      <w:r w:rsidR="001E0FAD" w:rsidRPr="00953692">
        <w:rPr>
          <w:sz w:val="24"/>
          <w:szCs w:val="24"/>
          <w:lang w:val="fr-FR"/>
        </w:rPr>
        <w:t xml:space="preserve"> </w:t>
      </w:r>
      <w:r w:rsidR="009A7637" w:rsidRPr="00953692">
        <w:rPr>
          <w:sz w:val="24"/>
          <w:szCs w:val="24"/>
          <w:lang w:val="fr-FR"/>
        </w:rPr>
        <w:t>D’abord, la Chambre d’appel reconnait que « le refus du Procureur de se conformer aux ordonnances de la Chambre de première instance ou de s’estimer lié par celles-ci a pesé sur une grande partie du procès et a soulevé des questions d’équité fondamentale du procès. Il a compromis non seulement le droit de Thomas Lubanga Dyilo à être jugé sans retard excessif, mais aussi l’équité de la procédure dans son ensemble »</w:t>
      </w:r>
      <w:r w:rsidR="00E622A6" w:rsidRPr="00953692">
        <w:rPr>
          <w:rStyle w:val="Appelnotedebasdep"/>
          <w:sz w:val="24"/>
          <w:szCs w:val="24"/>
          <w:lang w:val="fr-FR"/>
        </w:rPr>
        <w:footnoteReference w:customMarkFollows="1" w:id="319"/>
        <w:t>294</w:t>
      </w:r>
      <w:r w:rsidR="009A7637" w:rsidRPr="00953692">
        <w:rPr>
          <w:sz w:val="24"/>
          <w:szCs w:val="24"/>
          <w:lang w:val="fr-FR"/>
        </w:rPr>
        <w:t>.</w:t>
      </w:r>
      <w:r w:rsidR="00F63BF1" w:rsidRPr="00953692">
        <w:rPr>
          <w:sz w:val="24"/>
          <w:szCs w:val="24"/>
          <w:lang w:val="fr-FR"/>
        </w:rPr>
        <w:t xml:space="preserve"> </w:t>
      </w:r>
      <w:r w:rsidR="00456C7D" w:rsidRPr="00953692">
        <w:rPr>
          <w:sz w:val="24"/>
          <w:szCs w:val="24"/>
          <w:lang w:val="fr-FR"/>
        </w:rPr>
        <w:t xml:space="preserve">Il y a dans cette conclusion de la Chambre d’appel une preuve palpable que le défaut du Procureur de communiquer </w:t>
      </w:r>
      <w:r w:rsidRPr="00953692">
        <w:rPr>
          <w:sz w:val="24"/>
          <w:szCs w:val="24"/>
          <w:lang w:val="fr-FR"/>
        </w:rPr>
        <w:t>quand</w:t>
      </w:r>
      <w:r w:rsidR="00456C7D" w:rsidRPr="00953692">
        <w:rPr>
          <w:sz w:val="24"/>
          <w:szCs w:val="24"/>
          <w:lang w:val="fr-FR"/>
        </w:rPr>
        <w:t xml:space="preserve"> il en a l’obligation est susceptible d’empêcher à l’accusé de bénéficier d’un procès rapide.</w:t>
      </w:r>
    </w:p>
    <w:p w14:paraId="616EFD94" w14:textId="47819DF9" w:rsidR="009A7637" w:rsidRPr="00953692" w:rsidRDefault="009A273B" w:rsidP="00864BBF">
      <w:pPr>
        <w:spacing w:after="0" w:line="276" w:lineRule="auto"/>
        <w:ind w:firstLine="1134"/>
        <w:jc w:val="both"/>
        <w:rPr>
          <w:sz w:val="24"/>
          <w:szCs w:val="24"/>
          <w:lang w:val="fr-FR"/>
        </w:rPr>
      </w:pPr>
      <w:r w:rsidRPr="00953692">
        <w:rPr>
          <w:b/>
          <w:bCs/>
          <w:sz w:val="24"/>
          <w:szCs w:val="24"/>
          <w:lang w:val="fr-FR"/>
        </w:rPr>
        <w:t>403</w:t>
      </w:r>
      <w:r w:rsidR="00456C7D" w:rsidRPr="00953692">
        <w:rPr>
          <w:b/>
          <w:bCs/>
          <w:sz w:val="24"/>
          <w:szCs w:val="24"/>
          <w:lang w:val="fr-FR"/>
        </w:rPr>
        <w:t>.</w:t>
      </w:r>
      <w:r w:rsidR="00456C7D" w:rsidRPr="00953692">
        <w:rPr>
          <w:sz w:val="24"/>
          <w:szCs w:val="24"/>
          <w:lang w:val="fr-FR"/>
        </w:rPr>
        <w:t xml:space="preserve"> </w:t>
      </w:r>
      <w:r w:rsidR="00F63BF1" w:rsidRPr="00953692">
        <w:rPr>
          <w:sz w:val="24"/>
          <w:szCs w:val="24"/>
          <w:lang w:val="fr-FR"/>
        </w:rPr>
        <w:t xml:space="preserve">Ensuite, elle a fustigé la </w:t>
      </w:r>
      <w:r w:rsidR="004F0C53" w:rsidRPr="00953692">
        <w:rPr>
          <w:sz w:val="24"/>
          <w:szCs w:val="24"/>
          <w:lang w:val="fr-FR"/>
        </w:rPr>
        <w:t>D</w:t>
      </w:r>
      <w:r w:rsidR="00F63BF1" w:rsidRPr="00953692">
        <w:rPr>
          <w:sz w:val="24"/>
          <w:szCs w:val="24"/>
          <w:lang w:val="fr-FR"/>
        </w:rPr>
        <w:t xml:space="preserve">écision de suspendre l’instance en ce qu’elle n’était pas dans l’intérêt non seulement des victimes et de la </w:t>
      </w:r>
      <w:r w:rsidR="004F0C53" w:rsidRPr="00953692">
        <w:rPr>
          <w:sz w:val="24"/>
          <w:szCs w:val="24"/>
          <w:lang w:val="fr-FR"/>
        </w:rPr>
        <w:t>C</w:t>
      </w:r>
      <w:r w:rsidR="00F63BF1" w:rsidRPr="00953692">
        <w:rPr>
          <w:sz w:val="24"/>
          <w:szCs w:val="24"/>
          <w:lang w:val="fr-FR"/>
        </w:rPr>
        <w:t xml:space="preserve">ommunauté internationale, mais non plus de l’accusé. </w:t>
      </w:r>
      <w:r w:rsidR="004F0C53" w:rsidRPr="00953692">
        <w:rPr>
          <w:sz w:val="24"/>
          <w:szCs w:val="24"/>
          <w:lang w:val="fr-FR"/>
        </w:rPr>
        <w:t>La Chambre d’appel fait alors de la durée ou de la conduite rapide du procès un intérêt commun de toutes les parties prenantes au procès. En plus, l</w:t>
      </w:r>
      <w:r w:rsidR="00F63BF1" w:rsidRPr="00953692">
        <w:rPr>
          <w:sz w:val="24"/>
          <w:szCs w:val="24"/>
          <w:lang w:val="fr-FR"/>
        </w:rPr>
        <w:t xml:space="preserve">e raisonnement de la Chambre d’appel a été beaucoup plus subtile en ce qui concerne la notion du temps vis-à-vis </w:t>
      </w:r>
      <w:r w:rsidR="004F0C53" w:rsidRPr="00953692">
        <w:rPr>
          <w:sz w:val="24"/>
          <w:szCs w:val="24"/>
          <w:lang w:val="fr-FR"/>
        </w:rPr>
        <w:t xml:space="preserve">particulièrement </w:t>
      </w:r>
      <w:r w:rsidR="00F63BF1" w:rsidRPr="00953692">
        <w:rPr>
          <w:sz w:val="24"/>
          <w:szCs w:val="24"/>
          <w:lang w:val="fr-FR"/>
        </w:rPr>
        <w:t xml:space="preserve">de l’accusé. </w:t>
      </w:r>
      <w:r w:rsidR="0015772A" w:rsidRPr="00953692">
        <w:rPr>
          <w:sz w:val="24"/>
          <w:szCs w:val="24"/>
          <w:lang w:val="fr-FR"/>
        </w:rPr>
        <w:t>Pour la Chambre</w:t>
      </w:r>
      <w:r w:rsidR="00AF66A6" w:rsidRPr="00953692">
        <w:rPr>
          <w:sz w:val="24"/>
          <w:szCs w:val="24"/>
          <w:lang w:val="fr-FR"/>
        </w:rPr>
        <w:t xml:space="preserve"> d’appel</w:t>
      </w:r>
      <w:r w:rsidR="0015772A" w:rsidRPr="00953692">
        <w:rPr>
          <w:sz w:val="24"/>
          <w:szCs w:val="24"/>
          <w:lang w:val="fr-FR"/>
        </w:rPr>
        <w:t xml:space="preserve">, la suspension de l’instance n’est pas bénéfique à l’accusé puisqu’elle ne l’acquitte pas. Par contre, elle le place </w:t>
      </w:r>
      <w:r w:rsidR="009505DE" w:rsidRPr="00953692">
        <w:rPr>
          <w:sz w:val="24"/>
          <w:szCs w:val="24"/>
          <w:lang w:val="fr-FR"/>
        </w:rPr>
        <w:t>« </w:t>
      </w:r>
      <w:r w:rsidR="0015772A" w:rsidRPr="00953692">
        <w:rPr>
          <w:sz w:val="24"/>
          <w:szCs w:val="24"/>
          <w:lang w:val="fr-FR"/>
        </w:rPr>
        <w:t>dans les limbes en attendant que la Cour pénale internationale ou une autre juridiction</w:t>
      </w:r>
      <w:r w:rsidR="00AF66A6" w:rsidRPr="00953692">
        <w:rPr>
          <w:sz w:val="24"/>
          <w:szCs w:val="24"/>
          <w:lang w:val="fr-FR"/>
        </w:rPr>
        <w:t xml:space="preserve"> compétente</w:t>
      </w:r>
      <w:r w:rsidR="0015772A" w:rsidRPr="00953692">
        <w:rPr>
          <w:sz w:val="24"/>
          <w:szCs w:val="24"/>
          <w:lang w:val="fr-FR"/>
        </w:rPr>
        <w:t xml:space="preserve"> rende une décision au fond concernant son affaire</w:t>
      </w:r>
      <w:r w:rsidR="009505DE" w:rsidRPr="00953692">
        <w:rPr>
          <w:sz w:val="24"/>
          <w:szCs w:val="24"/>
          <w:lang w:val="fr-FR"/>
        </w:rPr>
        <w:t> »</w:t>
      </w:r>
      <w:r w:rsidR="00E622A6" w:rsidRPr="00953692">
        <w:rPr>
          <w:rStyle w:val="Appelnotedebasdep"/>
          <w:sz w:val="24"/>
          <w:szCs w:val="24"/>
          <w:lang w:val="fr-FR"/>
        </w:rPr>
        <w:footnoteReference w:customMarkFollows="1" w:id="320"/>
        <w:t>295</w:t>
      </w:r>
      <w:r w:rsidR="0015772A" w:rsidRPr="00953692">
        <w:rPr>
          <w:sz w:val="24"/>
          <w:szCs w:val="24"/>
          <w:lang w:val="fr-FR"/>
        </w:rPr>
        <w:t>.</w:t>
      </w:r>
    </w:p>
    <w:p w14:paraId="3133067C" w14:textId="34C698A8" w:rsidR="00723B86" w:rsidRPr="00953692" w:rsidRDefault="009A273B" w:rsidP="00864BBF">
      <w:pPr>
        <w:spacing w:after="0" w:line="276" w:lineRule="auto"/>
        <w:ind w:firstLine="1134"/>
        <w:jc w:val="both"/>
        <w:rPr>
          <w:sz w:val="24"/>
          <w:szCs w:val="24"/>
          <w:lang w:val="fr-FR"/>
        </w:rPr>
      </w:pPr>
      <w:r w:rsidRPr="00953692">
        <w:rPr>
          <w:b/>
          <w:bCs/>
          <w:sz w:val="24"/>
          <w:szCs w:val="24"/>
          <w:lang w:val="fr-FR"/>
        </w:rPr>
        <w:t>404</w:t>
      </w:r>
      <w:r w:rsidR="00E80AA8" w:rsidRPr="00953692">
        <w:rPr>
          <w:b/>
          <w:bCs/>
          <w:sz w:val="24"/>
          <w:szCs w:val="24"/>
          <w:lang w:val="fr-FR"/>
        </w:rPr>
        <w:t xml:space="preserve">. </w:t>
      </w:r>
      <w:r w:rsidR="00637824" w:rsidRPr="00953692">
        <w:rPr>
          <w:sz w:val="24"/>
          <w:szCs w:val="24"/>
          <w:lang w:val="fr-FR"/>
        </w:rPr>
        <w:t xml:space="preserve">Cette interprétation de la Chambre d’appel est pratiquement intéressante dans la perception du temps en procédure pénale, notamment à l’égard de l’accusé que le </w:t>
      </w:r>
      <w:r w:rsidR="00637824" w:rsidRPr="00953692">
        <w:rPr>
          <w:sz w:val="24"/>
          <w:szCs w:val="24"/>
          <w:lang w:val="fr-FR"/>
        </w:rPr>
        <w:lastRenderedPageBreak/>
        <w:t xml:space="preserve">droit d’être jugé sans retard excessif tient à protéger. L’accusé doit trouver intérêt à ce que son affaire </w:t>
      </w:r>
      <w:r w:rsidR="00E80AA8" w:rsidRPr="00953692">
        <w:rPr>
          <w:sz w:val="24"/>
          <w:szCs w:val="24"/>
          <w:lang w:val="fr-FR"/>
        </w:rPr>
        <w:t>soit jugé rapidement afin que son innocence, dans le cas où il ne plaide pas coupable, soit établie urbi et orbi par la justice pénale internationale</w:t>
      </w:r>
      <w:r w:rsidR="00723B86" w:rsidRPr="00953692">
        <w:rPr>
          <w:sz w:val="24"/>
          <w:szCs w:val="24"/>
          <w:lang w:val="fr-FR"/>
        </w:rPr>
        <w:t> ;</w:t>
      </w:r>
      <w:r w:rsidR="00E80AA8" w:rsidRPr="00953692">
        <w:rPr>
          <w:sz w:val="24"/>
          <w:szCs w:val="24"/>
          <w:lang w:val="fr-FR"/>
        </w:rPr>
        <w:t xml:space="preserve"> ce qui le protégerait juridiquement contre les nouvelles ou éventuelles poursuites (Ne in bis idem).</w:t>
      </w:r>
    </w:p>
    <w:p w14:paraId="57983E43" w14:textId="515BCE3C" w:rsidR="004312E5" w:rsidRPr="00953692" w:rsidRDefault="009A273B" w:rsidP="00864BBF">
      <w:pPr>
        <w:spacing w:after="0" w:line="276" w:lineRule="auto"/>
        <w:ind w:firstLine="1134"/>
        <w:jc w:val="both"/>
        <w:rPr>
          <w:sz w:val="24"/>
          <w:szCs w:val="24"/>
          <w:lang w:val="fr-FR"/>
        </w:rPr>
      </w:pPr>
      <w:r w:rsidRPr="00953692">
        <w:rPr>
          <w:b/>
          <w:bCs/>
          <w:sz w:val="24"/>
          <w:szCs w:val="24"/>
          <w:lang w:val="fr-FR"/>
        </w:rPr>
        <w:t>405</w:t>
      </w:r>
      <w:r w:rsidR="00723B86" w:rsidRPr="00953692">
        <w:rPr>
          <w:b/>
          <w:bCs/>
          <w:sz w:val="24"/>
          <w:szCs w:val="24"/>
          <w:lang w:val="fr-FR"/>
        </w:rPr>
        <w:t>.</w:t>
      </w:r>
      <w:r w:rsidR="00723B86" w:rsidRPr="00953692">
        <w:rPr>
          <w:sz w:val="24"/>
          <w:szCs w:val="24"/>
          <w:lang w:val="fr-FR"/>
        </w:rPr>
        <w:t xml:space="preserve"> </w:t>
      </w:r>
      <w:r w:rsidR="00E80AA8" w:rsidRPr="00953692">
        <w:rPr>
          <w:sz w:val="24"/>
          <w:szCs w:val="24"/>
          <w:lang w:val="fr-FR"/>
        </w:rPr>
        <w:t>En outre, concernant la Chambre de première instance, l</w:t>
      </w:r>
      <w:r w:rsidR="00BF425E" w:rsidRPr="00953692">
        <w:rPr>
          <w:sz w:val="24"/>
          <w:szCs w:val="24"/>
          <w:lang w:val="fr-FR"/>
        </w:rPr>
        <w:t>a Chambre d’appel montre à cet effet la nécessité de ménager à la fois l’équité et la rapidité de la procédure dans le cadre de cette confrontation des droits de l’accusé.</w:t>
      </w:r>
      <w:r w:rsidR="00723B86" w:rsidRPr="00953692">
        <w:rPr>
          <w:sz w:val="24"/>
          <w:szCs w:val="24"/>
          <w:lang w:val="fr-FR"/>
        </w:rPr>
        <w:t xml:space="preserve"> </w:t>
      </w:r>
      <w:r w:rsidR="004312E5" w:rsidRPr="00953692">
        <w:rPr>
          <w:sz w:val="24"/>
          <w:szCs w:val="24"/>
          <w:lang w:val="fr-FR"/>
        </w:rPr>
        <w:t>La suspension de l’instance comme mesure ne fait que désavantager un autre aspect du procès, qui est d’ailleurs en soi une partie d</w:t>
      </w:r>
      <w:r w:rsidR="00AC633F" w:rsidRPr="00953692">
        <w:rPr>
          <w:sz w:val="24"/>
          <w:szCs w:val="24"/>
          <w:lang w:val="fr-FR"/>
        </w:rPr>
        <w:t>u</w:t>
      </w:r>
      <w:r w:rsidR="004312E5" w:rsidRPr="00953692">
        <w:rPr>
          <w:sz w:val="24"/>
          <w:szCs w:val="24"/>
          <w:lang w:val="fr-FR"/>
        </w:rPr>
        <w:t xml:space="preserve"> procès équitable.</w:t>
      </w:r>
      <w:r w:rsidR="00BF425E" w:rsidRPr="00953692">
        <w:rPr>
          <w:sz w:val="24"/>
          <w:szCs w:val="24"/>
          <w:lang w:val="fr-FR"/>
        </w:rPr>
        <w:t xml:space="preserve"> </w:t>
      </w:r>
      <w:r w:rsidR="004312E5" w:rsidRPr="00953692">
        <w:rPr>
          <w:sz w:val="24"/>
          <w:szCs w:val="24"/>
          <w:lang w:val="fr-FR"/>
        </w:rPr>
        <w:t xml:space="preserve">C’est plutôt dans cette logique qu’elle a infirmé la Décision attaquée, estimant que la Chambre de première instance n’avait pas perdu le contrôle sur </w:t>
      </w:r>
      <w:r w:rsidR="009A7637" w:rsidRPr="00953692">
        <w:rPr>
          <w:sz w:val="24"/>
          <w:szCs w:val="24"/>
          <w:lang w:val="fr-FR"/>
        </w:rPr>
        <w:t>un aspect si important et fondamental de la procédure en raison du refus du Procureur d’exécuter ses ordonnances</w:t>
      </w:r>
      <w:r w:rsidR="004312E5" w:rsidRPr="00953692">
        <w:rPr>
          <w:sz w:val="24"/>
          <w:szCs w:val="24"/>
          <w:lang w:val="fr-FR"/>
        </w:rPr>
        <w:t>.</w:t>
      </w:r>
      <w:r w:rsidR="009A7637" w:rsidRPr="00953692">
        <w:rPr>
          <w:sz w:val="24"/>
          <w:szCs w:val="24"/>
          <w:lang w:val="fr-FR"/>
        </w:rPr>
        <w:t xml:space="preserve"> </w:t>
      </w:r>
      <w:r w:rsidR="004312E5" w:rsidRPr="00953692">
        <w:rPr>
          <w:sz w:val="24"/>
          <w:szCs w:val="24"/>
          <w:lang w:val="fr-FR"/>
        </w:rPr>
        <w:t xml:space="preserve">Selon elle, la Chambre de première instance devait recourir </w:t>
      </w:r>
      <w:r w:rsidR="00543F62" w:rsidRPr="00953692">
        <w:rPr>
          <w:sz w:val="24"/>
          <w:szCs w:val="24"/>
          <w:lang w:val="fr-FR"/>
        </w:rPr>
        <w:t>à l’article 71 du statut de Rome pour sanctionner le refus d’obtempérer à ses instructions</w:t>
      </w:r>
      <w:r w:rsidR="00E622A6" w:rsidRPr="00953692">
        <w:rPr>
          <w:rStyle w:val="Appelnotedebasdep"/>
          <w:sz w:val="24"/>
          <w:szCs w:val="24"/>
          <w:lang w:val="fr-FR"/>
        </w:rPr>
        <w:footnoteReference w:customMarkFollows="1" w:id="321"/>
        <w:t>296</w:t>
      </w:r>
      <w:r w:rsidR="00543F62" w:rsidRPr="00953692">
        <w:rPr>
          <w:sz w:val="24"/>
          <w:szCs w:val="24"/>
          <w:lang w:val="fr-FR"/>
        </w:rPr>
        <w:t>.</w:t>
      </w:r>
    </w:p>
    <w:p w14:paraId="28778B02" w14:textId="2B27E6B8" w:rsidR="00010F45" w:rsidRPr="00953692" w:rsidRDefault="009A273B" w:rsidP="00864BBF">
      <w:pPr>
        <w:spacing w:after="0" w:line="276" w:lineRule="auto"/>
        <w:ind w:firstLine="1134"/>
        <w:jc w:val="both"/>
        <w:rPr>
          <w:sz w:val="24"/>
          <w:szCs w:val="24"/>
          <w:lang w:val="fr-FR"/>
        </w:rPr>
      </w:pPr>
      <w:r w:rsidRPr="00953692">
        <w:rPr>
          <w:b/>
          <w:bCs/>
          <w:sz w:val="24"/>
          <w:szCs w:val="24"/>
          <w:lang w:val="fr-FR"/>
        </w:rPr>
        <w:t>406</w:t>
      </w:r>
      <w:r w:rsidR="00AC633F" w:rsidRPr="00953692">
        <w:rPr>
          <w:b/>
          <w:bCs/>
          <w:sz w:val="24"/>
          <w:szCs w:val="24"/>
          <w:lang w:val="fr-FR"/>
        </w:rPr>
        <w:t xml:space="preserve">. </w:t>
      </w:r>
      <w:r w:rsidR="008048DF" w:rsidRPr="00953692">
        <w:rPr>
          <w:sz w:val="24"/>
          <w:szCs w:val="24"/>
          <w:lang w:val="fr-FR"/>
        </w:rPr>
        <w:t>Il ressort du raisonnement de la Chambre d’Appel, que la suspension d’instance pour défaut de communication conflictualise ces deux prérogatives</w:t>
      </w:r>
      <w:r w:rsidR="00AA6714" w:rsidRPr="00953692">
        <w:rPr>
          <w:sz w:val="24"/>
          <w:szCs w:val="24"/>
          <w:lang w:val="fr-FR"/>
        </w:rPr>
        <w:t>, par le fait que le procès devra alors durer beaucoup plus longtemps que si l’instance n’avait pas été suspendue.</w:t>
      </w:r>
      <w:r w:rsidR="002E42AE" w:rsidRPr="00953692">
        <w:rPr>
          <w:sz w:val="24"/>
          <w:szCs w:val="24"/>
          <w:lang w:val="fr-FR"/>
        </w:rPr>
        <w:t xml:space="preserve"> Mais la Chambre d’Appel est allée plus loin en</w:t>
      </w:r>
      <w:r w:rsidR="00AA6714" w:rsidRPr="00953692">
        <w:rPr>
          <w:sz w:val="24"/>
          <w:szCs w:val="24"/>
          <w:lang w:val="fr-FR"/>
        </w:rPr>
        <w:t xml:space="preserve"> </w:t>
      </w:r>
      <w:r w:rsidR="002E42AE" w:rsidRPr="00953692">
        <w:rPr>
          <w:sz w:val="24"/>
          <w:szCs w:val="24"/>
          <w:lang w:val="fr-FR"/>
        </w:rPr>
        <w:t>estimant que la suspension d’audience</w:t>
      </w:r>
      <w:r w:rsidR="00794BB9" w:rsidRPr="00953692">
        <w:rPr>
          <w:sz w:val="24"/>
          <w:szCs w:val="24"/>
          <w:lang w:val="fr-FR"/>
        </w:rPr>
        <w:t>,</w:t>
      </w:r>
      <w:r w:rsidR="002E42AE" w:rsidRPr="00953692">
        <w:rPr>
          <w:sz w:val="24"/>
          <w:szCs w:val="24"/>
          <w:lang w:val="fr-FR"/>
        </w:rPr>
        <w:t xml:space="preserve"> renvoy</w:t>
      </w:r>
      <w:r w:rsidR="00794BB9" w:rsidRPr="00953692">
        <w:rPr>
          <w:sz w:val="24"/>
          <w:szCs w:val="24"/>
          <w:lang w:val="fr-FR"/>
        </w:rPr>
        <w:t>ée</w:t>
      </w:r>
      <w:r w:rsidR="002E42AE" w:rsidRPr="00953692">
        <w:rPr>
          <w:sz w:val="24"/>
          <w:szCs w:val="24"/>
          <w:lang w:val="fr-FR"/>
        </w:rPr>
        <w:t xml:space="preserve"> sine die le sort à réserver à l’accusé relativement aux accusations portées contre lui. La suspension qui ne règle pourtant pas le problème de fond n’ôte donc pas à l’accusé </w:t>
      </w:r>
      <w:r w:rsidR="00A54AD0" w:rsidRPr="00953692">
        <w:rPr>
          <w:sz w:val="24"/>
          <w:szCs w:val="24"/>
          <w:lang w:val="fr-FR"/>
        </w:rPr>
        <w:t>sa</w:t>
      </w:r>
      <w:r w:rsidR="002E42AE" w:rsidRPr="00953692">
        <w:rPr>
          <w:sz w:val="24"/>
          <w:szCs w:val="24"/>
          <w:lang w:val="fr-FR"/>
        </w:rPr>
        <w:t xml:space="preserve"> chape de plomb.</w:t>
      </w:r>
      <w:r w:rsidR="00265F38" w:rsidRPr="00953692">
        <w:rPr>
          <w:sz w:val="24"/>
          <w:szCs w:val="24"/>
          <w:lang w:val="fr-FR"/>
        </w:rPr>
        <w:t xml:space="preserve"> Or, la célérité de la procédure</w:t>
      </w:r>
      <w:r w:rsidR="0073394B" w:rsidRPr="00953692">
        <w:rPr>
          <w:sz w:val="24"/>
          <w:szCs w:val="24"/>
          <w:lang w:val="fr-FR"/>
        </w:rPr>
        <w:t>,</w:t>
      </w:r>
      <w:r w:rsidR="00265F38" w:rsidRPr="00953692">
        <w:rPr>
          <w:sz w:val="24"/>
          <w:szCs w:val="24"/>
          <w:lang w:val="fr-FR"/>
        </w:rPr>
        <w:t xml:space="preserve"> qui implique le délai raisonnable</w:t>
      </w:r>
      <w:r w:rsidR="0073394B" w:rsidRPr="00953692">
        <w:rPr>
          <w:sz w:val="24"/>
          <w:szCs w:val="24"/>
          <w:lang w:val="fr-FR"/>
        </w:rPr>
        <w:t>,</w:t>
      </w:r>
      <w:r w:rsidR="00265F38" w:rsidRPr="00953692">
        <w:rPr>
          <w:sz w:val="24"/>
          <w:szCs w:val="24"/>
          <w:lang w:val="fr-FR"/>
        </w:rPr>
        <w:t xml:space="preserve"> suggère que le procès se déroule dans un temps limité afin de solutionner tous les problèmes conséquents, y compris le sort de la personne accusé</w:t>
      </w:r>
      <w:r w:rsidR="005148B4" w:rsidRPr="00953692">
        <w:rPr>
          <w:sz w:val="24"/>
          <w:szCs w:val="24"/>
          <w:lang w:val="fr-FR"/>
        </w:rPr>
        <w:t>e</w:t>
      </w:r>
      <w:r w:rsidR="00265F38" w:rsidRPr="00953692">
        <w:rPr>
          <w:sz w:val="24"/>
          <w:szCs w:val="24"/>
          <w:lang w:val="fr-FR"/>
        </w:rPr>
        <w:t>, qui reste quand-même la principale préoccupation de tout procès pénal.</w:t>
      </w:r>
    </w:p>
    <w:p w14:paraId="15F05CC0" w14:textId="00531939" w:rsidR="00AC633F" w:rsidRPr="00953692" w:rsidRDefault="009A273B" w:rsidP="00864BBF">
      <w:pPr>
        <w:spacing w:after="0" w:line="276" w:lineRule="auto"/>
        <w:ind w:firstLine="1134"/>
        <w:jc w:val="both"/>
        <w:rPr>
          <w:sz w:val="24"/>
          <w:szCs w:val="24"/>
          <w:lang w:val="fr-FR"/>
        </w:rPr>
      </w:pPr>
      <w:r w:rsidRPr="00953692">
        <w:rPr>
          <w:b/>
          <w:bCs/>
          <w:sz w:val="24"/>
          <w:szCs w:val="24"/>
          <w:lang w:val="fr-FR"/>
        </w:rPr>
        <w:t>407</w:t>
      </w:r>
      <w:r w:rsidR="00010F45" w:rsidRPr="00953692">
        <w:rPr>
          <w:b/>
          <w:bCs/>
          <w:sz w:val="24"/>
          <w:szCs w:val="24"/>
          <w:lang w:val="fr-FR"/>
        </w:rPr>
        <w:t>.</w:t>
      </w:r>
      <w:r w:rsidR="00010F45" w:rsidRPr="00953692">
        <w:rPr>
          <w:sz w:val="24"/>
          <w:szCs w:val="24"/>
          <w:lang w:val="fr-FR"/>
        </w:rPr>
        <w:t xml:space="preserve"> Il est à noter que, d</w:t>
      </w:r>
      <w:r w:rsidR="00265F38" w:rsidRPr="00953692">
        <w:rPr>
          <w:sz w:val="24"/>
          <w:szCs w:val="24"/>
          <w:lang w:val="fr-FR"/>
        </w:rPr>
        <w:t>ans cette affaire</w:t>
      </w:r>
      <w:r w:rsidR="00010F45" w:rsidRPr="00953692">
        <w:rPr>
          <w:sz w:val="24"/>
          <w:szCs w:val="24"/>
          <w:lang w:val="fr-FR"/>
        </w:rPr>
        <w:t xml:space="preserve"> devant la CPI</w:t>
      </w:r>
      <w:r w:rsidR="00265F38" w:rsidRPr="00953692">
        <w:rPr>
          <w:sz w:val="24"/>
          <w:szCs w:val="24"/>
          <w:lang w:val="fr-FR"/>
        </w:rPr>
        <w:t>, m</w:t>
      </w:r>
      <w:r w:rsidR="00916DE5" w:rsidRPr="00953692">
        <w:rPr>
          <w:sz w:val="24"/>
          <w:szCs w:val="24"/>
          <w:lang w:val="fr-FR"/>
        </w:rPr>
        <w:t xml:space="preserve">ême si l’accusé ne l’a pas soulevé, </w:t>
      </w:r>
      <w:r w:rsidR="00363571" w:rsidRPr="00953692">
        <w:rPr>
          <w:sz w:val="24"/>
          <w:szCs w:val="24"/>
          <w:lang w:val="fr-FR"/>
        </w:rPr>
        <w:t>cette</w:t>
      </w:r>
      <w:r w:rsidR="00916DE5" w:rsidRPr="00953692">
        <w:rPr>
          <w:sz w:val="24"/>
          <w:szCs w:val="24"/>
          <w:lang w:val="fr-FR"/>
        </w:rPr>
        <w:t xml:space="preserve"> conflictualité n’en demeure pas moins évidente</w:t>
      </w:r>
      <w:r w:rsidR="00363571" w:rsidRPr="00953692">
        <w:rPr>
          <w:sz w:val="24"/>
          <w:szCs w:val="24"/>
          <w:lang w:val="fr-FR"/>
        </w:rPr>
        <w:t xml:space="preserve"> que la Chambre d’appel ne s’est pas empêchée</w:t>
      </w:r>
      <w:r w:rsidR="00265F38" w:rsidRPr="00953692">
        <w:rPr>
          <w:sz w:val="24"/>
          <w:szCs w:val="24"/>
          <w:lang w:val="fr-FR"/>
        </w:rPr>
        <w:t>, elle-même,</w:t>
      </w:r>
      <w:r w:rsidR="00363571" w:rsidRPr="00953692">
        <w:rPr>
          <w:sz w:val="24"/>
          <w:szCs w:val="24"/>
          <w:lang w:val="fr-FR"/>
        </w:rPr>
        <w:t xml:space="preserve"> d’en relever. Ceci marque aussi le caractère impératif de ces questions qui ne sont pas laissées à l’appréciation absolue des parties. Les juges, qui veillent à ce que le procès soit à la fois équitable et rapide, ont donc l’obligation d’éviter une telle incidence sur les procédures dont ils sont</w:t>
      </w:r>
      <w:r w:rsidR="00265F38" w:rsidRPr="00953692">
        <w:rPr>
          <w:sz w:val="24"/>
          <w:szCs w:val="24"/>
          <w:lang w:val="fr-FR"/>
        </w:rPr>
        <w:t xml:space="preserve"> les seuls</w:t>
      </w:r>
      <w:r w:rsidR="00363571" w:rsidRPr="00953692">
        <w:rPr>
          <w:sz w:val="24"/>
          <w:szCs w:val="24"/>
          <w:lang w:val="fr-FR"/>
        </w:rPr>
        <w:t xml:space="preserve"> garants. </w:t>
      </w:r>
    </w:p>
    <w:p w14:paraId="310E0A9E" w14:textId="11E6B409" w:rsidR="00350251" w:rsidRPr="00953692" w:rsidRDefault="009A273B" w:rsidP="00864BBF">
      <w:pPr>
        <w:spacing w:after="0" w:line="276" w:lineRule="auto"/>
        <w:ind w:firstLine="1134"/>
        <w:jc w:val="both"/>
        <w:rPr>
          <w:sz w:val="24"/>
          <w:szCs w:val="24"/>
          <w:lang w:val="fr-FR"/>
        </w:rPr>
      </w:pPr>
      <w:bookmarkStart w:id="83" w:name="_Hlk117844718"/>
      <w:r w:rsidRPr="00953692">
        <w:rPr>
          <w:b/>
          <w:bCs/>
          <w:sz w:val="24"/>
          <w:szCs w:val="24"/>
          <w:lang w:val="fr-FR"/>
        </w:rPr>
        <w:t>408</w:t>
      </w:r>
      <w:r w:rsidR="00AC633F" w:rsidRPr="00953692">
        <w:rPr>
          <w:b/>
          <w:bCs/>
          <w:sz w:val="24"/>
          <w:szCs w:val="24"/>
          <w:lang w:val="fr-FR"/>
        </w:rPr>
        <w:t>.</w:t>
      </w:r>
      <w:r w:rsidR="00AC633F" w:rsidRPr="00953692">
        <w:rPr>
          <w:sz w:val="24"/>
          <w:szCs w:val="24"/>
          <w:lang w:val="fr-FR"/>
        </w:rPr>
        <w:t xml:space="preserve"> </w:t>
      </w:r>
      <w:r w:rsidR="00451F73" w:rsidRPr="00953692">
        <w:rPr>
          <w:sz w:val="24"/>
          <w:szCs w:val="24"/>
          <w:lang w:val="fr-FR"/>
        </w:rPr>
        <w:t>I</w:t>
      </w:r>
      <w:r w:rsidR="000C72F5" w:rsidRPr="00953692">
        <w:rPr>
          <w:sz w:val="24"/>
          <w:szCs w:val="24"/>
          <w:lang w:val="fr-FR"/>
        </w:rPr>
        <w:t xml:space="preserve">l est important de rappeler que la communication des pièces dont le défaut est susceptible de causer des retards au procès ne pourrait être exclusivement considéré comme un fait du procureur. </w:t>
      </w:r>
      <w:r w:rsidR="00334E10" w:rsidRPr="00953692">
        <w:rPr>
          <w:sz w:val="24"/>
          <w:szCs w:val="24"/>
          <w:lang w:val="fr-FR"/>
        </w:rPr>
        <w:t xml:space="preserve">L’obligation de communiquer incombe également à l’accusé. Lorsqu’il refuse de s’en acquitter, le </w:t>
      </w:r>
      <w:r w:rsidR="00AF7A00" w:rsidRPr="00953692">
        <w:rPr>
          <w:sz w:val="24"/>
          <w:szCs w:val="24"/>
          <w:lang w:val="fr-FR"/>
        </w:rPr>
        <w:t>P</w:t>
      </w:r>
      <w:r w:rsidR="00334E10" w:rsidRPr="00953692">
        <w:rPr>
          <w:sz w:val="24"/>
          <w:szCs w:val="24"/>
          <w:lang w:val="fr-FR"/>
        </w:rPr>
        <w:t xml:space="preserve">rocureur pourrait </w:t>
      </w:r>
      <w:r w:rsidR="00F96DCB" w:rsidRPr="00953692">
        <w:rPr>
          <w:sz w:val="24"/>
          <w:szCs w:val="24"/>
          <w:lang w:val="fr-FR"/>
        </w:rPr>
        <w:t>aussi</w:t>
      </w:r>
      <w:r w:rsidR="00334E10" w:rsidRPr="00953692">
        <w:rPr>
          <w:sz w:val="24"/>
          <w:szCs w:val="24"/>
          <w:lang w:val="fr-FR"/>
        </w:rPr>
        <w:t xml:space="preserve"> se retrouver dans l’impossibilité de se préparer et demander à cet effet à l’organe juridictionnel d’ordonner à l’accusé de s’exécuter</w:t>
      </w:r>
      <w:r w:rsidR="00E622A6" w:rsidRPr="00953692">
        <w:rPr>
          <w:rStyle w:val="Appelnotedebasdep"/>
          <w:sz w:val="24"/>
          <w:szCs w:val="24"/>
          <w:lang w:val="fr-FR"/>
        </w:rPr>
        <w:footnoteReference w:customMarkFollows="1" w:id="322"/>
        <w:t>297</w:t>
      </w:r>
      <w:r w:rsidR="00334E10" w:rsidRPr="00953692">
        <w:rPr>
          <w:sz w:val="24"/>
          <w:szCs w:val="24"/>
          <w:lang w:val="fr-FR"/>
        </w:rPr>
        <w:t xml:space="preserve">. </w:t>
      </w:r>
      <w:r w:rsidR="000F5FF4" w:rsidRPr="00953692">
        <w:rPr>
          <w:sz w:val="24"/>
          <w:szCs w:val="24"/>
          <w:lang w:val="fr-FR"/>
        </w:rPr>
        <w:t>En</w:t>
      </w:r>
      <w:r w:rsidRPr="00953692">
        <w:rPr>
          <w:sz w:val="24"/>
          <w:szCs w:val="24"/>
          <w:lang w:val="fr-FR"/>
        </w:rPr>
        <w:t xml:space="preserve"> fait</w:t>
      </w:r>
      <w:r w:rsidR="000F5FF4" w:rsidRPr="00953692">
        <w:rPr>
          <w:sz w:val="24"/>
          <w:szCs w:val="24"/>
          <w:lang w:val="fr-FR"/>
        </w:rPr>
        <w:t xml:space="preserve">, la procédure demeure la même étant donné que l’équité concerne également l’accusation, y étant partie. Le contraste, c’est que l’accusé </w:t>
      </w:r>
      <w:r w:rsidR="000F5FF4" w:rsidRPr="00953692">
        <w:rPr>
          <w:sz w:val="24"/>
          <w:szCs w:val="24"/>
          <w:lang w:val="fr-FR"/>
        </w:rPr>
        <w:lastRenderedPageBreak/>
        <w:t>qui ne s’acquitte pas de cette obligation si tôt œuvre plutôt en défaveur de son droit d’être jugé sans retard</w:t>
      </w:r>
      <w:r w:rsidR="00A02EA2" w:rsidRPr="00953692">
        <w:rPr>
          <w:sz w:val="24"/>
          <w:szCs w:val="24"/>
          <w:lang w:val="fr-FR"/>
        </w:rPr>
        <w:t xml:space="preserve"> excessif</w:t>
      </w:r>
      <w:r w:rsidR="000F5FF4" w:rsidRPr="00953692">
        <w:rPr>
          <w:sz w:val="24"/>
          <w:szCs w:val="24"/>
          <w:lang w:val="fr-FR"/>
        </w:rPr>
        <w:t>. Le plus grand obstacle</w:t>
      </w:r>
      <w:r w:rsidR="00CA6D8E" w:rsidRPr="00953692">
        <w:rPr>
          <w:sz w:val="24"/>
          <w:szCs w:val="24"/>
          <w:lang w:val="fr-FR"/>
        </w:rPr>
        <w:t xml:space="preserve"> qu’il se crée, c’est qu’il ne </w:t>
      </w:r>
      <w:r w:rsidR="00007A61" w:rsidRPr="00953692">
        <w:rPr>
          <w:sz w:val="24"/>
          <w:szCs w:val="24"/>
          <w:lang w:val="fr-FR"/>
        </w:rPr>
        <w:t xml:space="preserve">saura ultérieurement invoquer la violation de ce droit, si et seulement si, le retard constitutif de cette violation </w:t>
      </w:r>
      <w:r w:rsidR="007F1DE6" w:rsidRPr="00953692">
        <w:rPr>
          <w:sz w:val="24"/>
          <w:szCs w:val="24"/>
          <w:lang w:val="fr-FR"/>
        </w:rPr>
        <w:t>résulte en tout ou en partie de</w:t>
      </w:r>
      <w:r w:rsidR="00007A61" w:rsidRPr="00953692">
        <w:rPr>
          <w:sz w:val="24"/>
          <w:szCs w:val="24"/>
          <w:lang w:val="fr-FR"/>
        </w:rPr>
        <w:t xml:space="preserve"> son défaut de communication</w:t>
      </w:r>
      <w:r w:rsidR="00451F73" w:rsidRPr="00953692">
        <w:rPr>
          <w:sz w:val="24"/>
          <w:szCs w:val="24"/>
          <w:lang w:val="fr-FR"/>
        </w:rPr>
        <w:t xml:space="preserve"> des pièces</w:t>
      </w:r>
      <w:r w:rsidR="00007A61" w:rsidRPr="00953692">
        <w:rPr>
          <w:sz w:val="24"/>
          <w:szCs w:val="24"/>
          <w:lang w:val="fr-FR"/>
        </w:rPr>
        <w:t>.</w:t>
      </w:r>
      <w:r w:rsidR="00BC72DA" w:rsidRPr="00953692">
        <w:rPr>
          <w:sz w:val="24"/>
          <w:szCs w:val="24"/>
          <w:lang w:val="fr-FR"/>
        </w:rPr>
        <w:t xml:space="preserve"> </w:t>
      </w:r>
      <w:r w:rsidR="001F0DCB" w:rsidRPr="00953692">
        <w:rPr>
          <w:sz w:val="24"/>
          <w:szCs w:val="24"/>
          <w:lang w:val="fr-FR"/>
        </w:rPr>
        <w:t>La pratique</w:t>
      </w:r>
      <w:r w:rsidR="00451F73" w:rsidRPr="00953692">
        <w:rPr>
          <w:sz w:val="24"/>
          <w:szCs w:val="24"/>
          <w:lang w:val="fr-FR"/>
        </w:rPr>
        <w:t xml:space="preserve"> de la justice pénale internationale</w:t>
      </w:r>
      <w:r w:rsidR="001F0DCB" w:rsidRPr="00953692">
        <w:rPr>
          <w:sz w:val="24"/>
          <w:szCs w:val="24"/>
          <w:lang w:val="fr-FR"/>
        </w:rPr>
        <w:t xml:space="preserve"> montre que pareille attitude prête le flanc aux organes du tribunal de</w:t>
      </w:r>
      <w:r w:rsidR="00BC72DA" w:rsidRPr="00953692">
        <w:rPr>
          <w:sz w:val="24"/>
          <w:szCs w:val="24"/>
          <w:lang w:val="fr-FR"/>
        </w:rPr>
        <w:t xml:space="preserve"> pouvoir aisément</w:t>
      </w:r>
      <w:r w:rsidR="001F0DCB" w:rsidRPr="00953692">
        <w:rPr>
          <w:sz w:val="24"/>
          <w:szCs w:val="24"/>
          <w:lang w:val="fr-FR"/>
        </w:rPr>
        <w:t xml:space="preserve"> justifier la durée d’un procès dans le cas</w:t>
      </w:r>
      <w:r w:rsidR="00BC72DA" w:rsidRPr="00953692">
        <w:rPr>
          <w:sz w:val="24"/>
          <w:szCs w:val="24"/>
          <w:lang w:val="fr-FR"/>
        </w:rPr>
        <w:t xml:space="preserve"> où elle serait mise en cause par l’accusé.</w:t>
      </w:r>
      <w:bookmarkStart w:id="84" w:name="_Hlk118297453"/>
      <w:bookmarkEnd w:id="83"/>
    </w:p>
    <w:p w14:paraId="104C4338" w14:textId="150C6684" w:rsidR="00451F73" w:rsidRPr="00953692" w:rsidRDefault="009A273B" w:rsidP="00864BBF">
      <w:pPr>
        <w:spacing w:after="0" w:line="276" w:lineRule="auto"/>
        <w:ind w:firstLine="1134"/>
        <w:jc w:val="both"/>
        <w:rPr>
          <w:sz w:val="24"/>
          <w:szCs w:val="24"/>
          <w:lang w:val="fr-FR"/>
        </w:rPr>
      </w:pPr>
      <w:r w:rsidRPr="00953692">
        <w:rPr>
          <w:b/>
          <w:bCs/>
          <w:sz w:val="24"/>
          <w:szCs w:val="24"/>
          <w:lang w:val="fr-FR"/>
        </w:rPr>
        <w:t>409</w:t>
      </w:r>
      <w:r w:rsidR="00451F73" w:rsidRPr="00953692">
        <w:rPr>
          <w:b/>
          <w:bCs/>
          <w:sz w:val="24"/>
          <w:szCs w:val="24"/>
          <w:lang w:val="fr-FR"/>
        </w:rPr>
        <w:t>.</w:t>
      </w:r>
      <w:r w:rsidR="00451F73" w:rsidRPr="00953692">
        <w:rPr>
          <w:sz w:val="24"/>
          <w:szCs w:val="24"/>
          <w:lang w:val="fr-FR"/>
        </w:rPr>
        <w:t xml:space="preserve"> Il résulte enfin de ce qui précède que, tout comme le droit de l’accusé à disposer du temps et des facilités nécessaires à la préparation de sa défense, </w:t>
      </w:r>
      <w:r w:rsidR="00783DE8" w:rsidRPr="00953692">
        <w:rPr>
          <w:sz w:val="24"/>
          <w:szCs w:val="24"/>
          <w:lang w:val="fr-FR"/>
        </w:rPr>
        <w:t>le droit (d’exiger) à une communication des pièces est indispensable pour la tenue d’un procès à la fois équitable et rapide. Lorsqu’il n’est pas observé en amont, le retard qui en découle est de nature à conflictualiser les rapports d’intimité qu’il y a entre l’équité et la rapidité de la procédure ; et plus précisément le droit de l’accusé d’être jugé dans un délai raisonnable. Dans tous les cas, la conflictualité est fondamentale, essentielle et systémique puisqu’elle touche directement au fonctionnement même de la justice pénale internationale. L’accusé qui semble être le premier intéressé se voit aussi incapable d’éluder à cela, car dans une procédure contradictoire, sans le droit de disposer du temps… nécessaire à la préparation de sa défense et la communication des pièces</w:t>
      </w:r>
      <w:r w:rsidR="00B84AF2" w:rsidRPr="00953692">
        <w:rPr>
          <w:sz w:val="24"/>
          <w:szCs w:val="24"/>
          <w:lang w:val="fr-FR"/>
        </w:rPr>
        <w:t xml:space="preserve">, </w:t>
      </w:r>
      <w:r w:rsidR="00783DE8" w:rsidRPr="00953692">
        <w:rPr>
          <w:sz w:val="24"/>
          <w:szCs w:val="24"/>
          <w:lang w:val="fr-FR"/>
        </w:rPr>
        <w:t xml:space="preserve">il va de soi qu’il soit </w:t>
      </w:r>
      <w:r w:rsidR="00463C0B" w:rsidRPr="00953692">
        <w:rPr>
          <w:sz w:val="24"/>
          <w:szCs w:val="24"/>
          <w:lang w:val="fr-FR"/>
        </w:rPr>
        <w:t xml:space="preserve">capable de soutenir </w:t>
      </w:r>
      <w:r w:rsidR="00B84AF2" w:rsidRPr="00953692">
        <w:rPr>
          <w:sz w:val="24"/>
          <w:szCs w:val="24"/>
          <w:lang w:val="fr-FR"/>
        </w:rPr>
        <w:t xml:space="preserve">ou de présenter de manière cohérente </w:t>
      </w:r>
      <w:r w:rsidR="00463C0B" w:rsidRPr="00953692">
        <w:rPr>
          <w:sz w:val="24"/>
          <w:szCs w:val="24"/>
          <w:lang w:val="fr-FR"/>
        </w:rPr>
        <w:t xml:space="preserve">sa thèse. </w:t>
      </w:r>
      <w:r w:rsidR="00B84AF2" w:rsidRPr="00953692">
        <w:rPr>
          <w:sz w:val="24"/>
          <w:szCs w:val="24"/>
          <w:lang w:val="fr-FR"/>
        </w:rPr>
        <w:t>Une telle inévitabilité n’en demeure pas si évidente lorsqu’il s’agit d’autres droits dont l’accusé, seul, en a le choix dans la mise en œuvre.</w:t>
      </w:r>
    </w:p>
    <w:p w14:paraId="3E5199E6" w14:textId="77777777" w:rsidR="00F80A2A" w:rsidRPr="00953692" w:rsidRDefault="00F80A2A" w:rsidP="00864BBF">
      <w:pPr>
        <w:spacing w:line="276" w:lineRule="auto"/>
        <w:ind w:firstLine="1134"/>
        <w:jc w:val="both"/>
        <w:rPr>
          <w:sz w:val="24"/>
          <w:szCs w:val="24"/>
          <w:lang w:val="fr-FR"/>
        </w:rPr>
      </w:pPr>
    </w:p>
    <w:p w14:paraId="2B6FD7E9" w14:textId="77777777" w:rsidR="003A4A23" w:rsidRPr="00953692" w:rsidRDefault="003A4A23" w:rsidP="00864BBF">
      <w:pPr>
        <w:spacing w:line="276" w:lineRule="auto"/>
        <w:ind w:firstLine="1134"/>
        <w:jc w:val="both"/>
        <w:rPr>
          <w:sz w:val="24"/>
          <w:szCs w:val="24"/>
          <w:lang w:val="fr-FR"/>
        </w:rPr>
      </w:pPr>
    </w:p>
    <w:p w14:paraId="5C97AD39" w14:textId="77777777" w:rsidR="00C863F9" w:rsidRPr="00953692" w:rsidRDefault="00C863F9" w:rsidP="00864BBF">
      <w:pPr>
        <w:spacing w:line="276" w:lineRule="auto"/>
        <w:jc w:val="both"/>
        <w:rPr>
          <w:rFonts w:eastAsia="Calibri" w:cs="Times New Roman"/>
          <w:b/>
          <w:bCs/>
          <w:sz w:val="24"/>
          <w:szCs w:val="24"/>
          <w:lang w:val="fr-FR"/>
        </w:rPr>
      </w:pPr>
    </w:p>
    <w:p w14:paraId="567B7315" w14:textId="77777777" w:rsidR="00B65724" w:rsidRPr="00953692" w:rsidRDefault="00B65724" w:rsidP="00864BBF">
      <w:pPr>
        <w:spacing w:line="276" w:lineRule="auto"/>
        <w:jc w:val="both"/>
        <w:rPr>
          <w:rFonts w:eastAsia="Calibri" w:cs="Times New Roman"/>
          <w:b/>
          <w:bCs/>
          <w:sz w:val="24"/>
          <w:szCs w:val="24"/>
          <w:lang w:val="fr-FR"/>
        </w:rPr>
      </w:pPr>
    </w:p>
    <w:p w14:paraId="58FAD5FA" w14:textId="77777777" w:rsidR="00B65724" w:rsidRPr="00953692" w:rsidRDefault="00B65724" w:rsidP="00864BBF">
      <w:pPr>
        <w:spacing w:line="276" w:lineRule="auto"/>
        <w:jc w:val="both"/>
        <w:rPr>
          <w:rFonts w:eastAsia="Calibri" w:cs="Times New Roman"/>
          <w:b/>
          <w:bCs/>
          <w:sz w:val="24"/>
          <w:szCs w:val="24"/>
          <w:lang w:val="fr-FR"/>
        </w:rPr>
      </w:pPr>
    </w:p>
    <w:p w14:paraId="02F272BF" w14:textId="77777777" w:rsidR="00E622A6" w:rsidRPr="00953692" w:rsidRDefault="00E622A6" w:rsidP="00B65724">
      <w:pPr>
        <w:pStyle w:val="Titre1"/>
        <w:ind w:left="1134"/>
        <w:rPr>
          <w:rFonts w:ascii="Times New Roman" w:eastAsia="Calibri" w:hAnsi="Times New Roman"/>
          <w:b/>
          <w:bCs/>
          <w:color w:val="auto"/>
          <w:sz w:val="24"/>
          <w:szCs w:val="24"/>
          <w:lang w:val="fr-FR"/>
        </w:rPr>
      </w:pPr>
      <w:bookmarkStart w:id="85" w:name="_Toc195179442"/>
    </w:p>
    <w:p w14:paraId="765E2D6A" w14:textId="77777777" w:rsidR="00E622A6" w:rsidRPr="00953692" w:rsidRDefault="00E622A6" w:rsidP="00B65724">
      <w:pPr>
        <w:pStyle w:val="Titre1"/>
        <w:ind w:left="1134"/>
        <w:rPr>
          <w:rFonts w:ascii="Times New Roman" w:eastAsia="Calibri" w:hAnsi="Times New Roman"/>
          <w:b/>
          <w:bCs/>
          <w:color w:val="auto"/>
          <w:sz w:val="24"/>
          <w:szCs w:val="24"/>
          <w:lang w:val="fr-FR"/>
        </w:rPr>
      </w:pPr>
    </w:p>
    <w:p w14:paraId="48E0C0EA" w14:textId="77777777" w:rsidR="00E622A6" w:rsidRPr="00953692" w:rsidRDefault="00E622A6" w:rsidP="00B65724">
      <w:pPr>
        <w:pStyle w:val="Titre1"/>
        <w:ind w:left="1134"/>
        <w:rPr>
          <w:rFonts w:ascii="Times New Roman" w:eastAsia="Calibri" w:hAnsi="Times New Roman"/>
          <w:b/>
          <w:bCs/>
          <w:color w:val="auto"/>
          <w:sz w:val="24"/>
          <w:szCs w:val="24"/>
          <w:lang w:val="fr-FR"/>
        </w:rPr>
      </w:pPr>
    </w:p>
    <w:p w14:paraId="7FD8695F" w14:textId="77777777" w:rsidR="00E622A6" w:rsidRPr="00953692" w:rsidRDefault="00E622A6" w:rsidP="00B65724">
      <w:pPr>
        <w:pStyle w:val="Titre1"/>
        <w:ind w:left="1134"/>
        <w:rPr>
          <w:rFonts w:ascii="Times New Roman" w:eastAsia="Calibri" w:hAnsi="Times New Roman"/>
          <w:b/>
          <w:bCs/>
          <w:color w:val="auto"/>
          <w:sz w:val="24"/>
          <w:szCs w:val="24"/>
          <w:lang w:val="fr-FR"/>
        </w:rPr>
      </w:pPr>
    </w:p>
    <w:p w14:paraId="7911A181" w14:textId="77777777" w:rsidR="00E622A6" w:rsidRPr="00953692" w:rsidRDefault="00E622A6" w:rsidP="00B65724">
      <w:pPr>
        <w:pStyle w:val="Titre1"/>
        <w:ind w:left="1134"/>
        <w:rPr>
          <w:rFonts w:ascii="Times New Roman" w:eastAsia="Calibri" w:hAnsi="Times New Roman"/>
          <w:b/>
          <w:bCs/>
          <w:color w:val="auto"/>
          <w:sz w:val="24"/>
          <w:szCs w:val="24"/>
          <w:lang w:val="fr-FR"/>
        </w:rPr>
      </w:pPr>
    </w:p>
    <w:p w14:paraId="3CEE1E6B" w14:textId="77777777" w:rsidR="00E622A6" w:rsidRPr="00953692" w:rsidRDefault="00E622A6" w:rsidP="00E622A6">
      <w:pPr>
        <w:pStyle w:val="Titre1"/>
        <w:rPr>
          <w:rFonts w:ascii="Times New Roman" w:eastAsia="Calibri" w:hAnsi="Times New Roman"/>
          <w:b/>
          <w:bCs/>
          <w:color w:val="auto"/>
          <w:sz w:val="24"/>
          <w:szCs w:val="24"/>
          <w:lang w:val="fr-FR"/>
        </w:rPr>
      </w:pPr>
    </w:p>
    <w:p w14:paraId="40DDFBDA" w14:textId="77777777" w:rsidR="00E622A6" w:rsidRPr="00953692" w:rsidRDefault="00E622A6" w:rsidP="00E622A6">
      <w:pPr>
        <w:rPr>
          <w:lang w:val="fr-FR" w:eastAsia="ru-RU"/>
        </w:rPr>
      </w:pPr>
    </w:p>
    <w:p w14:paraId="3003D637" w14:textId="3A314FDC" w:rsidR="00E622A6" w:rsidRPr="00953692" w:rsidRDefault="00E622A6" w:rsidP="00E622A6">
      <w:pPr>
        <w:pStyle w:val="Titre1"/>
        <w:spacing w:before="0"/>
        <w:jc w:val="center"/>
        <w:rPr>
          <w:rFonts w:ascii="Times New Roman" w:eastAsia="Calibri" w:hAnsi="Times New Roman"/>
          <w:b/>
          <w:bCs/>
          <w:color w:val="auto"/>
          <w:sz w:val="28"/>
          <w:szCs w:val="28"/>
          <w:lang w:val="fr-FR"/>
        </w:rPr>
      </w:pPr>
      <w:r w:rsidRPr="00953692">
        <w:rPr>
          <w:rFonts w:ascii="Times New Roman" w:eastAsia="Calibri" w:hAnsi="Times New Roman"/>
          <w:b/>
          <w:bCs/>
          <w:color w:val="auto"/>
          <w:sz w:val="28"/>
          <w:szCs w:val="28"/>
          <w:lang w:val="fr-FR"/>
        </w:rPr>
        <w:lastRenderedPageBreak/>
        <w:t>Deuxième c</w:t>
      </w:r>
      <w:r w:rsidR="006B4317" w:rsidRPr="00953692">
        <w:rPr>
          <w:rFonts w:ascii="Times New Roman" w:eastAsia="Calibri" w:hAnsi="Times New Roman"/>
          <w:b/>
          <w:bCs/>
          <w:color w:val="auto"/>
          <w:sz w:val="28"/>
          <w:szCs w:val="28"/>
          <w:lang w:val="fr-FR"/>
        </w:rPr>
        <w:t>hapitre.</w:t>
      </w:r>
    </w:p>
    <w:p w14:paraId="41DE1922" w14:textId="53A65B27" w:rsidR="0028306E" w:rsidRPr="00953692" w:rsidRDefault="006B4317" w:rsidP="00E622A6">
      <w:pPr>
        <w:pStyle w:val="Titre1"/>
        <w:spacing w:before="0"/>
        <w:jc w:val="center"/>
        <w:rPr>
          <w:rFonts w:ascii="Times New Roman" w:hAnsi="Times New Roman"/>
          <w:i/>
          <w:iCs/>
          <w:color w:val="auto"/>
          <w:sz w:val="28"/>
          <w:szCs w:val="28"/>
          <w:lang w:val="fr-FR"/>
        </w:rPr>
      </w:pPr>
      <w:r w:rsidRPr="00953692">
        <w:rPr>
          <w:rFonts w:ascii="Times New Roman" w:hAnsi="Times New Roman"/>
          <w:b/>
          <w:bCs/>
          <w:color w:val="auto"/>
          <w:sz w:val="28"/>
          <w:szCs w:val="28"/>
          <w:lang w:val="fr-FR"/>
        </w:rPr>
        <w:t>L</w:t>
      </w:r>
      <w:r w:rsidR="00195336" w:rsidRPr="00953692">
        <w:rPr>
          <w:rFonts w:ascii="Times New Roman" w:hAnsi="Times New Roman"/>
          <w:b/>
          <w:bCs/>
          <w:color w:val="auto"/>
          <w:sz w:val="28"/>
          <w:szCs w:val="28"/>
          <w:lang w:val="fr-FR"/>
        </w:rPr>
        <w:t xml:space="preserve">a conflictualité par </w:t>
      </w:r>
      <w:r w:rsidR="000918CD" w:rsidRPr="00953692">
        <w:rPr>
          <w:rFonts w:ascii="Times New Roman" w:hAnsi="Times New Roman"/>
          <w:b/>
          <w:bCs/>
          <w:color w:val="auto"/>
          <w:sz w:val="28"/>
          <w:szCs w:val="28"/>
          <w:lang w:val="fr-FR"/>
        </w:rPr>
        <w:t>éventuali</w:t>
      </w:r>
      <w:r w:rsidR="00195336" w:rsidRPr="00953692">
        <w:rPr>
          <w:rFonts w:ascii="Times New Roman" w:hAnsi="Times New Roman"/>
          <w:b/>
          <w:bCs/>
          <w:color w:val="auto"/>
          <w:sz w:val="28"/>
          <w:szCs w:val="28"/>
          <w:lang w:val="fr-FR"/>
        </w:rPr>
        <w:t>té :</w:t>
      </w:r>
      <w:r w:rsidR="00350251" w:rsidRPr="00953692">
        <w:rPr>
          <w:rFonts w:ascii="Times New Roman" w:hAnsi="Times New Roman"/>
          <w:b/>
          <w:bCs/>
          <w:color w:val="auto"/>
          <w:sz w:val="28"/>
          <w:szCs w:val="28"/>
          <w:lang w:val="fr-FR"/>
        </w:rPr>
        <w:t xml:space="preserve"> </w:t>
      </w:r>
      <w:r w:rsidR="00AD0C5D" w:rsidRPr="00953692">
        <w:rPr>
          <w:rFonts w:ascii="Times New Roman" w:hAnsi="Times New Roman"/>
          <w:i/>
          <w:iCs/>
          <w:color w:val="auto"/>
          <w:sz w:val="28"/>
          <w:szCs w:val="28"/>
          <w:lang w:val="fr-FR"/>
        </w:rPr>
        <w:t>l</w:t>
      </w:r>
      <w:r w:rsidR="00350251" w:rsidRPr="00953692">
        <w:rPr>
          <w:rFonts w:ascii="Times New Roman" w:hAnsi="Times New Roman"/>
          <w:i/>
          <w:iCs/>
          <w:color w:val="auto"/>
          <w:sz w:val="28"/>
          <w:szCs w:val="28"/>
          <w:lang w:val="fr-FR"/>
        </w:rPr>
        <w:t>e procès</w:t>
      </w:r>
      <w:r w:rsidR="007548A2" w:rsidRPr="00953692">
        <w:rPr>
          <w:rFonts w:ascii="Times New Roman" w:hAnsi="Times New Roman"/>
          <w:i/>
          <w:iCs/>
          <w:color w:val="auto"/>
          <w:sz w:val="28"/>
          <w:szCs w:val="28"/>
          <w:lang w:val="fr-FR"/>
        </w:rPr>
        <w:t xml:space="preserve"> pénal international</w:t>
      </w:r>
      <w:r w:rsidR="00350251" w:rsidRPr="00953692">
        <w:rPr>
          <w:rFonts w:ascii="Times New Roman" w:hAnsi="Times New Roman"/>
          <w:i/>
          <w:iCs/>
          <w:color w:val="auto"/>
          <w:sz w:val="28"/>
          <w:szCs w:val="28"/>
          <w:lang w:val="fr-FR"/>
        </w:rPr>
        <w:t xml:space="preserve"> se prolonge par nécessité</w:t>
      </w:r>
      <w:r w:rsidR="00616256" w:rsidRPr="00953692">
        <w:rPr>
          <w:rFonts w:ascii="Times New Roman" w:hAnsi="Times New Roman"/>
          <w:i/>
          <w:iCs/>
          <w:color w:val="auto"/>
          <w:sz w:val="28"/>
          <w:szCs w:val="28"/>
          <w:lang w:val="fr-FR"/>
        </w:rPr>
        <w:t xml:space="preserve"> révélée</w:t>
      </w:r>
      <w:r w:rsidR="00350251" w:rsidRPr="00953692">
        <w:rPr>
          <w:rFonts w:ascii="Times New Roman" w:hAnsi="Times New Roman"/>
          <w:i/>
          <w:iCs/>
          <w:color w:val="auto"/>
          <w:sz w:val="28"/>
          <w:szCs w:val="28"/>
          <w:lang w:val="fr-FR"/>
        </w:rPr>
        <w:t xml:space="preserve"> et</w:t>
      </w:r>
      <w:r w:rsidR="00616256" w:rsidRPr="00953692">
        <w:rPr>
          <w:rFonts w:ascii="Times New Roman" w:hAnsi="Times New Roman"/>
          <w:i/>
          <w:iCs/>
          <w:color w:val="auto"/>
          <w:sz w:val="28"/>
          <w:szCs w:val="28"/>
          <w:lang w:val="fr-FR"/>
        </w:rPr>
        <w:t>/ou</w:t>
      </w:r>
      <w:r w:rsidR="00350251" w:rsidRPr="00953692">
        <w:rPr>
          <w:rFonts w:ascii="Times New Roman" w:hAnsi="Times New Roman"/>
          <w:i/>
          <w:iCs/>
          <w:color w:val="auto"/>
          <w:sz w:val="28"/>
          <w:szCs w:val="28"/>
          <w:lang w:val="fr-FR"/>
        </w:rPr>
        <w:t xml:space="preserve"> par la volonté des parties, dont l’accusé</w:t>
      </w:r>
      <w:bookmarkEnd w:id="85"/>
    </w:p>
    <w:p w14:paraId="06F87F3A" w14:textId="77777777" w:rsidR="007548A2" w:rsidRPr="00953692" w:rsidRDefault="007548A2" w:rsidP="00E622A6">
      <w:pPr>
        <w:spacing w:line="276" w:lineRule="auto"/>
        <w:ind w:left="1134"/>
        <w:jc w:val="center"/>
        <w:rPr>
          <w:rFonts w:cs="Times New Roman"/>
          <w:i/>
          <w:iCs/>
          <w:szCs w:val="28"/>
          <w:lang w:val="fr-FR"/>
        </w:rPr>
      </w:pPr>
    </w:p>
    <w:bookmarkEnd w:id="84"/>
    <w:p w14:paraId="7518AE92" w14:textId="178F7EF7" w:rsidR="000847CC" w:rsidRPr="00953692" w:rsidRDefault="003F2222"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410</w:t>
      </w:r>
      <w:r w:rsidR="00211AF2" w:rsidRPr="00953692">
        <w:rPr>
          <w:rFonts w:cs="Times New Roman"/>
          <w:b/>
          <w:bCs/>
          <w:sz w:val="24"/>
          <w:szCs w:val="24"/>
          <w:shd w:val="clear" w:color="auto" w:fill="FFFFFF"/>
          <w:lang w:val="fr-FR"/>
        </w:rPr>
        <w:t>.</w:t>
      </w:r>
      <w:r w:rsidR="00211AF2" w:rsidRPr="00953692">
        <w:rPr>
          <w:rFonts w:cs="Times New Roman"/>
          <w:sz w:val="24"/>
          <w:szCs w:val="24"/>
          <w:shd w:val="clear" w:color="auto" w:fill="FFFFFF"/>
          <w:lang w:val="fr-FR"/>
        </w:rPr>
        <w:t xml:space="preserve"> </w:t>
      </w:r>
      <w:r w:rsidR="00D0577C" w:rsidRPr="00953692">
        <w:rPr>
          <w:rFonts w:cs="Times New Roman"/>
          <w:sz w:val="24"/>
          <w:szCs w:val="24"/>
          <w:shd w:val="clear" w:color="auto" w:fill="FFFFFF"/>
          <w:lang w:val="fr-FR"/>
        </w:rPr>
        <w:t>Le chapitre précédent a mis en parallèle le droit de l’accusé d’être jugé sans retard excessif avec certains droits indispensables, qui ne laissent pas assez de choix à l’accusé</w:t>
      </w:r>
      <w:r w:rsidR="003F44E0" w:rsidRPr="00953692">
        <w:rPr>
          <w:rFonts w:cs="Times New Roman"/>
          <w:sz w:val="24"/>
          <w:szCs w:val="24"/>
          <w:shd w:val="clear" w:color="auto" w:fill="FFFFFF"/>
          <w:lang w:val="fr-FR"/>
        </w:rPr>
        <w:t xml:space="preserve"> dans le cadre d’un procès contradictoire</w:t>
      </w:r>
      <w:r w:rsidR="00D0577C" w:rsidRPr="00953692">
        <w:rPr>
          <w:rFonts w:cs="Times New Roman"/>
          <w:sz w:val="24"/>
          <w:szCs w:val="24"/>
          <w:shd w:val="clear" w:color="auto" w:fill="FFFFFF"/>
          <w:lang w:val="fr-FR"/>
        </w:rPr>
        <w:t xml:space="preserve">. </w:t>
      </w:r>
      <w:r w:rsidR="00402111" w:rsidRPr="00953692">
        <w:rPr>
          <w:rFonts w:cs="Times New Roman"/>
          <w:sz w:val="24"/>
          <w:szCs w:val="24"/>
          <w:shd w:val="clear" w:color="auto" w:fill="FFFFFF"/>
          <w:lang w:val="fr-FR"/>
        </w:rPr>
        <w:t xml:space="preserve">Ceci dit, l’accusé ne peut se défendre s’il ne prépare pas sa thèse, et la communication des pièces ou des éléments de preuves lui vient en appui dans ce sens. Il s’agit donc des droits indissociablement liés au déroulement du procès, comme l’est la notion même du délai raisonnable. En revanche, </w:t>
      </w:r>
      <w:r w:rsidR="00793757" w:rsidRPr="00953692">
        <w:rPr>
          <w:rFonts w:cs="Times New Roman"/>
          <w:sz w:val="24"/>
          <w:szCs w:val="24"/>
          <w:shd w:val="clear" w:color="auto" w:fill="FFFFFF"/>
          <w:lang w:val="fr-FR"/>
        </w:rPr>
        <w:t>le présent chapitre, par son intitulation, tente de suggérer une approche</w:t>
      </w:r>
      <w:r w:rsidR="008E40DE" w:rsidRPr="00953692">
        <w:rPr>
          <w:rFonts w:cs="Times New Roman"/>
          <w:sz w:val="24"/>
          <w:szCs w:val="24"/>
          <w:shd w:val="clear" w:color="auto" w:fill="FFFFFF"/>
          <w:lang w:val="fr-FR"/>
        </w:rPr>
        <w:t xml:space="preserve"> casuelle et</w:t>
      </w:r>
      <w:r w:rsidR="00793757" w:rsidRPr="00953692">
        <w:rPr>
          <w:rFonts w:cs="Times New Roman"/>
          <w:sz w:val="24"/>
          <w:szCs w:val="24"/>
          <w:shd w:val="clear" w:color="auto" w:fill="FFFFFF"/>
          <w:lang w:val="fr-FR"/>
        </w:rPr>
        <w:t xml:space="preserve"> volontariste</w:t>
      </w:r>
      <w:r w:rsidR="008E40DE" w:rsidRPr="00953692">
        <w:rPr>
          <w:rFonts w:cs="Times New Roman"/>
          <w:sz w:val="24"/>
          <w:szCs w:val="24"/>
          <w:shd w:val="clear" w:color="auto" w:fill="FFFFFF"/>
          <w:lang w:val="fr-FR"/>
        </w:rPr>
        <w:t>, dans la mise en œuvre de certains</w:t>
      </w:r>
      <w:r w:rsidR="003F44E0" w:rsidRPr="00953692">
        <w:rPr>
          <w:rFonts w:cs="Times New Roman"/>
          <w:sz w:val="24"/>
          <w:szCs w:val="24"/>
          <w:shd w:val="clear" w:color="auto" w:fill="FFFFFF"/>
          <w:lang w:val="fr-FR"/>
        </w:rPr>
        <w:t xml:space="preserve"> autres</w:t>
      </w:r>
      <w:r w:rsidR="008E40DE" w:rsidRPr="00953692">
        <w:rPr>
          <w:rFonts w:cs="Times New Roman"/>
          <w:sz w:val="24"/>
          <w:szCs w:val="24"/>
          <w:shd w:val="clear" w:color="auto" w:fill="FFFFFF"/>
          <w:lang w:val="fr-FR"/>
        </w:rPr>
        <w:t xml:space="preserve"> droits de l’accusé. En clair, il ne s’agit pas des droits, apriori, indispensables dont la réalisation dépend strictement des tournures que prenne éventuellement le procès, mais </w:t>
      </w:r>
      <w:r w:rsidR="003F44E0" w:rsidRPr="00953692">
        <w:rPr>
          <w:rFonts w:cs="Times New Roman"/>
          <w:sz w:val="24"/>
          <w:szCs w:val="24"/>
          <w:shd w:val="clear" w:color="auto" w:fill="FFFFFF"/>
          <w:lang w:val="fr-FR"/>
        </w:rPr>
        <w:t>aussi</w:t>
      </w:r>
      <w:r w:rsidR="008E40DE" w:rsidRPr="00953692">
        <w:rPr>
          <w:rFonts w:cs="Times New Roman"/>
          <w:sz w:val="24"/>
          <w:szCs w:val="24"/>
          <w:shd w:val="clear" w:color="auto" w:fill="FFFFFF"/>
          <w:lang w:val="fr-FR"/>
        </w:rPr>
        <w:t xml:space="preserve"> de la seule volonté notamment de l’accusé. Il en est précisément de son droit de former un recours contre les décisions rendues par les organes judiciaires (ou juridictionnels).</w:t>
      </w:r>
    </w:p>
    <w:p w14:paraId="103A7093" w14:textId="51F96141" w:rsidR="00CE1C01" w:rsidRPr="00953692" w:rsidRDefault="003F2222" w:rsidP="00864BBF">
      <w:pPr>
        <w:spacing w:after="0" w:line="276" w:lineRule="auto"/>
        <w:ind w:firstLine="1134"/>
        <w:jc w:val="both"/>
        <w:rPr>
          <w:rFonts w:eastAsia="Calibri" w:cs="Times New Roman"/>
          <w:sz w:val="24"/>
          <w:szCs w:val="24"/>
          <w:lang w:val="fr-FR"/>
        </w:rPr>
      </w:pPr>
      <w:r w:rsidRPr="00953692">
        <w:rPr>
          <w:rFonts w:eastAsia="Calibri" w:cs="Times New Roman"/>
          <w:b/>
          <w:bCs/>
          <w:sz w:val="24"/>
          <w:szCs w:val="24"/>
          <w:lang w:val="fr-FR"/>
        </w:rPr>
        <w:t>411</w:t>
      </w:r>
      <w:r w:rsidR="00486602" w:rsidRPr="00953692">
        <w:rPr>
          <w:rFonts w:eastAsia="Calibri" w:cs="Times New Roman"/>
          <w:b/>
          <w:bCs/>
          <w:sz w:val="24"/>
          <w:szCs w:val="24"/>
          <w:lang w:val="fr-FR"/>
        </w:rPr>
        <w:t>.</w:t>
      </w:r>
      <w:r w:rsidR="00486602" w:rsidRPr="00953692">
        <w:rPr>
          <w:rFonts w:eastAsia="Calibri" w:cs="Times New Roman"/>
          <w:sz w:val="24"/>
          <w:szCs w:val="24"/>
          <w:lang w:val="fr-FR"/>
        </w:rPr>
        <w:t xml:space="preserve"> En effet, le droit à un recours effectif est une palissade solide qui garantit l’effectivité d</w:t>
      </w:r>
      <w:r w:rsidR="008C5E99" w:rsidRPr="00953692">
        <w:rPr>
          <w:rFonts w:eastAsia="Calibri" w:cs="Times New Roman"/>
          <w:sz w:val="24"/>
          <w:szCs w:val="24"/>
          <w:lang w:val="fr-FR"/>
        </w:rPr>
        <w:t xml:space="preserve">es </w:t>
      </w:r>
      <w:r w:rsidR="00486602" w:rsidRPr="00953692">
        <w:rPr>
          <w:rFonts w:eastAsia="Calibri" w:cs="Times New Roman"/>
          <w:sz w:val="24"/>
          <w:szCs w:val="24"/>
          <w:lang w:val="fr-FR"/>
        </w:rPr>
        <w:t xml:space="preserve">autres droits de l’accusé. La plupart des textes internationaux relatifs aux droits de l’homme n’ont pas ignoré la portée de ce droit en matière </w:t>
      </w:r>
      <w:r w:rsidR="003F44E0" w:rsidRPr="00953692">
        <w:rPr>
          <w:rFonts w:eastAsia="Calibri" w:cs="Times New Roman"/>
          <w:sz w:val="24"/>
          <w:szCs w:val="24"/>
          <w:lang w:val="fr-FR"/>
        </w:rPr>
        <w:t xml:space="preserve">de protection </w:t>
      </w:r>
      <w:r w:rsidR="00486602" w:rsidRPr="00953692">
        <w:rPr>
          <w:rFonts w:eastAsia="Calibri" w:cs="Times New Roman"/>
          <w:sz w:val="24"/>
          <w:szCs w:val="24"/>
          <w:lang w:val="fr-FR"/>
        </w:rPr>
        <w:t>des droits fondamentaux en général. On trouve</w:t>
      </w:r>
      <w:r w:rsidR="0074422D" w:rsidRPr="00953692">
        <w:rPr>
          <w:rFonts w:eastAsia="Calibri" w:cs="Times New Roman"/>
          <w:sz w:val="24"/>
          <w:szCs w:val="24"/>
          <w:lang w:val="fr-FR"/>
        </w:rPr>
        <w:t>,</w:t>
      </w:r>
      <w:r w:rsidR="00486602" w:rsidRPr="00953692">
        <w:rPr>
          <w:rFonts w:eastAsia="Calibri" w:cs="Times New Roman"/>
          <w:sz w:val="24"/>
          <w:szCs w:val="24"/>
          <w:lang w:val="fr-FR"/>
        </w:rPr>
        <w:t xml:space="preserve"> par exemple</w:t>
      </w:r>
      <w:r w:rsidR="0074422D" w:rsidRPr="00953692">
        <w:rPr>
          <w:rFonts w:eastAsia="Calibri" w:cs="Times New Roman"/>
          <w:sz w:val="24"/>
          <w:szCs w:val="24"/>
          <w:lang w:val="fr-FR"/>
        </w:rPr>
        <w:t>,</w:t>
      </w:r>
      <w:r w:rsidR="00486602" w:rsidRPr="00953692">
        <w:rPr>
          <w:rFonts w:eastAsia="Calibri" w:cs="Times New Roman"/>
          <w:sz w:val="24"/>
          <w:szCs w:val="24"/>
          <w:lang w:val="fr-FR"/>
        </w:rPr>
        <w:t xml:space="preserve"> d’un côté, la déclaration universelle des droits de l’homme</w:t>
      </w:r>
      <w:r w:rsidR="00E622A6" w:rsidRPr="00953692">
        <w:rPr>
          <w:rStyle w:val="Appelnotedebasdep"/>
          <w:rFonts w:eastAsia="Calibri" w:cs="Times New Roman"/>
          <w:sz w:val="24"/>
          <w:szCs w:val="24"/>
          <w:lang w:val="fr-FR"/>
        </w:rPr>
        <w:footnoteReference w:customMarkFollows="1" w:id="323"/>
        <w:t>298</w:t>
      </w:r>
      <w:r w:rsidR="00486602" w:rsidRPr="00953692">
        <w:rPr>
          <w:rFonts w:eastAsia="Calibri" w:cs="Times New Roman"/>
          <w:sz w:val="24"/>
          <w:szCs w:val="24"/>
          <w:lang w:val="fr-FR"/>
        </w:rPr>
        <w:t xml:space="preserve">, qui, bien que n’ayant pas une force contraignante, pose néanmoins </w:t>
      </w:r>
      <w:r w:rsidR="00F53ABB" w:rsidRPr="00953692">
        <w:rPr>
          <w:rFonts w:eastAsia="Calibri" w:cs="Times New Roman"/>
          <w:sz w:val="24"/>
          <w:szCs w:val="24"/>
          <w:lang w:val="fr-FR"/>
        </w:rPr>
        <w:t>« </w:t>
      </w:r>
      <w:r w:rsidR="00486602" w:rsidRPr="00953692">
        <w:rPr>
          <w:rFonts w:eastAsia="Calibri" w:cs="Times New Roman"/>
          <w:sz w:val="24"/>
          <w:szCs w:val="24"/>
          <w:lang w:val="fr-FR"/>
        </w:rPr>
        <w:t>le principe avec une exigence très élevée en la matière, impliquant à la fois le caractère effectif du recours, son champ d’application élargi et la juridictionnalisation</w:t>
      </w:r>
      <w:r w:rsidR="00F53ABB" w:rsidRPr="00953692">
        <w:rPr>
          <w:rFonts w:eastAsia="Calibri" w:cs="Times New Roman"/>
          <w:sz w:val="24"/>
          <w:szCs w:val="24"/>
          <w:lang w:val="fr-FR"/>
        </w:rPr>
        <w:t> »</w:t>
      </w:r>
      <w:r w:rsidR="00A3146F" w:rsidRPr="00953692">
        <w:rPr>
          <w:rStyle w:val="Appelnotedebasdep"/>
          <w:rFonts w:eastAsia="Calibri" w:cs="Times New Roman"/>
          <w:sz w:val="24"/>
          <w:szCs w:val="24"/>
          <w:lang w:val="fr-FR"/>
        </w:rPr>
        <w:footnoteReference w:customMarkFollows="1" w:id="324"/>
        <w:t>299</w:t>
      </w:r>
      <w:r w:rsidR="00486602" w:rsidRPr="00953692">
        <w:rPr>
          <w:rFonts w:eastAsia="Calibri" w:cs="Times New Roman"/>
          <w:sz w:val="24"/>
          <w:szCs w:val="24"/>
          <w:lang w:val="fr-FR"/>
        </w:rPr>
        <w:t>. Il y a aussi</w:t>
      </w:r>
      <w:r w:rsidR="0074422D" w:rsidRPr="00953692">
        <w:rPr>
          <w:rFonts w:eastAsia="Calibri" w:cs="Times New Roman"/>
          <w:sz w:val="24"/>
          <w:szCs w:val="24"/>
          <w:lang w:val="fr-FR"/>
        </w:rPr>
        <w:t>,</w:t>
      </w:r>
      <w:r w:rsidR="00486602" w:rsidRPr="00953692">
        <w:rPr>
          <w:rFonts w:eastAsia="Calibri" w:cs="Times New Roman"/>
          <w:sz w:val="24"/>
          <w:szCs w:val="24"/>
          <w:lang w:val="fr-FR"/>
        </w:rPr>
        <w:t xml:space="preserve"> de l’autre côté, l’article 2-3 du pacte international des droits civils et politiques qui évoque la garantie d’un recours utile pour toute personne dont les droits fondamentaux et libertés auront été violés. </w:t>
      </w:r>
    </w:p>
    <w:p w14:paraId="17AE9FED" w14:textId="0C6435E5" w:rsidR="00542E60" w:rsidRPr="00953692" w:rsidRDefault="003F2222" w:rsidP="00864BBF">
      <w:pPr>
        <w:spacing w:after="0" w:line="276" w:lineRule="auto"/>
        <w:ind w:firstLine="1134"/>
        <w:jc w:val="both"/>
        <w:rPr>
          <w:rFonts w:cs="Times New Roman"/>
          <w:sz w:val="24"/>
          <w:szCs w:val="24"/>
          <w:lang w:val="fr-FR"/>
        </w:rPr>
      </w:pPr>
      <w:r w:rsidRPr="00953692">
        <w:rPr>
          <w:rFonts w:eastAsia="Calibri" w:cs="Times New Roman"/>
          <w:b/>
          <w:bCs/>
          <w:sz w:val="24"/>
          <w:szCs w:val="24"/>
          <w:lang w:val="fr-FR"/>
        </w:rPr>
        <w:t>412</w:t>
      </w:r>
      <w:r w:rsidR="00CE1C01" w:rsidRPr="00953692">
        <w:rPr>
          <w:rFonts w:eastAsia="Calibri" w:cs="Times New Roman"/>
          <w:b/>
          <w:bCs/>
          <w:sz w:val="24"/>
          <w:szCs w:val="24"/>
          <w:lang w:val="fr-FR"/>
        </w:rPr>
        <w:t>.</w:t>
      </w:r>
      <w:r w:rsidR="00CE1C01" w:rsidRPr="00953692">
        <w:rPr>
          <w:rFonts w:eastAsia="Calibri" w:cs="Times New Roman"/>
          <w:sz w:val="24"/>
          <w:szCs w:val="24"/>
          <w:lang w:val="fr-FR"/>
        </w:rPr>
        <w:t xml:space="preserve"> </w:t>
      </w:r>
      <w:r w:rsidR="00486602" w:rsidRPr="00953692">
        <w:rPr>
          <w:rFonts w:eastAsia="Calibri" w:cs="Times New Roman"/>
          <w:sz w:val="24"/>
          <w:szCs w:val="24"/>
          <w:lang w:val="fr-FR"/>
        </w:rPr>
        <w:t xml:space="preserve">En procédure </w:t>
      </w:r>
      <w:r w:rsidR="00070AF5" w:rsidRPr="00953692">
        <w:rPr>
          <w:rFonts w:eastAsia="Calibri" w:cs="Times New Roman"/>
          <w:sz w:val="24"/>
          <w:szCs w:val="24"/>
          <w:lang w:val="fr-FR"/>
        </w:rPr>
        <w:t xml:space="preserve">(pénale) </w:t>
      </w:r>
      <w:r w:rsidR="00486602" w:rsidRPr="00953692">
        <w:rPr>
          <w:rFonts w:eastAsia="Calibri" w:cs="Times New Roman"/>
          <w:sz w:val="24"/>
          <w:szCs w:val="24"/>
          <w:lang w:val="fr-FR"/>
        </w:rPr>
        <w:t xml:space="preserve">générale, </w:t>
      </w:r>
      <w:r w:rsidR="00486602" w:rsidRPr="00953692">
        <w:rPr>
          <w:rFonts w:cs="Times New Roman"/>
          <w:sz w:val="24"/>
          <w:szCs w:val="24"/>
          <w:lang w:val="fr-FR"/>
        </w:rPr>
        <w:t>l</w:t>
      </w:r>
      <w:r w:rsidR="00755CFE" w:rsidRPr="00953692">
        <w:rPr>
          <w:rFonts w:cs="Times New Roman"/>
          <w:sz w:val="24"/>
          <w:szCs w:val="24"/>
          <w:lang w:val="fr-FR"/>
        </w:rPr>
        <w:t>e droit à un recours est l’un des droits procéduraux garantis à toute personne, aux parties au procès</w:t>
      </w:r>
      <w:r w:rsidR="003E38FC" w:rsidRPr="00953692">
        <w:rPr>
          <w:rFonts w:cs="Times New Roman"/>
          <w:sz w:val="24"/>
          <w:szCs w:val="24"/>
          <w:lang w:val="fr-FR"/>
        </w:rPr>
        <w:t>,</w:t>
      </w:r>
      <w:r w:rsidR="00755CFE" w:rsidRPr="00953692">
        <w:rPr>
          <w:rFonts w:cs="Times New Roman"/>
          <w:sz w:val="24"/>
          <w:szCs w:val="24"/>
          <w:lang w:val="fr-FR"/>
        </w:rPr>
        <w:t xml:space="preserve"> dont l’accusé</w:t>
      </w:r>
      <w:r w:rsidR="00486602" w:rsidRPr="00953692">
        <w:rPr>
          <w:rFonts w:cs="Times New Roman"/>
          <w:sz w:val="24"/>
          <w:szCs w:val="24"/>
          <w:lang w:val="fr-FR"/>
        </w:rPr>
        <w:t>, de s’adresser au juge en cas d’une prétention généralement quelconque</w:t>
      </w:r>
      <w:r w:rsidR="00755CFE" w:rsidRPr="00953692">
        <w:rPr>
          <w:rFonts w:cs="Times New Roman"/>
          <w:sz w:val="24"/>
          <w:szCs w:val="24"/>
          <w:lang w:val="fr-FR"/>
        </w:rPr>
        <w:t xml:space="preserve">. </w:t>
      </w:r>
      <w:r w:rsidR="00CE1C01" w:rsidRPr="00953692">
        <w:rPr>
          <w:rFonts w:cs="Times New Roman"/>
          <w:sz w:val="24"/>
          <w:szCs w:val="24"/>
          <w:lang w:val="fr-FR"/>
        </w:rPr>
        <w:t>Il s’y réalise de deux manières. D’une part, par la saisine du juge</w:t>
      </w:r>
      <w:r w:rsidR="00755CFE" w:rsidRPr="00953692">
        <w:rPr>
          <w:rFonts w:cs="Times New Roman"/>
          <w:sz w:val="24"/>
          <w:szCs w:val="24"/>
          <w:lang w:val="fr-FR"/>
        </w:rPr>
        <w:t xml:space="preserve"> par une action incidente</w:t>
      </w:r>
      <w:r w:rsidR="00CE1C01" w:rsidRPr="00953692">
        <w:rPr>
          <w:rFonts w:cs="Times New Roman"/>
          <w:sz w:val="24"/>
          <w:szCs w:val="24"/>
          <w:lang w:val="fr-FR"/>
        </w:rPr>
        <w:t>,</w:t>
      </w:r>
      <w:r w:rsidR="00880F3B" w:rsidRPr="00953692">
        <w:rPr>
          <w:rFonts w:cs="Times New Roman"/>
          <w:sz w:val="24"/>
          <w:szCs w:val="24"/>
          <w:lang w:val="fr-FR"/>
        </w:rPr>
        <w:t xml:space="preserve"> qui peut</w:t>
      </w:r>
      <w:r w:rsidR="00CE1C01" w:rsidRPr="00953692">
        <w:rPr>
          <w:rFonts w:cs="Times New Roman"/>
          <w:sz w:val="24"/>
          <w:szCs w:val="24"/>
          <w:lang w:val="fr-FR"/>
        </w:rPr>
        <w:t xml:space="preserve"> à son tour</w:t>
      </w:r>
      <w:r w:rsidR="00880F3B" w:rsidRPr="00953692">
        <w:rPr>
          <w:rFonts w:cs="Times New Roman"/>
          <w:sz w:val="24"/>
          <w:szCs w:val="24"/>
          <w:lang w:val="fr-FR"/>
        </w:rPr>
        <w:t xml:space="preserve"> </w:t>
      </w:r>
      <w:r w:rsidR="00CE1C01" w:rsidRPr="00953692">
        <w:rPr>
          <w:rFonts w:cs="Times New Roman"/>
          <w:sz w:val="24"/>
          <w:szCs w:val="24"/>
          <w:lang w:val="fr-FR"/>
        </w:rPr>
        <w:t>engendrer</w:t>
      </w:r>
      <w:r w:rsidR="00880F3B" w:rsidRPr="00953692">
        <w:rPr>
          <w:rFonts w:cs="Times New Roman"/>
          <w:sz w:val="24"/>
          <w:szCs w:val="24"/>
          <w:lang w:val="fr-FR"/>
        </w:rPr>
        <w:t xml:space="preserve"> un autre recours</w:t>
      </w:r>
      <w:r w:rsidR="00CE1C01" w:rsidRPr="00953692">
        <w:rPr>
          <w:rFonts w:cs="Times New Roman"/>
          <w:sz w:val="24"/>
          <w:szCs w:val="24"/>
          <w:lang w:val="fr-FR"/>
        </w:rPr>
        <w:t>, que les juristes désignent sous le vocable ‘’d’</w:t>
      </w:r>
      <w:r w:rsidR="00E57B5D" w:rsidRPr="00953692">
        <w:rPr>
          <w:rFonts w:cs="Times New Roman"/>
          <w:sz w:val="24"/>
          <w:szCs w:val="24"/>
          <w:lang w:val="fr-FR"/>
        </w:rPr>
        <w:t xml:space="preserve">appel </w:t>
      </w:r>
      <w:r w:rsidR="001B58EA" w:rsidRPr="00953692">
        <w:rPr>
          <w:rFonts w:cs="Times New Roman"/>
          <w:sz w:val="24"/>
          <w:szCs w:val="24"/>
          <w:lang w:val="fr-FR"/>
        </w:rPr>
        <w:t>interlocutoire</w:t>
      </w:r>
      <w:r w:rsidR="00CE1C01" w:rsidRPr="00953692">
        <w:rPr>
          <w:rFonts w:cs="Times New Roman"/>
          <w:sz w:val="24"/>
          <w:szCs w:val="24"/>
          <w:lang w:val="fr-FR"/>
        </w:rPr>
        <w:t>’’. D’autre part, par la saisine d’une instance d’appel</w:t>
      </w:r>
      <w:r w:rsidR="00755CFE" w:rsidRPr="00953692">
        <w:rPr>
          <w:rFonts w:cs="Times New Roman"/>
          <w:sz w:val="24"/>
          <w:szCs w:val="24"/>
          <w:lang w:val="fr-FR"/>
        </w:rPr>
        <w:t xml:space="preserve"> contre le jugement </w:t>
      </w:r>
      <w:r w:rsidR="00E57B5D" w:rsidRPr="00953692">
        <w:rPr>
          <w:rFonts w:cs="Times New Roman"/>
          <w:sz w:val="24"/>
          <w:szCs w:val="24"/>
          <w:lang w:val="fr-FR"/>
        </w:rPr>
        <w:t xml:space="preserve">définitif </w:t>
      </w:r>
      <w:r w:rsidR="00755CFE" w:rsidRPr="00953692">
        <w:rPr>
          <w:rFonts w:cs="Times New Roman"/>
          <w:sz w:val="24"/>
          <w:szCs w:val="24"/>
          <w:lang w:val="fr-FR"/>
        </w:rPr>
        <w:t>rendu par le premier juge.</w:t>
      </w:r>
    </w:p>
    <w:p w14:paraId="4BD6A180" w14:textId="34A02F4D" w:rsidR="00E257B2" w:rsidRPr="00953692" w:rsidRDefault="003F2222" w:rsidP="00E622A6">
      <w:pPr>
        <w:spacing w:line="276" w:lineRule="auto"/>
        <w:ind w:firstLine="1134"/>
        <w:jc w:val="both"/>
        <w:rPr>
          <w:rFonts w:cs="Times New Roman"/>
          <w:sz w:val="24"/>
          <w:szCs w:val="24"/>
          <w:lang w:val="fr-FR"/>
        </w:rPr>
      </w:pPr>
      <w:r w:rsidRPr="00953692">
        <w:rPr>
          <w:rFonts w:cs="Times New Roman"/>
          <w:b/>
          <w:bCs/>
          <w:sz w:val="24"/>
          <w:szCs w:val="24"/>
          <w:lang w:val="fr-FR"/>
        </w:rPr>
        <w:t>413</w:t>
      </w:r>
      <w:r w:rsidR="00CE1C01" w:rsidRPr="00953692">
        <w:rPr>
          <w:rFonts w:cs="Times New Roman"/>
          <w:b/>
          <w:bCs/>
          <w:sz w:val="24"/>
          <w:szCs w:val="24"/>
          <w:lang w:val="fr-FR"/>
        </w:rPr>
        <w:t>.</w:t>
      </w:r>
      <w:r w:rsidR="00CE1C01" w:rsidRPr="00953692">
        <w:rPr>
          <w:rFonts w:cs="Times New Roman"/>
          <w:sz w:val="24"/>
          <w:szCs w:val="24"/>
          <w:lang w:val="fr-FR"/>
        </w:rPr>
        <w:t xml:space="preserve"> </w:t>
      </w:r>
      <w:r w:rsidR="00880F3B" w:rsidRPr="00953692">
        <w:rPr>
          <w:rFonts w:cs="Times New Roman"/>
          <w:sz w:val="24"/>
          <w:szCs w:val="24"/>
          <w:lang w:val="fr-FR"/>
        </w:rPr>
        <w:t>Dans le premier cas, on se rappellera que le procès n’est pas un programme qui s’exécute de soi sans interruption jusqu’à la décision finale au fond. Loin s’en faut, les débats sont de temps en temps interrompus</w:t>
      </w:r>
      <w:r w:rsidR="003E38FC" w:rsidRPr="00953692">
        <w:rPr>
          <w:rFonts w:cs="Times New Roman"/>
          <w:sz w:val="24"/>
          <w:szCs w:val="24"/>
          <w:lang w:val="fr-FR"/>
        </w:rPr>
        <w:t>,</w:t>
      </w:r>
      <w:r w:rsidR="00880F3B" w:rsidRPr="00953692">
        <w:rPr>
          <w:rFonts w:cs="Times New Roman"/>
          <w:sz w:val="24"/>
          <w:szCs w:val="24"/>
          <w:lang w:val="fr-FR"/>
        </w:rPr>
        <w:t xml:space="preserve"> notamment lorsque l’une des </w:t>
      </w:r>
      <w:r w:rsidR="00880F3B" w:rsidRPr="00953692">
        <w:rPr>
          <w:rFonts w:cs="Times New Roman"/>
          <w:sz w:val="24"/>
          <w:szCs w:val="24"/>
          <w:lang w:val="fr-FR"/>
        </w:rPr>
        <w:lastRenderedPageBreak/>
        <w:t xml:space="preserve">parties estime que ses droits ne sont pas respectés ou pour tout autre motif qui lui semble valable pour la poursuite du procès. </w:t>
      </w:r>
      <w:r w:rsidR="001B58EA" w:rsidRPr="00953692">
        <w:rPr>
          <w:rFonts w:cs="Times New Roman"/>
          <w:sz w:val="24"/>
          <w:szCs w:val="24"/>
          <w:lang w:val="fr-FR"/>
        </w:rPr>
        <w:t>L’objectif de</w:t>
      </w:r>
      <w:r w:rsidR="00880F3B" w:rsidRPr="00953692">
        <w:rPr>
          <w:rFonts w:cs="Times New Roman"/>
          <w:sz w:val="24"/>
          <w:szCs w:val="24"/>
          <w:lang w:val="fr-FR"/>
        </w:rPr>
        <w:t xml:space="preserve"> ce chapitre </w:t>
      </w:r>
      <w:r w:rsidR="001B58EA" w:rsidRPr="00953692">
        <w:rPr>
          <w:rFonts w:cs="Times New Roman"/>
          <w:sz w:val="24"/>
          <w:szCs w:val="24"/>
          <w:lang w:val="fr-FR"/>
        </w:rPr>
        <w:t xml:space="preserve">est de démontrer </w:t>
      </w:r>
      <w:r w:rsidR="00880F3B" w:rsidRPr="00953692">
        <w:rPr>
          <w:rFonts w:cs="Times New Roman"/>
          <w:sz w:val="24"/>
          <w:szCs w:val="24"/>
          <w:lang w:val="fr-FR"/>
        </w:rPr>
        <w:t xml:space="preserve">que, ces interruptions dues </w:t>
      </w:r>
      <w:r w:rsidR="003E38FC" w:rsidRPr="00953692">
        <w:rPr>
          <w:rFonts w:cs="Times New Roman"/>
          <w:sz w:val="24"/>
          <w:szCs w:val="24"/>
          <w:lang w:val="fr-FR"/>
        </w:rPr>
        <w:t>à ces</w:t>
      </w:r>
      <w:r w:rsidR="00880F3B" w:rsidRPr="00953692">
        <w:rPr>
          <w:rFonts w:cs="Times New Roman"/>
          <w:sz w:val="24"/>
          <w:szCs w:val="24"/>
          <w:lang w:val="fr-FR"/>
        </w:rPr>
        <w:t xml:space="preserve"> différentes actions incidentes ralentiss</w:t>
      </w:r>
      <w:r w:rsidR="003E38FC" w:rsidRPr="00953692">
        <w:rPr>
          <w:rFonts w:cs="Times New Roman"/>
          <w:sz w:val="24"/>
          <w:szCs w:val="24"/>
          <w:lang w:val="fr-FR"/>
        </w:rPr>
        <w:t>e</w:t>
      </w:r>
      <w:r w:rsidR="00880F3B" w:rsidRPr="00953692">
        <w:rPr>
          <w:rFonts w:cs="Times New Roman"/>
          <w:sz w:val="24"/>
          <w:szCs w:val="24"/>
          <w:lang w:val="fr-FR"/>
        </w:rPr>
        <w:t xml:space="preserve">nt le procès (section 1) dans la mesure où elles </w:t>
      </w:r>
      <w:r w:rsidR="00E57B5D" w:rsidRPr="00953692">
        <w:rPr>
          <w:rFonts w:cs="Times New Roman"/>
          <w:sz w:val="24"/>
          <w:szCs w:val="24"/>
          <w:lang w:val="fr-FR"/>
        </w:rPr>
        <w:t xml:space="preserve">sont susceptibles de </w:t>
      </w:r>
      <w:r w:rsidR="00880F3B" w:rsidRPr="00953692">
        <w:rPr>
          <w:rFonts w:cs="Times New Roman"/>
          <w:sz w:val="24"/>
          <w:szCs w:val="24"/>
          <w:lang w:val="fr-FR"/>
        </w:rPr>
        <w:t>t</w:t>
      </w:r>
      <w:r w:rsidR="00E57B5D" w:rsidRPr="00953692">
        <w:rPr>
          <w:rFonts w:cs="Times New Roman"/>
          <w:sz w:val="24"/>
          <w:szCs w:val="24"/>
          <w:lang w:val="fr-FR"/>
        </w:rPr>
        <w:t>enir</w:t>
      </w:r>
      <w:r w:rsidR="00880F3B" w:rsidRPr="00953692">
        <w:rPr>
          <w:rFonts w:cs="Times New Roman"/>
          <w:sz w:val="24"/>
          <w:szCs w:val="24"/>
          <w:lang w:val="fr-FR"/>
        </w:rPr>
        <w:t xml:space="preserve"> l’instance principale en état</w:t>
      </w:r>
      <w:r w:rsidR="001B58EA" w:rsidRPr="00953692">
        <w:rPr>
          <w:rFonts w:cs="Times New Roman"/>
          <w:sz w:val="24"/>
          <w:szCs w:val="24"/>
          <w:lang w:val="fr-FR"/>
        </w:rPr>
        <w:t xml:space="preserve"> ou d’en invalider l’issue</w:t>
      </w:r>
      <w:r w:rsidR="00880F3B" w:rsidRPr="00953692">
        <w:rPr>
          <w:rFonts w:cs="Times New Roman"/>
          <w:sz w:val="24"/>
          <w:szCs w:val="24"/>
          <w:lang w:val="fr-FR"/>
        </w:rPr>
        <w:t xml:space="preserve">. </w:t>
      </w:r>
      <w:r w:rsidR="001B58EA" w:rsidRPr="00953692">
        <w:rPr>
          <w:rFonts w:cs="Times New Roman"/>
          <w:sz w:val="24"/>
          <w:szCs w:val="24"/>
          <w:lang w:val="fr-FR"/>
        </w:rPr>
        <w:t>Tandis que d</w:t>
      </w:r>
      <w:r w:rsidR="00755CFE" w:rsidRPr="00953692">
        <w:rPr>
          <w:rFonts w:cs="Times New Roman"/>
          <w:sz w:val="24"/>
          <w:szCs w:val="24"/>
          <w:lang w:val="fr-FR"/>
        </w:rPr>
        <w:t>ans le second cas, il s’agit de l’appel principal de l’accusé comme étant une voie de recours ordinaire que prévoi</w:t>
      </w:r>
      <w:r w:rsidR="003E38FC" w:rsidRPr="00953692">
        <w:rPr>
          <w:rFonts w:cs="Times New Roman"/>
          <w:sz w:val="24"/>
          <w:szCs w:val="24"/>
          <w:lang w:val="fr-FR"/>
        </w:rPr>
        <w:t>en</w:t>
      </w:r>
      <w:r w:rsidR="00755CFE" w:rsidRPr="00953692">
        <w:rPr>
          <w:rFonts w:cs="Times New Roman"/>
          <w:sz w:val="24"/>
          <w:szCs w:val="24"/>
          <w:lang w:val="fr-FR"/>
        </w:rPr>
        <w:t>t également les juridictions pénales internationales à l’exception des TMI</w:t>
      </w:r>
      <w:r w:rsidR="00A3146F" w:rsidRPr="00953692">
        <w:rPr>
          <w:rStyle w:val="Appelnotedebasdep"/>
          <w:rFonts w:cs="Times New Roman"/>
          <w:sz w:val="24"/>
          <w:szCs w:val="24"/>
          <w:lang w:val="fr-FR"/>
        </w:rPr>
        <w:footnoteReference w:customMarkFollows="1" w:id="325"/>
        <w:t>300</w:t>
      </w:r>
      <w:r w:rsidR="00E57B5D" w:rsidRPr="00953692">
        <w:rPr>
          <w:rFonts w:cs="Times New Roman"/>
          <w:sz w:val="24"/>
          <w:szCs w:val="24"/>
          <w:lang w:val="fr-FR"/>
        </w:rPr>
        <w:t>. Le principal effet de l’appel est bien la continuation</w:t>
      </w:r>
      <w:r w:rsidR="001B58EA" w:rsidRPr="00953692">
        <w:rPr>
          <w:rFonts w:cs="Times New Roman"/>
          <w:sz w:val="24"/>
          <w:szCs w:val="24"/>
          <w:lang w:val="fr-FR"/>
        </w:rPr>
        <w:t xml:space="preserve"> voulue</w:t>
      </w:r>
      <w:r w:rsidR="00E57B5D" w:rsidRPr="00953692">
        <w:rPr>
          <w:rFonts w:cs="Times New Roman"/>
          <w:sz w:val="24"/>
          <w:szCs w:val="24"/>
          <w:lang w:val="fr-FR"/>
        </w:rPr>
        <w:t xml:space="preserve"> de l’instance qui aurait dû se clôturer</w:t>
      </w:r>
      <w:r w:rsidR="001B58EA" w:rsidRPr="00953692">
        <w:rPr>
          <w:rFonts w:cs="Times New Roman"/>
          <w:sz w:val="24"/>
          <w:szCs w:val="24"/>
          <w:lang w:val="fr-FR"/>
        </w:rPr>
        <w:t xml:space="preserve"> ou s’arrêter définitivement</w:t>
      </w:r>
      <w:r w:rsidR="00E57B5D" w:rsidRPr="00953692">
        <w:rPr>
          <w:rFonts w:cs="Times New Roman"/>
          <w:sz w:val="24"/>
          <w:szCs w:val="24"/>
          <w:lang w:val="fr-FR"/>
        </w:rPr>
        <w:t xml:space="preserve"> au prononcé du jugement en première instance (section 2)</w:t>
      </w:r>
      <w:r w:rsidR="004F78BC" w:rsidRPr="00953692">
        <w:rPr>
          <w:rFonts w:cs="Times New Roman"/>
          <w:sz w:val="24"/>
          <w:szCs w:val="24"/>
          <w:lang w:val="fr-FR"/>
        </w:rPr>
        <w:t>.</w:t>
      </w:r>
    </w:p>
    <w:p w14:paraId="06612356" w14:textId="10D18C2F" w:rsidR="00E257B2" w:rsidRPr="00953692" w:rsidRDefault="00A978A6" w:rsidP="00E622A6">
      <w:pPr>
        <w:pStyle w:val="Titre2"/>
        <w:spacing w:after="160"/>
        <w:ind w:left="1134"/>
        <w:rPr>
          <w:rFonts w:ascii="Times New Roman" w:hAnsi="Times New Roman" w:cs="Times New Roman"/>
          <w:b/>
          <w:bCs/>
          <w:color w:val="auto"/>
          <w:sz w:val="24"/>
          <w:szCs w:val="24"/>
          <w:lang w:val="fr-FR"/>
        </w:rPr>
      </w:pPr>
      <w:bookmarkStart w:id="86" w:name="_Hlk118297469"/>
      <w:bookmarkStart w:id="87" w:name="_Toc195179443"/>
      <w:r w:rsidRPr="00953692">
        <w:rPr>
          <w:rFonts w:ascii="Times New Roman" w:hAnsi="Times New Roman" w:cs="Times New Roman"/>
          <w:b/>
          <w:bCs/>
          <w:color w:val="auto"/>
          <w:sz w:val="24"/>
          <w:szCs w:val="24"/>
          <w:lang w:val="fr-FR"/>
        </w:rPr>
        <w:t>Section 01. D</w:t>
      </w:r>
      <w:r w:rsidR="00165FC4" w:rsidRPr="00953692">
        <w:rPr>
          <w:rFonts w:ascii="Times New Roman" w:hAnsi="Times New Roman" w:cs="Times New Roman"/>
          <w:b/>
          <w:bCs/>
          <w:color w:val="auto"/>
          <w:sz w:val="24"/>
          <w:szCs w:val="24"/>
          <w:lang w:val="fr-FR"/>
        </w:rPr>
        <w:t xml:space="preserve">es </w:t>
      </w:r>
      <w:r w:rsidR="00FD1B19" w:rsidRPr="00953692">
        <w:rPr>
          <w:rFonts w:ascii="Times New Roman" w:hAnsi="Times New Roman" w:cs="Times New Roman"/>
          <w:b/>
          <w:bCs/>
          <w:color w:val="auto"/>
          <w:sz w:val="24"/>
          <w:szCs w:val="24"/>
          <w:lang w:val="fr-FR"/>
        </w:rPr>
        <w:t>requêtes</w:t>
      </w:r>
      <w:r w:rsidR="00165FC4" w:rsidRPr="00953692">
        <w:rPr>
          <w:rFonts w:ascii="Times New Roman" w:hAnsi="Times New Roman" w:cs="Times New Roman"/>
          <w:b/>
          <w:bCs/>
          <w:color w:val="auto"/>
          <w:sz w:val="24"/>
          <w:szCs w:val="24"/>
          <w:lang w:val="fr-FR"/>
        </w:rPr>
        <w:t xml:space="preserve"> incident</w:t>
      </w:r>
      <w:r w:rsidR="00770040" w:rsidRPr="00953692">
        <w:rPr>
          <w:rFonts w:ascii="Times New Roman" w:hAnsi="Times New Roman" w:cs="Times New Roman"/>
          <w:b/>
          <w:bCs/>
          <w:color w:val="auto"/>
          <w:sz w:val="24"/>
          <w:szCs w:val="24"/>
          <w:lang w:val="fr-FR"/>
        </w:rPr>
        <w:t>e</w:t>
      </w:r>
      <w:r w:rsidR="00165FC4" w:rsidRPr="00953692">
        <w:rPr>
          <w:rFonts w:ascii="Times New Roman" w:hAnsi="Times New Roman" w:cs="Times New Roman"/>
          <w:b/>
          <w:bCs/>
          <w:color w:val="auto"/>
          <w:sz w:val="24"/>
          <w:szCs w:val="24"/>
          <w:lang w:val="fr-FR"/>
        </w:rPr>
        <w:t>s</w:t>
      </w:r>
      <w:r w:rsidR="00E24684" w:rsidRPr="00953692">
        <w:rPr>
          <w:rFonts w:ascii="Times New Roman" w:hAnsi="Times New Roman" w:cs="Times New Roman"/>
          <w:b/>
          <w:bCs/>
          <w:color w:val="auto"/>
          <w:sz w:val="24"/>
          <w:szCs w:val="24"/>
          <w:lang w:val="fr-FR"/>
        </w:rPr>
        <w:t>, motifs de ralentissement du procès</w:t>
      </w:r>
      <w:bookmarkEnd w:id="86"/>
      <w:bookmarkEnd w:id="87"/>
      <w:r w:rsidR="00E257B2" w:rsidRPr="00953692">
        <w:rPr>
          <w:color w:val="auto"/>
          <w:lang w:val="fr-FR"/>
        </w:rPr>
        <w:tab/>
      </w:r>
    </w:p>
    <w:p w14:paraId="18C17184" w14:textId="280114AB" w:rsidR="003D192E" w:rsidRPr="00953692" w:rsidRDefault="003F2222" w:rsidP="00E622A6">
      <w:pPr>
        <w:spacing w:after="0" w:line="276" w:lineRule="auto"/>
        <w:ind w:firstLine="1134"/>
        <w:jc w:val="both"/>
        <w:rPr>
          <w:sz w:val="24"/>
          <w:szCs w:val="24"/>
          <w:lang w:val="fr-FR"/>
        </w:rPr>
      </w:pPr>
      <w:r w:rsidRPr="00953692">
        <w:rPr>
          <w:b/>
          <w:bCs/>
          <w:sz w:val="24"/>
          <w:szCs w:val="24"/>
          <w:lang w:val="fr-FR"/>
        </w:rPr>
        <w:t>414</w:t>
      </w:r>
      <w:r w:rsidR="004F78BC" w:rsidRPr="00953692">
        <w:rPr>
          <w:b/>
          <w:bCs/>
          <w:sz w:val="24"/>
          <w:szCs w:val="24"/>
          <w:lang w:val="fr-FR"/>
        </w:rPr>
        <w:t>.</w:t>
      </w:r>
      <w:r w:rsidR="004F78BC" w:rsidRPr="00953692">
        <w:rPr>
          <w:sz w:val="24"/>
          <w:szCs w:val="24"/>
          <w:lang w:val="fr-FR"/>
        </w:rPr>
        <w:t xml:space="preserve"> </w:t>
      </w:r>
      <w:bookmarkStart w:id="88" w:name="_Hlk140335375"/>
      <w:r w:rsidR="006022EF" w:rsidRPr="00953692">
        <w:rPr>
          <w:sz w:val="24"/>
          <w:szCs w:val="24"/>
          <w:lang w:val="fr-FR"/>
        </w:rPr>
        <w:t>« En droit procédural, on appelle incident ou incident de procédure, incident d’instance, au sens strict, toute demande</w:t>
      </w:r>
      <w:r w:rsidR="003E38FC" w:rsidRPr="00953692">
        <w:rPr>
          <w:sz w:val="24"/>
          <w:szCs w:val="24"/>
          <w:lang w:val="fr-FR"/>
        </w:rPr>
        <w:t>, toute</w:t>
      </w:r>
      <w:r w:rsidR="006022EF" w:rsidRPr="00953692">
        <w:rPr>
          <w:sz w:val="24"/>
          <w:szCs w:val="24"/>
          <w:lang w:val="fr-FR"/>
        </w:rPr>
        <w:t xml:space="preserve"> contestation nouvelle et accessoire formée par une partie ou un tiers au cours de l’instance au sujet aussi bien de la forme de la procédure suivie que du fond même de l’affaire, ou encore tout fait survenu dans le cadre de l’instance »</w:t>
      </w:r>
      <w:r w:rsidR="00A3146F" w:rsidRPr="00953692">
        <w:rPr>
          <w:rStyle w:val="Appelnotedebasdep"/>
          <w:sz w:val="24"/>
          <w:szCs w:val="24"/>
          <w:lang w:val="fr-FR"/>
        </w:rPr>
        <w:footnoteReference w:customMarkFollows="1" w:id="326"/>
        <w:t>301</w:t>
      </w:r>
      <w:r w:rsidR="006022EF" w:rsidRPr="00953692">
        <w:rPr>
          <w:sz w:val="24"/>
          <w:szCs w:val="24"/>
          <w:lang w:val="fr-FR"/>
        </w:rPr>
        <w:t>.</w:t>
      </w:r>
      <w:r w:rsidR="000336EF" w:rsidRPr="00953692">
        <w:rPr>
          <w:sz w:val="24"/>
          <w:szCs w:val="24"/>
          <w:lang w:val="fr-FR"/>
        </w:rPr>
        <w:t xml:space="preserve"> C’est en effet une possibilité accordée aux parties de soulever toute question particulière au cours d’une instance déjà introduite par une demande, requête ou exploit principal. La partie, l’accusé en l’occurrence, qui constate un fait susceptible d’influer d’une manière ou d’une autre </w:t>
      </w:r>
      <w:r w:rsidR="001073BD" w:rsidRPr="00953692">
        <w:rPr>
          <w:sz w:val="24"/>
          <w:szCs w:val="24"/>
          <w:lang w:val="fr-FR"/>
        </w:rPr>
        <w:t xml:space="preserve">sur ses intérêts </w:t>
      </w:r>
      <w:r w:rsidR="000336EF" w:rsidRPr="00953692">
        <w:rPr>
          <w:sz w:val="24"/>
          <w:szCs w:val="24"/>
          <w:lang w:val="fr-FR"/>
        </w:rPr>
        <w:t xml:space="preserve">a donc le droit de s’adresser au juge afin que ce dernier l’examine et le </w:t>
      </w:r>
      <w:r w:rsidR="003E38FC" w:rsidRPr="00953692">
        <w:rPr>
          <w:sz w:val="24"/>
          <w:szCs w:val="24"/>
          <w:lang w:val="fr-FR"/>
        </w:rPr>
        <w:t>résolve</w:t>
      </w:r>
      <w:r w:rsidR="000336EF" w:rsidRPr="00953692">
        <w:rPr>
          <w:sz w:val="24"/>
          <w:szCs w:val="24"/>
          <w:lang w:val="fr-FR"/>
        </w:rPr>
        <w:t xml:space="preserve"> le cas échéant. Ce fait ou incident constaté fait </w:t>
      </w:r>
      <w:r w:rsidR="000336EF" w:rsidRPr="00953692">
        <w:rPr>
          <w:i/>
          <w:iCs/>
          <w:sz w:val="24"/>
          <w:szCs w:val="24"/>
          <w:lang w:val="fr-FR"/>
        </w:rPr>
        <w:t xml:space="preserve">naitre une demande dite incidente </w:t>
      </w:r>
      <w:r w:rsidR="00492307" w:rsidRPr="00953692">
        <w:rPr>
          <w:i/>
          <w:iCs/>
          <w:sz w:val="24"/>
          <w:szCs w:val="24"/>
          <w:lang w:val="fr-FR"/>
        </w:rPr>
        <w:t>que</w:t>
      </w:r>
      <w:r w:rsidR="000336EF" w:rsidRPr="00953692">
        <w:rPr>
          <w:i/>
          <w:iCs/>
          <w:sz w:val="24"/>
          <w:szCs w:val="24"/>
          <w:lang w:val="fr-FR"/>
        </w:rPr>
        <w:t xml:space="preserve"> le tribunal saisi sera</w:t>
      </w:r>
      <w:r w:rsidR="004F78BC" w:rsidRPr="00953692">
        <w:rPr>
          <w:i/>
          <w:iCs/>
          <w:sz w:val="24"/>
          <w:szCs w:val="24"/>
          <w:lang w:val="fr-FR"/>
        </w:rPr>
        <w:t xml:space="preserve"> donc </w:t>
      </w:r>
      <w:r w:rsidR="000336EF" w:rsidRPr="00953692">
        <w:rPr>
          <w:i/>
          <w:iCs/>
          <w:sz w:val="24"/>
          <w:szCs w:val="24"/>
          <w:lang w:val="fr-FR"/>
        </w:rPr>
        <w:t>tenu d’examiner</w:t>
      </w:r>
      <w:r w:rsidR="00A3146F" w:rsidRPr="00953692">
        <w:rPr>
          <w:rStyle w:val="Appelnotedebasdep"/>
          <w:sz w:val="24"/>
          <w:szCs w:val="24"/>
          <w:lang w:val="fr-FR"/>
        </w:rPr>
        <w:footnoteReference w:customMarkFollows="1" w:id="327"/>
        <w:t>302</w:t>
      </w:r>
      <w:r w:rsidR="000336EF" w:rsidRPr="00953692">
        <w:rPr>
          <w:sz w:val="24"/>
          <w:szCs w:val="24"/>
          <w:lang w:val="fr-FR"/>
        </w:rPr>
        <w:t xml:space="preserve">. </w:t>
      </w:r>
      <w:r w:rsidR="004F78BC" w:rsidRPr="00953692">
        <w:rPr>
          <w:sz w:val="24"/>
          <w:szCs w:val="24"/>
          <w:lang w:val="fr-FR"/>
        </w:rPr>
        <w:t xml:space="preserve">Cette </w:t>
      </w:r>
      <w:r w:rsidR="000336EF" w:rsidRPr="00953692">
        <w:rPr>
          <w:sz w:val="24"/>
          <w:szCs w:val="24"/>
          <w:lang w:val="fr-FR"/>
        </w:rPr>
        <w:t>obligation d’examiner</w:t>
      </w:r>
      <w:r w:rsidR="004F78BC" w:rsidRPr="00953692">
        <w:rPr>
          <w:sz w:val="24"/>
          <w:szCs w:val="24"/>
          <w:lang w:val="fr-FR"/>
        </w:rPr>
        <w:t xml:space="preserve"> la requête incidente</w:t>
      </w:r>
      <w:r w:rsidR="000336EF" w:rsidRPr="00953692">
        <w:rPr>
          <w:sz w:val="24"/>
          <w:szCs w:val="24"/>
          <w:lang w:val="fr-FR"/>
        </w:rPr>
        <w:t xml:space="preserve"> se justifie par l’influence qu</w:t>
      </w:r>
      <w:r w:rsidR="004F78BC" w:rsidRPr="00953692">
        <w:rPr>
          <w:sz w:val="24"/>
          <w:szCs w:val="24"/>
          <w:lang w:val="fr-FR"/>
        </w:rPr>
        <w:t xml:space="preserve">e celle-ci </w:t>
      </w:r>
      <w:r w:rsidR="005A5809" w:rsidRPr="00953692">
        <w:rPr>
          <w:sz w:val="24"/>
          <w:szCs w:val="24"/>
          <w:lang w:val="fr-FR"/>
        </w:rPr>
        <w:t>exerce sur le cours du procès</w:t>
      </w:r>
      <w:r w:rsidR="004F78BC" w:rsidRPr="00953692">
        <w:rPr>
          <w:sz w:val="24"/>
          <w:szCs w:val="24"/>
          <w:lang w:val="fr-FR"/>
        </w:rPr>
        <w:t>, notamment le ralentissement</w:t>
      </w:r>
      <w:r w:rsidR="005A5809" w:rsidRPr="00953692">
        <w:rPr>
          <w:sz w:val="24"/>
          <w:szCs w:val="24"/>
          <w:lang w:val="fr-FR"/>
        </w:rPr>
        <w:t xml:space="preserve">. </w:t>
      </w:r>
      <w:bookmarkEnd w:id="88"/>
    </w:p>
    <w:p w14:paraId="670B82D4" w14:textId="13C9EC3F" w:rsidR="00E257B2" w:rsidRPr="00953692" w:rsidRDefault="003F2222" w:rsidP="00E622A6">
      <w:pPr>
        <w:spacing w:after="0" w:line="276" w:lineRule="auto"/>
        <w:ind w:firstLine="1134"/>
        <w:jc w:val="both"/>
        <w:rPr>
          <w:sz w:val="24"/>
          <w:szCs w:val="24"/>
          <w:lang w:val="fr-FR"/>
        </w:rPr>
      </w:pPr>
      <w:r w:rsidRPr="00953692">
        <w:rPr>
          <w:b/>
          <w:bCs/>
          <w:sz w:val="24"/>
          <w:szCs w:val="24"/>
          <w:lang w:val="fr-FR"/>
        </w:rPr>
        <w:t>415</w:t>
      </w:r>
      <w:r w:rsidR="00AC7BFC" w:rsidRPr="00953692">
        <w:rPr>
          <w:b/>
          <w:bCs/>
          <w:sz w:val="24"/>
          <w:szCs w:val="24"/>
          <w:lang w:val="fr-FR"/>
        </w:rPr>
        <w:t>.</w:t>
      </w:r>
      <w:r w:rsidR="00AC7BFC" w:rsidRPr="00953692">
        <w:rPr>
          <w:sz w:val="24"/>
          <w:szCs w:val="24"/>
          <w:lang w:val="fr-FR"/>
        </w:rPr>
        <w:t xml:space="preserve"> </w:t>
      </w:r>
      <w:r w:rsidR="005A5809" w:rsidRPr="00953692">
        <w:rPr>
          <w:sz w:val="24"/>
          <w:szCs w:val="24"/>
          <w:lang w:val="fr-FR"/>
        </w:rPr>
        <w:t xml:space="preserve">Par exemple, le procès ne peut se poursuivre si </w:t>
      </w:r>
      <w:r w:rsidR="00A73E8C" w:rsidRPr="00953692">
        <w:rPr>
          <w:sz w:val="24"/>
          <w:szCs w:val="24"/>
          <w:lang w:val="fr-FR"/>
        </w:rPr>
        <w:t xml:space="preserve">le droit de l’accusé </w:t>
      </w:r>
      <w:r w:rsidR="001B5BD2" w:rsidRPr="00953692">
        <w:rPr>
          <w:sz w:val="24"/>
          <w:szCs w:val="24"/>
          <w:lang w:val="fr-FR"/>
        </w:rPr>
        <w:t xml:space="preserve">de disposer du temps nécessaire ou à la communication des pièces </w:t>
      </w:r>
      <w:r w:rsidR="00A73E8C" w:rsidRPr="00953692">
        <w:rPr>
          <w:sz w:val="24"/>
          <w:szCs w:val="24"/>
          <w:lang w:val="fr-FR"/>
        </w:rPr>
        <w:t>n</w:t>
      </w:r>
      <w:r w:rsidR="001B5BD2" w:rsidRPr="00953692">
        <w:rPr>
          <w:sz w:val="24"/>
          <w:szCs w:val="24"/>
          <w:lang w:val="fr-FR"/>
        </w:rPr>
        <w:t>’est</w:t>
      </w:r>
      <w:r w:rsidR="00A73E8C" w:rsidRPr="00953692">
        <w:rPr>
          <w:sz w:val="24"/>
          <w:szCs w:val="24"/>
          <w:lang w:val="fr-FR"/>
        </w:rPr>
        <w:t xml:space="preserve"> pas respecté.</w:t>
      </w:r>
      <w:r w:rsidR="004F78BC" w:rsidRPr="00953692">
        <w:rPr>
          <w:sz w:val="24"/>
          <w:szCs w:val="24"/>
          <w:lang w:val="fr-FR"/>
        </w:rPr>
        <w:t xml:space="preserve"> Toutefois</w:t>
      </w:r>
      <w:r w:rsidR="003475CF" w:rsidRPr="00953692">
        <w:rPr>
          <w:sz w:val="24"/>
          <w:szCs w:val="24"/>
          <w:lang w:val="fr-FR"/>
        </w:rPr>
        <w:t>, ces requêtes incidentes se rapporte</w:t>
      </w:r>
      <w:r w:rsidR="00BD4B78" w:rsidRPr="00953692">
        <w:rPr>
          <w:sz w:val="24"/>
          <w:szCs w:val="24"/>
          <w:lang w:val="fr-FR"/>
        </w:rPr>
        <w:t>nt</w:t>
      </w:r>
      <w:r w:rsidR="003475CF" w:rsidRPr="00953692">
        <w:rPr>
          <w:sz w:val="24"/>
          <w:szCs w:val="24"/>
          <w:lang w:val="fr-FR"/>
        </w:rPr>
        <w:t xml:space="preserve"> à n’importe quelle question</w:t>
      </w:r>
      <w:r w:rsidR="004F78BC" w:rsidRPr="00953692">
        <w:rPr>
          <w:sz w:val="24"/>
          <w:szCs w:val="24"/>
          <w:lang w:val="fr-FR"/>
        </w:rPr>
        <w:t>, prévue ou non</w:t>
      </w:r>
      <w:r w:rsidR="001073BD" w:rsidRPr="00953692">
        <w:rPr>
          <w:sz w:val="24"/>
          <w:szCs w:val="24"/>
          <w:lang w:val="fr-FR"/>
        </w:rPr>
        <w:t xml:space="preserve"> dans les actes constitutifs des juridictions pénales internationales ;</w:t>
      </w:r>
      <w:r w:rsidR="003475CF" w:rsidRPr="00953692">
        <w:rPr>
          <w:sz w:val="24"/>
          <w:szCs w:val="24"/>
          <w:lang w:val="fr-FR"/>
        </w:rPr>
        <w:t xml:space="preserve"> que </w:t>
      </w:r>
      <w:r w:rsidR="001073BD" w:rsidRPr="00953692">
        <w:rPr>
          <w:sz w:val="24"/>
          <w:szCs w:val="24"/>
          <w:lang w:val="fr-FR"/>
        </w:rPr>
        <w:t xml:space="preserve">seul </w:t>
      </w:r>
      <w:r w:rsidR="003475CF" w:rsidRPr="00953692">
        <w:rPr>
          <w:sz w:val="24"/>
          <w:szCs w:val="24"/>
          <w:lang w:val="fr-FR"/>
        </w:rPr>
        <w:t xml:space="preserve">le juge </w:t>
      </w:r>
      <w:r w:rsidR="001073BD" w:rsidRPr="00953692">
        <w:rPr>
          <w:sz w:val="24"/>
          <w:szCs w:val="24"/>
          <w:lang w:val="fr-FR"/>
        </w:rPr>
        <w:t xml:space="preserve">en </w:t>
      </w:r>
      <w:r w:rsidR="003475CF" w:rsidRPr="00953692">
        <w:rPr>
          <w:sz w:val="24"/>
          <w:szCs w:val="24"/>
          <w:lang w:val="fr-FR"/>
        </w:rPr>
        <w:t xml:space="preserve">apprécie souverainement. Il y a </w:t>
      </w:r>
      <w:r w:rsidR="001073BD" w:rsidRPr="00953692">
        <w:rPr>
          <w:sz w:val="24"/>
          <w:szCs w:val="24"/>
          <w:lang w:val="fr-FR"/>
        </w:rPr>
        <w:t>en conséquence,</w:t>
      </w:r>
      <w:r w:rsidR="003475CF" w:rsidRPr="00953692">
        <w:rPr>
          <w:sz w:val="24"/>
          <w:szCs w:val="24"/>
          <w:lang w:val="fr-FR"/>
        </w:rPr>
        <w:t xml:space="preserve"> une forme d’illimitation des requêtes incidentes (</w:t>
      </w:r>
      <w:r w:rsidR="008B6D74" w:rsidRPr="00953692">
        <w:rPr>
          <w:sz w:val="24"/>
          <w:szCs w:val="24"/>
          <w:lang w:val="fr-FR"/>
        </w:rPr>
        <w:t>paragraphe</w:t>
      </w:r>
      <w:r w:rsidR="00D50E69" w:rsidRPr="00953692">
        <w:rPr>
          <w:sz w:val="24"/>
          <w:szCs w:val="24"/>
          <w:lang w:val="fr-FR"/>
        </w:rPr>
        <w:t xml:space="preserve"> </w:t>
      </w:r>
      <w:r w:rsidR="003475CF" w:rsidRPr="00953692">
        <w:rPr>
          <w:sz w:val="24"/>
          <w:szCs w:val="24"/>
          <w:lang w:val="fr-FR"/>
        </w:rPr>
        <w:t>1) qui peut déjà inquiéter sur la sinuosité qu’elle implique</w:t>
      </w:r>
      <w:r w:rsidR="007A4460" w:rsidRPr="00953692">
        <w:rPr>
          <w:sz w:val="24"/>
          <w:szCs w:val="24"/>
          <w:lang w:val="fr-FR"/>
        </w:rPr>
        <w:t>rait éventuellement</w:t>
      </w:r>
      <w:r w:rsidR="003475CF" w:rsidRPr="00953692">
        <w:rPr>
          <w:sz w:val="24"/>
          <w:szCs w:val="24"/>
          <w:lang w:val="fr-FR"/>
        </w:rPr>
        <w:t xml:space="preserve"> pour le procès en cours. Nous verrons </w:t>
      </w:r>
      <w:r w:rsidR="00390EF2" w:rsidRPr="00953692">
        <w:rPr>
          <w:sz w:val="24"/>
          <w:szCs w:val="24"/>
          <w:lang w:val="fr-FR"/>
        </w:rPr>
        <w:t xml:space="preserve">un peu </w:t>
      </w:r>
      <w:r w:rsidR="003475CF" w:rsidRPr="00953692">
        <w:rPr>
          <w:sz w:val="24"/>
          <w:szCs w:val="24"/>
          <w:lang w:val="fr-FR"/>
        </w:rPr>
        <w:t xml:space="preserve">plus loin comment les juridictions pénales internationales </w:t>
      </w:r>
      <w:r w:rsidR="007A4460" w:rsidRPr="00953692">
        <w:rPr>
          <w:sz w:val="24"/>
          <w:szCs w:val="24"/>
          <w:lang w:val="fr-FR"/>
        </w:rPr>
        <w:t xml:space="preserve">en ont bien conscience et </w:t>
      </w:r>
      <w:r w:rsidR="003475CF" w:rsidRPr="00953692">
        <w:rPr>
          <w:sz w:val="24"/>
          <w:szCs w:val="24"/>
          <w:lang w:val="fr-FR"/>
        </w:rPr>
        <w:t xml:space="preserve">tentent de garder le contrôle de la situation en </w:t>
      </w:r>
      <w:r w:rsidR="007A4460" w:rsidRPr="00953692">
        <w:rPr>
          <w:sz w:val="24"/>
          <w:szCs w:val="24"/>
          <w:lang w:val="fr-FR"/>
        </w:rPr>
        <w:t>fustigeant et en sanctionnant (</w:t>
      </w:r>
      <w:r w:rsidR="007A4460" w:rsidRPr="00953692">
        <w:rPr>
          <w:i/>
          <w:iCs/>
          <w:sz w:val="24"/>
          <w:szCs w:val="24"/>
          <w:lang w:val="fr-FR"/>
        </w:rPr>
        <w:t>a postériori</w:t>
      </w:r>
      <w:r w:rsidR="007A4460" w:rsidRPr="00953692">
        <w:rPr>
          <w:sz w:val="24"/>
          <w:szCs w:val="24"/>
          <w:lang w:val="fr-FR"/>
        </w:rPr>
        <w:t>)</w:t>
      </w:r>
      <w:r w:rsidR="003475CF" w:rsidRPr="00953692">
        <w:rPr>
          <w:sz w:val="24"/>
          <w:szCs w:val="24"/>
          <w:lang w:val="fr-FR"/>
        </w:rPr>
        <w:t xml:space="preserve"> les </w:t>
      </w:r>
      <w:r w:rsidR="007A4460" w:rsidRPr="00953692">
        <w:rPr>
          <w:sz w:val="24"/>
          <w:szCs w:val="24"/>
          <w:lang w:val="fr-FR"/>
        </w:rPr>
        <w:t>requêtes</w:t>
      </w:r>
      <w:r w:rsidR="00335299" w:rsidRPr="00953692">
        <w:rPr>
          <w:sz w:val="24"/>
          <w:szCs w:val="24"/>
          <w:lang w:val="fr-FR"/>
        </w:rPr>
        <w:t xml:space="preserve"> jugées</w:t>
      </w:r>
      <w:r w:rsidR="003475CF" w:rsidRPr="00953692">
        <w:rPr>
          <w:sz w:val="24"/>
          <w:szCs w:val="24"/>
          <w:lang w:val="fr-FR"/>
        </w:rPr>
        <w:t xml:space="preserve"> fantaisistes</w:t>
      </w:r>
      <w:r w:rsidR="00390EF2" w:rsidRPr="00953692">
        <w:rPr>
          <w:sz w:val="24"/>
          <w:szCs w:val="24"/>
          <w:lang w:val="fr-FR"/>
        </w:rPr>
        <w:t xml:space="preserve"> à l’effet évidemment dilatoire</w:t>
      </w:r>
      <w:r w:rsidR="003475CF" w:rsidRPr="00953692">
        <w:rPr>
          <w:sz w:val="24"/>
          <w:szCs w:val="24"/>
          <w:lang w:val="fr-FR"/>
        </w:rPr>
        <w:t xml:space="preserve">. </w:t>
      </w:r>
      <w:r w:rsidR="00390EF2" w:rsidRPr="00953692">
        <w:rPr>
          <w:sz w:val="24"/>
          <w:szCs w:val="24"/>
          <w:lang w:val="fr-FR"/>
        </w:rPr>
        <w:t>En effet, d</w:t>
      </w:r>
      <w:r w:rsidR="004F78BC" w:rsidRPr="00953692">
        <w:rPr>
          <w:sz w:val="24"/>
          <w:szCs w:val="24"/>
          <w:lang w:val="fr-FR"/>
        </w:rPr>
        <w:t>ans ce souci d</w:t>
      </w:r>
      <w:r w:rsidR="008B6D74" w:rsidRPr="00953692">
        <w:rPr>
          <w:sz w:val="24"/>
          <w:szCs w:val="24"/>
          <w:lang w:val="fr-FR"/>
        </w:rPr>
        <w:t xml:space="preserve">e pouvoir contrôler ces requêtes incidentes, les juridictions pénales internationales recourent </w:t>
      </w:r>
      <w:r w:rsidR="00390EF2" w:rsidRPr="00953692">
        <w:rPr>
          <w:sz w:val="24"/>
          <w:szCs w:val="24"/>
          <w:lang w:val="fr-FR"/>
        </w:rPr>
        <w:t>avant tout</w:t>
      </w:r>
      <w:r w:rsidR="008B6D74" w:rsidRPr="00953692">
        <w:rPr>
          <w:sz w:val="24"/>
          <w:szCs w:val="24"/>
          <w:lang w:val="fr-FR"/>
        </w:rPr>
        <w:t xml:space="preserve"> à une </w:t>
      </w:r>
      <w:r w:rsidR="008B6D74" w:rsidRPr="00953692">
        <w:rPr>
          <w:sz w:val="24"/>
          <w:szCs w:val="24"/>
          <w:lang w:val="fr-FR"/>
        </w:rPr>
        <w:lastRenderedPageBreak/>
        <w:t xml:space="preserve">limitation de l’appel </w:t>
      </w:r>
      <w:r w:rsidR="00390EF2" w:rsidRPr="00953692">
        <w:rPr>
          <w:sz w:val="24"/>
          <w:szCs w:val="24"/>
          <w:lang w:val="fr-FR"/>
        </w:rPr>
        <w:t>interlocutoire</w:t>
      </w:r>
      <w:r w:rsidR="008B6D74" w:rsidRPr="00953692">
        <w:rPr>
          <w:sz w:val="24"/>
          <w:szCs w:val="24"/>
          <w:lang w:val="fr-FR"/>
        </w:rPr>
        <w:t xml:space="preserve"> p</w:t>
      </w:r>
      <w:r w:rsidR="00390EF2" w:rsidRPr="00953692">
        <w:rPr>
          <w:sz w:val="24"/>
          <w:szCs w:val="24"/>
          <w:lang w:val="fr-FR"/>
        </w:rPr>
        <w:t>ouvant</w:t>
      </w:r>
      <w:r w:rsidR="008B6D74" w:rsidRPr="00953692">
        <w:rPr>
          <w:sz w:val="24"/>
          <w:szCs w:val="24"/>
          <w:lang w:val="fr-FR"/>
        </w:rPr>
        <w:t xml:space="preserve"> résulter de ces requêtes incidentes (paragraphe 2).</w:t>
      </w:r>
    </w:p>
    <w:p w14:paraId="4B77F705" w14:textId="50CA8490" w:rsidR="00FB34F5" w:rsidRPr="00953692" w:rsidRDefault="008B6D74" w:rsidP="00E257B2">
      <w:pPr>
        <w:pStyle w:val="Titre3"/>
        <w:ind w:left="1134"/>
        <w:rPr>
          <w:rFonts w:ascii="Times New Roman" w:hAnsi="Times New Roman"/>
          <w:b w:val="0"/>
          <w:bCs/>
          <w:i/>
          <w:iCs/>
          <w:color w:val="auto"/>
          <w:sz w:val="24"/>
          <w:szCs w:val="24"/>
          <w:lang w:val="fr-FR"/>
        </w:rPr>
      </w:pPr>
      <w:bookmarkStart w:id="89" w:name="_Toc195179444"/>
      <w:r w:rsidRPr="00953692">
        <w:rPr>
          <w:rFonts w:ascii="Times New Roman" w:hAnsi="Times New Roman"/>
          <w:b w:val="0"/>
          <w:bCs/>
          <w:i/>
          <w:iCs/>
          <w:color w:val="auto"/>
          <w:sz w:val="24"/>
          <w:szCs w:val="24"/>
          <w:lang w:val="fr-FR"/>
        </w:rPr>
        <w:t xml:space="preserve">Paragraphe </w:t>
      </w:r>
      <w:r w:rsidR="00A978A6" w:rsidRPr="00953692">
        <w:rPr>
          <w:rFonts w:ascii="Times New Roman" w:hAnsi="Times New Roman"/>
          <w:b w:val="0"/>
          <w:bCs/>
          <w:i/>
          <w:iCs/>
          <w:color w:val="auto"/>
          <w:sz w:val="24"/>
          <w:szCs w:val="24"/>
          <w:lang w:val="fr-FR"/>
        </w:rPr>
        <w:t>1. Illimitation des requêtes incidentes</w:t>
      </w:r>
      <w:r w:rsidR="00DE7458" w:rsidRPr="00953692">
        <w:rPr>
          <w:rFonts w:ascii="Times New Roman" w:hAnsi="Times New Roman"/>
          <w:b w:val="0"/>
          <w:bCs/>
          <w:i/>
          <w:iCs/>
          <w:color w:val="auto"/>
          <w:sz w:val="24"/>
          <w:szCs w:val="24"/>
          <w:lang w:val="fr-FR"/>
        </w:rPr>
        <w:t>,</w:t>
      </w:r>
      <w:r w:rsidRPr="00953692">
        <w:rPr>
          <w:rFonts w:ascii="Times New Roman" w:hAnsi="Times New Roman"/>
          <w:b w:val="0"/>
          <w:bCs/>
          <w:i/>
          <w:iCs/>
          <w:color w:val="auto"/>
          <w:sz w:val="24"/>
          <w:szCs w:val="24"/>
          <w:lang w:val="fr-FR"/>
        </w:rPr>
        <w:t xml:space="preserve"> risque d’une procédure sinueuse</w:t>
      </w:r>
      <w:bookmarkEnd w:id="89"/>
    </w:p>
    <w:p w14:paraId="2A5A186F" w14:textId="288E6B39" w:rsidR="00FB34F5" w:rsidRPr="00953692" w:rsidRDefault="003F2222" w:rsidP="00864BBF">
      <w:pPr>
        <w:spacing w:before="240" w:line="276" w:lineRule="auto"/>
        <w:ind w:firstLine="1134"/>
        <w:jc w:val="both"/>
        <w:rPr>
          <w:rFonts w:cs="Times New Roman"/>
          <w:sz w:val="24"/>
          <w:szCs w:val="24"/>
          <w:lang w:val="fr-FR"/>
        </w:rPr>
      </w:pPr>
      <w:r w:rsidRPr="00953692">
        <w:rPr>
          <w:rFonts w:cs="Times New Roman"/>
          <w:b/>
          <w:bCs/>
          <w:sz w:val="24"/>
          <w:szCs w:val="24"/>
          <w:lang w:val="fr-FR"/>
        </w:rPr>
        <w:t>416</w:t>
      </w:r>
      <w:r w:rsidR="00AE45B3" w:rsidRPr="00953692">
        <w:rPr>
          <w:rFonts w:cs="Times New Roman"/>
          <w:b/>
          <w:bCs/>
          <w:sz w:val="24"/>
          <w:szCs w:val="24"/>
          <w:lang w:val="fr-FR"/>
        </w:rPr>
        <w:t>.</w:t>
      </w:r>
      <w:r w:rsidR="00AE45B3" w:rsidRPr="00953692">
        <w:rPr>
          <w:rFonts w:cs="Times New Roman"/>
          <w:sz w:val="24"/>
          <w:szCs w:val="24"/>
          <w:lang w:val="fr-FR"/>
        </w:rPr>
        <w:t xml:space="preserve"> Dans le cadre d’un</w:t>
      </w:r>
      <w:r w:rsidR="00D95372" w:rsidRPr="00953692">
        <w:rPr>
          <w:rFonts w:cs="Times New Roman"/>
          <w:sz w:val="24"/>
          <w:szCs w:val="24"/>
          <w:lang w:val="fr-FR"/>
        </w:rPr>
        <w:t xml:space="preserve"> procès équitable</w:t>
      </w:r>
      <w:r w:rsidR="00AE45B3" w:rsidRPr="00953692">
        <w:rPr>
          <w:rFonts w:cs="Times New Roman"/>
          <w:sz w:val="24"/>
          <w:szCs w:val="24"/>
          <w:lang w:val="fr-FR"/>
        </w:rPr>
        <w:t>, il</w:t>
      </w:r>
      <w:r w:rsidR="00D95372" w:rsidRPr="00953692">
        <w:rPr>
          <w:rFonts w:cs="Times New Roman"/>
          <w:sz w:val="24"/>
          <w:szCs w:val="24"/>
          <w:lang w:val="fr-FR"/>
        </w:rPr>
        <w:t xml:space="preserve"> est factuellement impossible de déterminer avec exactitude et exhaustivité les</w:t>
      </w:r>
      <w:r w:rsidR="00AE45B3" w:rsidRPr="00953692">
        <w:rPr>
          <w:rFonts w:cs="Times New Roman"/>
          <w:sz w:val="24"/>
          <w:szCs w:val="24"/>
          <w:lang w:val="fr-FR"/>
        </w:rPr>
        <w:t xml:space="preserve"> éléments pouvant faire objet des requêtes incidentes</w:t>
      </w:r>
      <w:r w:rsidR="00D95372" w:rsidRPr="00953692">
        <w:rPr>
          <w:rFonts w:cs="Times New Roman"/>
          <w:sz w:val="24"/>
          <w:szCs w:val="24"/>
          <w:lang w:val="fr-FR"/>
        </w:rPr>
        <w:t xml:space="preserve">. </w:t>
      </w:r>
      <w:r w:rsidR="006341B8" w:rsidRPr="00953692">
        <w:rPr>
          <w:rFonts w:cs="Times New Roman"/>
          <w:sz w:val="24"/>
          <w:szCs w:val="24"/>
          <w:lang w:val="fr-FR"/>
        </w:rPr>
        <w:t>Par conséquent, l</w:t>
      </w:r>
      <w:r w:rsidR="00D95372" w:rsidRPr="00953692">
        <w:rPr>
          <w:rFonts w:cs="Times New Roman"/>
          <w:sz w:val="24"/>
          <w:szCs w:val="24"/>
          <w:lang w:val="fr-FR"/>
        </w:rPr>
        <w:t xml:space="preserve">es parties peuvent s’adresser au juge pour toute question ayant trait </w:t>
      </w:r>
      <w:r w:rsidR="00AE45B3" w:rsidRPr="00953692">
        <w:rPr>
          <w:rFonts w:cs="Times New Roman"/>
          <w:sz w:val="24"/>
          <w:szCs w:val="24"/>
          <w:lang w:val="fr-FR"/>
        </w:rPr>
        <w:t xml:space="preserve">évidemment </w:t>
      </w:r>
      <w:r w:rsidR="00D95372" w:rsidRPr="00953692">
        <w:rPr>
          <w:rFonts w:cs="Times New Roman"/>
          <w:sz w:val="24"/>
          <w:szCs w:val="24"/>
          <w:lang w:val="fr-FR"/>
        </w:rPr>
        <w:t>au procès</w:t>
      </w:r>
      <w:r w:rsidR="006341B8" w:rsidRPr="00953692">
        <w:rPr>
          <w:rFonts w:cs="Times New Roman"/>
          <w:sz w:val="24"/>
          <w:szCs w:val="24"/>
          <w:lang w:val="fr-FR"/>
        </w:rPr>
        <w:t xml:space="preserve"> ou touchant à leurs droits. </w:t>
      </w:r>
      <w:r w:rsidR="00AE45B3" w:rsidRPr="00953692">
        <w:rPr>
          <w:rFonts w:cs="Times New Roman"/>
          <w:sz w:val="24"/>
          <w:szCs w:val="24"/>
          <w:lang w:val="fr-FR"/>
        </w:rPr>
        <w:t>S</w:t>
      </w:r>
      <w:r w:rsidR="004A1054" w:rsidRPr="00953692">
        <w:rPr>
          <w:rFonts w:cs="Times New Roman"/>
          <w:sz w:val="24"/>
          <w:szCs w:val="24"/>
          <w:lang w:val="fr-FR"/>
        </w:rPr>
        <w:t xml:space="preserve">i l’on est dans un principe d’admissibilité (A), </w:t>
      </w:r>
      <w:r w:rsidR="00305894" w:rsidRPr="00953692">
        <w:rPr>
          <w:rFonts w:cs="Times New Roman"/>
          <w:sz w:val="24"/>
          <w:szCs w:val="24"/>
          <w:lang w:val="fr-FR"/>
        </w:rPr>
        <w:t>les juridictions pénales internationales insistent</w:t>
      </w:r>
      <w:r w:rsidR="00AE45B3" w:rsidRPr="00953692">
        <w:rPr>
          <w:rFonts w:cs="Times New Roman"/>
          <w:sz w:val="24"/>
          <w:szCs w:val="24"/>
          <w:lang w:val="fr-FR"/>
        </w:rPr>
        <w:t xml:space="preserve"> néanmoins</w:t>
      </w:r>
      <w:r w:rsidR="00305894" w:rsidRPr="00953692">
        <w:rPr>
          <w:rFonts w:cs="Times New Roman"/>
          <w:sz w:val="24"/>
          <w:szCs w:val="24"/>
          <w:lang w:val="fr-FR"/>
        </w:rPr>
        <w:t xml:space="preserve"> sur le fait que </w:t>
      </w:r>
      <w:r w:rsidR="006341B8" w:rsidRPr="00953692">
        <w:rPr>
          <w:rFonts w:cs="Times New Roman"/>
          <w:sz w:val="24"/>
          <w:szCs w:val="24"/>
          <w:lang w:val="fr-FR"/>
        </w:rPr>
        <w:t>ces requêtes</w:t>
      </w:r>
      <w:r w:rsidR="00305894" w:rsidRPr="00953692">
        <w:rPr>
          <w:rFonts w:cs="Times New Roman"/>
          <w:sz w:val="24"/>
          <w:szCs w:val="24"/>
          <w:lang w:val="fr-FR"/>
        </w:rPr>
        <w:t xml:space="preserve"> </w:t>
      </w:r>
      <w:r w:rsidR="00AE45B3" w:rsidRPr="00953692">
        <w:rPr>
          <w:rFonts w:cs="Times New Roman"/>
          <w:sz w:val="24"/>
          <w:szCs w:val="24"/>
          <w:lang w:val="fr-FR"/>
        </w:rPr>
        <w:t>devront</w:t>
      </w:r>
      <w:r w:rsidR="00305894" w:rsidRPr="00953692">
        <w:rPr>
          <w:rFonts w:cs="Times New Roman"/>
          <w:sz w:val="24"/>
          <w:szCs w:val="24"/>
          <w:lang w:val="fr-FR"/>
        </w:rPr>
        <w:t xml:space="preserve"> toujours revêtir une certaine pertinence</w:t>
      </w:r>
      <w:r w:rsidR="004A1054" w:rsidRPr="00953692">
        <w:rPr>
          <w:rFonts w:cs="Times New Roman"/>
          <w:sz w:val="24"/>
          <w:szCs w:val="24"/>
          <w:lang w:val="fr-FR"/>
        </w:rPr>
        <w:t xml:space="preserve"> afin d’éviter, notamment</w:t>
      </w:r>
      <w:r w:rsidR="004D6AE1" w:rsidRPr="00953692">
        <w:rPr>
          <w:rFonts w:cs="Times New Roman"/>
          <w:sz w:val="24"/>
          <w:szCs w:val="24"/>
          <w:lang w:val="fr-FR"/>
        </w:rPr>
        <w:t>,</w:t>
      </w:r>
      <w:r w:rsidR="004A1054" w:rsidRPr="00953692">
        <w:rPr>
          <w:rFonts w:cs="Times New Roman"/>
          <w:sz w:val="24"/>
          <w:szCs w:val="24"/>
          <w:lang w:val="fr-FR"/>
        </w:rPr>
        <w:t xml:space="preserve"> la perte du temps. Dans ce cas, </w:t>
      </w:r>
      <w:r w:rsidR="00AE45B3" w:rsidRPr="00953692">
        <w:rPr>
          <w:rFonts w:cs="Times New Roman"/>
          <w:sz w:val="24"/>
          <w:szCs w:val="24"/>
          <w:lang w:val="fr-FR"/>
        </w:rPr>
        <w:t>les parties</w:t>
      </w:r>
      <w:r w:rsidR="004A1054" w:rsidRPr="00953692">
        <w:rPr>
          <w:rFonts w:cs="Times New Roman"/>
          <w:sz w:val="24"/>
          <w:szCs w:val="24"/>
          <w:lang w:val="fr-FR"/>
        </w:rPr>
        <w:t xml:space="preserve"> peu</w:t>
      </w:r>
      <w:r w:rsidR="00AE45B3" w:rsidRPr="00953692">
        <w:rPr>
          <w:rFonts w:cs="Times New Roman"/>
          <w:sz w:val="24"/>
          <w:szCs w:val="24"/>
          <w:lang w:val="fr-FR"/>
        </w:rPr>
        <w:t>vent</w:t>
      </w:r>
      <w:r w:rsidR="004A1054" w:rsidRPr="00953692">
        <w:rPr>
          <w:rFonts w:cs="Times New Roman"/>
          <w:sz w:val="24"/>
          <w:szCs w:val="24"/>
          <w:lang w:val="fr-FR"/>
        </w:rPr>
        <w:t xml:space="preserve"> être sanctionné</w:t>
      </w:r>
      <w:r w:rsidR="00AE45B3" w:rsidRPr="00953692">
        <w:rPr>
          <w:rFonts w:cs="Times New Roman"/>
          <w:sz w:val="24"/>
          <w:szCs w:val="24"/>
          <w:lang w:val="fr-FR"/>
        </w:rPr>
        <w:t>es</w:t>
      </w:r>
      <w:r w:rsidR="004A1054" w:rsidRPr="00953692">
        <w:rPr>
          <w:rFonts w:cs="Times New Roman"/>
          <w:sz w:val="24"/>
          <w:szCs w:val="24"/>
          <w:lang w:val="fr-FR"/>
        </w:rPr>
        <w:t xml:space="preserve"> pour abus de procédure</w:t>
      </w:r>
      <w:r w:rsidR="00AE45B3" w:rsidRPr="00953692">
        <w:rPr>
          <w:rFonts w:cs="Times New Roman"/>
          <w:sz w:val="24"/>
          <w:szCs w:val="24"/>
          <w:lang w:val="fr-FR"/>
        </w:rPr>
        <w:t xml:space="preserve"> (B)</w:t>
      </w:r>
      <w:r w:rsidR="004A1054" w:rsidRPr="00953692">
        <w:rPr>
          <w:rFonts w:cs="Times New Roman"/>
          <w:sz w:val="24"/>
          <w:szCs w:val="24"/>
          <w:lang w:val="fr-FR"/>
        </w:rPr>
        <w:t>.</w:t>
      </w:r>
    </w:p>
    <w:p w14:paraId="03FB7236" w14:textId="0EB4A9A9" w:rsidR="009F2877" w:rsidRPr="00953692" w:rsidRDefault="00A978A6" w:rsidP="00E257B2">
      <w:pPr>
        <w:pStyle w:val="Paragraphedeliste"/>
        <w:numPr>
          <w:ilvl w:val="0"/>
          <w:numId w:val="9"/>
        </w:numPr>
        <w:spacing w:before="240" w:line="276" w:lineRule="auto"/>
        <w:jc w:val="both"/>
        <w:outlineLvl w:val="2"/>
        <w:rPr>
          <w:rFonts w:cs="Times New Roman"/>
          <w:bCs/>
          <w:sz w:val="24"/>
          <w:szCs w:val="24"/>
          <w:lang w:val="fr-FR"/>
        </w:rPr>
      </w:pPr>
      <w:bookmarkStart w:id="90" w:name="_Toc195179445"/>
      <w:r w:rsidRPr="00953692">
        <w:rPr>
          <w:rFonts w:cs="Times New Roman"/>
          <w:bCs/>
          <w:i/>
          <w:iCs/>
          <w:sz w:val="24"/>
          <w:szCs w:val="24"/>
          <w:lang w:val="fr-FR"/>
        </w:rPr>
        <w:t xml:space="preserve">Principe </w:t>
      </w:r>
      <w:r w:rsidR="004F76AD" w:rsidRPr="00953692">
        <w:rPr>
          <w:rFonts w:cs="Times New Roman"/>
          <w:bCs/>
          <w:i/>
          <w:iCs/>
          <w:sz w:val="24"/>
          <w:szCs w:val="24"/>
          <w:lang w:val="fr-FR"/>
        </w:rPr>
        <w:t>d’</w:t>
      </w:r>
      <w:r w:rsidRPr="00953692">
        <w:rPr>
          <w:rFonts w:cs="Times New Roman"/>
          <w:bCs/>
          <w:i/>
          <w:iCs/>
          <w:sz w:val="24"/>
          <w:szCs w:val="24"/>
          <w:lang w:val="fr-FR"/>
        </w:rPr>
        <w:t xml:space="preserve">admissibilité </w:t>
      </w:r>
      <w:r w:rsidR="00DE7458" w:rsidRPr="00953692">
        <w:rPr>
          <w:rFonts w:cs="Times New Roman"/>
          <w:bCs/>
          <w:i/>
          <w:iCs/>
          <w:sz w:val="24"/>
          <w:szCs w:val="24"/>
          <w:lang w:val="fr-FR"/>
        </w:rPr>
        <w:t>des requêtes</w:t>
      </w:r>
      <w:r w:rsidR="00FB039C" w:rsidRPr="00953692">
        <w:rPr>
          <w:rFonts w:cs="Times New Roman"/>
          <w:bCs/>
          <w:i/>
          <w:iCs/>
          <w:sz w:val="24"/>
          <w:szCs w:val="24"/>
          <w:lang w:val="fr-FR"/>
        </w:rPr>
        <w:t xml:space="preserve"> incidentes</w:t>
      </w:r>
      <w:r w:rsidR="004F76AD" w:rsidRPr="00953692">
        <w:rPr>
          <w:rFonts w:cs="Times New Roman"/>
          <w:bCs/>
          <w:i/>
          <w:iCs/>
          <w:sz w:val="24"/>
          <w:szCs w:val="24"/>
          <w:lang w:val="fr-FR"/>
        </w:rPr>
        <w:t>, incompatible avec le droit de l’accusé d’être jugé sans retard excessif ?</w:t>
      </w:r>
      <w:bookmarkEnd w:id="90"/>
    </w:p>
    <w:p w14:paraId="025A393F" w14:textId="77777777" w:rsidR="003F2222" w:rsidRPr="00953692" w:rsidRDefault="003F2222" w:rsidP="003F2222">
      <w:pPr>
        <w:spacing w:after="0" w:line="276" w:lineRule="auto"/>
        <w:ind w:firstLine="1134"/>
        <w:jc w:val="both"/>
        <w:rPr>
          <w:sz w:val="24"/>
          <w:szCs w:val="24"/>
          <w:lang w:val="fr-FR"/>
        </w:rPr>
      </w:pPr>
      <w:r w:rsidRPr="00953692">
        <w:rPr>
          <w:b/>
          <w:bCs/>
          <w:sz w:val="24"/>
          <w:szCs w:val="24"/>
          <w:lang w:val="fr-FR"/>
        </w:rPr>
        <w:t>417</w:t>
      </w:r>
      <w:r w:rsidR="00767929" w:rsidRPr="00953692">
        <w:rPr>
          <w:b/>
          <w:bCs/>
          <w:sz w:val="24"/>
          <w:szCs w:val="24"/>
          <w:lang w:val="fr-FR"/>
        </w:rPr>
        <w:t>.</w:t>
      </w:r>
      <w:r w:rsidR="00767929" w:rsidRPr="00953692">
        <w:rPr>
          <w:sz w:val="24"/>
          <w:szCs w:val="24"/>
          <w:lang w:val="fr-FR"/>
        </w:rPr>
        <w:t xml:space="preserve"> </w:t>
      </w:r>
      <w:bookmarkStart w:id="91" w:name="_Hlk140335905"/>
      <w:r w:rsidR="00767929" w:rsidRPr="00953692">
        <w:rPr>
          <w:sz w:val="24"/>
          <w:szCs w:val="24"/>
          <w:lang w:val="fr-FR"/>
        </w:rPr>
        <w:t>Le régime d’admissibilité est statutaire. L</w:t>
      </w:r>
      <w:r w:rsidR="009B61D5" w:rsidRPr="00953692">
        <w:rPr>
          <w:sz w:val="24"/>
          <w:szCs w:val="24"/>
          <w:lang w:val="fr-FR"/>
        </w:rPr>
        <w:t xml:space="preserve">’article 73 A du RPP du TPIY dispose que </w:t>
      </w:r>
      <w:r w:rsidR="009B61D5" w:rsidRPr="00953692">
        <w:rPr>
          <w:i/>
          <w:iCs/>
          <w:sz w:val="24"/>
          <w:szCs w:val="24"/>
          <w:lang w:val="fr-FR"/>
        </w:rPr>
        <w:t>chacune des parties peut, à tout moment après que l’affaire a été attribuée à une Chambre de première instance, saisir celle-ci d’une requête, autre qu’une exception préjudicielle, en vue d’une décision ou pour obtenir réparation. Les requêtes peuvent être écrites ou orales au gré de la Chambre de première instance</w:t>
      </w:r>
      <w:r w:rsidR="009B61D5" w:rsidRPr="00953692">
        <w:rPr>
          <w:sz w:val="24"/>
          <w:szCs w:val="24"/>
          <w:lang w:val="fr-FR"/>
        </w:rPr>
        <w:t>. Cette disposition est essentiellement reprise également par l’article 73 A du RPP du TPIR. En ce qui concerne le TSL, l’article 126 B de son RPP prévoit</w:t>
      </w:r>
      <w:r w:rsidR="00767929" w:rsidRPr="00953692">
        <w:rPr>
          <w:sz w:val="24"/>
          <w:szCs w:val="24"/>
          <w:lang w:val="fr-FR"/>
        </w:rPr>
        <w:t xml:space="preserve"> que,</w:t>
      </w:r>
      <w:r w:rsidR="009B61D5" w:rsidRPr="00953692">
        <w:rPr>
          <w:sz w:val="24"/>
          <w:szCs w:val="24"/>
          <w:lang w:val="fr-FR"/>
        </w:rPr>
        <w:t xml:space="preserve"> </w:t>
      </w:r>
      <w:r w:rsidR="009B61D5" w:rsidRPr="00953692">
        <w:rPr>
          <w:i/>
          <w:iCs/>
          <w:sz w:val="24"/>
          <w:szCs w:val="24"/>
          <w:lang w:val="fr-FR"/>
        </w:rPr>
        <w:t>après l’attribution d’une affaire à la Chambre de première instance, chacune des parties peut la saisir d’une requête en vue d’obtenir une décision ou une réparation appropriée. La requête est orale, à moins que la Chambre n’en décide autrement</w:t>
      </w:r>
      <w:r w:rsidR="009B61D5" w:rsidRPr="00953692">
        <w:rPr>
          <w:sz w:val="24"/>
          <w:szCs w:val="24"/>
          <w:lang w:val="fr-FR"/>
        </w:rPr>
        <w:t xml:space="preserve">. </w:t>
      </w:r>
    </w:p>
    <w:p w14:paraId="664BDCDD" w14:textId="1AA97868" w:rsidR="009B61D5" w:rsidRPr="00953692" w:rsidRDefault="003F2222" w:rsidP="003F2222">
      <w:pPr>
        <w:spacing w:after="0" w:line="276" w:lineRule="auto"/>
        <w:ind w:firstLine="1134"/>
        <w:jc w:val="both"/>
        <w:rPr>
          <w:rFonts w:cs="Times New Roman"/>
          <w:sz w:val="24"/>
          <w:szCs w:val="24"/>
          <w:lang w:val="fr-FR"/>
        </w:rPr>
      </w:pPr>
      <w:r w:rsidRPr="00953692">
        <w:rPr>
          <w:b/>
          <w:bCs/>
          <w:sz w:val="24"/>
          <w:szCs w:val="24"/>
          <w:lang w:val="fr-FR"/>
        </w:rPr>
        <w:t>418.</w:t>
      </w:r>
      <w:r w:rsidRPr="00953692">
        <w:rPr>
          <w:sz w:val="24"/>
          <w:szCs w:val="24"/>
          <w:lang w:val="fr-FR"/>
        </w:rPr>
        <w:t xml:space="preserve"> </w:t>
      </w:r>
      <w:r w:rsidR="009B61D5" w:rsidRPr="00953692">
        <w:rPr>
          <w:sz w:val="24"/>
          <w:szCs w:val="24"/>
          <w:lang w:val="fr-FR"/>
        </w:rPr>
        <w:t>Le statut de Rome de la CPI confère, en son article 64</w:t>
      </w:r>
      <w:r w:rsidR="00767929" w:rsidRPr="00953692">
        <w:rPr>
          <w:sz w:val="24"/>
          <w:szCs w:val="24"/>
          <w:lang w:val="fr-FR"/>
        </w:rPr>
        <w:t>-</w:t>
      </w:r>
      <w:r w:rsidR="009B61D5" w:rsidRPr="00953692">
        <w:rPr>
          <w:sz w:val="24"/>
          <w:szCs w:val="24"/>
          <w:lang w:val="fr-FR"/>
        </w:rPr>
        <w:t>6</w:t>
      </w:r>
      <w:r w:rsidR="00767929" w:rsidRPr="00953692">
        <w:rPr>
          <w:sz w:val="24"/>
          <w:szCs w:val="24"/>
          <w:lang w:val="fr-FR"/>
        </w:rPr>
        <w:t>-</w:t>
      </w:r>
      <w:r w:rsidR="009B61D5" w:rsidRPr="00953692">
        <w:rPr>
          <w:sz w:val="24"/>
          <w:szCs w:val="24"/>
          <w:lang w:val="fr-FR"/>
        </w:rPr>
        <w:t xml:space="preserve">f, à la Chambre de première instance les pouvoirs de statuer sur toute question pertinente. La règle 134. 4 du RPP renchérit en ce sens : </w:t>
      </w:r>
      <w:r w:rsidR="009B61D5" w:rsidRPr="00953692">
        <w:rPr>
          <w:i/>
          <w:iCs/>
          <w:sz w:val="24"/>
          <w:szCs w:val="24"/>
          <w:lang w:val="fr-FR"/>
        </w:rPr>
        <w:t xml:space="preserve">après l’ouverture du procès, la Chambre de première instance peut, d’office ou à la demande du Procureur ou de la </w:t>
      </w:r>
      <w:r w:rsidR="004F02DB" w:rsidRPr="00953692">
        <w:rPr>
          <w:i/>
          <w:iCs/>
          <w:sz w:val="24"/>
          <w:szCs w:val="24"/>
          <w:lang w:val="fr-FR"/>
        </w:rPr>
        <w:t>D</w:t>
      </w:r>
      <w:r w:rsidR="009B61D5" w:rsidRPr="00953692">
        <w:rPr>
          <w:i/>
          <w:iCs/>
          <w:sz w:val="24"/>
          <w:szCs w:val="24"/>
          <w:lang w:val="fr-FR"/>
        </w:rPr>
        <w:t>éfense, statuer sur toute question qui se pose pendant le déroulement du procès.</w:t>
      </w:r>
      <w:r w:rsidR="00B26F0B" w:rsidRPr="00953692">
        <w:rPr>
          <w:sz w:val="24"/>
          <w:szCs w:val="24"/>
          <w:lang w:val="fr-FR"/>
        </w:rPr>
        <w:t xml:space="preserve"> </w:t>
      </w:r>
      <w:r w:rsidR="00727256" w:rsidRPr="00953692">
        <w:rPr>
          <w:sz w:val="24"/>
          <w:szCs w:val="24"/>
          <w:lang w:val="fr-FR"/>
        </w:rPr>
        <w:t>Cette admissibilité résulte naturellement de la place centrale qu’occupe le juge dans la conduite d’un procès pénal (international)</w:t>
      </w:r>
      <w:r w:rsidR="00102F43" w:rsidRPr="00953692">
        <w:rPr>
          <w:sz w:val="24"/>
          <w:szCs w:val="24"/>
          <w:lang w:val="fr-FR"/>
        </w:rPr>
        <w:t>, notamment celle de garantir un procès à la fois équitable et rapide</w:t>
      </w:r>
      <w:r w:rsidR="00727256" w:rsidRPr="00953692">
        <w:rPr>
          <w:sz w:val="24"/>
          <w:szCs w:val="24"/>
          <w:lang w:val="fr-FR"/>
        </w:rPr>
        <w:t>.</w:t>
      </w:r>
    </w:p>
    <w:bookmarkEnd w:id="91"/>
    <w:p w14:paraId="3AAC109B" w14:textId="7720A320" w:rsidR="006A7192" w:rsidRPr="00953692" w:rsidRDefault="003F2222"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419</w:t>
      </w:r>
      <w:r w:rsidR="00767929" w:rsidRPr="00953692">
        <w:rPr>
          <w:rFonts w:cs="Times New Roman"/>
          <w:b/>
          <w:bCs/>
          <w:sz w:val="24"/>
          <w:szCs w:val="24"/>
          <w:shd w:val="clear" w:color="auto" w:fill="FFFFFF"/>
          <w:lang w:val="fr-FR"/>
        </w:rPr>
        <w:t>.</w:t>
      </w:r>
      <w:r w:rsidR="00767929" w:rsidRPr="00953692">
        <w:rPr>
          <w:rFonts w:cs="Times New Roman"/>
          <w:sz w:val="24"/>
          <w:szCs w:val="24"/>
          <w:shd w:val="clear" w:color="auto" w:fill="FFFFFF"/>
          <w:lang w:val="fr-FR"/>
        </w:rPr>
        <w:t xml:space="preserve"> </w:t>
      </w:r>
      <w:bookmarkStart w:id="92" w:name="_Hlk140335735"/>
      <w:r w:rsidR="00777EBF" w:rsidRPr="00953692">
        <w:rPr>
          <w:rFonts w:cs="Times New Roman"/>
          <w:sz w:val="24"/>
          <w:szCs w:val="24"/>
          <w:shd w:val="clear" w:color="auto" w:fill="FFFFFF"/>
          <w:lang w:val="fr-FR"/>
        </w:rPr>
        <w:t>Comme le précise Anne-Marie La Rosa</w:t>
      </w:r>
      <w:r w:rsidR="006A7192" w:rsidRPr="00953692">
        <w:rPr>
          <w:rFonts w:cs="Times New Roman"/>
          <w:sz w:val="24"/>
          <w:szCs w:val="24"/>
          <w:shd w:val="clear" w:color="auto" w:fill="FFFFFF"/>
          <w:lang w:val="fr-FR"/>
        </w:rPr>
        <w:t xml:space="preserve"> parlant de ces autres décisions (interlocutoires) que devra rendre </w:t>
      </w:r>
      <w:r w:rsidR="002C5B8B" w:rsidRPr="00953692">
        <w:rPr>
          <w:rFonts w:cs="Times New Roman"/>
          <w:sz w:val="24"/>
          <w:szCs w:val="24"/>
          <w:shd w:val="clear" w:color="auto" w:fill="FFFFFF"/>
          <w:lang w:val="fr-FR"/>
        </w:rPr>
        <w:t>une juridiction internationale</w:t>
      </w:r>
      <w:r w:rsidR="006A7192" w:rsidRPr="00953692">
        <w:rPr>
          <w:rFonts w:cs="Times New Roman"/>
          <w:sz w:val="24"/>
          <w:szCs w:val="24"/>
          <w:shd w:val="clear" w:color="auto" w:fill="FFFFFF"/>
          <w:lang w:val="fr-FR"/>
        </w:rPr>
        <w:t> :</w:t>
      </w:r>
      <w:r w:rsidR="00777EBF" w:rsidRPr="00953692">
        <w:rPr>
          <w:rFonts w:cs="Times New Roman"/>
          <w:sz w:val="24"/>
          <w:szCs w:val="24"/>
          <w:shd w:val="clear" w:color="auto" w:fill="FFFFFF"/>
          <w:lang w:val="fr-FR"/>
        </w:rPr>
        <w:t xml:space="preserve"> « u</w:t>
      </w:r>
      <w:r w:rsidR="00BC123E" w:rsidRPr="00953692">
        <w:rPr>
          <w:rFonts w:cs="Times New Roman"/>
          <w:sz w:val="24"/>
          <w:szCs w:val="24"/>
          <w:shd w:val="clear" w:color="auto" w:fill="FFFFFF"/>
          <w:lang w:val="fr-FR"/>
        </w:rPr>
        <w:t>n tribunal doit généralement prononcer, outre la condamnation et la peine, un nombre considérable de décisions interlocutoires (d’avant-dire droit) qui portent sur différents sujets et qui sont susceptibles d’affecter les droits et intérêts des parties à la procédure ainsi que ceux de tiers</w:t>
      </w:r>
      <w:r w:rsidR="00777EBF" w:rsidRPr="00953692">
        <w:rPr>
          <w:rFonts w:cs="Times New Roman"/>
          <w:sz w:val="24"/>
          <w:szCs w:val="24"/>
          <w:shd w:val="clear" w:color="auto" w:fill="FFFFFF"/>
          <w:lang w:val="fr-FR"/>
        </w:rPr>
        <w:t> »</w:t>
      </w:r>
      <w:r w:rsidR="00A3146F" w:rsidRPr="00953692">
        <w:rPr>
          <w:rStyle w:val="Appelnotedebasdep"/>
          <w:rFonts w:cs="Times New Roman"/>
          <w:sz w:val="24"/>
          <w:szCs w:val="24"/>
          <w:shd w:val="clear" w:color="auto" w:fill="FFFFFF"/>
          <w:lang w:val="fr-FR"/>
        </w:rPr>
        <w:footnoteReference w:customMarkFollows="1" w:id="328"/>
        <w:t>303</w:t>
      </w:r>
      <w:r w:rsidR="00BC123E" w:rsidRPr="00953692">
        <w:rPr>
          <w:rFonts w:cs="Times New Roman"/>
          <w:sz w:val="24"/>
          <w:szCs w:val="24"/>
          <w:shd w:val="clear" w:color="auto" w:fill="FFFFFF"/>
          <w:lang w:val="fr-FR"/>
        </w:rPr>
        <w:t>.</w:t>
      </w:r>
      <w:r w:rsidR="00777EBF" w:rsidRPr="00953692">
        <w:rPr>
          <w:rFonts w:cs="Times New Roman"/>
          <w:sz w:val="24"/>
          <w:szCs w:val="24"/>
          <w:shd w:val="clear" w:color="auto" w:fill="FFFFFF"/>
          <w:lang w:val="fr-FR"/>
        </w:rPr>
        <w:t xml:space="preserve"> </w:t>
      </w:r>
      <w:bookmarkEnd w:id="92"/>
      <w:r w:rsidR="00777EBF" w:rsidRPr="00953692">
        <w:rPr>
          <w:rFonts w:cs="Times New Roman"/>
          <w:sz w:val="24"/>
          <w:szCs w:val="24"/>
          <w:shd w:val="clear" w:color="auto" w:fill="FFFFFF"/>
          <w:lang w:val="fr-FR"/>
        </w:rPr>
        <w:t xml:space="preserve">Il y a une variété des décisions </w:t>
      </w:r>
      <w:r w:rsidR="00696683" w:rsidRPr="00953692">
        <w:rPr>
          <w:rFonts w:cs="Times New Roman"/>
          <w:sz w:val="24"/>
          <w:szCs w:val="24"/>
          <w:shd w:val="clear" w:color="auto" w:fill="FFFFFF"/>
          <w:lang w:val="fr-FR"/>
        </w:rPr>
        <w:t xml:space="preserve">qui dépendent en outre de chaque affaire ou de </w:t>
      </w:r>
      <w:r w:rsidR="00696683" w:rsidRPr="00953692">
        <w:rPr>
          <w:rFonts w:cs="Times New Roman"/>
          <w:sz w:val="24"/>
          <w:szCs w:val="24"/>
          <w:shd w:val="clear" w:color="auto" w:fill="FFFFFF"/>
          <w:lang w:val="fr-FR"/>
        </w:rPr>
        <w:lastRenderedPageBreak/>
        <w:t>chaque accusé.</w:t>
      </w:r>
      <w:r w:rsidR="002C5B8B" w:rsidRPr="00953692">
        <w:rPr>
          <w:rFonts w:cs="Times New Roman"/>
          <w:sz w:val="24"/>
          <w:szCs w:val="24"/>
          <w:shd w:val="clear" w:color="auto" w:fill="FFFFFF"/>
          <w:lang w:val="fr-FR"/>
        </w:rPr>
        <w:t xml:space="preserve"> On voit déjà ici le caractère éventuel ou relatif de ce type de droit de l’accusé.</w:t>
      </w:r>
    </w:p>
    <w:p w14:paraId="667F1E9E" w14:textId="0F48B887" w:rsidR="009B61D5" w:rsidRPr="00953692" w:rsidRDefault="003F2222"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420</w:t>
      </w:r>
      <w:r w:rsidR="002C5B8B" w:rsidRPr="00953692">
        <w:rPr>
          <w:rFonts w:cs="Times New Roman"/>
          <w:b/>
          <w:bCs/>
          <w:sz w:val="24"/>
          <w:szCs w:val="24"/>
          <w:shd w:val="clear" w:color="auto" w:fill="FFFFFF"/>
          <w:lang w:val="fr-FR"/>
        </w:rPr>
        <w:t>.</w:t>
      </w:r>
      <w:r w:rsidR="002C5B8B" w:rsidRPr="00953692">
        <w:rPr>
          <w:rFonts w:cs="Times New Roman"/>
          <w:sz w:val="24"/>
          <w:szCs w:val="24"/>
          <w:shd w:val="clear" w:color="auto" w:fill="FFFFFF"/>
          <w:lang w:val="fr-FR"/>
        </w:rPr>
        <w:t xml:space="preserve"> Cependant, l</w:t>
      </w:r>
      <w:r w:rsidR="00696683" w:rsidRPr="00953692">
        <w:rPr>
          <w:rFonts w:cs="Times New Roman"/>
          <w:sz w:val="24"/>
          <w:szCs w:val="24"/>
          <w:shd w:val="clear" w:color="auto" w:fill="FFFFFF"/>
          <w:lang w:val="fr-FR"/>
        </w:rPr>
        <w:t xml:space="preserve">’admissibilité suppose que les actes constitutifs de ces juridictions (tout comme toute </w:t>
      </w:r>
      <w:r w:rsidR="009B61D5" w:rsidRPr="00953692">
        <w:rPr>
          <w:rFonts w:cs="Times New Roman"/>
          <w:sz w:val="24"/>
          <w:szCs w:val="24"/>
          <w:shd w:val="clear" w:color="auto" w:fill="FFFFFF"/>
          <w:lang w:val="fr-FR"/>
        </w:rPr>
        <w:t xml:space="preserve">autre </w:t>
      </w:r>
      <w:r w:rsidR="00696683" w:rsidRPr="00953692">
        <w:rPr>
          <w:rFonts w:cs="Times New Roman"/>
          <w:sz w:val="24"/>
          <w:szCs w:val="24"/>
          <w:shd w:val="clear" w:color="auto" w:fill="FFFFFF"/>
          <w:lang w:val="fr-FR"/>
        </w:rPr>
        <w:t>juridiction</w:t>
      </w:r>
      <w:r w:rsidR="006647AD" w:rsidRPr="00953692">
        <w:rPr>
          <w:rFonts w:cs="Times New Roman"/>
          <w:sz w:val="24"/>
          <w:szCs w:val="24"/>
          <w:shd w:val="clear" w:color="auto" w:fill="FFFFFF"/>
          <w:lang w:val="fr-FR"/>
        </w:rPr>
        <w:t xml:space="preserve"> pénale,</w:t>
      </w:r>
      <w:r w:rsidR="009B61D5" w:rsidRPr="00953692">
        <w:rPr>
          <w:rFonts w:cs="Times New Roman"/>
          <w:sz w:val="24"/>
          <w:szCs w:val="24"/>
          <w:shd w:val="clear" w:color="auto" w:fill="FFFFFF"/>
          <w:lang w:val="fr-FR"/>
        </w:rPr>
        <w:t xml:space="preserve"> nationale soit-elle</w:t>
      </w:r>
      <w:r w:rsidR="00696683" w:rsidRPr="00953692">
        <w:rPr>
          <w:rFonts w:cs="Times New Roman"/>
          <w:sz w:val="24"/>
          <w:szCs w:val="24"/>
          <w:shd w:val="clear" w:color="auto" w:fill="FFFFFF"/>
          <w:lang w:val="fr-FR"/>
        </w:rPr>
        <w:t>) ne limite</w:t>
      </w:r>
      <w:r w:rsidR="00DB0735" w:rsidRPr="00953692">
        <w:rPr>
          <w:rFonts w:cs="Times New Roman"/>
          <w:sz w:val="24"/>
          <w:szCs w:val="24"/>
          <w:shd w:val="clear" w:color="auto" w:fill="FFFFFF"/>
          <w:lang w:val="fr-FR"/>
        </w:rPr>
        <w:t>nt</w:t>
      </w:r>
      <w:r w:rsidR="00696683" w:rsidRPr="00953692">
        <w:rPr>
          <w:rFonts w:cs="Times New Roman"/>
          <w:sz w:val="24"/>
          <w:szCs w:val="24"/>
          <w:shd w:val="clear" w:color="auto" w:fill="FFFFFF"/>
          <w:lang w:val="fr-FR"/>
        </w:rPr>
        <w:t xml:space="preserve"> pas </w:t>
      </w:r>
      <w:r w:rsidR="00F74901" w:rsidRPr="00953692">
        <w:rPr>
          <w:rFonts w:cs="Times New Roman"/>
          <w:sz w:val="24"/>
          <w:szCs w:val="24"/>
          <w:shd w:val="clear" w:color="auto" w:fill="FFFFFF"/>
          <w:lang w:val="fr-FR"/>
        </w:rPr>
        <w:t>dans une énuméra</w:t>
      </w:r>
      <w:r w:rsidR="00696683" w:rsidRPr="00953692">
        <w:rPr>
          <w:rFonts w:cs="Times New Roman"/>
          <w:sz w:val="24"/>
          <w:szCs w:val="24"/>
          <w:shd w:val="clear" w:color="auto" w:fill="FFFFFF"/>
          <w:lang w:val="fr-FR"/>
        </w:rPr>
        <w:t>t</w:t>
      </w:r>
      <w:r w:rsidR="00F74901" w:rsidRPr="00953692">
        <w:rPr>
          <w:rFonts w:cs="Times New Roman"/>
          <w:sz w:val="24"/>
          <w:szCs w:val="24"/>
          <w:shd w:val="clear" w:color="auto" w:fill="FFFFFF"/>
          <w:lang w:val="fr-FR"/>
        </w:rPr>
        <w:t>ion</w:t>
      </w:r>
      <w:r w:rsidR="00696683" w:rsidRPr="00953692">
        <w:rPr>
          <w:rFonts w:cs="Times New Roman"/>
          <w:sz w:val="24"/>
          <w:szCs w:val="24"/>
          <w:shd w:val="clear" w:color="auto" w:fill="FFFFFF"/>
          <w:lang w:val="fr-FR"/>
        </w:rPr>
        <w:t xml:space="preserve"> et catégori</w:t>
      </w:r>
      <w:r w:rsidR="00F74901" w:rsidRPr="00953692">
        <w:rPr>
          <w:rFonts w:cs="Times New Roman"/>
          <w:sz w:val="24"/>
          <w:szCs w:val="24"/>
          <w:shd w:val="clear" w:color="auto" w:fill="FFFFFF"/>
          <w:lang w:val="fr-FR"/>
        </w:rPr>
        <w:t>sation</w:t>
      </w:r>
      <w:r w:rsidR="00696683" w:rsidRPr="00953692">
        <w:rPr>
          <w:rFonts w:cs="Times New Roman"/>
          <w:sz w:val="24"/>
          <w:szCs w:val="24"/>
          <w:shd w:val="clear" w:color="auto" w:fill="FFFFFF"/>
          <w:lang w:val="fr-FR"/>
        </w:rPr>
        <w:t xml:space="preserve"> les types des requêtes que l’accusé p</w:t>
      </w:r>
      <w:r w:rsidR="007C28A4" w:rsidRPr="00953692">
        <w:rPr>
          <w:rFonts w:cs="Times New Roman"/>
          <w:sz w:val="24"/>
          <w:szCs w:val="24"/>
          <w:shd w:val="clear" w:color="auto" w:fill="FFFFFF"/>
          <w:lang w:val="fr-FR"/>
        </w:rPr>
        <w:t>ourrait</w:t>
      </w:r>
      <w:r w:rsidR="00696683" w:rsidRPr="00953692">
        <w:rPr>
          <w:rFonts w:cs="Times New Roman"/>
          <w:sz w:val="24"/>
          <w:szCs w:val="24"/>
          <w:shd w:val="clear" w:color="auto" w:fill="FFFFFF"/>
          <w:lang w:val="fr-FR"/>
        </w:rPr>
        <w:t xml:space="preserve"> soumettre à l’appréciation du tribunal. </w:t>
      </w:r>
      <w:r w:rsidR="007C28A4" w:rsidRPr="00953692">
        <w:rPr>
          <w:rFonts w:cs="Times New Roman"/>
          <w:sz w:val="24"/>
          <w:szCs w:val="24"/>
          <w:shd w:val="clear" w:color="auto" w:fill="FFFFFF"/>
          <w:lang w:val="fr-FR"/>
        </w:rPr>
        <w:t>Elle laisse donc à l</w:t>
      </w:r>
      <w:r w:rsidR="00760810" w:rsidRPr="00953692">
        <w:rPr>
          <w:rFonts w:cs="Times New Roman"/>
          <w:sz w:val="24"/>
          <w:szCs w:val="24"/>
          <w:shd w:val="clear" w:color="auto" w:fill="FFFFFF"/>
          <w:lang w:val="fr-FR"/>
        </w:rPr>
        <w:t>’accusé une liberté d’appréciation apriorique</w:t>
      </w:r>
      <w:r w:rsidR="007C28A4" w:rsidRPr="00953692">
        <w:rPr>
          <w:rFonts w:cs="Times New Roman"/>
          <w:sz w:val="24"/>
          <w:szCs w:val="24"/>
          <w:shd w:val="clear" w:color="auto" w:fill="FFFFFF"/>
          <w:lang w:val="fr-FR"/>
        </w:rPr>
        <w:t>,</w:t>
      </w:r>
      <w:r w:rsidR="00760810" w:rsidRPr="00953692">
        <w:rPr>
          <w:rFonts w:cs="Times New Roman"/>
          <w:sz w:val="24"/>
          <w:szCs w:val="24"/>
          <w:shd w:val="clear" w:color="auto" w:fill="FFFFFF"/>
          <w:lang w:val="fr-FR"/>
        </w:rPr>
        <w:t xml:space="preserve"> </w:t>
      </w:r>
      <w:r w:rsidR="00370FC4" w:rsidRPr="00953692">
        <w:rPr>
          <w:rFonts w:cs="Times New Roman"/>
          <w:sz w:val="24"/>
          <w:szCs w:val="24"/>
          <w:shd w:val="clear" w:color="auto" w:fill="FFFFFF"/>
          <w:lang w:val="fr-FR"/>
        </w:rPr>
        <w:t>lui permettant de s’adresser au juge soit</w:t>
      </w:r>
      <w:r w:rsidR="00767929" w:rsidRPr="00953692">
        <w:rPr>
          <w:rFonts w:cs="Times New Roman"/>
          <w:sz w:val="24"/>
          <w:szCs w:val="24"/>
          <w:shd w:val="clear" w:color="auto" w:fill="FFFFFF"/>
          <w:lang w:val="fr-FR"/>
        </w:rPr>
        <w:t>,</w:t>
      </w:r>
      <w:r w:rsidR="00370FC4" w:rsidRPr="00953692">
        <w:rPr>
          <w:rFonts w:cs="Times New Roman"/>
          <w:sz w:val="24"/>
          <w:szCs w:val="24"/>
          <w:shd w:val="clear" w:color="auto" w:fill="FFFFFF"/>
          <w:lang w:val="fr-FR"/>
        </w:rPr>
        <w:t xml:space="preserve"> pour prévenir contre une situation menaçant ses intérêts, soit pour réparer une violation de ses droits. </w:t>
      </w:r>
      <w:r w:rsidR="00EE0566" w:rsidRPr="00953692">
        <w:rPr>
          <w:rFonts w:cs="Times New Roman"/>
          <w:sz w:val="24"/>
          <w:szCs w:val="24"/>
          <w:shd w:val="clear" w:color="auto" w:fill="FFFFFF"/>
          <w:lang w:val="fr-FR"/>
        </w:rPr>
        <w:t>Cette liberté découle de l’équité paradigmatique du procès pénal international</w:t>
      </w:r>
      <w:r w:rsidR="007C28A4" w:rsidRPr="00953692">
        <w:rPr>
          <w:rFonts w:cs="Times New Roman"/>
          <w:sz w:val="24"/>
          <w:szCs w:val="24"/>
          <w:shd w:val="clear" w:color="auto" w:fill="FFFFFF"/>
          <w:lang w:val="fr-FR"/>
        </w:rPr>
        <w:t>, suggestive d’une prise en compte de toute question pertinente que les parties peuvent y soulever</w:t>
      </w:r>
      <w:r w:rsidR="00EC3F60" w:rsidRPr="00953692">
        <w:rPr>
          <w:rFonts w:cs="Times New Roman"/>
          <w:sz w:val="24"/>
          <w:szCs w:val="24"/>
          <w:shd w:val="clear" w:color="auto" w:fill="FFFFFF"/>
          <w:lang w:val="fr-FR"/>
        </w:rPr>
        <w:t xml:space="preserve"> sans aucune limitation possible</w:t>
      </w:r>
      <w:r w:rsidR="00EE0566" w:rsidRPr="00953692">
        <w:rPr>
          <w:rFonts w:cs="Times New Roman"/>
          <w:sz w:val="24"/>
          <w:szCs w:val="24"/>
          <w:shd w:val="clear" w:color="auto" w:fill="FFFFFF"/>
          <w:lang w:val="fr-FR"/>
        </w:rPr>
        <w:t>.</w:t>
      </w:r>
    </w:p>
    <w:p w14:paraId="20FC5314" w14:textId="18254119" w:rsidR="002C5B8B" w:rsidRPr="00953692" w:rsidRDefault="003F2222"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421</w:t>
      </w:r>
      <w:r w:rsidR="007C28A4" w:rsidRPr="00953692">
        <w:rPr>
          <w:rFonts w:cs="Times New Roman"/>
          <w:b/>
          <w:bCs/>
          <w:sz w:val="24"/>
          <w:szCs w:val="24"/>
          <w:shd w:val="clear" w:color="auto" w:fill="FFFFFF"/>
          <w:lang w:val="fr-FR"/>
        </w:rPr>
        <w:t>.</w:t>
      </w:r>
      <w:r w:rsidR="007C28A4" w:rsidRPr="00953692">
        <w:rPr>
          <w:rFonts w:cs="Times New Roman"/>
          <w:sz w:val="24"/>
          <w:szCs w:val="24"/>
          <w:shd w:val="clear" w:color="auto" w:fill="FFFFFF"/>
          <w:lang w:val="fr-FR"/>
        </w:rPr>
        <w:t xml:space="preserve"> </w:t>
      </w:r>
      <w:r w:rsidR="00EE0566" w:rsidRPr="00953692">
        <w:rPr>
          <w:rFonts w:cs="Times New Roman"/>
          <w:sz w:val="24"/>
          <w:szCs w:val="24"/>
          <w:shd w:val="clear" w:color="auto" w:fill="FFFFFF"/>
          <w:lang w:val="fr-FR"/>
        </w:rPr>
        <w:t>En effet, étant donné que l’équité et la rapidité de ce procès vont de pair, il ne peut y avoir a</w:t>
      </w:r>
      <w:r w:rsidR="007835F7" w:rsidRPr="00953692">
        <w:rPr>
          <w:rFonts w:cs="Times New Roman"/>
          <w:sz w:val="24"/>
          <w:szCs w:val="24"/>
          <w:shd w:val="clear" w:color="auto" w:fill="FFFFFF"/>
          <w:lang w:val="fr-FR"/>
        </w:rPr>
        <w:t xml:space="preserve"> priori sujet à conflit entre le droit de formuler une demande incidente et le droit au délai raisonnable du procès. </w:t>
      </w:r>
      <w:r w:rsidR="000E3304" w:rsidRPr="00953692">
        <w:rPr>
          <w:rFonts w:cs="Times New Roman"/>
          <w:sz w:val="24"/>
          <w:szCs w:val="24"/>
          <w:shd w:val="clear" w:color="auto" w:fill="FFFFFF"/>
          <w:lang w:val="fr-FR"/>
        </w:rPr>
        <w:t>Le sentiment qu’une justice aura été rendu</w:t>
      </w:r>
      <w:r w:rsidR="00EE0566" w:rsidRPr="00953692">
        <w:rPr>
          <w:rFonts w:cs="Times New Roman"/>
          <w:sz w:val="24"/>
          <w:szCs w:val="24"/>
          <w:shd w:val="clear" w:color="auto" w:fill="FFFFFF"/>
          <w:lang w:val="fr-FR"/>
        </w:rPr>
        <w:t>e</w:t>
      </w:r>
      <w:r w:rsidR="000E3304" w:rsidRPr="00953692">
        <w:rPr>
          <w:rFonts w:cs="Times New Roman"/>
          <w:sz w:val="24"/>
          <w:szCs w:val="24"/>
          <w:shd w:val="clear" w:color="auto" w:fill="FFFFFF"/>
          <w:lang w:val="fr-FR"/>
        </w:rPr>
        <w:t xml:space="preserve"> après la décision </w:t>
      </w:r>
      <w:r w:rsidR="00EE0566" w:rsidRPr="00953692">
        <w:rPr>
          <w:rFonts w:cs="Times New Roman"/>
          <w:sz w:val="24"/>
          <w:szCs w:val="24"/>
          <w:shd w:val="clear" w:color="auto" w:fill="FFFFFF"/>
          <w:lang w:val="fr-FR"/>
        </w:rPr>
        <w:t>définitive</w:t>
      </w:r>
      <w:r w:rsidR="000E3304" w:rsidRPr="00953692">
        <w:rPr>
          <w:rFonts w:cs="Times New Roman"/>
          <w:sz w:val="24"/>
          <w:szCs w:val="24"/>
          <w:shd w:val="clear" w:color="auto" w:fill="FFFFFF"/>
          <w:lang w:val="fr-FR"/>
        </w:rPr>
        <w:t xml:space="preserve"> se construit</w:t>
      </w:r>
      <w:r w:rsidR="00EE0566" w:rsidRPr="00953692">
        <w:rPr>
          <w:rFonts w:cs="Times New Roman"/>
          <w:sz w:val="24"/>
          <w:szCs w:val="24"/>
          <w:shd w:val="clear" w:color="auto" w:fill="FFFFFF"/>
          <w:lang w:val="fr-FR"/>
        </w:rPr>
        <w:t xml:space="preserve">, notamment </w:t>
      </w:r>
      <w:r w:rsidR="000E3304" w:rsidRPr="00953692">
        <w:rPr>
          <w:rFonts w:cs="Times New Roman"/>
          <w:sz w:val="24"/>
          <w:szCs w:val="24"/>
          <w:shd w:val="clear" w:color="auto" w:fill="FFFFFF"/>
          <w:lang w:val="fr-FR"/>
        </w:rPr>
        <w:t>par les décisions que le juge est appelé à rendre à chaque fois que l’accusé se voit menacé dans ses intérêts légitimes.</w:t>
      </w:r>
    </w:p>
    <w:p w14:paraId="3B54138C" w14:textId="0EAC7C5C" w:rsidR="00DF41AB" w:rsidRPr="00953692" w:rsidRDefault="003F2222"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422</w:t>
      </w:r>
      <w:r w:rsidR="00C44D64" w:rsidRPr="00953692">
        <w:rPr>
          <w:rFonts w:cs="Times New Roman"/>
          <w:b/>
          <w:bCs/>
          <w:sz w:val="24"/>
          <w:szCs w:val="24"/>
          <w:shd w:val="clear" w:color="auto" w:fill="FFFFFF"/>
          <w:lang w:val="fr-FR"/>
        </w:rPr>
        <w:t>.</w:t>
      </w:r>
      <w:r w:rsidR="00C44D64" w:rsidRPr="00953692">
        <w:rPr>
          <w:rFonts w:cs="Times New Roman"/>
          <w:sz w:val="24"/>
          <w:szCs w:val="24"/>
          <w:shd w:val="clear" w:color="auto" w:fill="FFFFFF"/>
          <w:lang w:val="fr-FR"/>
        </w:rPr>
        <w:t xml:space="preserve"> </w:t>
      </w:r>
      <w:r w:rsidR="000064D8" w:rsidRPr="00953692">
        <w:rPr>
          <w:rFonts w:cs="Times New Roman"/>
          <w:sz w:val="24"/>
          <w:szCs w:val="24"/>
          <w:shd w:val="clear" w:color="auto" w:fill="FFFFFF"/>
          <w:lang w:val="fr-FR"/>
        </w:rPr>
        <w:t>Les questions que soulève l’accusé intéressent la marche même du procès, ses droits</w:t>
      </w:r>
      <w:r w:rsidR="00EE0566" w:rsidRPr="00953692">
        <w:rPr>
          <w:rFonts w:cs="Times New Roman"/>
          <w:sz w:val="24"/>
          <w:szCs w:val="24"/>
          <w:shd w:val="clear" w:color="auto" w:fill="FFFFFF"/>
          <w:lang w:val="fr-FR"/>
        </w:rPr>
        <w:t xml:space="preserve"> procéduraux</w:t>
      </w:r>
      <w:r w:rsidR="000064D8" w:rsidRPr="00953692">
        <w:rPr>
          <w:rFonts w:cs="Times New Roman"/>
          <w:sz w:val="24"/>
          <w:szCs w:val="24"/>
          <w:shd w:val="clear" w:color="auto" w:fill="FFFFFF"/>
          <w:lang w:val="fr-FR"/>
        </w:rPr>
        <w:t xml:space="preserve"> ou encore son état de santé mentale ou physique. </w:t>
      </w:r>
      <w:r w:rsidR="00DD5844" w:rsidRPr="00953692">
        <w:rPr>
          <w:rFonts w:cs="Times New Roman"/>
          <w:sz w:val="24"/>
          <w:szCs w:val="24"/>
          <w:shd w:val="clear" w:color="auto" w:fill="FFFFFF"/>
          <w:lang w:val="fr-FR"/>
        </w:rPr>
        <w:t>Il s’agit donc en principe des questions pertinentes</w:t>
      </w:r>
      <w:r w:rsidR="00DF41AB" w:rsidRPr="00953692">
        <w:rPr>
          <w:rFonts w:cs="Times New Roman"/>
          <w:sz w:val="24"/>
          <w:szCs w:val="24"/>
          <w:shd w:val="clear" w:color="auto" w:fill="FFFFFF"/>
          <w:lang w:val="fr-FR"/>
        </w:rPr>
        <w:t xml:space="preserve">, </w:t>
      </w:r>
      <w:r w:rsidR="009A223C" w:rsidRPr="00953692">
        <w:rPr>
          <w:rFonts w:cs="Times New Roman"/>
          <w:sz w:val="24"/>
          <w:szCs w:val="24"/>
          <w:shd w:val="clear" w:color="auto" w:fill="FFFFFF"/>
          <w:lang w:val="fr-FR"/>
        </w:rPr>
        <w:t>celles qui, sans toucher le fond de l’affaire principale, tiennent</w:t>
      </w:r>
      <w:r w:rsidR="009E49E8" w:rsidRPr="00953692">
        <w:rPr>
          <w:rFonts w:cs="Times New Roman"/>
          <w:sz w:val="24"/>
          <w:szCs w:val="24"/>
          <w:shd w:val="clear" w:color="auto" w:fill="FFFFFF"/>
          <w:lang w:val="fr-FR"/>
        </w:rPr>
        <w:t xml:space="preserve"> néanmoins</w:t>
      </w:r>
      <w:r w:rsidR="009A223C" w:rsidRPr="00953692">
        <w:rPr>
          <w:rFonts w:cs="Times New Roman"/>
          <w:sz w:val="24"/>
          <w:szCs w:val="24"/>
          <w:shd w:val="clear" w:color="auto" w:fill="FFFFFF"/>
          <w:lang w:val="fr-FR"/>
        </w:rPr>
        <w:t xml:space="preserve"> celle-ci en état. </w:t>
      </w:r>
      <w:r w:rsidR="00601BAF" w:rsidRPr="00953692">
        <w:rPr>
          <w:rFonts w:cs="Times New Roman"/>
          <w:sz w:val="24"/>
          <w:szCs w:val="24"/>
          <w:shd w:val="clear" w:color="auto" w:fill="FFFFFF"/>
          <w:lang w:val="fr-FR"/>
        </w:rPr>
        <w:t xml:space="preserve">Par exemple, l’accusé ne peut être </w:t>
      </w:r>
      <w:r w:rsidR="00F74901" w:rsidRPr="00953692">
        <w:rPr>
          <w:rFonts w:cs="Times New Roman"/>
          <w:sz w:val="24"/>
          <w:szCs w:val="24"/>
          <w:shd w:val="clear" w:color="auto" w:fill="FFFFFF"/>
          <w:lang w:val="fr-FR"/>
        </w:rPr>
        <w:t>valablement</w:t>
      </w:r>
      <w:r w:rsidR="00601BAF" w:rsidRPr="00953692">
        <w:rPr>
          <w:rFonts w:cs="Times New Roman"/>
          <w:sz w:val="24"/>
          <w:szCs w:val="24"/>
          <w:shd w:val="clear" w:color="auto" w:fill="FFFFFF"/>
          <w:lang w:val="fr-FR"/>
        </w:rPr>
        <w:t xml:space="preserve"> jugé s’il est malade.</w:t>
      </w:r>
      <w:r w:rsidR="005E5510" w:rsidRPr="00953692">
        <w:rPr>
          <w:rFonts w:cs="Times New Roman"/>
          <w:sz w:val="24"/>
          <w:szCs w:val="24"/>
          <w:shd w:val="clear" w:color="auto" w:fill="FFFFFF"/>
          <w:lang w:val="fr-FR"/>
        </w:rPr>
        <w:t xml:space="preserve"> Dans l’affaire </w:t>
      </w:r>
      <w:r w:rsidR="005E5510" w:rsidRPr="00953692">
        <w:rPr>
          <w:sz w:val="24"/>
          <w:szCs w:val="24"/>
          <w:lang w:val="fr-FR"/>
        </w:rPr>
        <w:t xml:space="preserve">Edouard Karemera et Matthieu Ngirumpatse, la Chambre de première instance a </w:t>
      </w:r>
      <w:r w:rsidR="004D6AE1" w:rsidRPr="00953692">
        <w:rPr>
          <w:sz w:val="24"/>
          <w:szCs w:val="24"/>
          <w:lang w:val="fr-FR"/>
        </w:rPr>
        <w:t>particulière</w:t>
      </w:r>
      <w:r w:rsidR="005E5510" w:rsidRPr="00953692">
        <w:rPr>
          <w:sz w:val="24"/>
          <w:szCs w:val="24"/>
          <w:lang w:val="fr-FR"/>
        </w:rPr>
        <w:t>ment justifié la durée de l’instance mise en cause</w:t>
      </w:r>
      <w:r w:rsidR="009E49E8" w:rsidRPr="00953692">
        <w:rPr>
          <w:sz w:val="24"/>
          <w:szCs w:val="24"/>
          <w:lang w:val="fr-FR"/>
        </w:rPr>
        <w:t>,</w:t>
      </w:r>
      <w:r w:rsidR="005E5510" w:rsidRPr="00953692">
        <w:rPr>
          <w:sz w:val="24"/>
          <w:szCs w:val="24"/>
          <w:lang w:val="fr-FR"/>
        </w:rPr>
        <w:t xml:space="preserve"> par </w:t>
      </w:r>
      <w:r w:rsidR="00D30EFA" w:rsidRPr="00953692">
        <w:rPr>
          <w:sz w:val="24"/>
          <w:szCs w:val="24"/>
          <w:lang w:val="fr-FR"/>
        </w:rPr>
        <w:t>l’état de santé de Ngirumpatse, qui a nécessité 15 mois de suspension des débats</w:t>
      </w:r>
      <w:r w:rsidR="00A3146F" w:rsidRPr="00953692">
        <w:rPr>
          <w:rStyle w:val="Appelnotedebasdep"/>
          <w:sz w:val="24"/>
          <w:szCs w:val="24"/>
          <w:lang w:val="fr-FR"/>
        </w:rPr>
        <w:footnoteReference w:customMarkFollows="1" w:id="329"/>
        <w:t>304</w:t>
      </w:r>
      <w:r w:rsidR="00D30EFA" w:rsidRPr="00953692">
        <w:rPr>
          <w:sz w:val="24"/>
          <w:szCs w:val="24"/>
          <w:lang w:val="fr-FR"/>
        </w:rPr>
        <w:t>.</w:t>
      </w:r>
    </w:p>
    <w:p w14:paraId="3510306A" w14:textId="63DB216A" w:rsidR="00D46A8C" w:rsidRPr="00953692" w:rsidRDefault="003F2222"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423</w:t>
      </w:r>
      <w:r w:rsidR="00EC3F60" w:rsidRPr="00953692">
        <w:rPr>
          <w:rFonts w:cs="Times New Roman"/>
          <w:b/>
          <w:bCs/>
          <w:sz w:val="24"/>
          <w:szCs w:val="24"/>
          <w:shd w:val="clear" w:color="auto" w:fill="FFFFFF"/>
          <w:lang w:val="fr-FR"/>
        </w:rPr>
        <w:t>.</w:t>
      </w:r>
      <w:r w:rsidR="00EC3F60" w:rsidRPr="00953692">
        <w:rPr>
          <w:rFonts w:cs="Times New Roman"/>
          <w:sz w:val="24"/>
          <w:szCs w:val="24"/>
          <w:shd w:val="clear" w:color="auto" w:fill="FFFFFF"/>
          <w:lang w:val="fr-FR"/>
        </w:rPr>
        <w:t xml:space="preserve"> </w:t>
      </w:r>
      <w:r w:rsidR="00D46A8C" w:rsidRPr="00953692">
        <w:rPr>
          <w:rFonts w:cs="Times New Roman"/>
          <w:sz w:val="24"/>
          <w:szCs w:val="24"/>
          <w:shd w:val="clear" w:color="auto" w:fill="FFFFFF"/>
          <w:lang w:val="fr-FR"/>
        </w:rPr>
        <w:t xml:space="preserve">Cependant, cette liberté devient dangereuse </w:t>
      </w:r>
      <w:r w:rsidR="00BB5B48" w:rsidRPr="00953692">
        <w:rPr>
          <w:rFonts w:cs="Times New Roman"/>
          <w:sz w:val="24"/>
          <w:szCs w:val="24"/>
          <w:shd w:val="clear" w:color="auto" w:fill="FFFFFF"/>
          <w:lang w:val="fr-FR"/>
        </w:rPr>
        <w:t>lorsqu’il y a une multiplicité des requêtes.</w:t>
      </w:r>
      <w:r w:rsidR="00EA366C" w:rsidRPr="00953692">
        <w:rPr>
          <w:rFonts w:cs="Times New Roman"/>
          <w:sz w:val="24"/>
          <w:szCs w:val="24"/>
          <w:shd w:val="clear" w:color="auto" w:fill="FFFFFF"/>
          <w:lang w:val="fr-FR"/>
        </w:rPr>
        <w:t xml:space="preserve"> Point n’est besoin de rappeler que celles-ci obligent, dans la plupart des cas, le juge </w:t>
      </w:r>
      <w:r w:rsidR="00EC3F60" w:rsidRPr="00953692">
        <w:rPr>
          <w:rFonts w:cs="Times New Roman"/>
          <w:sz w:val="24"/>
          <w:szCs w:val="24"/>
          <w:shd w:val="clear" w:color="auto" w:fill="FFFFFF"/>
          <w:lang w:val="fr-FR"/>
        </w:rPr>
        <w:t>de</w:t>
      </w:r>
      <w:r w:rsidR="00EA366C" w:rsidRPr="00953692">
        <w:rPr>
          <w:rFonts w:cs="Times New Roman"/>
          <w:sz w:val="24"/>
          <w:szCs w:val="24"/>
          <w:shd w:val="clear" w:color="auto" w:fill="FFFFFF"/>
          <w:lang w:val="fr-FR"/>
        </w:rPr>
        <w:t xml:space="preserve"> les examiner toutes affaires cessantes. Il y a </w:t>
      </w:r>
      <w:r w:rsidR="009E49E8" w:rsidRPr="00953692">
        <w:rPr>
          <w:rFonts w:cs="Times New Roman"/>
          <w:sz w:val="24"/>
          <w:szCs w:val="24"/>
          <w:shd w:val="clear" w:color="auto" w:fill="FFFFFF"/>
          <w:lang w:val="fr-FR"/>
        </w:rPr>
        <w:t xml:space="preserve">plus ou moins </w:t>
      </w:r>
      <w:r w:rsidR="00EA366C" w:rsidRPr="00953692">
        <w:rPr>
          <w:rFonts w:cs="Times New Roman"/>
          <w:sz w:val="24"/>
          <w:szCs w:val="24"/>
          <w:shd w:val="clear" w:color="auto" w:fill="FFFFFF"/>
          <w:lang w:val="fr-FR"/>
        </w:rPr>
        <w:t>un effet suspensif, mais aussi une surcharge</w:t>
      </w:r>
      <w:r w:rsidR="009E49E8" w:rsidRPr="00953692">
        <w:rPr>
          <w:rFonts w:cs="Times New Roman"/>
          <w:sz w:val="24"/>
          <w:szCs w:val="24"/>
          <w:shd w:val="clear" w:color="auto" w:fill="FFFFFF"/>
          <w:lang w:val="fr-FR"/>
        </w:rPr>
        <w:t xml:space="preserve"> de travail</w:t>
      </w:r>
      <w:r w:rsidR="00EA366C" w:rsidRPr="00953692">
        <w:rPr>
          <w:rFonts w:cs="Times New Roman"/>
          <w:sz w:val="24"/>
          <w:szCs w:val="24"/>
          <w:shd w:val="clear" w:color="auto" w:fill="FFFFFF"/>
          <w:lang w:val="fr-FR"/>
        </w:rPr>
        <w:t xml:space="preserve"> à laquelle le juge sera indubitablement confronté. Ainsi, lorsqu’il </w:t>
      </w:r>
      <w:r w:rsidR="00E25560" w:rsidRPr="00953692">
        <w:rPr>
          <w:rFonts w:cs="Times New Roman"/>
          <w:sz w:val="24"/>
          <w:szCs w:val="24"/>
          <w:shd w:val="clear" w:color="auto" w:fill="FFFFFF"/>
          <w:lang w:val="fr-FR"/>
        </w:rPr>
        <w:t>fait face à</w:t>
      </w:r>
      <w:r w:rsidR="00EA366C" w:rsidRPr="00953692">
        <w:rPr>
          <w:rFonts w:cs="Times New Roman"/>
          <w:sz w:val="24"/>
          <w:szCs w:val="24"/>
          <w:shd w:val="clear" w:color="auto" w:fill="FFFFFF"/>
          <w:lang w:val="fr-FR"/>
        </w:rPr>
        <w:t xml:space="preserve"> des requêtes multiples</w:t>
      </w:r>
      <w:r w:rsidR="00F114BA" w:rsidRPr="00953692">
        <w:rPr>
          <w:rFonts w:cs="Times New Roman"/>
          <w:sz w:val="24"/>
          <w:szCs w:val="24"/>
          <w:shd w:val="clear" w:color="auto" w:fill="FFFFFF"/>
          <w:lang w:val="fr-FR"/>
        </w:rPr>
        <w:t>,</w:t>
      </w:r>
      <w:r w:rsidR="00EA366C" w:rsidRPr="00953692">
        <w:rPr>
          <w:rFonts w:cs="Times New Roman"/>
          <w:sz w:val="24"/>
          <w:szCs w:val="24"/>
          <w:shd w:val="clear" w:color="auto" w:fill="FFFFFF"/>
          <w:lang w:val="fr-FR"/>
        </w:rPr>
        <w:t xml:space="preserve"> il va sans dire que le temps du procès devrait se prolonger </w:t>
      </w:r>
      <w:r w:rsidR="00E25560" w:rsidRPr="00953692">
        <w:rPr>
          <w:rFonts w:cs="Times New Roman"/>
          <w:sz w:val="24"/>
          <w:szCs w:val="24"/>
          <w:shd w:val="clear" w:color="auto" w:fill="FFFFFF"/>
          <w:lang w:val="fr-FR"/>
        </w:rPr>
        <w:t>somme toute</w:t>
      </w:r>
      <w:r w:rsidR="00EA366C" w:rsidRPr="00953692">
        <w:rPr>
          <w:rFonts w:cs="Times New Roman"/>
          <w:sz w:val="24"/>
          <w:szCs w:val="24"/>
          <w:shd w:val="clear" w:color="auto" w:fill="FFFFFF"/>
          <w:lang w:val="fr-FR"/>
        </w:rPr>
        <w:t xml:space="preserve">. </w:t>
      </w:r>
      <w:r w:rsidR="004D3F34" w:rsidRPr="00953692">
        <w:rPr>
          <w:rFonts w:cs="Times New Roman"/>
          <w:sz w:val="24"/>
          <w:szCs w:val="24"/>
          <w:shd w:val="clear" w:color="auto" w:fill="FFFFFF"/>
          <w:lang w:val="fr-FR"/>
        </w:rPr>
        <w:t>Dans cet ordre d’idées, il est donc possible d’entrevoir une certaine conflictualité entre le droit de former un ou des recours et le droit d’être jugé sans retard excessif. En clair, le surgissement de cette conflictualité est tributaire du nombre de requêtes que l’accusé aura introduites au cours du procès</w:t>
      </w:r>
      <w:r w:rsidR="00E25560" w:rsidRPr="00953692">
        <w:rPr>
          <w:rFonts w:cs="Times New Roman"/>
          <w:sz w:val="24"/>
          <w:szCs w:val="24"/>
          <w:shd w:val="clear" w:color="auto" w:fill="FFFFFF"/>
          <w:lang w:val="fr-FR"/>
        </w:rPr>
        <w:t xml:space="preserve"> et non à un seul recours</w:t>
      </w:r>
      <w:r w:rsidR="004D3F34" w:rsidRPr="00953692">
        <w:rPr>
          <w:rFonts w:cs="Times New Roman"/>
          <w:sz w:val="24"/>
          <w:szCs w:val="24"/>
          <w:shd w:val="clear" w:color="auto" w:fill="FFFFFF"/>
          <w:lang w:val="fr-FR"/>
        </w:rPr>
        <w:t>.</w:t>
      </w:r>
    </w:p>
    <w:p w14:paraId="3FD6E7F9" w14:textId="4B9137F9" w:rsidR="00EE5F3D" w:rsidRPr="00953692" w:rsidRDefault="003F2222"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424</w:t>
      </w:r>
      <w:r w:rsidR="00EC3F60" w:rsidRPr="00953692">
        <w:rPr>
          <w:rFonts w:cs="Times New Roman"/>
          <w:b/>
          <w:bCs/>
          <w:sz w:val="24"/>
          <w:szCs w:val="24"/>
          <w:shd w:val="clear" w:color="auto" w:fill="FFFFFF"/>
          <w:lang w:val="fr-FR"/>
        </w:rPr>
        <w:t>.</w:t>
      </w:r>
      <w:r w:rsidR="00EC3F60" w:rsidRPr="00953692">
        <w:rPr>
          <w:rFonts w:cs="Times New Roman"/>
          <w:sz w:val="24"/>
          <w:szCs w:val="24"/>
          <w:shd w:val="clear" w:color="auto" w:fill="FFFFFF"/>
          <w:lang w:val="fr-FR"/>
        </w:rPr>
        <w:t xml:space="preserve"> </w:t>
      </w:r>
      <w:r w:rsidR="00E25560" w:rsidRPr="00953692">
        <w:rPr>
          <w:rFonts w:cs="Times New Roman"/>
          <w:sz w:val="24"/>
          <w:szCs w:val="24"/>
          <w:shd w:val="clear" w:color="auto" w:fill="FFFFFF"/>
          <w:lang w:val="fr-FR"/>
        </w:rPr>
        <w:t>La pratique des juridictions pénales internationales montre que l</w:t>
      </w:r>
      <w:r w:rsidR="00EE5F3D" w:rsidRPr="00953692">
        <w:rPr>
          <w:rFonts w:cs="Times New Roman"/>
          <w:sz w:val="24"/>
          <w:szCs w:val="24"/>
          <w:shd w:val="clear" w:color="auto" w:fill="FFFFFF"/>
          <w:lang w:val="fr-FR"/>
        </w:rPr>
        <w:t xml:space="preserve">a décision ou la stratégie de multiplier des requêtes incidentes relève à première vue de l’ignorance de l’effet que produit la somme de toutes ces suspensions </w:t>
      </w:r>
      <w:r w:rsidR="00E25560" w:rsidRPr="00953692">
        <w:rPr>
          <w:rFonts w:cs="Times New Roman"/>
          <w:sz w:val="24"/>
          <w:szCs w:val="24"/>
          <w:shd w:val="clear" w:color="auto" w:fill="FFFFFF"/>
          <w:lang w:val="fr-FR"/>
        </w:rPr>
        <w:t>a</w:t>
      </w:r>
      <w:r w:rsidR="00EE5F3D" w:rsidRPr="00953692">
        <w:rPr>
          <w:rFonts w:cs="Times New Roman"/>
          <w:sz w:val="24"/>
          <w:szCs w:val="24"/>
          <w:shd w:val="clear" w:color="auto" w:fill="FFFFFF"/>
          <w:lang w:val="fr-FR"/>
        </w:rPr>
        <w:t xml:space="preserve">u traitement de l’affaire principale ou même de l’instance sur la durée globale du procès, qui implique le droit d’être jugé sans retard excessif. L’accusé n’a pas </w:t>
      </w:r>
      <w:r w:rsidR="00EC3F60" w:rsidRPr="00953692">
        <w:rPr>
          <w:rFonts w:cs="Times New Roman"/>
          <w:sz w:val="24"/>
          <w:szCs w:val="24"/>
          <w:shd w:val="clear" w:color="auto" w:fill="FFFFFF"/>
          <w:lang w:val="fr-FR"/>
        </w:rPr>
        <w:t xml:space="preserve">préalablement </w:t>
      </w:r>
      <w:r w:rsidR="00EE5F3D" w:rsidRPr="00953692">
        <w:rPr>
          <w:rFonts w:cs="Times New Roman"/>
          <w:sz w:val="24"/>
          <w:szCs w:val="24"/>
          <w:shd w:val="clear" w:color="auto" w:fill="FFFFFF"/>
          <w:lang w:val="fr-FR"/>
        </w:rPr>
        <w:t xml:space="preserve">en vue cette conflictualité. On peut bien voir dans l’affaire Laurent Gbagbo le rappel combien </w:t>
      </w:r>
      <w:r w:rsidR="00EE5F3D" w:rsidRPr="00953692">
        <w:rPr>
          <w:rFonts w:cs="Times New Roman"/>
          <w:sz w:val="24"/>
          <w:szCs w:val="24"/>
          <w:shd w:val="clear" w:color="auto" w:fill="FFFFFF"/>
          <w:lang w:val="fr-FR"/>
        </w:rPr>
        <w:lastRenderedPageBreak/>
        <w:t xml:space="preserve">pertinent du Représentant légal des victimes sur l’ignorance </w:t>
      </w:r>
      <w:r w:rsidR="00EC3F60" w:rsidRPr="00953692">
        <w:rPr>
          <w:rFonts w:cs="Times New Roman"/>
          <w:sz w:val="24"/>
          <w:szCs w:val="24"/>
          <w:shd w:val="clear" w:color="auto" w:fill="FFFFFF"/>
          <w:lang w:val="fr-FR"/>
        </w:rPr>
        <w:t>‘’</w:t>
      </w:r>
      <w:r w:rsidR="00EE5F3D" w:rsidRPr="00953692">
        <w:rPr>
          <w:rFonts w:cs="Times New Roman"/>
          <w:sz w:val="24"/>
          <w:szCs w:val="24"/>
          <w:shd w:val="clear" w:color="auto" w:fill="FFFFFF"/>
          <w:lang w:val="fr-FR"/>
        </w:rPr>
        <w:t>présupposée</w:t>
      </w:r>
      <w:r w:rsidR="00EC3F60" w:rsidRPr="00953692">
        <w:rPr>
          <w:rFonts w:cs="Times New Roman"/>
          <w:sz w:val="24"/>
          <w:szCs w:val="24"/>
          <w:shd w:val="clear" w:color="auto" w:fill="FFFFFF"/>
          <w:lang w:val="fr-FR"/>
        </w:rPr>
        <w:t>’’ (il se peut qu’il se soit agi d’une stratégie de la Défense)</w:t>
      </w:r>
      <w:r w:rsidR="00EE5F3D" w:rsidRPr="00953692">
        <w:rPr>
          <w:rFonts w:cs="Times New Roman"/>
          <w:sz w:val="24"/>
          <w:szCs w:val="24"/>
          <w:shd w:val="clear" w:color="auto" w:fill="FFFFFF"/>
          <w:lang w:val="fr-FR"/>
        </w:rPr>
        <w:t xml:space="preserve"> dont a fait montre l’accusé de son propre d</w:t>
      </w:r>
      <w:r w:rsidR="002E01F0" w:rsidRPr="00953692">
        <w:rPr>
          <w:rFonts w:cs="Times New Roman"/>
          <w:sz w:val="24"/>
          <w:szCs w:val="24"/>
          <w:shd w:val="clear" w:color="auto" w:fill="FFFFFF"/>
          <w:lang w:val="fr-FR"/>
        </w:rPr>
        <w:t>roit d’être jugé sans retard excessif</w:t>
      </w:r>
      <w:r w:rsidR="00EE5F3D" w:rsidRPr="00953692">
        <w:rPr>
          <w:rFonts w:cs="Times New Roman"/>
          <w:sz w:val="24"/>
          <w:szCs w:val="24"/>
          <w:shd w:val="clear" w:color="auto" w:fill="FFFFFF"/>
          <w:lang w:val="fr-FR"/>
        </w:rPr>
        <w:t xml:space="preserve">. </w:t>
      </w:r>
      <w:r w:rsidR="00A319FE" w:rsidRPr="00953692">
        <w:rPr>
          <w:rFonts w:cs="Times New Roman"/>
          <w:sz w:val="24"/>
          <w:szCs w:val="24"/>
          <w:shd w:val="clear" w:color="auto" w:fill="FFFFFF"/>
          <w:lang w:val="fr-FR"/>
        </w:rPr>
        <w:t xml:space="preserve">Si malgré </w:t>
      </w:r>
      <w:r w:rsidR="00CE6908" w:rsidRPr="00953692">
        <w:rPr>
          <w:rFonts w:cs="Times New Roman"/>
          <w:sz w:val="24"/>
          <w:szCs w:val="24"/>
          <w:shd w:val="clear" w:color="auto" w:fill="FFFFFF"/>
          <w:lang w:val="fr-FR"/>
        </w:rPr>
        <w:t>les dix ans passés</w:t>
      </w:r>
      <w:r w:rsidR="00A319FE" w:rsidRPr="00953692">
        <w:rPr>
          <w:rFonts w:cs="Times New Roman"/>
          <w:sz w:val="24"/>
          <w:szCs w:val="24"/>
          <w:shd w:val="clear" w:color="auto" w:fill="FFFFFF"/>
          <w:lang w:val="fr-FR"/>
        </w:rPr>
        <w:t xml:space="preserve"> à La Haye</w:t>
      </w:r>
      <w:r w:rsidR="00F718BB" w:rsidRPr="00953692">
        <w:rPr>
          <w:rFonts w:cs="Times New Roman"/>
          <w:sz w:val="24"/>
          <w:szCs w:val="24"/>
          <w:shd w:val="clear" w:color="auto" w:fill="FFFFFF"/>
          <w:lang w:val="fr-FR"/>
        </w:rPr>
        <w:t>,</w:t>
      </w:r>
      <w:r w:rsidR="00A319FE" w:rsidRPr="00953692">
        <w:rPr>
          <w:rFonts w:cs="Times New Roman"/>
          <w:sz w:val="24"/>
          <w:szCs w:val="24"/>
          <w:shd w:val="clear" w:color="auto" w:fill="FFFFFF"/>
          <w:lang w:val="fr-FR"/>
        </w:rPr>
        <w:t xml:space="preserve"> l’accusé ne s’est pas plaint </w:t>
      </w:r>
      <w:r w:rsidR="00E25560" w:rsidRPr="00953692">
        <w:rPr>
          <w:rFonts w:cs="Times New Roman"/>
          <w:sz w:val="24"/>
          <w:szCs w:val="24"/>
          <w:shd w:val="clear" w:color="auto" w:fill="FFFFFF"/>
          <w:lang w:val="fr-FR"/>
        </w:rPr>
        <w:t xml:space="preserve">in fine </w:t>
      </w:r>
      <w:r w:rsidR="00A319FE" w:rsidRPr="00953692">
        <w:rPr>
          <w:rFonts w:cs="Times New Roman"/>
          <w:sz w:val="24"/>
          <w:szCs w:val="24"/>
          <w:shd w:val="clear" w:color="auto" w:fill="FFFFFF"/>
          <w:lang w:val="fr-FR"/>
        </w:rPr>
        <w:t xml:space="preserve">de </w:t>
      </w:r>
      <w:r w:rsidR="00E11377" w:rsidRPr="00953692">
        <w:rPr>
          <w:rFonts w:cs="Times New Roman"/>
          <w:sz w:val="24"/>
          <w:szCs w:val="24"/>
          <w:shd w:val="clear" w:color="auto" w:fill="FFFFFF"/>
          <w:lang w:val="fr-FR"/>
        </w:rPr>
        <w:t xml:space="preserve">la longueur du procès, dans d’autres cas par ailleurs, </w:t>
      </w:r>
      <w:r w:rsidR="00CE6908" w:rsidRPr="00953692">
        <w:rPr>
          <w:rFonts w:cs="Times New Roman"/>
          <w:sz w:val="24"/>
          <w:szCs w:val="24"/>
          <w:shd w:val="clear" w:color="auto" w:fill="FFFFFF"/>
          <w:lang w:val="fr-FR"/>
        </w:rPr>
        <w:t>les accusés ont bien payé le prix d’une telle stratégie plus tard.</w:t>
      </w:r>
    </w:p>
    <w:p w14:paraId="6E7AB55D" w14:textId="26732BB3" w:rsidR="008F21DA" w:rsidRPr="00953692" w:rsidRDefault="003F2222" w:rsidP="00864BBF">
      <w:pPr>
        <w:spacing w:after="0" w:line="276" w:lineRule="auto"/>
        <w:ind w:firstLine="1134"/>
        <w:jc w:val="both"/>
        <w:rPr>
          <w:rFonts w:cs="Times New Roman"/>
          <w:sz w:val="24"/>
          <w:szCs w:val="24"/>
          <w:lang w:val="fr-FR"/>
        </w:rPr>
      </w:pPr>
      <w:r w:rsidRPr="00953692">
        <w:rPr>
          <w:rFonts w:cs="Times New Roman"/>
          <w:b/>
          <w:bCs/>
          <w:sz w:val="24"/>
          <w:szCs w:val="24"/>
          <w:shd w:val="clear" w:color="auto" w:fill="FFFFFF"/>
          <w:lang w:val="fr-FR"/>
        </w:rPr>
        <w:t>425</w:t>
      </w:r>
      <w:r w:rsidR="002E01F0" w:rsidRPr="00953692">
        <w:rPr>
          <w:rFonts w:cs="Times New Roman"/>
          <w:b/>
          <w:bCs/>
          <w:sz w:val="24"/>
          <w:szCs w:val="24"/>
          <w:shd w:val="clear" w:color="auto" w:fill="FFFFFF"/>
          <w:lang w:val="fr-FR"/>
        </w:rPr>
        <w:t>.</w:t>
      </w:r>
      <w:r w:rsidR="002E01F0" w:rsidRPr="00953692">
        <w:rPr>
          <w:rFonts w:cs="Times New Roman"/>
          <w:sz w:val="24"/>
          <w:szCs w:val="24"/>
          <w:shd w:val="clear" w:color="auto" w:fill="FFFFFF"/>
          <w:lang w:val="fr-FR"/>
        </w:rPr>
        <w:t xml:space="preserve"> </w:t>
      </w:r>
      <w:r w:rsidR="00CE6908" w:rsidRPr="00953692">
        <w:rPr>
          <w:rFonts w:cs="Times New Roman"/>
          <w:sz w:val="24"/>
          <w:szCs w:val="24"/>
          <w:shd w:val="clear" w:color="auto" w:fill="FFFFFF"/>
          <w:lang w:val="fr-FR"/>
        </w:rPr>
        <w:t xml:space="preserve">Tel </w:t>
      </w:r>
      <w:r w:rsidR="00C57932" w:rsidRPr="00953692">
        <w:rPr>
          <w:rFonts w:cs="Times New Roman"/>
          <w:sz w:val="24"/>
          <w:szCs w:val="24"/>
          <w:shd w:val="clear" w:color="auto" w:fill="FFFFFF"/>
          <w:lang w:val="fr-FR"/>
        </w:rPr>
        <w:t>avait été</w:t>
      </w:r>
      <w:r w:rsidR="00CE6908" w:rsidRPr="00953692">
        <w:rPr>
          <w:rFonts w:cs="Times New Roman"/>
          <w:sz w:val="24"/>
          <w:szCs w:val="24"/>
          <w:shd w:val="clear" w:color="auto" w:fill="FFFFFF"/>
          <w:lang w:val="fr-FR"/>
        </w:rPr>
        <w:t xml:space="preserve"> le cas</w:t>
      </w:r>
      <w:r w:rsidR="00C52CE7" w:rsidRPr="00953692">
        <w:rPr>
          <w:rFonts w:cs="Times New Roman"/>
          <w:sz w:val="24"/>
          <w:szCs w:val="24"/>
          <w:shd w:val="clear" w:color="auto" w:fill="FFFFFF"/>
          <w:lang w:val="fr-FR"/>
        </w:rPr>
        <w:t>, par exemple,</w:t>
      </w:r>
      <w:r w:rsidR="001103FF" w:rsidRPr="00953692">
        <w:rPr>
          <w:rFonts w:cs="Times New Roman"/>
          <w:sz w:val="24"/>
          <w:szCs w:val="24"/>
          <w:lang w:val="fr-FR"/>
        </w:rPr>
        <w:t xml:space="preserve"> dans l’affaire le procureur contre Vojislav Seselj,</w:t>
      </w:r>
      <w:r w:rsidR="00C57932" w:rsidRPr="00953692">
        <w:rPr>
          <w:rFonts w:cs="Times New Roman"/>
          <w:sz w:val="24"/>
          <w:szCs w:val="24"/>
          <w:lang w:val="fr-FR"/>
        </w:rPr>
        <w:t xml:space="preserve"> dont</w:t>
      </w:r>
      <w:r w:rsidR="001103FF" w:rsidRPr="00953692">
        <w:rPr>
          <w:rFonts w:cs="Times New Roman"/>
          <w:sz w:val="24"/>
          <w:szCs w:val="24"/>
          <w:lang w:val="fr-FR"/>
        </w:rPr>
        <w:t xml:space="preserve"> ces nombreuses et volumineuses requêtes introduites par l’accusé s’étaient bien révélées </w:t>
      </w:r>
      <w:r w:rsidR="00F718BB" w:rsidRPr="00953692">
        <w:rPr>
          <w:rFonts w:cs="Times New Roman"/>
          <w:sz w:val="24"/>
          <w:szCs w:val="24"/>
          <w:lang w:val="fr-FR"/>
        </w:rPr>
        <w:t>désavantageuses</w:t>
      </w:r>
      <w:r w:rsidR="001103FF" w:rsidRPr="00953692">
        <w:rPr>
          <w:rFonts w:cs="Times New Roman"/>
          <w:sz w:val="24"/>
          <w:szCs w:val="24"/>
          <w:lang w:val="fr-FR"/>
        </w:rPr>
        <w:t xml:space="preserve"> pour l’accusé lorsqu’il avait exigé à la Chambre de mettre fin à son procès pour abus de procédure</w:t>
      </w:r>
      <w:r w:rsidR="002E01F0" w:rsidRPr="00953692">
        <w:rPr>
          <w:rFonts w:cs="Times New Roman"/>
          <w:sz w:val="24"/>
          <w:szCs w:val="24"/>
          <w:lang w:val="fr-FR"/>
        </w:rPr>
        <w:t>,</w:t>
      </w:r>
      <w:r w:rsidR="001103FF" w:rsidRPr="00953692">
        <w:rPr>
          <w:rFonts w:cs="Times New Roman"/>
          <w:sz w:val="24"/>
          <w:szCs w:val="24"/>
          <w:lang w:val="fr-FR"/>
        </w:rPr>
        <w:t xml:space="preserve"> fondé sur la violation de son droit à un délai raisonnable</w:t>
      </w:r>
      <w:r w:rsidR="00A3146F" w:rsidRPr="00953692">
        <w:rPr>
          <w:rStyle w:val="Appelnotedebasdep"/>
          <w:rFonts w:cs="Times New Roman"/>
          <w:sz w:val="24"/>
          <w:szCs w:val="24"/>
          <w:lang w:val="fr-FR"/>
        </w:rPr>
        <w:footnoteReference w:customMarkFollows="1" w:id="330"/>
        <w:t>305</w:t>
      </w:r>
      <w:r w:rsidR="001103FF" w:rsidRPr="00953692">
        <w:rPr>
          <w:rFonts w:cs="Times New Roman"/>
          <w:sz w:val="24"/>
          <w:szCs w:val="24"/>
          <w:lang w:val="fr-FR"/>
        </w:rPr>
        <w:t xml:space="preserve">. </w:t>
      </w:r>
      <w:r w:rsidR="008F21DA" w:rsidRPr="00953692">
        <w:rPr>
          <w:rFonts w:cs="Times New Roman"/>
          <w:sz w:val="24"/>
          <w:szCs w:val="24"/>
          <w:lang w:val="fr-FR"/>
        </w:rPr>
        <w:t xml:space="preserve">En effet, jusqu’au moment où il se plaignit de la durée de son procès, l’accusé ne remarqua nullement les conséquences que ses nombreuses requêtes purent avoir sur son droit d’être jugé sans retard excessif. </w:t>
      </w:r>
      <w:r w:rsidR="00044107" w:rsidRPr="00953692">
        <w:rPr>
          <w:rFonts w:cs="Times New Roman"/>
          <w:sz w:val="24"/>
          <w:szCs w:val="24"/>
          <w:lang w:val="fr-FR"/>
        </w:rPr>
        <w:t>Ce qui permi</w:t>
      </w:r>
      <w:r w:rsidR="002E01F0" w:rsidRPr="00953692">
        <w:rPr>
          <w:rFonts w:cs="Times New Roman"/>
          <w:sz w:val="24"/>
          <w:szCs w:val="24"/>
          <w:lang w:val="fr-FR"/>
        </w:rPr>
        <w:t>t</w:t>
      </w:r>
      <w:r w:rsidR="00044107" w:rsidRPr="00953692">
        <w:rPr>
          <w:rFonts w:cs="Times New Roman"/>
          <w:sz w:val="24"/>
          <w:szCs w:val="24"/>
          <w:lang w:val="fr-FR"/>
        </w:rPr>
        <w:t xml:space="preserve"> au procureur de trouver une brèche </w:t>
      </w:r>
      <w:r w:rsidR="00BE4EC6" w:rsidRPr="00953692">
        <w:rPr>
          <w:rFonts w:cs="Times New Roman"/>
          <w:sz w:val="24"/>
          <w:szCs w:val="24"/>
          <w:lang w:val="fr-FR"/>
        </w:rPr>
        <w:t>dans laquelle il p</w:t>
      </w:r>
      <w:r w:rsidR="002E01F0" w:rsidRPr="00953692">
        <w:rPr>
          <w:rFonts w:cs="Times New Roman"/>
          <w:sz w:val="24"/>
          <w:szCs w:val="24"/>
          <w:lang w:val="fr-FR"/>
        </w:rPr>
        <w:t>u</w:t>
      </w:r>
      <w:r w:rsidR="00BE4EC6" w:rsidRPr="00953692">
        <w:rPr>
          <w:rFonts w:cs="Times New Roman"/>
          <w:sz w:val="24"/>
          <w:szCs w:val="24"/>
          <w:lang w:val="fr-FR"/>
        </w:rPr>
        <w:t xml:space="preserve">t bien s’engouffrer pour </w:t>
      </w:r>
      <w:r w:rsidR="00C52CE7" w:rsidRPr="00953692">
        <w:rPr>
          <w:rFonts w:cs="Times New Roman"/>
          <w:sz w:val="24"/>
          <w:szCs w:val="24"/>
          <w:lang w:val="fr-FR"/>
        </w:rPr>
        <w:t>endosser en partie la responsabilité du retard à l’accusé lui-même.</w:t>
      </w:r>
    </w:p>
    <w:p w14:paraId="2CC65B47" w14:textId="1D592F17" w:rsidR="00E25560" w:rsidRPr="00953692" w:rsidRDefault="003F222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426</w:t>
      </w:r>
      <w:r w:rsidR="002E01F0" w:rsidRPr="00953692">
        <w:rPr>
          <w:rFonts w:cs="Times New Roman"/>
          <w:b/>
          <w:bCs/>
          <w:sz w:val="24"/>
          <w:szCs w:val="24"/>
          <w:lang w:val="fr-FR"/>
        </w:rPr>
        <w:t>.</w:t>
      </w:r>
      <w:r w:rsidR="002E01F0" w:rsidRPr="00953692">
        <w:rPr>
          <w:rFonts w:cs="Times New Roman"/>
          <w:sz w:val="24"/>
          <w:szCs w:val="24"/>
          <w:lang w:val="fr-FR"/>
        </w:rPr>
        <w:t xml:space="preserve"> </w:t>
      </w:r>
      <w:r w:rsidR="004301D7" w:rsidRPr="00953692">
        <w:rPr>
          <w:rFonts w:cs="Times New Roman"/>
          <w:sz w:val="24"/>
          <w:szCs w:val="24"/>
          <w:lang w:val="fr-FR"/>
        </w:rPr>
        <w:t xml:space="preserve">Un autre aspect moins négligeable de cette problématique </w:t>
      </w:r>
      <w:r w:rsidR="00E25560" w:rsidRPr="00953692">
        <w:rPr>
          <w:rFonts w:cs="Times New Roman"/>
          <w:sz w:val="24"/>
          <w:szCs w:val="24"/>
          <w:lang w:val="fr-FR"/>
        </w:rPr>
        <w:t>ce sont</w:t>
      </w:r>
      <w:r w:rsidR="004301D7" w:rsidRPr="00953692">
        <w:rPr>
          <w:rFonts w:cs="Times New Roman"/>
          <w:sz w:val="24"/>
          <w:szCs w:val="24"/>
          <w:lang w:val="fr-FR"/>
        </w:rPr>
        <w:t xml:space="preserve"> les décisions que</w:t>
      </w:r>
      <w:r w:rsidR="00B57DB6" w:rsidRPr="00953692">
        <w:rPr>
          <w:rFonts w:cs="Times New Roman"/>
          <w:sz w:val="24"/>
          <w:szCs w:val="24"/>
          <w:lang w:val="fr-FR"/>
        </w:rPr>
        <w:t xml:space="preserve"> le</w:t>
      </w:r>
      <w:r w:rsidR="004301D7" w:rsidRPr="00953692">
        <w:rPr>
          <w:rFonts w:cs="Times New Roman"/>
          <w:sz w:val="24"/>
          <w:szCs w:val="24"/>
          <w:lang w:val="fr-FR"/>
        </w:rPr>
        <w:t xml:space="preserve"> juge devra rendre au cours de l’instance. </w:t>
      </w:r>
      <w:r w:rsidR="00B733C1" w:rsidRPr="00953692">
        <w:rPr>
          <w:rFonts w:cs="Times New Roman"/>
          <w:sz w:val="24"/>
          <w:szCs w:val="24"/>
          <w:lang w:val="fr-FR"/>
        </w:rPr>
        <w:t xml:space="preserve">Nous l’avons dit précédemment, le juge est tenu d’examiner ces requêtes et d’en réserver une suite, une réponse. </w:t>
      </w:r>
      <w:r w:rsidR="009F5097" w:rsidRPr="00953692">
        <w:rPr>
          <w:rFonts w:cs="Times New Roman"/>
          <w:sz w:val="24"/>
          <w:szCs w:val="24"/>
          <w:lang w:val="fr-FR"/>
        </w:rPr>
        <w:t>Le nombre des décisions sera équivalent au nombre des requêtes introduites par l’accusé et s’ajoutera évidemment aux différentes décisions et ordonnances que le juge est amené à prendre d’office en vertu des pouvoirs qui lui sont conférés.</w:t>
      </w:r>
      <w:r w:rsidR="004F65E3" w:rsidRPr="00953692">
        <w:rPr>
          <w:rFonts w:cs="Times New Roman"/>
          <w:sz w:val="24"/>
          <w:szCs w:val="24"/>
          <w:lang w:val="fr-FR"/>
        </w:rPr>
        <w:t xml:space="preserve"> Il y a </w:t>
      </w:r>
      <w:r w:rsidR="004F65E3" w:rsidRPr="00953692">
        <w:rPr>
          <w:rFonts w:cs="Times New Roman"/>
          <w:i/>
          <w:iCs/>
          <w:sz w:val="24"/>
          <w:szCs w:val="24"/>
          <w:lang w:val="fr-FR"/>
        </w:rPr>
        <w:t>in fine</w:t>
      </w:r>
      <w:r w:rsidR="004F65E3" w:rsidRPr="00953692">
        <w:rPr>
          <w:rFonts w:cs="Times New Roman"/>
          <w:sz w:val="24"/>
          <w:szCs w:val="24"/>
          <w:lang w:val="fr-FR"/>
        </w:rPr>
        <w:t xml:space="preserve"> un nombre si important des décisions qui montre suffisamment la charge de travail à laquelle les juges ont été confronté</w:t>
      </w:r>
      <w:r w:rsidR="00CD6EEE" w:rsidRPr="00953692">
        <w:rPr>
          <w:rFonts w:cs="Times New Roman"/>
          <w:sz w:val="24"/>
          <w:szCs w:val="24"/>
          <w:lang w:val="fr-FR"/>
        </w:rPr>
        <w:t>s</w:t>
      </w:r>
      <w:r w:rsidR="004F65E3" w:rsidRPr="00953692">
        <w:rPr>
          <w:rFonts w:cs="Times New Roman"/>
          <w:sz w:val="24"/>
          <w:szCs w:val="24"/>
          <w:lang w:val="fr-FR"/>
        </w:rPr>
        <w:t>.</w:t>
      </w:r>
      <w:r w:rsidR="009F5097" w:rsidRPr="00953692">
        <w:rPr>
          <w:rFonts w:cs="Times New Roman"/>
          <w:sz w:val="24"/>
          <w:szCs w:val="24"/>
          <w:lang w:val="fr-FR"/>
        </w:rPr>
        <w:t xml:space="preserve"> La pratique de ces juridictions révèle que ceci constitue une cause de justification, dont se servent les juge</w:t>
      </w:r>
      <w:r w:rsidR="002E01F0" w:rsidRPr="00953692">
        <w:rPr>
          <w:rFonts w:cs="Times New Roman"/>
          <w:sz w:val="24"/>
          <w:szCs w:val="24"/>
          <w:lang w:val="fr-FR"/>
        </w:rPr>
        <w:t>s</w:t>
      </w:r>
      <w:r w:rsidR="009F5097" w:rsidRPr="00953692">
        <w:rPr>
          <w:rFonts w:cs="Times New Roman"/>
          <w:sz w:val="24"/>
          <w:szCs w:val="24"/>
          <w:lang w:val="fr-FR"/>
        </w:rPr>
        <w:t xml:space="preserve"> pour </w:t>
      </w:r>
      <w:r w:rsidR="009E49E8" w:rsidRPr="00953692">
        <w:rPr>
          <w:rFonts w:cs="Times New Roman"/>
          <w:sz w:val="24"/>
          <w:szCs w:val="24"/>
          <w:lang w:val="fr-FR"/>
        </w:rPr>
        <w:t xml:space="preserve">construire l’argumentaire fondé sur </w:t>
      </w:r>
      <w:r w:rsidR="009F5097" w:rsidRPr="00953692">
        <w:rPr>
          <w:rFonts w:cs="Times New Roman"/>
          <w:sz w:val="24"/>
          <w:szCs w:val="24"/>
          <w:lang w:val="fr-FR"/>
        </w:rPr>
        <w:t xml:space="preserve">la complexité de l’affaire. </w:t>
      </w:r>
    </w:p>
    <w:p w14:paraId="18760BF5" w14:textId="1158BE7F" w:rsidR="009F5097" w:rsidRPr="00953692" w:rsidRDefault="003F2222" w:rsidP="00864BBF">
      <w:pPr>
        <w:spacing w:after="0" w:line="276" w:lineRule="auto"/>
        <w:ind w:firstLine="1134"/>
        <w:jc w:val="both"/>
        <w:rPr>
          <w:sz w:val="24"/>
          <w:szCs w:val="24"/>
          <w:lang w:val="fr-FR"/>
        </w:rPr>
      </w:pPr>
      <w:r w:rsidRPr="00953692">
        <w:rPr>
          <w:rFonts w:cs="Times New Roman"/>
          <w:b/>
          <w:bCs/>
          <w:sz w:val="24"/>
          <w:szCs w:val="24"/>
          <w:lang w:val="fr-FR"/>
        </w:rPr>
        <w:t>427</w:t>
      </w:r>
      <w:r w:rsidR="00E25560" w:rsidRPr="00953692">
        <w:rPr>
          <w:rFonts w:cs="Times New Roman"/>
          <w:b/>
          <w:bCs/>
          <w:sz w:val="24"/>
          <w:szCs w:val="24"/>
          <w:lang w:val="fr-FR"/>
        </w:rPr>
        <w:t>.</w:t>
      </w:r>
      <w:r w:rsidR="00E25560" w:rsidRPr="00953692">
        <w:rPr>
          <w:rFonts w:cs="Times New Roman"/>
          <w:sz w:val="24"/>
          <w:szCs w:val="24"/>
          <w:lang w:val="fr-FR"/>
        </w:rPr>
        <w:t xml:space="preserve"> </w:t>
      </w:r>
      <w:r w:rsidR="009E49E8" w:rsidRPr="00953692">
        <w:rPr>
          <w:rFonts w:cs="Times New Roman"/>
          <w:sz w:val="24"/>
          <w:szCs w:val="24"/>
          <w:lang w:val="fr-FR"/>
        </w:rPr>
        <w:t xml:space="preserve">Rappelons </w:t>
      </w:r>
      <w:r w:rsidR="00E25560" w:rsidRPr="00953692">
        <w:rPr>
          <w:rFonts w:cs="Times New Roman"/>
          <w:sz w:val="24"/>
          <w:szCs w:val="24"/>
          <w:lang w:val="fr-FR"/>
        </w:rPr>
        <w:t xml:space="preserve">par exemple </w:t>
      </w:r>
      <w:r w:rsidR="009E49E8" w:rsidRPr="00953692">
        <w:rPr>
          <w:rFonts w:cs="Times New Roman"/>
          <w:sz w:val="24"/>
          <w:szCs w:val="24"/>
          <w:lang w:val="fr-FR"/>
        </w:rPr>
        <w:t xml:space="preserve">que, devant les juridictions pénales internationales, la complexité est le premier critère catalyseur en matière d’appréciation du délai raisonnable. </w:t>
      </w:r>
      <w:r w:rsidR="004F65E3" w:rsidRPr="00953692">
        <w:rPr>
          <w:rFonts w:cs="Times New Roman"/>
          <w:sz w:val="24"/>
          <w:szCs w:val="24"/>
          <w:lang w:val="fr-FR"/>
        </w:rPr>
        <w:t xml:space="preserve">Dans l’affaire </w:t>
      </w:r>
      <w:r w:rsidR="004F65E3" w:rsidRPr="00953692">
        <w:rPr>
          <w:sz w:val="24"/>
          <w:szCs w:val="24"/>
          <w:lang w:val="fr-FR"/>
        </w:rPr>
        <w:t>Théoneste Bagosora et consorts,</w:t>
      </w:r>
      <w:r w:rsidR="004F65E3" w:rsidRPr="00953692">
        <w:rPr>
          <w:rFonts w:cs="Times New Roman"/>
          <w:sz w:val="24"/>
          <w:szCs w:val="24"/>
          <w:lang w:val="fr-FR"/>
        </w:rPr>
        <w:t xml:space="preserve"> la</w:t>
      </w:r>
      <w:r w:rsidR="009F5097" w:rsidRPr="00953692">
        <w:rPr>
          <w:sz w:val="24"/>
          <w:szCs w:val="24"/>
          <w:lang w:val="fr-FR"/>
        </w:rPr>
        <w:t xml:space="preserve"> Chambre</w:t>
      </w:r>
      <w:r w:rsidR="004F65E3" w:rsidRPr="00953692">
        <w:rPr>
          <w:sz w:val="24"/>
          <w:szCs w:val="24"/>
          <w:lang w:val="fr-FR"/>
        </w:rPr>
        <w:t xml:space="preserve"> a</w:t>
      </w:r>
      <w:r w:rsidR="009F5097" w:rsidRPr="00953692">
        <w:rPr>
          <w:sz w:val="24"/>
          <w:szCs w:val="24"/>
          <w:lang w:val="fr-FR"/>
        </w:rPr>
        <w:t xml:space="preserve"> fait observer qu’au cours des 408 jours qu’a duré le procès, elle a entendu 242 témoins, reçu près de 1 600 pièces à conviction et rendu approximativement 300 décisions écrites</w:t>
      </w:r>
      <w:r w:rsidR="00A3146F" w:rsidRPr="00953692">
        <w:rPr>
          <w:rStyle w:val="Appelnotedebasdep"/>
          <w:sz w:val="24"/>
          <w:szCs w:val="24"/>
          <w:lang w:val="fr-FR"/>
        </w:rPr>
        <w:footnoteReference w:customMarkFollows="1" w:id="331"/>
        <w:t>306</w:t>
      </w:r>
      <w:r w:rsidR="009F5097" w:rsidRPr="00953692">
        <w:rPr>
          <w:sz w:val="24"/>
          <w:szCs w:val="24"/>
          <w:lang w:val="fr-FR"/>
        </w:rPr>
        <w:t>.</w:t>
      </w:r>
      <w:r w:rsidR="004F65E3" w:rsidRPr="00953692">
        <w:rPr>
          <w:rFonts w:cs="Times New Roman"/>
          <w:sz w:val="24"/>
          <w:szCs w:val="24"/>
          <w:shd w:val="clear" w:color="auto" w:fill="FFFFFF"/>
          <w:lang w:val="fr-FR"/>
        </w:rPr>
        <w:t xml:space="preserve"> Dans l’affaire </w:t>
      </w:r>
      <w:r w:rsidR="004F65E3" w:rsidRPr="00953692">
        <w:rPr>
          <w:sz w:val="24"/>
          <w:szCs w:val="24"/>
          <w:lang w:val="fr-FR"/>
        </w:rPr>
        <w:t>Edouard Karemera et Matthieu Ngirumpatse, la Chambre a argué avoir rendu près de 900 décisions écrites</w:t>
      </w:r>
      <w:r w:rsidR="00A3146F" w:rsidRPr="00953692">
        <w:rPr>
          <w:rStyle w:val="Appelnotedebasdep"/>
          <w:sz w:val="24"/>
          <w:szCs w:val="24"/>
          <w:lang w:val="fr-FR"/>
        </w:rPr>
        <w:footnoteReference w:customMarkFollows="1" w:id="332"/>
        <w:t>307</w:t>
      </w:r>
      <w:r w:rsidR="004F65E3" w:rsidRPr="00953692">
        <w:rPr>
          <w:sz w:val="24"/>
          <w:szCs w:val="24"/>
          <w:lang w:val="fr-FR"/>
        </w:rPr>
        <w:t>.</w:t>
      </w:r>
    </w:p>
    <w:p w14:paraId="26601545" w14:textId="6C3B460C" w:rsidR="00432050" w:rsidRPr="00953692" w:rsidRDefault="003F2222" w:rsidP="00864BBF">
      <w:pPr>
        <w:spacing w:after="0" w:line="276" w:lineRule="auto"/>
        <w:ind w:firstLine="1134"/>
        <w:jc w:val="both"/>
        <w:rPr>
          <w:sz w:val="24"/>
          <w:szCs w:val="24"/>
          <w:lang w:val="fr-FR"/>
        </w:rPr>
      </w:pPr>
      <w:r w:rsidRPr="00953692">
        <w:rPr>
          <w:b/>
          <w:bCs/>
          <w:sz w:val="24"/>
          <w:szCs w:val="24"/>
          <w:lang w:val="fr-FR"/>
        </w:rPr>
        <w:t>428</w:t>
      </w:r>
      <w:r w:rsidR="004F76AD" w:rsidRPr="00953692">
        <w:rPr>
          <w:b/>
          <w:bCs/>
          <w:sz w:val="24"/>
          <w:szCs w:val="24"/>
          <w:lang w:val="fr-FR"/>
        </w:rPr>
        <w:t>.</w:t>
      </w:r>
      <w:r w:rsidR="004F76AD" w:rsidRPr="00953692">
        <w:rPr>
          <w:sz w:val="24"/>
          <w:szCs w:val="24"/>
          <w:lang w:val="fr-FR"/>
        </w:rPr>
        <w:t xml:space="preserve"> </w:t>
      </w:r>
      <w:r w:rsidR="00C526C0" w:rsidRPr="00953692">
        <w:rPr>
          <w:sz w:val="24"/>
          <w:szCs w:val="24"/>
          <w:lang w:val="fr-FR"/>
        </w:rPr>
        <w:t xml:space="preserve">S’il est indéniable que ces requêtes de l’accusé </w:t>
      </w:r>
      <w:r w:rsidR="004F76AD" w:rsidRPr="00953692">
        <w:rPr>
          <w:sz w:val="24"/>
          <w:szCs w:val="24"/>
          <w:lang w:val="fr-FR"/>
        </w:rPr>
        <w:t>constituent</w:t>
      </w:r>
      <w:r w:rsidR="00C526C0" w:rsidRPr="00953692">
        <w:rPr>
          <w:sz w:val="24"/>
          <w:szCs w:val="24"/>
          <w:lang w:val="fr-FR"/>
        </w:rPr>
        <w:t xml:space="preserve"> un facteur de prolongement de la durée du procès, il convien</w:t>
      </w:r>
      <w:r w:rsidR="004F76AD" w:rsidRPr="00953692">
        <w:rPr>
          <w:sz w:val="24"/>
          <w:szCs w:val="24"/>
          <w:lang w:val="fr-FR"/>
        </w:rPr>
        <w:t>drait</w:t>
      </w:r>
      <w:r w:rsidR="00C526C0" w:rsidRPr="00953692">
        <w:rPr>
          <w:sz w:val="24"/>
          <w:szCs w:val="24"/>
          <w:lang w:val="fr-FR"/>
        </w:rPr>
        <w:t xml:space="preserve"> finalement de préciser que, même en cas d’une multiplicité, </w:t>
      </w:r>
      <w:r w:rsidR="004F76AD" w:rsidRPr="00953692">
        <w:rPr>
          <w:sz w:val="24"/>
          <w:szCs w:val="24"/>
          <w:lang w:val="fr-FR"/>
        </w:rPr>
        <w:t>l’accusé</w:t>
      </w:r>
      <w:r w:rsidR="00C526C0" w:rsidRPr="00953692">
        <w:rPr>
          <w:sz w:val="24"/>
          <w:szCs w:val="24"/>
          <w:lang w:val="fr-FR"/>
        </w:rPr>
        <w:t xml:space="preserve"> conserve bien son droit de former un recours</w:t>
      </w:r>
      <w:r w:rsidR="00BB3EEE" w:rsidRPr="00953692">
        <w:rPr>
          <w:sz w:val="24"/>
          <w:szCs w:val="24"/>
          <w:lang w:val="fr-FR"/>
        </w:rPr>
        <w:t xml:space="preserve"> </w:t>
      </w:r>
      <w:r w:rsidR="004C67B2" w:rsidRPr="00953692">
        <w:rPr>
          <w:sz w:val="24"/>
          <w:szCs w:val="24"/>
          <w:lang w:val="fr-FR"/>
        </w:rPr>
        <w:t>aussi longtemps que</w:t>
      </w:r>
      <w:r w:rsidR="00BB3EEE" w:rsidRPr="00953692">
        <w:rPr>
          <w:sz w:val="24"/>
          <w:szCs w:val="24"/>
          <w:lang w:val="fr-FR"/>
        </w:rPr>
        <w:t xml:space="preserve"> </w:t>
      </w:r>
      <w:r w:rsidR="004F76AD" w:rsidRPr="00953692">
        <w:rPr>
          <w:sz w:val="24"/>
          <w:szCs w:val="24"/>
          <w:lang w:val="fr-FR"/>
        </w:rPr>
        <w:t>ceci</w:t>
      </w:r>
      <w:r w:rsidR="00BB3EEE" w:rsidRPr="00953692">
        <w:rPr>
          <w:sz w:val="24"/>
          <w:szCs w:val="24"/>
          <w:lang w:val="fr-FR"/>
        </w:rPr>
        <w:t xml:space="preserve"> </w:t>
      </w:r>
      <w:r w:rsidR="004C67B2" w:rsidRPr="00953692">
        <w:rPr>
          <w:sz w:val="24"/>
          <w:szCs w:val="24"/>
          <w:lang w:val="fr-FR"/>
        </w:rPr>
        <w:t>resterait</w:t>
      </w:r>
      <w:r w:rsidR="00BB3EEE" w:rsidRPr="00953692">
        <w:rPr>
          <w:sz w:val="24"/>
          <w:szCs w:val="24"/>
          <w:lang w:val="fr-FR"/>
        </w:rPr>
        <w:t xml:space="preserve"> pertinent</w:t>
      </w:r>
      <w:r w:rsidR="00D01D0E" w:rsidRPr="00953692">
        <w:rPr>
          <w:sz w:val="24"/>
          <w:szCs w:val="24"/>
          <w:lang w:val="fr-FR"/>
        </w:rPr>
        <w:t xml:space="preserve"> (admissibilité)</w:t>
      </w:r>
      <w:r w:rsidR="00C526C0" w:rsidRPr="00953692">
        <w:rPr>
          <w:sz w:val="24"/>
          <w:szCs w:val="24"/>
          <w:lang w:val="fr-FR"/>
        </w:rPr>
        <w:t>.</w:t>
      </w:r>
      <w:r w:rsidR="00BB3EEE" w:rsidRPr="00953692">
        <w:rPr>
          <w:sz w:val="24"/>
          <w:szCs w:val="24"/>
          <w:lang w:val="fr-FR"/>
        </w:rPr>
        <w:t xml:space="preserve"> La conflictualité qui en résulte </w:t>
      </w:r>
      <w:r w:rsidR="00812F92" w:rsidRPr="00953692">
        <w:rPr>
          <w:sz w:val="24"/>
          <w:szCs w:val="24"/>
          <w:lang w:val="fr-FR"/>
        </w:rPr>
        <w:t xml:space="preserve">face à son droit d’être jugé sans retard excessif n’est qu’une conséquence </w:t>
      </w:r>
      <w:r w:rsidR="00E25560" w:rsidRPr="00953692">
        <w:rPr>
          <w:sz w:val="24"/>
          <w:szCs w:val="24"/>
          <w:lang w:val="fr-FR"/>
        </w:rPr>
        <w:t>qu’</w:t>
      </w:r>
      <w:r w:rsidR="00812F92" w:rsidRPr="00953692">
        <w:rPr>
          <w:sz w:val="24"/>
          <w:szCs w:val="24"/>
          <w:lang w:val="fr-FR"/>
        </w:rPr>
        <w:t xml:space="preserve">il est tenu </w:t>
      </w:r>
      <w:r w:rsidR="00812F92" w:rsidRPr="00953692">
        <w:rPr>
          <w:sz w:val="24"/>
          <w:szCs w:val="24"/>
          <w:lang w:val="fr-FR"/>
        </w:rPr>
        <w:lastRenderedPageBreak/>
        <w:t xml:space="preserve">d’assumer. </w:t>
      </w:r>
      <w:r w:rsidR="004F76AD" w:rsidRPr="00953692">
        <w:rPr>
          <w:sz w:val="24"/>
          <w:szCs w:val="24"/>
          <w:lang w:val="fr-FR"/>
        </w:rPr>
        <w:t xml:space="preserve">C’est-à-dire, le temps que le traitement d’une requête (ou plusieurs </w:t>
      </w:r>
      <w:r w:rsidR="00416249" w:rsidRPr="00953692">
        <w:rPr>
          <w:sz w:val="24"/>
          <w:szCs w:val="24"/>
          <w:lang w:val="fr-FR"/>
        </w:rPr>
        <w:t>requêtes</w:t>
      </w:r>
      <w:r w:rsidR="004F76AD" w:rsidRPr="00953692">
        <w:rPr>
          <w:sz w:val="24"/>
          <w:szCs w:val="24"/>
          <w:lang w:val="fr-FR"/>
        </w:rPr>
        <w:t>)</w:t>
      </w:r>
      <w:r w:rsidR="00416249" w:rsidRPr="00953692">
        <w:rPr>
          <w:sz w:val="24"/>
          <w:szCs w:val="24"/>
          <w:lang w:val="fr-FR"/>
        </w:rPr>
        <w:t xml:space="preserve"> ajoute à la durée globale du procès n’est qu’une conséquence logique </w:t>
      </w:r>
      <w:r w:rsidR="003B7AAC" w:rsidRPr="00953692">
        <w:rPr>
          <w:sz w:val="24"/>
          <w:szCs w:val="24"/>
          <w:lang w:val="fr-FR"/>
        </w:rPr>
        <w:t>de</w:t>
      </w:r>
      <w:r w:rsidR="004C67B2" w:rsidRPr="00953692">
        <w:rPr>
          <w:sz w:val="24"/>
          <w:szCs w:val="24"/>
          <w:lang w:val="fr-FR"/>
        </w:rPr>
        <w:t xml:space="preserve"> ses</w:t>
      </w:r>
      <w:r w:rsidR="003B7AAC" w:rsidRPr="00953692">
        <w:rPr>
          <w:sz w:val="24"/>
          <w:szCs w:val="24"/>
          <w:lang w:val="fr-FR"/>
        </w:rPr>
        <w:t xml:space="preserve"> actions</w:t>
      </w:r>
      <w:r w:rsidR="004C67B2" w:rsidRPr="00953692">
        <w:rPr>
          <w:sz w:val="24"/>
          <w:szCs w:val="24"/>
          <w:lang w:val="fr-FR"/>
        </w:rPr>
        <w:t>, dont il peut s’en passer au cours du procès. Ces actions ne s’imposent pas à lui, c’est son choix. L’accusé décide seul de saisir le juge d’une demande incidente et</w:t>
      </w:r>
      <w:r w:rsidR="00B20A26" w:rsidRPr="00953692">
        <w:rPr>
          <w:sz w:val="24"/>
          <w:szCs w:val="24"/>
          <w:lang w:val="fr-FR"/>
        </w:rPr>
        <w:t>,</w:t>
      </w:r>
      <w:r w:rsidR="004C67B2" w:rsidRPr="00953692">
        <w:rPr>
          <w:sz w:val="24"/>
          <w:szCs w:val="24"/>
          <w:lang w:val="fr-FR"/>
        </w:rPr>
        <w:t xml:space="preserve"> le cas échéant, de former un recours incident. On ne peut ignorer que</w:t>
      </w:r>
      <w:r w:rsidR="00997577" w:rsidRPr="00953692">
        <w:rPr>
          <w:sz w:val="24"/>
          <w:szCs w:val="24"/>
          <w:lang w:val="fr-FR"/>
        </w:rPr>
        <w:t>,</w:t>
      </w:r>
      <w:r w:rsidR="004C67B2" w:rsidRPr="00953692">
        <w:rPr>
          <w:sz w:val="24"/>
          <w:szCs w:val="24"/>
          <w:lang w:val="fr-FR"/>
        </w:rPr>
        <w:t xml:space="preserve"> par moments, ce choix peut lui </w:t>
      </w:r>
      <w:r w:rsidR="00FC7DBF" w:rsidRPr="00953692">
        <w:rPr>
          <w:sz w:val="24"/>
          <w:szCs w:val="24"/>
          <w:lang w:val="fr-FR"/>
        </w:rPr>
        <w:t>être</w:t>
      </w:r>
      <w:r w:rsidR="00C400E2" w:rsidRPr="00953692">
        <w:rPr>
          <w:sz w:val="24"/>
          <w:szCs w:val="24"/>
          <w:lang w:val="fr-FR"/>
        </w:rPr>
        <w:t xml:space="preserve"> forcé par les actions ou attitudes du procureur ou des victimes admises à participer au procès.</w:t>
      </w:r>
    </w:p>
    <w:p w14:paraId="7B57707F" w14:textId="7B736A84" w:rsidR="00416249" w:rsidRPr="00953692" w:rsidRDefault="003F2222" w:rsidP="00864BBF">
      <w:pPr>
        <w:spacing w:after="0" w:line="276" w:lineRule="auto"/>
        <w:ind w:firstLine="1134"/>
        <w:jc w:val="both"/>
        <w:rPr>
          <w:sz w:val="24"/>
          <w:szCs w:val="24"/>
          <w:lang w:val="fr-FR"/>
        </w:rPr>
      </w:pPr>
      <w:r w:rsidRPr="00953692">
        <w:rPr>
          <w:b/>
          <w:bCs/>
          <w:sz w:val="24"/>
          <w:szCs w:val="24"/>
          <w:lang w:val="fr-FR"/>
        </w:rPr>
        <w:t>429</w:t>
      </w:r>
      <w:r w:rsidR="00997577" w:rsidRPr="00953692">
        <w:rPr>
          <w:b/>
          <w:bCs/>
          <w:sz w:val="24"/>
          <w:szCs w:val="24"/>
          <w:lang w:val="fr-FR"/>
        </w:rPr>
        <w:t>.</w:t>
      </w:r>
      <w:r w:rsidR="00997577" w:rsidRPr="00953692">
        <w:rPr>
          <w:sz w:val="24"/>
          <w:szCs w:val="24"/>
          <w:lang w:val="fr-FR"/>
        </w:rPr>
        <w:t xml:space="preserve"> </w:t>
      </w:r>
      <w:r w:rsidR="00C400E2" w:rsidRPr="00953692">
        <w:rPr>
          <w:sz w:val="24"/>
          <w:szCs w:val="24"/>
          <w:lang w:val="fr-FR"/>
        </w:rPr>
        <w:t xml:space="preserve">Il s’agit, par exemple, d’une requête du procureur en modification de l’acte d’accusation. Dans la plupart des cas, l’accusé s’y oppose dans ses conclusions, arguant que cela impliquerait des temps supplémentaires à la préparation de sa défense. Au cas où la Chambre de première instance ferait droit à une telle requête, l’accusé n’hésite pas </w:t>
      </w:r>
      <w:r w:rsidR="000552BC" w:rsidRPr="00953692">
        <w:rPr>
          <w:sz w:val="24"/>
          <w:szCs w:val="24"/>
          <w:lang w:val="fr-FR"/>
        </w:rPr>
        <w:t>de</w:t>
      </w:r>
      <w:r w:rsidR="00C400E2" w:rsidRPr="00953692">
        <w:rPr>
          <w:sz w:val="24"/>
          <w:szCs w:val="24"/>
          <w:lang w:val="fr-FR"/>
        </w:rPr>
        <w:t xml:space="preserve"> solliciter une certification d’appel afin d’infirmer la décision du premier juge. On voit ici qu’il </w:t>
      </w:r>
      <w:r w:rsidR="000552BC" w:rsidRPr="00953692">
        <w:rPr>
          <w:sz w:val="24"/>
          <w:szCs w:val="24"/>
          <w:lang w:val="fr-FR"/>
        </w:rPr>
        <w:t>ne serait</w:t>
      </w:r>
      <w:r w:rsidR="00C400E2" w:rsidRPr="00953692">
        <w:rPr>
          <w:sz w:val="24"/>
          <w:szCs w:val="24"/>
          <w:lang w:val="fr-FR"/>
        </w:rPr>
        <w:t xml:space="preserve"> pas personnellement à la base de cette action</w:t>
      </w:r>
      <w:r w:rsidR="00403D35" w:rsidRPr="00953692">
        <w:rPr>
          <w:sz w:val="24"/>
          <w:szCs w:val="24"/>
          <w:lang w:val="fr-FR"/>
        </w:rPr>
        <w:t xml:space="preserve"> (incidente)</w:t>
      </w:r>
      <w:r w:rsidR="00C400E2" w:rsidRPr="00953692">
        <w:rPr>
          <w:sz w:val="24"/>
          <w:szCs w:val="24"/>
          <w:lang w:val="fr-FR"/>
        </w:rPr>
        <w:t>, mais il en subi</w:t>
      </w:r>
      <w:r w:rsidR="000552BC" w:rsidRPr="00953692">
        <w:rPr>
          <w:sz w:val="24"/>
          <w:szCs w:val="24"/>
          <w:lang w:val="fr-FR"/>
        </w:rPr>
        <w:t>ra</w:t>
      </w:r>
      <w:r w:rsidR="00C400E2" w:rsidRPr="00953692">
        <w:rPr>
          <w:sz w:val="24"/>
          <w:szCs w:val="24"/>
          <w:lang w:val="fr-FR"/>
        </w:rPr>
        <w:t>. Ce qui est intéressant, c’est que dans pareil cas, l’accusé met</w:t>
      </w:r>
      <w:r w:rsidR="000552BC" w:rsidRPr="00953692">
        <w:rPr>
          <w:sz w:val="24"/>
          <w:szCs w:val="24"/>
          <w:lang w:val="fr-FR"/>
        </w:rPr>
        <w:t xml:space="preserve"> toujours</w:t>
      </w:r>
      <w:r w:rsidR="00C400E2" w:rsidRPr="00953692">
        <w:rPr>
          <w:sz w:val="24"/>
          <w:szCs w:val="24"/>
          <w:lang w:val="fr-FR"/>
        </w:rPr>
        <w:t xml:space="preserve"> en avant le prolongement de la durée du procès qu</w:t>
      </w:r>
      <w:r w:rsidR="00D01D0E" w:rsidRPr="00953692">
        <w:rPr>
          <w:sz w:val="24"/>
          <w:szCs w:val="24"/>
          <w:lang w:val="fr-FR"/>
        </w:rPr>
        <w:t>e l’acceptation d’</w:t>
      </w:r>
      <w:r w:rsidR="00C400E2" w:rsidRPr="00953692">
        <w:rPr>
          <w:sz w:val="24"/>
          <w:szCs w:val="24"/>
          <w:lang w:val="fr-FR"/>
        </w:rPr>
        <w:t xml:space="preserve">une telle </w:t>
      </w:r>
      <w:r w:rsidR="00A84C0A" w:rsidRPr="00953692">
        <w:rPr>
          <w:sz w:val="24"/>
          <w:szCs w:val="24"/>
          <w:lang w:val="fr-FR"/>
        </w:rPr>
        <w:t>modification implique</w:t>
      </w:r>
      <w:r w:rsidR="00D01D0E" w:rsidRPr="00953692">
        <w:rPr>
          <w:sz w:val="24"/>
          <w:szCs w:val="24"/>
          <w:lang w:val="fr-FR"/>
        </w:rPr>
        <w:t>rait</w:t>
      </w:r>
      <w:r w:rsidR="00A84C0A" w:rsidRPr="00953692">
        <w:rPr>
          <w:sz w:val="24"/>
          <w:szCs w:val="24"/>
          <w:lang w:val="fr-FR"/>
        </w:rPr>
        <w:t xml:space="preserve">. Nous avons vu ci-haut certains accusés </w:t>
      </w:r>
      <w:r w:rsidR="000552BC" w:rsidRPr="00953692">
        <w:rPr>
          <w:sz w:val="24"/>
          <w:szCs w:val="24"/>
          <w:lang w:val="fr-FR"/>
        </w:rPr>
        <w:t>alléguer</w:t>
      </w:r>
      <w:r w:rsidR="00A84C0A" w:rsidRPr="00953692">
        <w:rPr>
          <w:sz w:val="24"/>
          <w:szCs w:val="24"/>
          <w:lang w:val="fr-FR"/>
        </w:rPr>
        <w:t xml:space="preserve"> dans cet ordre d’idée que, leur droit d’être jugé sans retard excessif serait menacé par une telle modification.</w:t>
      </w:r>
      <w:r w:rsidR="00F53F34" w:rsidRPr="00953692">
        <w:rPr>
          <w:sz w:val="24"/>
          <w:szCs w:val="24"/>
          <w:lang w:val="fr-FR"/>
        </w:rPr>
        <w:t xml:space="preserve"> </w:t>
      </w:r>
      <w:r w:rsidR="000552BC" w:rsidRPr="00953692">
        <w:rPr>
          <w:sz w:val="24"/>
          <w:szCs w:val="24"/>
          <w:lang w:val="fr-FR"/>
        </w:rPr>
        <w:t xml:space="preserve">Une crainte légitime qui retient d’ailleurs l’attention particulière du juge appelé à autoriser la modification. </w:t>
      </w:r>
      <w:r w:rsidR="00F53F34" w:rsidRPr="00953692">
        <w:rPr>
          <w:sz w:val="24"/>
          <w:szCs w:val="24"/>
          <w:lang w:val="fr-FR"/>
        </w:rPr>
        <w:t xml:space="preserve">Il en est également du manquement du procureur </w:t>
      </w:r>
      <w:r w:rsidR="00403D35" w:rsidRPr="00953692">
        <w:rPr>
          <w:sz w:val="24"/>
          <w:szCs w:val="24"/>
          <w:lang w:val="fr-FR"/>
        </w:rPr>
        <w:t>à</w:t>
      </w:r>
      <w:r w:rsidR="00F53F34" w:rsidRPr="00953692">
        <w:rPr>
          <w:sz w:val="24"/>
          <w:szCs w:val="24"/>
          <w:lang w:val="fr-FR"/>
        </w:rPr>
        <w:t xml:space="preserve"> l’obligation de communiquer qui ne peut laisser l’accusé</w:t>
      </w:r>
      <w:r w:rsidR="000552BC" w:rsidRPr="00953692">
        <w:rPr>
          <w:sz w:val="24"/>
          <w:szCs w:val="24"/>
          <w:lang w:val="fr-FR"/>
        </w:rPr>
        <w:t xml:space="preserve"> et le juge</w:t>
      </w:r>
      <w:r w:rsidR="00F53F34" w:rsidRPr="00953692">
        <w:rPr>
          <w:sz w:val="24"/>
          <w:szCs w:val="24"/>
          <w:lang w:val="fr-FR"/>
        </w:rPr>
        <w:t xml:space="preserve"> indifférent</w:t>
      </w:r>
      <w:r w:rsidR="000552BC" w:rsidRPr="00953692">
        <w:rPr>
          <w:sz w:val="24"/>
          <w:szCs w:val="24"/>
          <w:lang w:val="fr-FR"/>
        </w:rPr>
        <w:t>s</w:t>
      </w:r>
      <w:r w:rsidR="00F53F34" w:rsidRPr="00953692">
        <w:rPr>
          <w:sz w:val="24"/>
          <w:szCs w:val="24"/>
          <w:lang w:val="fr-FR"/>
        </w:rPr>
        <w:t xml:space="preserve"> d’autant plus que l’issu</w:t>
      </w:r>
      <w:r w:rsidR="001B74F4" w:rsidRPr="00953692">
        <w:rPr>
          <w:sz w:val="24"/>
          <w:szCs w:val="24"/>
          <w:lang w:val="fr-FR"/>
        </w:rPr>
        <w:t>e</w:t>
      </w:r>
      <w:r w:rsidR="00F53F34" w:rsidRPr="00953692">
        <w:rPr>
          <w:sz w:val="24"/>
          <w:szCs w:val="24"/>
          <w:lang w:val="fr-FR"/>
        </w:rPr>
        <w:t xml:space="preserve"> d</w:t>
      </w:r>
      <w:r w:rsidR="000552BC" w:rsidRPr="00953692">
        <w:rPr>
          <w:sz w:val="24"/>
          <w:szCs w:val="24"/>
          <w:lang w:val="fr-FR"/>
        </w:rPr>
        <w:t>u</w:t>
      </w:r>
      <w:r w:rsidR="00F53F34" w:rsidRPr="00953692">
        <w:rPr>
          <w:sz w:val="24"/>
          <w:szCs w:val="24"/>
          <w:lang w:val="fr-FR"/>
        </w:rPr>
        <w:t xml:space="preserve"> procès pourrait </w:t>
      </w:r>
      <w:r w:rsidR="00D01D0E" w:rsidRPr="00953692">
        <w:rPr>
          <w:sz w:val="24"/>
          <w:szCs w:val="24"/>
          <w:lang w:val="fr-FR"/>
        </w:rPr>
        <w:t xml:space="preserve">largement </w:t>
      </w:r>
      <w:r w:rsidR="00F53F34" w:rsidRPr="00953692">
        <w:rPr>
          <w:sz w:val="24"/>
          <w:szCs w:val="24"/>
          <w:lang w:val="fr-FR"/>
        </w:rPr>
        <w:t xml:space="preserve">en dépendre. </w:t>
      </w:r>
    </w:p>
    <w:p w14:paraId="4176296C" w14:textId="15FC3C82" w:rsidR="00663287" w:rsidRPr="00953692" w:rsidRDefault="004F76AD" w:rsidP="00864BBF">
      <w:pPr>
        <w:spacing w:line="276" w:lineRule="auto"/>
        <w:ind w:firstLine="1134"/>
        <w:jc w:val="both"/>
        <w:rPr>
          <w:sz w:val="24"/>
          <w:szCs w:val="24"/>
          <w:lang w:val="fr-FR"/>
        </w:rPr>
      </w:pPr>
      <w:r w:rsidRPr="00953692">
        <w:rPr>
          <w:b/>
          <w:bCs/>
          <w:sz w:val="24"/>
          <w:szCs w:val="24"/>
          <w:lang w:val="fr-FR"/>
        </w:rPr>
        <w:t xml:space="preserve"> </w:t>
      </w:r>
      <w:r w:rsidR="003F2222" w:rsidRPr="00953692">
        <w:rPr>
          <w:b/>
          <w:bCs/>
          <w:sz w:val="24"/>
          <w:szCs w:val="24"/>
          <w:lang w:val="fr-FR"/>
        </w:rPr>
        <w:t>430</w:t>
      </w:r>
      <w:r w:rsidR="00733BCF" w:rsidRPr="00953692">
        <w:rPr>
          <w:b/>
          <w:bCs/>
          <w:sz w:val="24"/>
          <w:szCs w:val="24"/>
          <w:lang w:val="fr-FR"/>
        </w:rPr>
        <w:t>.</w:t>
      </w:r>
      <w:r w:rsidR="00733BCF" w:rsidRPr="00953692">
        <w:rPr>
          <w:sz w:val="24"/>
          <w:szCs w:val="24"/>
          <w:lang w:val="fr-FR"/>
        </w:rPr>
        <w:t xml:space="preserve"> </w:t>
      </w:r>
      <w:r w:rsidR="009B356D" w:rsidRPr="00953692">
        <w:rPr>
          <w:sz w:val="24"/>
          <w:szCs w:val="24"/>
          <w:lang w:val="fr-FR"/>
        </w:rPr>
        <w:t>Il sied de retenir</w:t>
      </w:r>
      <w:r w:rsidR="00E21284" w:rsidRPr="00953692">
        <w:rPr>
          <w:sz w:val="24"/>
          <w:szCs w:val="24"/>
          <w:lang w:val="fr-FR"/>
        </w:rPr>
        <w:t xml:space="preserve"> finalement</w:t>
      </w:r>
      <w:r w:rsidR="009B356D" w:rsidRPr="00953692">
        <w:rPr>
          <w:sz w:val="24"/>
          <w:szCs w:val="24"/>
          <w:lang w:val="fr-FR"/>
        </w:rPr>
        <w:t xml:space="preserve"> que, l’admissibilité des requêtes se justifie par la factualité de celles-ci. Tout fait survenu au cours d’une audience (instance) nécessite une résolution</w:t>
      </w:r>
      <w:r w:rsidR="00B51ACF" w:rsidRPr="00953692">
        <w:rPr>
          <w:sz w:val="24"/>
          <w:szCs w:val="24"/>
          <w:lang w:val="fr-FR"/>
        </w:rPr>
        <w:t xml:space="preserve"> afin de décongestionner l’affaire. L’hypothèse d’une conflictualité est envisageable que dans le cas d’</w:t>
      </w:r>
      <w:r w:rsidR="00812F92" w:rsidRPr="00953692">
        <w:rPr>
          <w:sz w:val="24"/>
          <w:szCs w:val="24"/>
          <w:lang w:val="fr-FR"/>
        </w:rPr>
        <w:t>une multiplicité des requêtes</w:t>
      </w:r>
      <w:r w:rsidR="00B51ACF" w:rsidRPr="00953692">
        <w:rPr>
          <w:sz w:val="24"/>
          <w:szCs w:val="24"/>
          <w:lang w:val="fr-FR"/>
        </w:rPr>
        <w:t xml:space="preserve">, voire une seule requête dont la résolution n’a pas été rapide </w:t>
      </w:r>
      <w:r w:rsidR="001D5546" w:rsidRPr="00953692">
        <w:rPr>
          <w:sz w:val="24"/>
          <w:szCs w:val="24"/>
          <w:lang w:val="fr-FR"/>
        </w:rPr>
        <w:t>ou qui a provoqué une suspension d’instance pendant une période plus ou moins longue. Les juridictions pénales internationales</w:t>
      </w:r>
      <w:r w:rsidR="0002734E" w:rsidRPr="00953692">
        <w:rPr>
          <w:sz w:val="24"/>
          <w:szCs w:val="24"/>
          <w:lang w:val="fr-FR"/>
        </w:rPr>
        <w:t xml:space="preserve">, aux ressources et temps limités, </w:t>
      </w:r>
      <w:r w:rsidR="006F0851" w:rsidRPr="00953692">
        <w:rPr>
          <w:sz w:val="24"/>
          <w:szCs w:val="24"/>
          <w:lang w:val="fr-FR"/>
        </w:rPr>
        <w:t xml:space="preserve">restent attentives à la question de la pertinence de ces requêtes afin d’éviter toute augmentation </w:t>
      </w:r>
      <w:r w:rsidR="0002734E" w:rsidRPr="00953692">
        <w:rPr>
          <w:sz w:val="24"/>
          <w:szCs w:val="24"/>
          <w:lang w:val="fr-FR"/>
        </w:rPr>
        <w:t>inutile d</w:t>
      </w:r>
      <w:r w:rsidR="00E21284" w:rsidRPr="00953692">
        <w:rPr>
          <w:sz w:val="24"/>
          <w:szCs w:val="24"/>
          <w:lang w:val="fr-FR"/>
        </w:rPr>
        <w:t>e leur</w:t>
      </w:r>
      <w:r w:rsidR="0002734E" w:rsidRPr="00953692">
        <w:rPr>
          <w:sz w:val="24"/>
          <w:szCs w:val="24"/>
          <w:lang w:val="fr-FR"/>
        </w:rPr>
        <w:t xml:space="preserve"> temps de travail. Nous verrons dans les lignes qui suivent que</w:t>
      </w:r>
      <w:r w:rsidR="00B16AB7" w:rsidRPr="00953692">
        <w:rPr>
          <w:sz w:val="24"/>
          <w:szCs w:val="24"/>
          <w:lang w:val="fr-FR"/>
        </w:rPr>
        <w:t>,</w:t>
      </w:r>
      <w:r w:rsidR="007E5D61" w:rsidRPr="00953692">
        <w:rPr>
          <w:sz w:val="24"/>
          <w:szCs w:val="24"/>
          <w:lang w:val="fr-FR"/>
        </w:rPr>
        <w:t xml:space="preserve"> ce qui devait être considéré </w:t>
      </w:r>
      <w:r w:rsidR="007E5D61" w:rsidRPr="00953692">
        <w:rPr>
          <w:i/>
          <w:iCs/>
          <w:sz w:val="24"/>
          <w:szCs w:val="24"/>
          <w:lang w:val="fr-FR"/>
        </w:rPr>
        <w:t>apriori</w:t>
      </w:r>
      <w:r w:rsidR="007E5D61" w:rsidRPr="00953692">
        <w:rPr>
          <w:sz w:val="24"/>
          <w:szCs w:val="24"/>
          <w:lang w:val="fr-FR"/>
        </w:rPr>
        <w:t xml:space="preserve"> comme un droit</w:t>
      </w:r>
      <w:r w:rsidR="00B16AB7" w:rsidRPr="00953692">
        <w:rPr>
          <w:sz w:val="24"/>
          <w:szCs w:val="24"/>
          <w:lang w:val="fr-FR"/>
        </w:rPr>
        <w:t xml:space="preserve"> </w:t>
      </w:r>
      <w:r w:rsidR="0002734E" w:rsidRPr="00953692">
        <w:rPr>
          <w:sz w:val="24"/>
          <w:szCs w:val="24"/>
          <w:lang w:val="fr-FR"/>
        </w:rPr>
        <w:t>dont la mise en œuvre est laissée à l’appréciation</w:t>
      </w:r>
      <w:r w:rsidR="00E21284" w:rsidRPr="00953692">
        <w:rPr>
          <w:sz w:val="24"/>
          <w:szCs w:val="24"/>
          <w:lang w:val="fr-FR"/>
        </w:rPr>
        <w:t xml:space="preserve"> exclusive</w:t>
      </w:r>
      <w:r w:rsidR="0002734E" w:rsidRPr="00953692">
        <w:rPr>
          <w:sz w:val="24"/>
          <w:szCs w:val="24"/>
          <w:lang w:val="fr-FR"/>
        </w:rPr>
        <w:t xml:space="preserve"> </w:t>
      </w:r>
      <w:r w:rsidR="00B16AB7" w:rsidRPr="00953692">
        <w:rPr>
          <w:sz w:val="24"/>
          <w:szCs w:val="24"/>
          <w:lang w:val="fr-FR"/>
        </w:rPr>
        <w:t>de l’accusé</w:t>
      </w:r>
      <w:r w:rsidR="0002734E" w:rsidRPr="00953692">
        <w:rPr>
          <w:sz w:val="24"/>
          <w:szCs w:val="24"/>
          <w:lang w:val="fr-FR"/>
        </w:rPr>
        <w:t xml:space="preserve"> (ou des parties)</w:t>
      </w:r>
      <w:r w:rsidR="00B16AB7" w:rsidRPr="00953692">
        <w:rPr>
          <w:sz w:val="24"/>
          <w:szCs w:val="24"/>
          <w:lang w:val="fr-FR"/>
        </w:rPr>
        <w:t>,</w:t>
      </w:r>
      <w:r w:rsidR="007E5D61" w:rsidRPr="00953692">
        <w:rPr>
          <w:sz w:val="24"/>
          <w:szCs w:val="24"/>
          <w:lang w:val="fr-FR"/>
        </w:rPr>
        <w:t xml:space="preserve"> pourrait se révéler </w:t>
      </w:r>
      <w:r w:rsidR="007E5D61" w:rsidRPr="00953692">
        <w:rPr>
          <w:i/>
          <w:iCs/>
          <w:sz w:val="24"/>
          <w:szCs w:val="24"/>
          <w:lang w:val="fr-FR"/>
        </w:rPr>
        <w:t>apostériori</w:t>
      </w:r>
      <w:r w:rsidR="007E5D61" w:rsidRPr="00953692">
        <w:rPr>
          <w:sz w:val="24"/>
          <w:szCs w:val="24"/>
          <w:lang w:val="fr-FR"/>
        </w:rPr>
        <w:t xml:space="preserve"> plutôt comme un abus de procédure que les juges s</w:t>
      </w:r>
      <w:r w:rsidR="0002734E" w:rsidRPr="00953692">
        <w:rPr>
          <w:sz w:val="24"/>
          <w:szCs w:val="24"/>
          <w:lang w:val="fr-FR"/>
        </w:rPr>
        <w:t>eront</w:t>
      </w:r>
      <w:r w:rsidR="007E5D61" w:rsidRPr="00953692">
        <w:rPr>
          <w:sz w:val="24"/>
          <w:szCs w:val="24"/>
          <w:lang w:val="fr-FR"/>
        </w:rPr>
        <w:t xml:space="preserve"> appelés à sanctionner.</w:t>
      </w:r>
    </w:p>
    <w:p w14:paraId="7EAF2D0B" w14:textId="60D8C38B" w:rsidR="00663287" w:rsidRPr="00953692" w:rsidRDefault="007E5D61" w:rsidP="00E257B2">
      <w:pPr>
        <w:pStyle w:val="Paragraphedeliste"/>
        <w:numPr>
          <w:ilvl w:val="0"/>
          <w:numId w:val="9"/>
        </w:numPr>
        <w:spacing w:before="240" w:line="276" w:lineRule="auto"/>
        <w:jc w:val="both"/>
        <w:outlineLvl w:val="2"/>
        <w:rPr>
          <w:bCs/>
          <w:i/>
          <w:iCs/>
          <w:sz w:val="24"/>
          <w:szCs w:val="24"/>
          <w:lang w:val="fr-FR"/>
        </w:rPr>
      </w:pPr>
      <w:bookmarkStart w:id="93" w:name="_Toc195179446"/>
      <w:r w:rsidRPr="00953692">
        <w:rPr>
          <w:bCs/>
          <w:i/>
          <w:iCs/>
          <w:sz w:val="24"/>
          <w:szCs w:val="24"/>
          <w:lang w:val="fr-FR"/>
        </w:rPr>
        <w:t>Abus de procédure résultant du droit de l’accusé de former un recours incident, sanction d’une action dilatoire</w:t>
      </w:r>
      <w:bookmarkEnd w:id="93"/>
    </w:p>
    <w:p w14:paraId="4689B28F" w14:textId="2E83EFDF" w:rsidR="00D0577F" w:rsidRPr="00953692" w:rsidRDefault="003F222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431</w:t>
      </w:r>
      <w:r w:rsidR="00E92B80" w:rsidRPr="00953692">
        <w:rPr>
          <w:rFonts w:cs="Times New Roman"/>
          <w:b/>
          <w:bCs/>
          <w:sz w:val="24"/>
          <w:szCs w:val="24"/>
          <w:lang w:val="fr-FR"/>
        </w:rPr>
        <w:t>.</w:t>
      </w:r>
      <w:r w:rsidR="00E92B80" w:rsidRPr="00953692">
        <w:rPr>
          <w:rFonts w:cs="Times New Roman"/>
          <w:sz w:val="24"/>
          <w:szCs w:val="24"/>
          <w:lang w:val="fr-FR"/>
        </w:rPr>
        <w:t xml:space="preserve"> </w:t>
      </w:r>
      <w:r w:rsidR="00065AAD" w:rsidRPr="00953692">
        <w:rPr>
          <w:rFonts w:cs="Times New Roman"/>
          <w:sz w:val="24"/>
          <w:szCs w:val="24"/>
          <w:lang w:val="fr-FR"/>
        </w:rPr>
        <w:t xml:space="preserve">Si l’accusé a le droit et la liberté d’introduire n’importe quelle requête aux fins d’une décision ou d’une réparation, </w:t>
      </w:r>
      <w:r w:rsidR="00824C50" w:rsidRPr="00953692">
        <w:rPr>
          <w:rFonts w:cs="Times New Roman"/>
          <w:sz w:val="24"/>
          <w:szCs w:val="24"/>
          <w:lang w:val="fr-FR"/>
        </w:rPr>
        <w:t xml:space="preserve">il devra veiller à la pertinence de son action. </w:t>
      </w:r>
      <w:r w:rsidR="0092022F" w:rsidRPr="00953692">
        <w:rPr>
          <w:rFonts w:cs="Times New Roman"/>
          <w:sz w:val="24"/>
          <w:szCs w:val="24"/>
          <w:lang w:val="fr-FR"/>
        </w:rPr>
        <w:t xml:space="preserve">Le statut de Rome le précise bien que </w:t>
      </w:r>
      <w:r w:rsidR="0092022F" w:rsidRPr="00953692">
        <w:rPr>
          <w:rFonts w:cs="Times New Roman"/>
          <w:i/>
          <w:iCs/>
          <w:sz w:val="24"/>
          <w:szCs w:val="24"/>
          <w:lang w:val="fr-FR"/>
        </w:rPr>
        <w:t xml:space="preserve">la Chambre de première instance statue sur toute </w:t>
      </w:r>
      <w:r w:rsidR="0092022F" w:rsidRPr="00953692">
        <w:rPr>
          <w:rFonts w:cs="Times New Roman"/>
          <w:i/>
          <w:iCs/>
          <w:sz w:val="24"/>
          <w:szCs w:val="24"/>
          <w:lang w:val="fr-FR"/>
        </w:rPr>
        <w:lastRenderedPageBreak/>
        <w:t>question pertinente</w:t>
      </w:r>
      <w:r w:rsidR="00A3146F" w:rsidRPr="00953692">
        <w:rPr>
          <w:rStyle w:val="Appelnotedebasdep"/>
          <w:rFonts w:cs="Times New Roman"/>
          <w:sz w:val="24"/>
          <w:szCs w:val="24"/>
          <w:lang w:val="fr-FR"/>
        </w:rPr>
        <w:footnoteReference w:customMarkFollows="1" w:id="333"/>
        <w:t>308</w:t>
      </w:r>
      <w:r w:rsidR="0092022F" w:rsidRPr="00953692">
        <w:rPr>
          <w:rFonts w:cs="Times New Roman"/>
          <w:sz w:val="24"/>
          <w:szCs w:val="24"/>
          <w:lang w:val="fr-FR"/>
        </w:rPr>
        <w:t xml:space="preserve">. </w:t>
      </w:r>
      <w:r w:rsidR="00D67D9C" w:rsidRPr="00953692">
        <w:rPr>
          <w:rFonts w:cs="Times New Roman"/>
          <w:sz w:val="24"/>
          <w:szCs w:val="24"/>
          <w:lang w:val="fr-FR"/>
        </w:rPr>
        <w:t xml:space="preserve">La question de pertinence </w:t>
      </w:r>
      <w:r w:rsidR="00322EC7" w:rsidRPr="00953692">
        <w:rPr>
          <w:rFonts w:cs="Times New Roman"/>
          <w:sz w:val="24"/>
          <w:szCs w:val="24"/>
          <w:lang w:val="fr-FR"/>
        </w:rPr>
        <w:t>peut</w:t>
      </w:r>
      <w:r w:rsidR="00B8578F" w:rsidRPr="00953692">
        <w:rPr>
          <w:rFonts w:cs="Times New Roman"/>
          <w:sz w:val="24"/>
          <w:szCs w:val="24"/>
          <w:lang w:val="fr-FR"/>
        </w:rPr>
        <w:t xml:space="preserve"> suffisamment</w:t>
      </w:r>
      <w:r w:rsidR="00322EC7" w:rsidRPr="00953692">
        <w:rPr>
          <w:rFonts w:cs="Times New Roman"/>
          <w:sz w:val="24"/>
          <w:szCs w:val="24"/>
          <w:lang w:val="fr-FR"/>
        </w:rPr>
        <w:t xml:space="preserve"> être envisagé</w:t>
      </w:r>
      <w:r w:rsidR="00E60AF6" w:rsidRPr="00953692">
        <w:rPr>
          <w:rFonts w:cs="Times New Roman"/>
          <w:sz w:val="24"/>
          <w:szCs w:val="24"/>
          <w:lang w:val="fr-FR"/>
        </w:rPr>
        <w:t>e</w:t>
      </w:r>
      <w:r w:rsidR="00B8578F" w:rsidRPr="00953692">
        <w:rPr>
          <w:rFonts w:cs="Times New Roman"/>
          <w:sz w:val="24"/>
          <w:szCs w:val="24"/>
          <w:lang w:val="fr-FR"/>
        </w:rPr>
        <w:t xml:space="preserve"> </w:t>
      </w:r>
      <w:r w:rsidR="00322EC7" w:rsidRPr="00953692">
        <w:rPr>
          <w:rFonts w:cs="Times New Roman"/>
          <w:sz w:val="24"/>
          <w:szCs w:val="24"/>
          <w:lang w:val="fr-FR"/>
        </w:rPr>
        <w:t>dans un cadre beaucoup plus général de la conduite des débats avec</w:t>
      </w:r>
      <w:r w:rsidR="00D0577F" w:rsidRPr="00953692">
        <w:rPr>
          <w:rFonts w:cs="Times New Roman"/>
          <w:sz w:val="24"/>
          <w:szCs w:val="24"/>
          <w:lang w:val="fr-FR"/>
        </w:rPr>
        <w:t xml:space="preserve"> équité et</w:t>
      </w:r>
      <w:r w:rsidR="00322EC7" w:rsidRPr="00953692">
        <w:rPr>
          <w:rFonts w:cs="Times New Roman"/>
          <w:sz w:val="24"/>
          <w:szCs w:val="24"/>
          <w:lang w:val="fr-FR"/>
        </w:rPr>
        <w:t xml:space="preserve"> rapidité. </w:t>
      </w:r>
    </w:p>
    <w:p w14:paraId="34CFFEFC" w14:textId="17301B98" w:rsidR="00D67D9C" w:rsidRPr="00953692" w:rsidRDefault="003F222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432</w:t>
      </w:r>
      <w:r w:rsidR="00D0577F" w:rsidRPr="00953692">
        <w:rPr>
          <w:rFonts w:cs="Times New Roman"/>
          <w:b/>
          <w:bCs/>
          <w:sz w:val="24"/>
          <w:szCs w:val="24"/>
          <w:lang w:val="fr-FR"/>
        </w:rPr>
        <w:t>.</w:t>
      </w:r>
      <w:r w:rsidR="00D0577F" w:rsidRPr="00953692">
        <w:rPr>
          <w:rFonts w:cs="Times New Roman"/>
          <w:sz w:val="24"/>
          <w:szCs w:val="24"/>
          <w:lang w:val="fr-FR"/>
        </w:rPr>
        <w:t xml:space="preserve"> En effet, l</w:t>
      </w:r>
      <w:r w:rsidR="00321CC7" w:rsidRPr="00953692">
        <w:rPr>
          <w:rFonts w:cs="Times New Roman"/>
          <w:sz w:val="24"/>
          <w:szCs w:val="24"/>
          <w:lang w:val="fr-FR"/>
        </w:rPr>
        <w:t xml:space="preserve">es actes constitutifs de ces juridictions confèrent aux juges les pleins pouvoirs d’écarter des débats tout ce qui prolongerait inutilement le procès. </w:t>
      </w:r>
      <w:r w:rsidR="00871E53" w:rsidRPr="00953692">
        <w:rPr>
          <w:rFonts w:cs="Times New Roman"/>
          <w:sz w:val="24"/>
          <w:szCs w:val="24"/>
          <w:lang w:val="fr-FR"/>
        </w:rPr>
        <w:t>On voit</w:t>
      </w:r>
      <w:r w:rsidR="006911BF" w:rsidRPr="00953692">
        <w:rPr>
          <w:rFonts w:cs="Times New Roman"/>
          <w:sz w:val="24"/>
          <w:szCs w:val="24"/>
          <w:lang w:val="fr-FR"/>
        </w:rPr>
        <w:t>,</w:t>
      </w:r>
      <w:r w:rsidR="00871E53" w:rsidRPr="00953692">
        <w:rPr>
          <w:rFonts w:cs="Times New Roman"/>
          <w:sz w:val="24"/>
          <w:szCs w:val="24"/>
          <w:lang w:val="fr-FR"/>
        </w:rPr>
        <w:t xml:space="preserve"> par exemple, l’article 21 du statut du TSL qui exige au tribunal de limiter strictement le procès, en prenant notamment des mesures strictes pour éviter toute action qui entrainerait un retard injustifié. L’article 26B du RPP de la CPS centrafricaine </w:t>
      </w:r>
      <w:r w:rsidR="000C0388" w:rsidRPr="00953692">
        <w:rPr>
          <w:rFonts w:cs="Times New Roman"/>
          <w:sz w:val="24"/>
          <w:szCs w:val="24"/>
          <w:lang w:val="fr-FR"/>
        </w:rPr>
        <w:t xml:space="preserve">confère au président de la Chambre d’assises les pouvoirs de veiller à ce que </w:t>
      </w:r>
      <w:r w:rsidR="0034299A" w:rsidRPr="00953692">
        <w:rPr>
          <w:rFonts w:cs="Times New Roman"/>
          <w:sz w:val="24"/>
          <w:szCs w:val="24"/>
          <w:lang w:val="fr-FR"/>
        </w:rPr>
        <w:t>les procédures</w:t>
      </w:r>
      <w:r w:rsidR="000C0388" w:rsidRPr="00953692">
        <w:rPr>
          <w:rFonts w:cs="Times New Roman"/>
          <w:sz w:val="24"/>
          <w:szCs w:val="24"/>
          <w:lang w:val="fr-FR"/>
        </w:rPr>
        <w:t xml:space="preserve"> ne subissent aucun retard injustifié. Il en est de </w:t>
      </w:r>
      <w:r w:rsidR="005703DC" w:rsidRPr="00953692">
        <w:rPr>
          <w:rFonts w:cs="Times New Roman"/>
          <w:sz w:val="24"/>
          <w:szCs w:val="24"/>
          <w:lang w:val="fr-FR"/>
        </w:rPr>
        <w:t>même</w:t>
      </w:r>
      <w:r w:rsidR="000C0388" w:rsidRPr="00953692">
        <w:rPr>
          <w:rFonts w:cs="Times New Roman"/>
          <w:sz w:val="24"/>
          <w:szCs w:val="24"/>
          <w:lang w:val="fr-FR"/>
        </w:rPr>
        <w:t xml:space="preserve"> de l</w:t>
      </w:r>
      <w:r w:rsidR="0034299A" w:rsidRPr="00953692">
        <w:rPr>
          <w:rFonts w:cs="Times New Roman"/>
          <w:sz w:val="24"/>
          <w:szCs w:val="24"/>
          <w:lang w:val="fr-FR"/>
        </w:rPr>
        <w:t>a Règle</w:t>
      </w:r>
      <w:r w:rsidR="000C0388" w:rsidRPr="00953692">
        <w:rPr>
          <w:rFonts w:cs="Times New Roman"/>
          <w:sz w:val="24"/>
          <w:szCs w:val="24"/>
          <w:lang w:val="fr-FR"/>
        </w:rPr>
        <w:t xml:space="preserve"> </w:t>
      </w:r>
      <w:r w:rsidR="0034299A" w:rsidRPr="00953692">
        <w:rPr>
          <w:rFonts w:cs="Times New Roman"/>
          <w:sz w:val="24"/>
          <w:szCs w:val="24"/>
          <w:lang w:val="fr-FR"/>
        </w:rPr>
        <w:t>85 du RPP du CETC</w:t>
      </w:r>
      <w:r w:rsidR="005703DC" w:rsidRPr="00953692">
        <w:rPr>
          <w:rFonts w:cs="Times New Roman"/>
          <w:sz w:val="24"/>
          <w:szCs w:val="24"/>
          <w:lang w:val="fr-FR"/>
        </w:rPr>
        <w:t xml:space="preserve"> qui donne la possibilité au président de la Chambre, après consultation des autres juges, le pouvoir d’exclure des débats tout ce qui </w:t>
      </w:r>
      <w:r w:rsidR="00D67D9C" w:rsidRPr="00953692">
        <w:rPr>
          <w:sz w:val="24"/>
          <w:szCs w:val="24"/>
          <w:lang w:val="fr-FR"/>
        </w:rPr>
        <w:t>tend à les prolonger inutilement sans contribuer à la manifestation de la vérité.</w:t>
      </w:r>
    </w:p>
    <w:p w14:paraId="656869EF" w14:textId="2E070935" w:rsidR="00CF545B" w:rsidRPr="00953692" w:rsidRDefault="003F2222" w:rsidP="00864BBF">
      <w:pPr>
        <w:spacing w:after="0" w:line="276" w:lineRule="auto"/>
        <w:ind w:firstLine="1134"/>
        <w:jc w:val="both"/>
        <w:rPr>
          <w:sz w:val="24"/>
          <w:szCs w:val="24"/>
          <w:lang w:val="fr-FR"/>
        </w:rPr>
      </w:pPr>
      <w:r w:rsidRPr="00953692">
        <w:rPr>
          <w:b/>
          <w:bCs/>
          <w:sz w:val="24"/>
          <w:szCs w:val="24"/>
          <w:lang w:val="fr-FR"/>
        </w:rPr>
        <w:t>433</w:t>
      </w:r>
      <w:r w:rsidR="00B8578F" w:rsidRPr="00953692">
        <w:rPr>
          <w:b/>
          <w:bCs/>
          <w:sz w:val="24"/>
          <w:szCs w:val="24"/>
          <w:lang w:val="fr-FR"/>
        </w:rPr>
        <w:t>.</w:t>
      </w:r>
      <w:r w:rsidR="00B8578F" w:rsidRPr="00953692">
        <w:rPr>
          <w:sz w:val="24"/>
          <w:szCs w:val="24"/>
          <w:lang w:val="fr-FR"/>
        </w:rPr>
        <w:t xml:space="preserve"> </w:t>
      </w:r>
      <w:r w:rsidR="00E619E2" w:rsidRPr="00953692">
        <w:rPr>
          <w:sz w:val="24"/>
          <w:szCs w:val="24"/>
          <w:lang w:val="fr-FR"/>
        </w:rPr>
        <w:t>On</w:t>
      </w:r>
      <w:r w:rsidR="00E92B80" w:rsidRPr="00953692">
        <w:rPr>
          <w:sz w:val="24"/>
          <w:szCs w:val="24"/>
          <w:lang w:val="fr-FR"/>
        </w:rPr>
        <w:t xml:space="preserve"> peut bien</w:t>
      </w:r>
      <w:r w:rsidR="00E619E2" w:rsidRPr="00953692">
        <w:rPr>
          <w:sz w:val="24"/>
          <w:szCs w:val="24"/>
          <w:lang w:val="fr-FR"/>
        </w:rPr>
        <w:t xml:space="preserve"> voi</w:t>
      </w:r>
      <w:r w:rsidR="00E92B80" w:rsidRPr="00953692">
        <w:rPr>
          <w:sz w:val="24"/>
          <w:szCs w:val="24"/>
          <w:lang w:val="fr-FR"/>
        </w:rPr>
        <w:t>r</w:t>
      </w:r>
      <w:r w:rsidR="00E619E2" w:rsidRPr="00953692">
        <w:rPr>
          <w:sz w:val="24"/>
          <w:szCs w:val="24"/>
          <w:lang w:val="fr-FR"/>
        </w:rPr>
        <w:t xml:space="preserve"> que</w:t>
      </w:r>
      <w:r w:rsidR="00E92B80" w:rsidRPr="00953692">
        <w:rPr>
          <w:sz w:val="24"/>
          <w:szCs w:val="24"/>
          <w:lang w:val="fr-FR"/>
        </w:rPr>
        <w:t>,</w:t>
      </w:r>
      <w:r w:rsidR="00E619E2" w:rsidRPr="00953692">
        <w:rPr>
          <w:sz w:val="24"/>
          <w:szCs w:val="24"/>
          <w:lang w:val="fr-FR"/>
        </w:rPr>
        <w:t xml:space="preserve"> la question de </w:t>
      </w:r>
      <w:r w:rsidR="00E92B80" w:rsidRPr="00953692">
        <w:rPr>
          <w:sz w:val="24"/>
          <w:szCs w:val="24"/>
          <w:lang w:val="fr-FR"/>
        </w:rPr>
        <w:t xml:space="preserve">la </w:t>
      </w:r>
      <w:r w:rsidR="00E619E2" w:rsidRPr="00953692">
        <w:rPr>
          <w:sz w:val="24"/>
          <w:szCs w:val="24"/>
          <w:lang w:val="fr-FR"/>
        </w:rPr>
        <w:t>condui</w:t>
      </w:r>
      <w:r w:rsidR="00E92B80" w:rsidRPr="00953692">
        <w:rPr>
          <w:sz w:val="24"/>
          <w:szCs w:val="24"/>
          <w:lang w:val="fr-FR"/>
        </w:rPr>
        <w:t>t</w:t>
      </w:r>
      <w:r w:rsidR="00E619E2" w:rsidRPr="00953692">
        <w:rPr>
          <w:sz w:val="24"/>
          <w:szCs w:val="24"/>
          <w:lang w:val="fr-FR"/>
        </w:rPr>
        <w:t xml:space="preserve">e </w:t>
      </w:r>
      <w:r w:rsidR="00E92B80" w:rsidRPr="00953692">
        <w:rPr>
          <w:sz w:val="24"/>
          <w:szCs w:val="24"/>
          <w:lang w:val="fr-FR"/>
        </w:rPr>
        <w:t>du</w:t>
      </w:r>
      <w:r w:rsidR="00E619E2" w:rsidRPr="00953692">
        <w:rPr>
          <w:sz w:val="24"/>
          <w:szCs w:val="24"/>
          <w:lang w:val="fr-FR"/>
        </w:rPr>
        <w:t xml:space="preserve"> procès avec rapidité préoccupe</w:t>
      </w:r>
      <w:r w:rsidR="004F5A15" w:rsidRPr="00953692">
        <w:rPr>
          <w:sz w:val="24"/>
          <w:szCs w:val="24"/>
          <w:lang w:val="fr-FR"/>
        </w:rPr>
        <w:t xml:space="preserve"> autant</w:t>
      </w:r>
      <w:r w:rsidR="00E619E2" w:rsidRPr="00953692">
        <w:rPr>
          <w:sz w:val="24"/>
          <w:szCs w:val="24"/>
          <w:lang w:val="fr-FR"/>
        </w:rPr>
        <w:t xml:space="preserve"> les rédacteurs des actes constitutifs des juridictions pénales internationales</w:t>
      </w:r>
      <w:r w:rsidR="004F5A15" w:rsidRPr="00953692">
        <w:rPr>
          <w:sz w:val="24"/>
          <w:szCs w:val="24"/>
          <w:lang w:val="fr-FR"/>
        </w:rPr>
        <w:t xml:space="preserve"> qu’ils ne s’empêchent pas de restreindre la liberté d’action</w:t>
      </w:r>
      <w:r w:rsidR="003A10E9" w:rsidRPr="00953692">
        <w:rPr>
          <w:sz w:val="24"/>
          <w:szCs w:val="24"/>
          <w:lang w:val="fr-FR"/>
        </w:rPr>
        <w:t xml:space="preserve"> de l’accusé</w:t>
      </w:r>
      <w:r w:rsidR="004F5A15" w:rsidRPr="00953692">
        <w:rPr>
          <w:sz w:val="24"/>
          <w:szCs w:val="24"/>
          <w:lang w:val="fr-FR"/>
        </w:rPr>
        <w:t xml:space="preserve"> durant le procès</w:t>
      </w:r>
      <w:r w:rsidR="00E619E2" w:rsidRPr="00953692">
        <w:rPr>
          <w:sz w:val="24"/>
          <w:szCs w:val="24"/>
          <w:lang w:val="fr-FR"/>
        </w:rPr>
        <w:t>. L’idée de sanctionner ou d’écarter tout action dilatoire</w:t>
      </w:r>
      <w:r w:rsidR="003A10E9" w:rsidRPr="00953692">
        <w:rPr>
          <w:sz w:val="24"/>
          <w:szCs w:val="24"/>
          <w:lang w:val="fr-FR"/>
        </w:rPr>
        <w:t xml:space="preserve"> ou</w:t>
      </w:r>
      <w:r w:rsidR="00E619E2" w:rsidRPr="00953692">
        <w:rPr>
          <w:sz w:val="24"/>
          <w:szCs w:val="24"/>
          <w:lang w:val="fr-FR"/>
        </w:rPr>
        <w:t xml:space="preserve"> inutile est </w:t>
      </w:r>
      <w:r w:rsidR="00873FBF" w:rsidRPr="00953692">
        <w:rPr>
          <w:sz w:val="24"/>
          <w:szCs w:val="24"/>
          <w:lang w:val="fr-FR"/>
        </w:rPr>
        <w:t>laissé</w:t>
      </w:r>
      <w:r w:rsidR="00D0577F" w:rsidRPr="00953692">
        <w:rPr>
          <w:sz w:val="24"/>
          <w:szCs w:val="24"/>
          <w:lang w:val="fr-FR"/>
        </w:rPr>
        <w:t>e</w:t>
      </w:r>
      <w:r w:rsidR="00873FBF" w:rsidRPr="00953692">
        <w:rPr>
          <w:sz w:val="24"/>
          <w:szCs w:val="24"/>
          <w:lang w:val="fr-FR"/>
        </w:rPr>
        <w:t xml:space="preserve"> à l’appréciation souveraine du juge, à condition qu’il s’assure que le procès ne connaitra aucun retard injustifié. </w:t>
      </w:r>
      <w:r w:rsidR="006151A3" w:rsidRPr="00953692">
        <w:rPr>
          <w:sz w:val="24"/>
          <w:szCs w:val="24"/>
          <w:lang w:val="fr-FR"/>
        </w:rPr>
        <w:t>Ceci renvoie donc à l’impertinence des questions soumises à l’appréciation du juge. Les parties sont à cet effet tenues par l’obligation de célérité. En réalité, o</w:t>
      </w:r>
      <w:r w:rsidR="00873FBF" w:rsidRPr="00953692">
        <w:rPr>
          <w:sz w:val="24"/>
          <w:szCs w:val="24"/>
          <w:lang w:val="fr-FR"/>
        </w:rPr>
        <w:t>n n’est plus exactement dans le cadre du procès équitable à l’égard de l’accusé, dont le droit d’être jugé sans retard excessif est garanti, mais on touche au fonctionnement même du système de justice</w:t>
      </w:r>
      <w:r w:rsidR="00CF545B" w:rsidRPr="00953692">
        <w:rPr>
          <w:sz w:val="24"/>
          <w:szCs w:val="24"/>
          <w:lang w:val="fr-FR"/>
        </w:rPr>
        <w:t xml:space="preserve"> pénale</w:t>
      </w:r>
      <w:r w:rsidR="00873FBF" w:rsidRPr="00953692">
        <w:rPr>
          <w:sz w:val="24"/>
          <w:szCs w:val="24"/>
          <w:lang w:val="fr-FR"/>
        </w:rPr>
        <w:t>.</w:t>
      </w:r>
      <w:r w:rsidR="00CF545B" w:rsidRPr="00953692">
        <w:rPr>
          <w:sz w:val="24"/>
          <w:szCs w:val="24"/>
          <w:lang w:val="fr-FR"/>
        </w:rPr>
        <w:t xml:space="preserve"> </w:t>
      </w:r>
      <w:r w:rsidR="00D11357" w:rsidRPr="00953692">
        <w:rPr>
          <w:sz w:val="24"/>
          <w:szCs w:val="24"/>
          <w:lang w:val="fr-FR"/>
        </w:rPr>
        <w:t>Cette justice</w:t>
      </w:r>
      <w:r w:rsidR="00CF545B" w:rsidRPr="00953692">
        <w:rPr>
          <w:sz w:val="24"/>
          <w:szCs w:val="24"/>
          <w:lang w:val="fr-FR"/>
        </w:rPr>
        <w:t xml:space="preserve"> pénale internationale</w:t>
      </w:r>
      <w:r w:rsidR="00C34FDA" w:rsidRPr="00953692">
        <w:rPr>
          <w:sz w:val="24"/>
          <w:szCs w:val="24"/>
          <w:lang w:val="fr-FR"/>
        </w:rPr>
        <w:t>, en l’occurrence,</w:t>
      </w:r>
      <w:r w:rsidR="00D11357" w:rsidRPr="00953692">
        <w:rPr>
          <w:sz w:val="24"/>
          <w:szCs w:val="24"/>
          <w:lang w:val="fr-FR"/>
        </w:rPr>
        <w:t xml:space="preserve"> dont l’action est envisagée dans une temporalité limitée, en raison non seulement de ses ressources limitées, mais aussi de son exceptionnalité</w:t>
      </w:r>
      <w:r w:rsidR="00B8578F" w:rsidRPr="00953692">
        <w:rPr>
          <w:sz w:val="24"/>
          <w:szCs w:val="24"/>
          <w:lang w:val="fr-FR"/>
        </w:rPr>
        <w:t xml:space="preserve">, se doit évidemment </w:t>
      </w:r>
      <w:r w:rsidR="003A10E9" w:rsidRPr="00953692">
        <w:rPr>
          <w:sz w:val="24"/>
          <w:szCs w:val="24"/>
          <w:lang w:val="fr-FR"/>
        </w:rPr>
        <w:t>d’</w:t>
      </w:r>
      <w:r w:rsidR="00B8578F" w:rsidRPr="00953692">
        <w:rPr>
          <w:sz w:val="24"/>
          <w:szCs w:val="24"/>
          <w:lang w:val="fr-FR"/>
        </w:rPr>
        <w:t>éviter tout ce qui pourrait en retarder l’action</w:t>
      </w:r>
      <w:r w:rsidR="00D11357" w:rsidRPr="00953692">
        <w:rPr>
          <w:sz w:val="24"/>
          <w:szCs w:val="24"/>
          <w:lang w:val="fr-FR"/>
        </w:rPr>
        <w:t xml:space="preserve">. </w:t>
      </w:r>
    </w:p>
    <w:p w14:paraId="1F6D1F9F" w14:textId="2EC37DBB" w:rsidR="009E2413" w:rsidRPr="00953692" w:rsidRDefault="003F2222" w:rsidP="00864BBF">
      <w:pPr>
        <w:spacing w:after="0" w:line="276" w:lineRule="auto"/>
        <w:ind w:firstLine="1134"/>
        <w:jc w:val="both"/>
        <w:rPr>
          <w:sz w:val="24"/>
          <w:szCs w:val="24"/>
          <w:lang w:val="fr-FR"/>
        </w:rPr>
      </w:pPr>
      <w:r w:rsidRPr="00953692">
        <w:rPr>
          <w:b/>
          <w:bCs/>
          <w:sz w:val="24"/>
          <w:szCs w:val="24"/>
          <w:lang w:val="fr-FR"/>
        </w:rPr>
        <w:t>434</w:t>
      </w:r>
      <w:r w:rsidR="00CF545B" w:rsidRPr="00953692">
        <w:rPr>
          <w:b/>
          <w:bCs/>
          <w:sz w:val="24"/>
          <w:szCs w:val="24"/>
          <w:lang w:val="fr-FR"/>
        </w:rPr>
        <w:t>.</w:t>
      </w:r>
      <w:r w:rsidR="00CF545B" w:rsidRPr="00953692">
        <w:rPr>
          <w:sz w:val="24"/>
          <w:szCs w:val="24"/>
          <w:lang w:val="fr-FR"/>
        </w:rPr>
        <w:t xml:space="preserve"> </w:t>
      </w:r>
      <w:r w:rsidR="00451BC3" w:rsidRPr="00953692">
        <w:rPr>
          <w:sz w:val="24"/>
          <w:szCs w:val="24"/>
          <w:lang w:val="fr-FR"/>
        </w:rPr>
        <w:t xml:space="preserve">En outre, il faut placer ces pouvoirs de la </w:t>
      </w:r>
      <w:r w:rsidR="00B8578F" w:rsidRPr="00953692">
        <w:rPr>
          <w:sz w:val="24"/>
          <w:szCs w:val="24"/>
          <w:lang w:val="fr-FR"/>
        </w:rPr>
        <w:t>C</w:t>
      </w:r>
      <w:r w:rsidR="00451BC3" w:rsidRPr="00953692">
        <w:rPr>
          <w:sz w:val="24"/>
          <w:szCs w:val="24"/>
          <w:lang w:val="fr-FR"/>
        </w:rPr>
        <w:t xml:space="preserve">hambre de première instance dans un contexte où un filtrage a été effectué avec l’enquête plus ou moins longue du </w:t>
      </w:r>
      <w:r w:rsidR="002B143A" w:rsidRPr="00953692">
        <w:rPr>
          <w:sz w:val="24"/>
          <w:szCs w:val="24"/>
          <w:lang w:val="fr-FR"/>
        </w:rPr>
        <w:t>p</w:t>
      </w:r>
      <w:r w:rsidR="00451BC3" w:rsidRPr="00953692">
        <w:rPr>
          <w:sz w:val="24"/>
          <w:szCs w:val="24"/>
          <w:lang w:val="fr-FR"/>
        </w:rPr>
        <w:t xml:space="preserve">rocureur, en passant par la confirmation des charges jusqu’aux conférences de mise en état. </w:t>
      </w:r>
      <w:r w:rsidR="00D0577F" w:rsidRPr="00953692">
        <w:rPr>
          <w:sz w:val="24"/>
          <w:szCs w:val="24"/>
          <w:lang w:val="fr-FR"/>
        </w:rPr>
        <w:t>Après tout ce cheminement préparatoire au procès, o</w:t>
      </w:r>
      <w:r w:rsidR="00451BC3" w:rsidRPr="00953692">
        <w:rPr>
          <w:sz w:val="24"/>
          <w:szCs w:val="24"/>
          <w:lang w:val="fr-FR"/>
        </w:rPr>
        <w:t xml:space="preserve">n </w:t>
      </w:r>
      <w:r w:rsidR="00D0577F" w:rsidRPr="00953692">
        <w:rPr>
          <w:sz w:val="24"/>
          <w:szCs w:val="24"/>
          <w:lang w:val="fr-FR"/>
        </w:rPr>
        <w:t xml:space="preserve">devrait être </w:t>
      </w:r>
      <w:r w:rsidR="00451BC3" w:rsidRPr="00953692">
        <w:rPr>
          <w:sz w:val="24"/>
          <w:szCs w:val="24"/>
          <w:lang w:val="fr-FR"/>
        </w:rPr>
        <w:t>donc assuré</w:t>
      </w:r>
      <w:r w:rsidR="00B8578F" w:rsidRPr="00953692">
        <w:rPr>
          <w:sz w:val="24"/>
          <w:szCs w:val="24"/>
          <w:lang w:val="fr-FR"/>
        </w:rPr>
        <w:t xml:space="preserve"> que,</w:t>
      </w:r>
      <w:r w:rsidR="00451BC3" w:rsidRPr="00953692">
        <w:rPr>
          <w:sz w:val="24"/>
          <w:szCs w:val="24"/>
          <w:lang w:val="fr-FR"/>
        </w:rPr>
        <w:t xml:space="preserve"> apriori</w:t>
      </w:r>
      <w:r w:rsidR="00B8578F" w:rsidRPr="00953692">
        <w:rPr>
          <w:sz w:val="24"/>
          <w:szCs w:val="24"/>
          <w:lang w:val="fr-FR"/>
        </w:rPr>
        <w:t>,</w:t>
      </w:r>
      <w:r w:rsidR="00451BC3" w:rsidRPr="00953692">
        <w:rPr>
          <w:sz w:val="24"/>
          <w:szCs w:val="24"/>
          <w:lang w:val="fr-FR"/>
        </w:rPr>
        <w:t xml:space="preserve"> les parties se limiteront à l’essentiel.</w:t>
      </w:r>
      <w:r w:rsidR="00CF545B" w:rsidRPr="00953692">
        <w:rPr>
          <w:sz w:val="24"/>
          <w:szCs w:val="24"/>
          <w:lang w:val="fr-FR"/>
        </w:rPr>
        <w:t xml:space="preserve"> </w:t>
      </w:r>
      <w:r w:rsidR="00D500D2" w:rsidRPr="00953692">
        <w:rPr>
          <w:sz w:val="24"/>
          <w:szCs w:val="24"/>
          <w:lang w:val="fr-FR"/>
        </w:rPr>
        <w:t xml:space="preserve">C’est ainsi qu’en cas d’une action impertinente, c’est-à-dire celle qui revient sur une question déjà résolue ou qui n’apporte </w:t>
      </w:r>
      <w:r w:rsidR="00B8578F" w:rsidRPr="00953692">
        <w:rPr>
          <w:sz w:val="24"/>
          <w:szCs w:val="24"/>
          <w:lang w:val="fr-FR"/>
        </w:rPr>
        <w:t>rien de concret</w:t>
      </w:r>
      <w:r w:rsidR="00D500D2" w:rsidRPr="00953692">
        <w:rPr>
          <w:sz w:val="24"/>
          <w:szCs w:val="24"/>
          <w:lang w:val="fr-FR"/>
        </w:rPr>
        <w:t xml:space="preserve"> au déroulement des débats, les juges peuvent bien </w:t>
      </w:r>
      <w:r w:rsidR="00641149" w:rsidRPr="00953692">
        <w:rPr>
          <w:sz w:val="24"/>
          <w:szCs w:val="24"/>
          <w:lang w:val="fr-FR"/>
        </w:rPr>
        <w:t xml:space="preserve">l’écarter, en rejetant </w:t>
      </w:r>
      <w:r w:rsidR="00D0577F" w:rsidRPr="00953692">
        <w:rPr>
          <w:sz w:val="24"/>
          <w:szCs w:val="24"/>
          <w:lang w:val="fr-FR"/>
        </w:rPr>
        <w:t xml:space="preserve">tout simplement </w:t>
      </w:r>
      <w:r w:rsidR="00641149" w:rsidRPr="00953692">
        <w:rPr>
          <w:sz w:val="24"/>
          <w:szCs w:val="24"/>
          <w:lang w:val="fr-FR"/>
        </w:rPr>
        <w:t xml:space="preserve">la requête. </w:t>
      </w:r>
      <w:r w:rsidR="004335D5" w:rsidRPr="00953692">
        <w:rPr>
          <w:sz w:val="24"/>
          <w:szCs w:val="24"/>
          <w:lang w:val="fr-FR"/>
        </w:rPr>
        <w:t>Le rejet de la requête en soi n’est pas un abus de procédure</w:t>
      </w:r>
      <w:r w:rsidR="00D0577F" w:rsidRPr="00953692">
        <w:rPr>
          <w:sz w:val="24"/>
          <w:szCs w:val="24"/>
          <w:lang w:val="fr-FR"/>
        </w:rPr>
        <w:t>, dans la mesure où c</w:t>
      </w:r>
      <w:r w:rsidR="004335D5" w:rsidRPr="00953692">
        <w:rPr>
          <w:sz w:val="24"/>
          <w:szCs w:val="24"/>
          <w:lang w:val="fr-FR"/>
        </w:rPr>
        <w:t xml:space="preserve">eci </w:t>
      </w:r>
      <w:r w:rsidR="00B8578F" w:rsidRPr="00953692">
        <w:rPr>
          <w:sz w:val="24"/>
          <w:szCs w:val="24"/>
          <w:lang w:val="fr-FR"/>
        </w:rPr>
        <w:t>r</w:t>
      </w:r>
      <w:r w:rsidR="004335D5" w:rsidRPr="00953692">
        <w:rPr>
          <w:sz w:val="24"/>
          <w:szCs w:val="24"/>
          <w:lang w:val="fr-FR"/>
        </w:rPr>
        <w:t xml:space="preserve">entre dans un cadre normal d’exercice d’un </w:t>
      </w:r>
      <w:r w:rsidR="00B8578F" w:rsidRPr="00953692">
        <w:rPr>
          <w:sz w:val="24"/>
          <w:szCs w:val="24"/>
          <w:lang w:val="fr-FR"/>
        </w:rPr>
        <w:t>côté,</w:t>
      </w:r>
      <w:r w:rsidR="004335D5" w:rsidRPr="00953692">
        <w:rPr>
          <w:sz w:val="24"/>
          <w:szCs w:val="24"/>
          <w:lang w:val="fr-FR"/>
        </w:rPr>
        <w:t xml:space="preserve"> du droit de l’accusé </w:t>
      </w:r>
      <w:r w:rsidR="00B8578F" w:rsidRPr="00953692">
        <w:rPr>
          <w:sz w:val="24"/>
          <w:szCs w:val="24"/>
          <w:lang w:val="fr-FR"/>
        </w:rPr>
        <w:t>d</w:t>
      </w:r>
      <w:r w:rsidR="008921EE" w:rsidRPr="00953692">
        <w:rPr>
          <w:sz w:val="24"/>
          <w:szCs w:val="24"/>
          <w:lang w:val="fr-FR"/>
        </w:rPr>
        <w:t xml:space="preserve">’introduire une requête </w:t>
      </w:r>
      <w:r w:rsidR="004335D5" w:rsidRPr="00953692">
        <w:rPr>
          <w:sz w:val="24"/>
          <w:szCs w:val="24"/>
          <w:lang w:val="fr-FR"/>
        </w:rPr>
        <w:t>et</w:t>
      </w:r>
      <w:r w:rsidR="006911BF" w:rsidRPr="00953692">
        <w:rPr>
          <w:sz w:val="24"/>
          <w:szCs w:val="24"/>
          <w:lang w:val="fr-FR"/>
        </w:rPr>
        <w:t>,</w:t>
      </w:r>
      <w:r w:rsidR="004335D5" w:rsidRPr="00953692">
        <w:rPr>
          <w:sz w:val="24"/>
          <w:szCs w:val="24"/>
          <w:lang w:val="fr-FR"/>
        </w:rPr>
        <w:t xml:space="preserve"> de l’autre </w:t>
      </w:r>
      <w:r w:rsidR="00B8578F" w:rsidRPr="00953692">
        <w:rPr>
          <w:sz w:val="24"/>
          <w:szCs w:val="24"/>
          <w:lang w:val="fr-FR"/>
        </w:rPr>
        <w:t>côté,</w:t>
      </w:r>
      <w:r w:rsidR="004335D5" w:rsidRPr="00953692">
        <w:rPr>
          <w:sz w:val="24"/>
          <w:szCs w:val="24"/>
          <w:lang w:val="fr-FR"/>
        </w:rPr>
        <w:t xml:space="preserve"> des fonctions attribuées au juge</w:t>
      </w:r>
      <w:r w:rsidR="00B8578F" w:rsidRPr="00953692">
        <w:rPr>
          <w:sz w:val="24"/>
          <w:szCs w:val="24"/>
          <w:lang w:val="fr-FR"/>
        </w:rPr>
        <w:t>, c’est-à-dire d’en faire droit ou de la rejeter</w:t>
      </w:r>
      <w:r w:rsidR="004335D5" w:rsidRPr="00953692">
        <w:rPr>
          <w:sz w:val="24"/>
          <w:szCs w:val="24"/>
          <w:lang w:val="fr-FR"/>
        </w:rPr>
        <w:t xml:space="preserve">. </w:t>
      </w:r>
    </w:p>
    <w:p w14:paraId="09D3ABDD" w14:textId="218EDF30" w:rsidR="005E5510" w:rsidRPr="00953692" w:rsidRDefault="003F2222" w:rsidP="00864BBF">
      <w:pPr>
        <w:spacing w:after="0" w:line="276" w:lineRule="auto"/>
        <w:ind w:firstLine="1134"/>
        <w:jc w:val="both"/>
        <w:rPr>
          <w:sz w:val="24"/>
          <w:szCs w:val="24"/>
          <w:lang w:val="fr-FR"/>
        </w:rPr>
      </w:pPr>
      <w:r w:rsidRPr="00953692">
        <w:rPr>
          <w:b/>
          <w:bCs/>
          <w:sz w:val="24"/>
          <w:szCs w:val="24"/>
          <w:lang w:val="fr-FR"/>
        </w:rPr>
        <w:t>435</w:t>
      </w:r>
      <w:r w:rsidR="0010598E" w:rsidRPr="00953692">
        <w:rPr>
          <w:b/>
          <w:bCs/>
          <w:sz w:val="24"/>
          <w:szCs w:val="24"/>
          <w:lang w:val="fr-FR"/>
        </w:rPr>
        <w:t>.</w:t>
      </w:r>
      <w:r w:rsidR="0010598E" w:rsidRPr="00953692">
        <w:rPr>
          <w:sz w:val="24"/>
          <w:szCs w:val="24"/>
          <w:lang w:val="fr-FR"/>
        </w:rPr>
        <w:t xml:space="preserve"> </w:t>
      </w:r>
      <w:r w:rsidR="004335D5" w:rsidRPr="00953692">
        <w:rPr>
          <w:sz w:val="24"/>
          <w:szCs w:val="24"/>
          <w:lang w:val="fr-FR"/>
        </w:rPr>
        <w:t>Cependant, voyons par exemple</w:t>
      </w:r>
      <w:r w:rsidR="006911BF" w:rsidRPr="00953692">
        <w:rPr>
          <w:sz w:val="24"/>
          <w:szCs w:val="24"/>
          <w:lang w:val="fr-FR"/>
        </w:rPr>
        <w:t>,</w:t>
      </w:r>
      <w:r w:rsidR="004335D5" w:rsidRPr="00953692">
        <w:rPr>
          <w:sz w:val="24"/>
          <w:szCs w:val="24"/>
          <w:lang w:val="fr-FR"/>
        </w:rPr>
        <w:t xml:space="preserve"> l’article 73F des RPP des TPIY et TPIR disposent qu’</w:t>
      </w:r>
      <w:r w:rsidR="004335D5" w:rsidRPr="00953692">
        <w:rPr>
          <w:i/>
          <w:iCs/>
          <w:sz w:val="24"/>
          <w:szCs w:val="24"/>
          <w:lang w:val="fr-FR"/>
        </w:rPr>
        <w:t xml:space="preserve">une </w:t>
      </w:r>
      <w:r w:rsidR="00145002" w:rsidRPr="00953692">
        <w:rPr>
          <w:i/>
          <w:iCs/>
          <w:sz w:val="24"/>
          <w:szCs w:val="24"/>
          <w:lang w:val="fr-FR"/>
        </w:rPr>
        <w:t>Chambre peut sanctionner un conseil si ce dernier dépose une requête, y compris une exception préjudicielle, qui, de l’avis de la Chambre, est fantaisiste, ou constitue un abus de procédure</w:t>
      </w:r>
      <w:r w:rsidR="00145002" w:rsidRPr="00953692">
        <w:rPr>
          <w:sz w:val="24"/>
          <w:szCs w:val="24"/>
          <w:lang w:val="fr-FR"/>
        </w:rPr>
        <w:t xml:space="preserve">. </w:t>
      </w:r>
      <w:r w:rsidR="00601276" w:rsidRPr="00953692">
        <w:rPr>
          <w:sz w:val="24"/>
          <w:szCs w:val="24"/>
          <w:lang w:val="fr-FR"/>
        </w:rPr>
        <w:t>Cette</w:t>
      </w:r>
      <w:r w:rsidR="00CF5BD9" w:rsidRPr="00953692">
        <w:rPr>
          <w:sz w:val="24"/>
          <w:szCs w:val="24"/>
          <w:lang w:val="fr-FR"/>
        </w:rPr>
        <w:t xml:space="preserve"> disposition commune </w:t>
      </w:r>
      <w:r w:rsidR="00601276" w:rsidRPr="00953692">
        <w:rPr>
          <w:sz w:val="24"/>
          <w:szCs w:val="24"/>
          <w:lang w:val="fr-FR"/>
        </w:rPr>
        <w:t xml:space="preserve">a été fondamentalement </w:t>
      </w:r>
      <w:r w:rsidR="00601276" w:rsidRPr="00953692">
        <w:rPr>
          <w:sz w:val="24"/>
          <w:szCs w:val="24"/>
          <w:lang w:val="fr-FR"/>
        </w:rPr>
        <w:lastRenderedPageBreak/>
        <w:t xml:space="preserve">reprise par l’article 126 G du RPP du TSL. Dans tous </w:t>
      </w:r>
      <w:r w:rsidR="0010598E" w:rsidRPr="00953692">
        <w:rPr>
          <w:sz w:val="24"/>
          <w:szCs w:val="24"/>
          <w:lang w:val="fr-FR"/>
        </w:rPr>
        <w:t>c</w:t>
      </w:r>
      <w:r w:rsidR="00601276" w:rsidRPr="00953692">
        <w:rPr>
          <w:sz w:val="24"/>
          <w:szCs w:val="24"/>
          <w:lang w:val="fr-FR"/>
        </w:rPr>
        <w:t xml:space="preserve">es cas, la </w:t>
      </w:r>
      <w:r w:rsidR="00145002" w:rsidRPr="00953692">
        <w:rPr>
          <w:sz w:val="24"/>
          <w:szCs w:val="24"/>
          <w:lang w:val="fr-FR"/>
        </w:rPr>
        <w:t>Chambre peut demander qu’il soit sursis au paiement d’une partie ou de la totalité des honoraires qui sont dus au titre de la requête déposée, et/ou des frais y relatifs.</w:t>
      </w:r>
      <w:r w:rsidR="00601276" w:rsidRPr="00953692">
        <w:rPr>
          <w:sz w:val="24"/>
          <w:szCs w:val="24"/>
          <w:lang w:val="fr-FR"/>
        </w:rPr>
        <w:t xml:space="preserve"> Ce qui est remarquable </w:t>
      </w:r>
      <w:r w:rsidR="0010598E" w:rsidRPr="00953692">
        <w:rPr>
          <w:sz w:val="24"/>
          <w:szCs w:val="24"/>
          <w:lang w:val="fr-FR"/>
        </w:rPr>
        <w:t>dans ces dispositions communes</w:t>
      </w:r>
      <w:r w:rsidR="00601276" w:rsidRPr="00953692">
        <w:rPr>
          <w:sz w:val="24"/>
          <w:szCs w:val="24"/>
          <w:lang w:val="fr-FR"/>
        </w:rPr>
        <w:t xml:space="preserve">, c’est la latitude accordée à la Chambre de juger ce qui peut constituer ou non </w:t>
      </w:r>
      <w:r w:rsidR="00F10FC2" w:rsidRPr="00953692">
        <w:rPr>
          <w:sz w:val="24"/>
          <w:szCs w:val="24"/>
          <w:lang w:val="fr-FR"/>
        </w:rPr>
        <w:t xml:space="preserve">un abus de procédure, et le TPIR notamment nous en fournit un exemple </w:t>
      </w:r>
      <w:r w:rsidR="00C976CD" w:rsidRPr="00953692">
        <w:rPr>
          <w:sz w:val="24"/>
          <w:szCs w:val="24"/>
          <w:lang w:val="fr-FR"/>
        </w:rPr>
        <w:t xml:space="preserve">typique. </w:t>
      </w:r>
    </w:p>
    <w:p w14:paraId="7593249B" w14:textId="6780F627" w:rsidR="00AC292B" w:rsidRPr="00953692" w:rsidRDefault="003F2222" w:rsidP="00864BBF">
      <w:pPr>
        <w:spacing w:after="0" w:line="276" w:lineRule="auto"/>
        <w:ind w:firstLine="1134"/>
        <w:jc w:val="both"/>
        <w:rPr>
          <w:rFonts w:cs="Times New Roman"/>
          <w:sz w:val="24"/>
          <w:szCs w:val="24"/>
          <w:lang w:val="fr-FR"/>
        </w:rPr>
      </w:pPr>
      <w:r w:rsidRPr="00953692">
        <w:rPr>
          <w:rFonts w:cs="Times New Roman"/>
          <w:b/>
          <w:bCs/>
          <w:sz w:val="24"/>
          <w:szCs w:val="24"/>
          <w:lang w:val="fr-FR"/>
        </w:rPr>
        <w:t>436</w:t>
      </w:r>
      <w:r w:rsidR="00582178" w:rsidRPr="00953692">
        <w:rPr>
          <w:rFonts w:cs="Times New Roman"/>
          <w:b/>
          <w:bCs/>
          <w:sz w:val="24"/>
          <w:szCs w:val="24"/>
          <w:lang w:val="fr-FR"/>
        </w:rPr>
        <w:t>.</w:t>
      </w:r>
      <w:r w:rsidR="00582178" w:rsidRPr="00953692">
        <w:rPr>
          <w:rFonts w:cs="Times New Roman"/>
          <w:sz w:val="24"/>
          <w:szCs w:val="24"/>
          <w:lang w:val="fr-FR"/>
        </w:rPr>
        <w:t xml:space="preserve"> </w:t>
      </w:r>
      <w:r w:rsidR="00C976CD" w:rsidRPr="00953692">
        <w:rPr>
          <w:rFonts w:cs="Times New Roman"/>
          <w:sz w:val="24"/>
          <w:szCs w:val="24"/>
          <w:lang w:val="fr-FR"/>
        </w:rPr>
        <w:t>Dans l’affaire Ntahobali</w:t>
      </w:r>
      <w:r w:rsidR="00A87A5E" w:rsidRPr="00953692">
        <w:rPr>
          <w:rFonts w:cs="Times New Roman"/>
          <w:sz w:val="24"/>
          <w:szCs w:val="24"/>
          <w:lang w:val="fr-FR"/>
        </w:rPr>
        <w:t>, après une déposition du témoin à charge QCB</w:t>
      </w:r>
      <w:r w:rsidR="008921EE" w:rsidRPr="00953692">
        <w:rPr>
          <w:rFonts w:cs="Times New Roman"/>
          <w:sz w:val="24"/>
          <w:szCs w:val="24"/>
          <w:lang w:val="fr-FR"/>
        </w:rPr>
        <w:t xml:space="preserve">, </w:t>
      </w:r>
      <w:r w:rsidR="00A87A5E" w:rsidRPr="00953692">
        <w:rPr>
          <w:rFonts w:cs="Times New Roman"/>
          <w:sz w:val="24"/>
          <w:szCs w:val="24"/>
          <w:lang w:val="fr-FR"/>
        </w:rPr>
        <w:t>du 20 mars au 3 avril 2002, la Défense</w:t>
      </w:r>
      <w:r w:rsidR="008921EE" w:rsidRPr="00953692">
        <w:rPr>
          <w:rFonts w:cs="Times New Roman"/>
          <w:sz w:val="24"/>
          <w:szCs w:val="24"/>
          <w:lang w:val="fr-FR"/>
        </w:rPr>
        <w:t xml:space="preserve"> </w:t>
      </w:r>
      <w:r w:rsidR="00A87A5E" w:rsidRPr="00953692">
        <w:rPr>
          <w:rFonts w:cs="Times New Roman"/>
          <w:sz w:val="24"/>
          <w:szCs w:val="24"/>
          <w:lang w:val="fr-FR"/>
        </w:rPr>
        <w:t>demanda sans obtenir gain de cause à la Chambre préliminaire</w:t>
      </w:r>
      <w:r w:rsidR="006911BF" w:rsidRPr="00953692">
        <w:rPr>
          <w:rFonts w:cs="Times New Roman"/>
          <w:sz w:val="24"/>
          <w:szCs w:val="24"/>
          <w:lang w:val="fr-FR"/>
        </w:rPr>
        <w:t>,</w:t>
      </w:r>
      <w:r w:rsidR="00A87A5E" w:rsidRPr="00953692">
        <w:rPr>
          <w:rFonts w:cs="Times New Roman"/>
          <w:sz w:val="24"/>
          <w:szCs w:val="24"/>
          <w:lang w:val="fr-FR"/>
        </w:rPr>
        <w:t xml:space="preserve"> de rappeler pour un nouveau contre</w:t>
      </w:r>
      <w:r w:rsidR="006911BF" w:rsidRPr="00953692">
        <w:rPr>
          <w:rFonts w:cs="Times New Roman"/>
          <w:sz w:val="24"/>
          <w:szCs w:val="24"/>
          <w:lang w:val="fr-FR"/>
        </w:rPr>
        <w:t>-</w:t>
      </w:r>
      <w:r w:rsidR="00A87A5E" w:rsidRPr="00953692">
        <w:rPr>
          <w:rFonts w:cs="Times New Roman"/>
          <w:sz w:val="24"/>
          <w:szCs w:val="24"/>
          <w:lang w:val="fr-FR"/>
        </w:rPr>
        <w:t xml:space="preserve">interrogatoire ce témoin plus de 6 ans après, soit le </w:t>
      </w:r>
      <w:r w:rsidR="00B9213F" w:rsidRPr="00953692">
        <w:rPr>
          <w:rFonts w:cs="Times New Roman"/>
          <w:sz w:val="24"/>
          <w:szCs w:val="24"/>
          <w:lang w:val="fr-FR"/>
        </w:rPr>
        <w:t>20</w:t>
      </w:r>
      <w:r w:rsidR="00A87A5E" w:rsidRPr="00953692">
        <w:rPr>
          <w:rFonts w:cs="Times New Roman"/>
          <w:sz w:val="24"/>
          <w:szCs w:val="24"/>
          <w:lang w:val="fr-FR"/>
        </w:rPr>
        <w:t xml:space="preserve"> novembre 2008. Le</w:t>
      </w:r>
      <w:r w:rsidR="00B9213F" w:rsidRPr="00953692">
        <w:rPr>
          <w:rFonts w:cs="Times New Roman"/>
          <w:sz w:val="24"/>
          <w:szCs w:val="24"/>
          <w:lang w:val="fr-FR"/>
        </w:rPr>
        <w:t xml:space="preserve"> 9 décembre 2008</w:t>
      </w:r>
      <w:r w:rsidR="00A87A5E" w:rsidRPr="00953692">
        <w:rPr>
          <w:rFonts w:cs="Times New Roman"/>
          <w:sz w:val="24"/>
          <w:szCs w:val="24"/>
          <w:lang w:val="fr-FR"/>
        </w:rPr>
        <w:t xml:space="preserve"> la Chambre rejette une demande </w:t>
      </w:r>
      <w:bookmarkStart w:id="94" w:name="_Hlk118071877"/>
      <w:r w:rsidR="00A87A5E" w:rsidRPr="00953692">
        <w:rPr>
          <w:rFonts w:cs="Times New Roman"/>
          <w:sz w:val="24"/>
          <w:szCs w:val="24"/>
          <w:lang w:val="fr-FR"/>
        </w:rPr>
        <w:t>en certification d’appel</w:t>
      </w:r>
      <w:r w:rsidR="00B9213F" w:rsidRPr="00953692">
        <w:rPr>
          <w:rFonts w:cs="Times New Roman"/>
          <w:sz w:val="24"/>
          <w:szCs w:val="24"/>
          <w:lang w:val="fr-FR"/>
        </w:rPr>
        <w:t xml:space="preserve"> de la décision du 20 novembre</w:t>
      </w:r>
      <w:r w:rsidR="00BC547F" w:rsidRPr="00953692">
        <w:rPr>
          <w:rFonts w:cs="Times New Roman"/>
          <w:sz w:val="24"/>
          <w:szCs w:val="24"/>
          <w:lang w:val="fr-FR"/>
        </w:rPr>
        <w:t xml:space="preserve"> 2008</w:t>
      </w:r>
      <w:bookmarkEnd w:id="94"/>
      <w:r w:rsidR="00A87A5E" w:rsidRPr="00953692">
        <w:rPr>
          <w:rFonts w:cs="Times New Roman"/>
          <w:sz w:val="24"/>
          <w:szCs w:val="24"/>
          <w:lang w:val="fr-FR"/>
        </w:rPr>
        <w:t xml:space="preserve">, </w:t>
      </w:r>
      <w:r w:rsidR="008921EE" w:rsidRPr="00953692">
        <w:rPr>
          <w:rFonts w:cs="Times New Roman"/>
          <w:sz w:val="24"/>
          <w:szCs w:val="24"/>
          <w:lang w:val="fr-FR"/>
        </w:rPr>
        <w:t xml:space="preserve">alors </w:t>
      </w:r>
      <w:r w:rsidR="00A87A5E" w:rsidRPr="00953692">
        <w:rPr>
          <w:rFonts w:cs="Times New Roman"/>
          <w:sz w:val="24"/>
          <w:szCs w:val="24"/>
          <w:lang w:val="fr-FR"/>
        </w:rPr>
        <w:t>que le</w:t>
      </w:r>
      <w:r w:rsidR="00B9213F" w:rsidRPr="00953692">
        <w:rPr>
          <w:rFonts w:cs="Times New Roman"/>
          <w:sz w:val="24"/>
          <w:szCs w:val="24"/>
          <w:lang w:val="fr-FR"/>
        </w:rPr>
        <w:t xml:space="preserve"> même jour</w:t>
      </w:r>
      <w:r w:rsidR="00C73616" w:rsidRPr="00953692">
        <w:rPr>
          <w:rFonts w:cs="Times New Roman"/>
          <w:sz w:val="24"/>
          <w:szCs w:val="24"/>
          <w:lang w:val="fr-FR"/>
        </w:rPr>
        <w:t xml:space="preserve"> la </w:t>
      </w:r>
      <w:r w:rsidR="008921EE" w:rsidRPr="00953692">
        <w:rPr>
          <w:rFonts w:cs="Times New Roman"/>
          <w:sz w:val="24"/>
          <w:szCs w:val="24"/>
          <w:lang w:val="fr-FR"/>
        </w:rPr>
        <w:t>C</w:t>
      </w:r>
      <w:r w:rsidR="00C73616" w:rsidRPr="00953692">
        <w:rPr>
          <w:rFonts w:cs="Times New Roman"/>
          <w:sz w:val="24"/>
          <w:szCs w:val="24"/>
          <w:lang w:val="fr-FR"/>
        </w:rPr>
        <w:t>hambre rejeta</w:t>
      </w:r>
      <w:r w:rsidR="00F066D0" w:rsidRPr="00953692">
        <w:rPr>
          <w:rFonts w:cs="Times New Roman"/>
          <w:sz w:val="24"/>
          <w:szCs w:val="24"/>
          <w:lang w:val="fr-FR"/>
        </w:rPr>
        <w:t>it</w:t>
      </w:r>
      <w:r w:rsidR="00C73616" w:rsidRPr="00953692">
        <w:rPr>
          <w:rFonts w:cs="Times New Roman"/>
          <w:sz w:val="24"/>
          <w:szCs w:val="24"/>
          <w:lang w:val="fr-FR"/>
        </w:rPr>
        <w:t xml:space="preserve"> une nouvell</w:t>
      </w:r>
      <w:r w:rsidR="00B9213F" w:rsidRPr="00953692">
        <w:rPr>
          <w:rFonts w:cs="Times New Roman"/>
          <w:sz w:val="24"/>
          <w:szCs w:val="24"/>
          <w:lang w:val="fr-FR"/>
        </w:rPr>
        <w:t>e requête en reconsidération de ladite décision</w:t>
      </w:r>
      <w:r w:rsidR="00C73616" w:rsidRPr="00953692">
        <w:rPr>
          <w:rFonts w:cs="Times New Roman"/>
          <w:sz w:val="24"/>
          <w:szCs w:val="24"/>
          <w:lang w:val="fr-FR"/>
        </w:rPr>
        <w:t>. Le 11 décembre</w:t>
      </w:r>
      <w:r w:rsidR="006911BF" w:rsidRPr="00953692">
        <w:rPr>
          <w:rFonts w:cs="Times New Roman"/>
          <w:sz w:val="24"/>
          <w:szCs w:val="24"/>
          <w:lang w:val="fr-FR"/>
        </w:rPr>
        <w:t>,</w:t>
      </w:r>
      <w:r w:rsidR="00C73616" w:rsidRPr="00953692">
        <w:rPr>
          <w:rFonts w:cs="Times New Roman"/>
          <w:sz w:val="24"/>
          <w:szCs w:val="24"/>
          <w:lang w:val="fr-FR"/>
        </w:rPr>
        <w:t xml:space="preserve"> l’accusé a déposé une demande en certification d’appel de la décision rejetant la requête en reconsidération de la décision du 20 novembre 2008</w:t>
      </w:r>
      <w:r w:rsidR="00A3146F" w:rsidRPr="00953692">
        <w:rPr>
          <w:rStyle w:val="Appelnotedebasdep"/>
          <w:rFonts w:cs="Times New Roman"/>
          <w:sz w:val="24"/>
          <w:szCs w:val="24"/>
          <w:lang w:val="fr-FR"/>
        </w:rPr>
        <w:footnoteReference w:customMarkFollows="1" w:id="334"/>
        <w:t>309</w:t>
      </w:r>
      <w:r w:rsidR="00C73616" w:rsidRPr="00953692">
        <w:rPr>
          <w:rFonts w:cs="Times New Roman"/>
          <w:sz w:val="24"/>
          <w:szCs w:val="24"/>
          <w:lang w:val="fr-FR"/>
        </w:rPr>
        <w:t xml:space="preserve">. </w:t>
      </w:r>
      <w:r w:rsidR="00BD096F" w:rsidRPr="00953692">
        <w:rPr>
          <w:rFonts w:cs="Times New Roman"/>
          <w:sz w:val="24"/>
          <w:szCs w:val="24"/>
          <w:lang w:val="fr-FR"/>
        </w:rPr>
        <w:t xml:space="preserve">On peut donc </w:t>
      </w:r>
      <w:r w:rsidR="00582178" w:rsidRPr="00953692">
        <w:rPr>
          <w:rFonts w:cs="Times New Roman"/>
          <w:sz w:val="24"/>
          <w:szCs w:val="24"/>
          <w:lang w:val="fr-FR"/>
        </w:rPr>
        <w:t>clairement</w:t>
      </w:r>
      <w:r w:rsidR="009C64F4" w:rsidRPr="00953692">
        <w:rPr>
          <w:rFonts w:cs="Times New Roman"/>
          <w:sz w:val="24"/>
          <w:szCs w:val="24"/>
          <w:lang w:val="fr-FR"/>
        </w:rPr>
        <w:t xml:space="preserve"> constater</w:t>
      </w:r>
      <w:r w:rsidR="00582178" w:rsidRPr="00953692">
        <w:rPr>
          <w:rFonts w:cs="Times New Roman"/>
          <w:sz w:val="24"/>
          <w:szCs w:val="24"/>
          <w:lang w:val="fr-FR"/>
        </w:rPr>
        <w:t xml:space="preserve"> cette </w:t>
      </w:r>
      <w:r w:rsidR="0098389F" w:rsidRPr="00953692">
        <w:rPr>
          <w:rFonts w:cs="Times New Roman"/>
          <w:sz w:val="24"/>
          <w:szCs w:val="24"/>
          <w:lang w:val="fr-FR"/>
        </w:rPr>
        <w:t xml:space="preserve">opiniâtreté de l’accusé qui </w:t>
      </w:r>
      <w:r w:rsidR="00D577FC" w:rsidRPr="00953692">
        <w:rPr>
          <w:rFonts w:cs="Times New Roman"/>
          <w:sz w:val="24"/>
          <w:szCs w:val="24"/>
          <w:lang w:val="fr-FR"/>
        </w:rPr>
        <w:t xml:space="preserve">reprochait au fond à la </w:t>
      </w:r>
      <w:r w:rsidR="008921EE" w:rsidRPr="00953692">
        <w:rPr>
          <w:rFonts w:cs="Times New Roman"/>
          <w:sz w:val="24"/>
          <w:szCs w:val="24"/>
          <w:lang w:val="fr-FR"/>
        </w:rPr>
        <w:t>C</w:t>
      </w:r>
      <w:r w:rsidR="00D577FC" w:rsidRPr="00953692">
        <w:rPr>
          <w:rFonts w:cs="Times New Roman"/>
          <w:sz w:val="24"/>
          <w:szCs w:val="24"/>
          <w:lang w:val="fr-FR"/>
        </w:rPr>
        <w:t xml:space="preserve">hambre de lui refuser sans fondement </w:t>
      </w:r>
      <w:r w:rsidR="008921EE" w:rsidRPr="00953692">
        <w:rPr>
          <w:rFonts w:cs="Times New Roman"/>
          <w:sz w:val="24"/>
          <w:szCs w:val="24"/>
          <w:lang w:val="fr-FR"/>
        </w:rPr>
        <w:t xml:space="preserve">de faire droit à </w:t>
      </w:r>
      <w:r w:rsidR="00D577FC" w:rsidRPr="00953692">
        <w:rPr>
          <w:rFonts w:cs="Times New Roman"/>
          <w:sz w:val="24"/>
          <w:szCs w:val="24"/>
          <w:lang w:val="fr-FR"/>
        </w:rPr>
        <w:t>sa requête du 20 novembre 2008</w:t>
      </w:r>
      <w:r w:rsidR="0010598E" w:rsidRPr="00953692">
        <w:rPr>
          <w:rFonts w:cs="Times New Roman"/>
          <w:sz w:val="24"/>
          <w:szCs w:val="24"/>
          <w:lang w:val="fr-FR"/>
        </w:rPr>
        <w:t>,</w:t>
      </w:r>
      <w:r w:rsidR="00582178" w:rsidRPr="00953692">
        <w:rPr>
          <w:rFonts w:cs="Times New Roman"/>
          <w:sz w:val="24"/>
          <w:szCs w:val="24"/>
          <w:lang w:val="fr-FR"/>
        </w:rPr>
        <w:t xml:space="preserve"> relative à la contre-interrogation du témoin QCB</w:t>
      </w:r>
      <w:r w:rsidR="00D577FC" w:rsidRPr="00953692">
        <w:rPr>
          <w:rFonts w:cs="Times New Roman"/>
          <w:sz w:val="24"/>
          <w:szCs w:val="24"/>
          <w:lang w:val="fr-FR"/>
        </w:rPr>
        <w:t xml:space="preserve">. </w:t>
      </w:r>
      <w:r w:rsidR="00537683" w:rsidRPr="00953692">
        <w:rPr>
          <w:rFonts w:cs="Times New Roman"/>
          <w:sz w:val="24"/>
          <w:szCs w:val="24"/>
          <w:lang w:val="fr-FR"/>
        </w:rPr>
        <w:t xml:space="preserve">En fait, pour la Défense, « un règlement immédiat par la Chambre d'appel pourrait concrètement faire progresser la procédure ; </w:t>
      </w:r>
      <w:r w:rsidR="0010598E" w:rsidRPr="00953692">
        <w:rPr>
          <w:rFonts w:cs="Times New Roman"/>
          <w:sz w:val="24"/>
          <w:szCs w:val="24"/>
          <w:lang w:val="fr-FR"/>
        </w:rPr>
        <w:t>car selon elle, le fait d’</w:t>
      </w:r>
      <w:r w:rsidR="00537683" w:rsidRPr="00953692">
        <w:rPr>
          <w:rFonts w:cs="Times New Roman"/>
          <w:sz w:val="24"/>
          <w:szCs w:val="24"/>
          <w:lang w:val="fr-FR"/>
        </w:rPr>
        <w:t xml:space="preserve">attendre que la question soit réglée </w:t>
      </w:r>
      <w:r w:rsidR="00946E07" w:rsidRPr="00953692">
        <w:rPr>
          <w:rFonts w:cs="Times New Roman"/>
          <w:sz w:val="24"/>
          <w:szCs w:val="24"/>
          <w:lang w:val="fr-FR"/>
        </w:rPr>
        <w:t>à</w:t>
      </w:r>
      <w:r w:rsidR="00537683" w:rsidRPr="00953692">
        <w:rPr>
          <w:rFonts w:cs="Times New Roman"/>
          <w:sz w:val="24"/>
          <w:szCs w:val="24"/>
          <w:lang w:val="fr-FR"/>
        </w:rPr>
        <w:t xml:space="preserve"> la phase d</w:t>
      </w:r>
      <w:r w:rsidR="0010598E" w:rsidRPr="00953692">
        <w:rPr>
          <w:rFonts w:cs="Times New Roman"/>
          <w:sz w:val="24"/>
          <w:szCs w:val="24"/>
          <w:lang w:val="fr-FR"/>
        </w:rPr>
        <w:t>’</w:t>
      </w:r>
      <w:r w:rsidR="00537683" w:rsidRPr="00953692">
        <w:rPr>
          <w:rFonts w:cs="Times New Roman"/>
          <w:sz w:val="24"/>
          <w:szCs w:val="24"/>
          <w:lang w:val="fr-FR"/>
        </w:rPr>
        <w:t>arrêt retarderait le procès de l</w:t>
      </w:r>
      <w:r w:rsidR="0010598E" w:rsidRPr="00953692">
        <w:rPr>
          <w:rFonts w:cs="Times New Roman"/>
          <w:sz w:val="24"/>
          <w:szCs w:val="24"/>
          <w:lang w:val="fr-FR"/>
        </w:rPr>
        <w:t>’</w:t>
      </w:r>
      <w:r w:rsidR="00537683" w:rsidRPr="00953692">
        <w:rPr>
          <w:rFonts w:cs="Times New Roman"/>
          <w:sz w:val="24"/>
          <w:szCs w:val="24"/>
          <w:lang w:val="fr-FR"/>
        </w:rPr>
        <w:t>accuse »</w:t>
      </w:r>
      <w:r w:rsidR="00A3146F" w:rsidRPr="00953692">
        <w:rPr>
          <w:rStyle w:val="Appelnotedebasdep"/>
          <w:rFonts w:cs="Times New Roman"/>
          <w:sz w:val="24"/>
          <w:szCs w:val="24"/>
          <w:lang w:val="fr-FR"/>
        </w:rPr>
        <w:footnoteReference w:customMarkFollows="1" w:id="335"/>
        <w:t>310</w:t>
      </w:r>
      <w:r w:rsidR="00537683" w:rsidRPr="00953692">
        <w:rPr>
          <w:rFonts w:cs="Times New Roman"/>
          <w:sz w:val="24"/>
          <w:szCs w:val="24"/>
          <w:lang w:val="fr-FR"/>
        </w:rPr>
        <w:t>.</w:t>
      </w:r>
    </w:p>
    <w:p w14:paraId="761B39CC" w14:textId="595C217B" w:rsidR="00BC547F" w:rsidRPr="00953692" w:rsidRDefault="003F2222" w:rsidP="00864BBF">
      <w:pPr>
        <w:spacing w:line="276" w:lineRule="auto"/>
        <w:ind w:firstLine="1134"/>
        <w:jc w:val="both"/>
        <w:rPr>
          <w:sz w:val="24"/>
          <w:szCs w:val="24"/>
          <w:lang w:val="fr-FR"/>
        </w:rPr>
      </w:pPr>
      <w:r w:rsidRPr="00953692">
        <w:rPr>
          <w:b/>
          <w:bCs/>
          <w:sz w:val="24"/>
          <w:szCs w:val="24"/>
          <w:lang w:val="fr-FR"/>
        </w:rPr>
        <w:t>437</w:t>
      </w:r>
      <w:r w:rsidR="00582178" w:rsidRPr="00953692">
        <w:rPr>
          <w:b/>
          <w:bCs/>
          <w:sz w:val="24"/>
          <w:szCs w:val="24"/>
          <w:lang w:val="fr-FR"/>
        </w:rPr>
        <w:t>.</w:t>
      </w:r>
      <w:r w:rsidR="00582178" w:rsidRPr="00953692">
        <w:rPr>
          <w:sz w:val="24"/>
          <w:szCs w:val="24"/>
          <w:lang w:val="fr-FR"/>
        </w:rPr>
        <w:t xml:space="preserve"> </w:t>
      </w:r>
      <w:r w:rsidR="00AC292B" w:rsidRPr="00953692">
        <w:rPr>
          <w:sz w:val="24"/>
          <w:szCs w:val="24"/>
          <w:lang w:val="fr-FR"/>
        </w:rPr>
        <w:t>La Chambre</w:t>
      </w:r>
      <w:r w:rsidR="00A3146F" w:rsidRPr="00953692">
        <w:rPr>
          <w:rStyle w:val="Appelnotedebasdep"/>
          <w:sz w:val="24"/>
          <w:szCs w:val="24"/>
          <w:lang w:val="fr-FR"/>
        </w:rPr>
        <w:footnoteReference w:customMarkFollows="1" w:id="336"/>
        <w:t>311</w:t>
      </w:r>
      <w:r w:rsidR="00AC292B" w:rsidRPr="00953692">
        <w:rPr>
          <w:sz w:val="24"/>
          <w:szCs w:val="24"/>
          <w:lang w:val="fr-FR"/>
        </w:rPr>
        <w:t xml:space="preserve"> a </w:t>
      </w:r>
      <w:r w:rsidR="008E72B6" w:rsidRPr="00953692">
        <w:rPr>
          <w:sz w:val="24"/>
          <w:szCs w:val="24"/>
          <w:lang w:val="fr-FR"/>
        </w:rPr>
        <w:t xml:space="preserve">d’abord </w:t>
      </w:r>
      <w:r w:rsidR="00AC292B" w:rsidRPr="00953692">
        <w:rPr>
          <w:sz w:val="24"/>
          <w:szCs w:val="24"/>
          <w:lang w:val="fr-FR"/>
        </w:rPr>
        <w:t>rappelé</w:t>
      </w:r>
      <w:r w:rsidR="001C0DA1" w:rsidRPr="00953692">
        <w:rPr>
          <w:sz w:val="24"/>
          <w:szCs w:val="24"/>
          <w:lang w:val="fr-FR"/>
        </w:rPr>
        <w:t xml:space="preserve"> </w:t>
      </w:r>
      <w:r w:rsidR="00AC292B" w:rsidRPr="00953692">
        <w:rPr>
          <w:sz w:val="24"/>
          <w:szCs w:val="24"/>
          <w:lang w:val="fr-FR"/>
        </w:rPr>
        <w:t>que ce genre des requêtes ne sont pas susceptibles d’appel interlocutoire à moins que la Chambre estime</w:t>
      </w:r>
      <w:r w:rsidR="00D577FC" w:rsidRPr="00953692">
        <w:rPr>
          <w:sz w:val="24"/>
          <w:szCs w:val="24"/>
          <w:lang w:val="fr-FR"/>
        </w:rPr>
        <w:t xml:space="preserve"> </w:t>
      </w:r>
      <w:r w:rsidR="00AC292B" w:rsidRPr="00953692">
        <w:rPr>
          <w:sz w:val="24"/>
          <w:szCs w:val="24"/>
          <w:lang w:val="fr-FR"/>
        </w:rPr>
        <w:t xml:space="preserve">que la décision touche </w:t>
      </w:r>
      <w:r w:rsidR="0010598E" w:rsidRPr="00953692">
        <w:rPr>
          <w:sz w:val="24"/>
          <w:szCs w:val="24"/>
          <w:lang w:val="fr-FR"/>
        </w:rPr>
        <w:t xml:space="preserve">à </w:t>
      </w:r>
      <w:r w:rsidR="00AC292B" w:rsidRPr="00953692">
        <w:rPr>
          <w:sz w:val="24"/>
          <w:szCs w:val="24"/>
          <w:lang w:val="fr-FR"/>
        </w:rPr>
        <w:t>une question susceptible de compromettre sensiblement l’équité et la rapidité du procès, ou son issue, et que son règlement immédiat par la Chambre d’appel pourrait concrètement faire progresser la procédure, tel que le prévoit l’article 73B du RPP.</w:t>
      </w:r>
      <w:r w:rsidR="001C0DA1" w:rsidRPr="00953692">
        <w:rPr>
          <w:sz w:val="24"/>
          <w:szCs w:val="24"/>
          <w:lang w:val="fr-FR"/>
        </w:rPr>
        <w:t xml:space="preserve"> Ensuite, interprétant cette disposition, elle relève le pouvoir discrétionnaire qui lui est dévolu en matière de certification d’appel</w:t>
      </w:r>
      <w:r w:rsidR="00B0706C" w:rsidRPr="00953692">
        <w:rPr>
          <w:sz w:val="24"/>
          <w:szCs w:val="24"/>
          <w:lang w:val="fr-FR"/>
        </w:rPr>
        <w:t>, avant de constater que l’accusé n’a pas démontré qu’un règlement immédiat par la Chambre d’appel influencerait fondamentalement le procès.</w:t>
      </w:r>
      <w:r w:rsidR="00855B68" w:rsidRPr="00953692">
        <w:rPr>
          <w:sz w:val="24"/>
          <w:szCs w:val="24"/>
          <w:lang w:val="fr-FR"/>
        </w:rPr>
        <w:t xml:space="preserve"> Enfin, la Chambre</w:t>
      </w:r>
      <w:r w:rsidR="002B143A" w:rsidRPr="00953692">
        <w:rPr>
          <w:sz w:val="24"/>
          <w:szCs w:val="24"/>
          <w:lang w:val="fr-FR"/>
        </w:rPr>
        <w:t xml:space="preserve"> finit par</w:t>
      </w:r>
      <w:r w:rsidR="00855B68" w:rsidRPr="00953692">
        <w:rPr>
          <w:sz w:val="24"/>
          <w:szCs w:val="24"/>
          <w:lang w:val="fr-FR"/>
        </w:rPr>
        <w:t xml:space="preserve"> établi</w:t>
      </w:r>
      <w:r w:rsidR="002B143A" w:rsidRPr="00953692">
        <w:rPr>
          <w:sz w:val="24"/>
          <w:szCs w:val="24"/>
          <w:lang w:val="fr-FR"/>
        </w:rPr>
        <w:t>r</w:t>
      </w:r>
      <w:r w:rsidR="00855B68" w:rsidRPr="00953692">
        <w:rPr>
          <w:sz w:val="24"/>
          <w:szCs w:val="24"/>
          <w:lang w:val="fr-FR"/>
        </w:rPr>
        <w:t xml:space="preserve"> un abus de procédure dans le chef de la Défense</w:t>
      </w:r>
      <w:r w:rsidR="00BC547F" w:rsidRPr="00953692">
        <w:rPr>
          <w:sz w:val="24"/>
          <w:szCs w:val="24"/>
          <w:lang w:val="fr-FR"/>
        </w:rPr>
        <w:t>. En fait, déjà dans sa décision du 9 décembre 2008</w:t>
      </w:r>
      <w:r w:rsidR="002B143A" w:rsidRPr="00953692">
        <w:rPr>
          <w:sz w:val="24"/>
          <w:szCs w:val="24"/>
          <w:lang w:val="fr-FR"/>
        </w:rPr>
        <w:t>,</w:t>
      </w:r>
      <w:r w:rsidR="00BC547F" w:rsidRPr="00953692">
        <w:rPr>
          <w:sz w:val="24"/>
          <w:szCs w:val="24"/>
          <w:lang w:val="fr-FR"/>
        </w:rPr>
        <w:t xml:space="preserve"> en certification d’appel de la décision du 20 novembre 2008, </w:t>
      </w:r>
      <w:r w:rsidR="00946E07" w:rsidRPr="00953692">
        <w:rPr>
          <w:sz w:val="24"/>
          <w:szCs w:val="24"/>
          <w:lang w:val="fr-FR"/>
        </w:rPr>
        <w:t xml:space="preserve">qui a été rappelée dans cette décision du 14 janvier 2009, </w:t>
      </w:r>
      <w:r w:rsidR="00BC547F" w:rsidRPr="00953692">
        <w:rPr>
          <w:sz w:val="24"/>
          <w:szCs w:val="24"/>
          <w:lang w:val="fr-FR"/>
        </w:rPr>
        <w:t>la Chambre a</w:t>
      </w:r>
      <w:r w:rsidR="002B143A" w:rsidRPr="00953692">
        <w:rPr>
          <w:sz w:val="24"/>
          <w:szCs w:val="24"/>
          <w:lang w:val="fr-FR"/>
        </w:rPr>
        <w:t>vait</w:t>
      </w:r>
      <w:r w:rsidR="00BC547F" w:rsidRPr="00953692">
        <w:rPr>
          <w:sz w:val="24"/>
          <w:szCs w:val="24"/>
          <w:lang w:val="fr-FR"/>
        </w:rPr>
        <w:t xml:space="preserve"> averti la Défense en ces termes : </w:t>
      </w:r>
    </w:p>
    <w:p w14:paraId="1D48EEB8" w14:textId="107E500C" w:rsidR="00BC547F" w:rsidRPr="00953692" w:rsidRDefault="00072A20" w:rsidP="00864BBF">
      <w:pPr>
        <w:spacing w:line="276" w:lineRule="auto"/>
        <w:ind w:left="1134" w:firstLine="1134"/>
        <w:jc w:val="both"/>
        <w:rPr>
          <w:i/>
          <w:iCs/>
          <w:sz w:val="22"/>
          <w:lang w:val="fr-FR"/>
        </w:rPr>
      </w:pPr>
      <w:r w:rsidRPr="00953692">
        <w:rPr>
          <w:i/>
          <w:iCs/>
          <w:sz w:val="22"/>
          <w:lang w:val="fr-FR"/>
        </w:rPr>
        <w:t>« </w:t>
      </w:r>
      <w:r w:rsidR="00BC547F" w:rsidRPr="00953692">
        <w:rPr>
          <w:i/>
          <w:iCs/>
          <w:sz w:val="22"/>
          <w:lang w:val="fr-FR"/>
        </w:rPr>
        <w:t>La Chambre rappelle que la Défense de Ntahobali a déposé une requête en réexamen de la décision attaquée le 25 novembre 2008</w:t>
      </w:r>
      <w:r w:rsidRPr="00953692">
        <w:rPr>
          <w:i/>
          <w:iCs/>
          <w:sz w:val="22"/>
          <w:lang w:val="fr-FR"/>
        </w:rPr>
        <w:t>,</w:t>
      </w:r>
      <w:r w:rsidR="00BC547F" w:rsidRPr="00953692">
        <w:rPr>
          <w:i/>
          <w:iCs/>
          <w:sz w:val="22"/>
          <w:lang w:val="fr-FR"/>
        </w:rPr>
        <w:t xml:space="preserve"> et la présente requête en certification d'appel de la même décision le 27 novembre 2008. La Chambre considère que ces dépôts multiples concernant la même décision </w:t>
      </w:r>
      <w:r w:rsidR="00100C26" w:rsidRPr="00953692">
        <w:rPr>
          <w:i/>
          <w:iCs/>
          <w:sz w:val="22"/>
          <w:lang w:val="fr-FR"/>
        </w:rPr>
        <w:t>son</w:t>
      </w:r>
      <w:r w:rsidR="00A42978" w:rsidRPr="00953692">
        <w:rPr>
          <w:i/>
          <w:iCs/>
          <w:sz w:val="22"/>
          <w:lang w:val="fr-FR"/>
        </w:rPr>
        <w:t>t</w:t>
      </w:r>
      <w:r w:rsidR="00100C26" w:rsidRPr="00953692">
        <w:rPr>
          <w:i/>
          <w:iCs/>
          <w:sz w:val="22"/>
          <w:lang w:val="fr-FR"/>
        </w:rPr>
        <w:t xml:space="preserve"> </w:t>
      </w:r>
      <w:r w:rsidR="00100C26" w:rsidRPr="00953692">
        <w:rPr>
          <w:i/>
          <w:iCs/>
          <w:sz w:val="22"/>
          <w:lang w:val="fr-FR"/>
        </w:rPr>
        <w:lastRenderedPageBreak/>
        <w:t>frivoles</w:t>
      </w:r>
      <w:r w:rsidR="00BC547F" w:rsidRPr="00953692">
        <w:rPr>
          <w:i/>
          <w:iCs/>
          <w:sz w:val="22"/>
          <w:lang w:val="fr-FR"/>
        </w:rPr>
        <w:t xml:space="preserve"> </w:t>
      </w:r>
      <w:r w:rsidR="00100C26" w:rsidRPr="00953692">
        <w:rPr>
          <w:i/>
          <w:iCs/>
          <w:sz w:val="22"/>
          <w:lang w:val="fr-FR"/>
        </w:rPr>
        <w:t>et</w:t>
      </w:r>
      <w:r w:rsidR="00BC547F" w:rsidRPr="00953692">
        <w:rPr>
          <w:i/>
          <w:iCs/>
          <w:sz w:val="22"/>
          <w:lang w:val="fr-FR"/>
        </w:rPr>
        <w:t xml:space="preserve"> une perte de temps. La Chambre met donc en garde la Défense de Ntahobali contre le dépôt de requêtes frivoles et rappelle que de telles requêtes pourraient à l'avenir entraîner les sanctions prévues à l'article 73(F) du Règlement, telles que le non-paiement, en tout ou en partie, des frais associés à la requête et/ou les coûts de celle-ci</w:t>
      </w:r>
      <w:r w:rsidRPr="00953692">
        <w:rPr>
          <w:i/>
          <w:iCs/>
          <w:sz w:val="22"/>
          <w:lang w:val="fr-FR"/>
        </w:rPr>
        <w:t> »</w:t>
      </w:r>
      <w:r w:rsidR="00A3146F" w:rsidRPr="00953692">
        <w:rPr>
          <w:rStyle w:val="Appelnotedebasdep"/>
          <w:i/>
          <w:iCs/>
          <w:sz w:val="22"/>
          <w:lang w:val="fr-FR"/>
        </w:rPr>
        <w:footnoteReference w:customMarkFollows="1" w:id="337"/>
        <w:t>312</w:t>
      </w:r>
      <w:r w:rsidR="00BC547F" w:rsidRPr="00953692">
        <w:rPr>
          <w:i/>
          <w:iCs/>
          <w:sz w:val="22"/>
          <w:lang w:val="fr-FR"/>
        </w:rPr>
        <w:t>.</w:t>
      </w:r>
    </w:p>
    <w:p w14:paraId="2F1346F8" w14:textId="3A3BB04F" w:rsidR="00AF016A" w:rsidRPr="00953692" w:rsidRDefault="003F2222" w:rsidP="00864BBF">
      <w:pPr>
        <w:spacing w:after="0" w:line="276" w:lineRule="auto"/>
        <w:ind w:firstLine="1134"/>
        <w:jc w:val="both"/>
        <w:rPr>
          <w:sz w:val="24"/>
          <w:szCs w:val="24"/>
          <w:lang w:val="fr-FR"/>
        </w:rPr>
      </w:pPr>
      <w:r w:rsidRPr="00953692">
        <w:rPr>
          <w:b/>
          <w:bCs/>
          <w:sz w:val="24"/>
          <w:szCs w:val="24"/>
          <w:lang w:val="fr-FR"/>
        </w:rPr>
        <w:t>438</w:t>
      </w:r>
      <w:r w:rsidR="00582178" w:rsidRPr="00953692">
        <w:rPr>
          <w:b/>
          <w:bCs/>
          <w:sz w:val="24"/>
          <w:szCs w:val="24"/>
          <w:lang w:val="fr-FR"/>
        </w:rPr>
        <w:t>.</w:t>
      </w:r>
      <w:r w:rsidR="00582178" w:rsidRPr="00953692">
        <w:rPr>
          <w:sz w:val="24"/>
          <w:szCs w:val="24"/>
          <w:lang w:val="fr-FR"/>
        </w:rPr>
        <w:t xml:space="preserve"> </w:t>
      </w:r>
      <w:r w:rsidR="00BC547F" w:rsidRPr="00953692">
        <w:rPr>
          <w:sz w:val="24"/>
          <w:szCs w:val="24"/>
          <w:lang w:val="fr-FR"/>
        </w:rPr>
        <w:t xml:space="preserve">Il résulte de l’avis de la Chambre que, la multiplicité des requêtes se rapportant sur une même décision ou question déjà résolue est </w:t>
      </w:r>
      <w:r w:rsidR="00F73539" w:rsidRPr="00953692">
        <w:rPr>
          <w:sz w:val="24"/>
          <w:szCs w:val="24"/>
          <w:lang w:val="fr-FR"/>
        </w:rPr>
        <w:t xml:space="preserve">fantaisiste et constitutive d’un abus de procédure, passible des sanctions prévues à l’article 73 F. </w:t>
      </w:r>
      <w:r w:rsidR="00755CFE" w:rsidRPr="00953692">
        <w:rPr>
          <w:sz w:val="24"/>
          <w:szCs w:val="24"/>
          <w:lang w:val="fr-FR"/>
        </w:rPr>
        <w:t>L</w:t>
      </w:r>
      <w:r w:rsidR="00E02D09" w:rsidRPr="00953692">
        <w:rPr>
          <w:sz w:val="24"/>
          <w:szCs w:val="24"/>
          <w:lang w:val="fr-FR"/>
        </w:rPr>
        <w:t>e fondement de cette conclusion, c’est que les requêtes multiples sur un point déjà tranché</w:t>
      </w:r>
      <w:r w:rsidR="00E338BA" w:rsidRPr="00953692">
        <w:rPr>
          <w:sz w:val="24"/>
          <w:szCs w:val="24"/>
          <w:lang w:val="fr-FR"/>
        </w:rPr>
        <w:t xml:space="preserve"> ne sont</w:t>
      </w:r>
      <w:r w:rsidR="00E02D09" w:rsidRPr="00953692">
        <w:rPr>
          <w:sz w:val="24"/>
          <w:szCs w:val="24"/>
          <w:lang w:val="fr-FR"/>
        </w:rPr>
        <w:t xml:space="preserve"> </w:t>
      </w:r>
      <w:r w:rsidR="00B57DB6" w:rsidRPr="00953692">
        <w:rPr>
          <w:sz w:val="24"/>
          <w:szCs w:val="24"/>
          <w:lang w:val="fr-FR"/>
        </w:rPr>
        <w:t>qu’</w:t>
      </w:r>
      <w:r w:rsidR="00E02D09" w:rsidRPr="00953692">
        <w:rPr>
          <w:sz w:val="24"/>
          <w:szCs w:val="24"/>
          <w:lang w:val="fr-FR"/>
        </w:rPr>
        <w:t xml:space="preserve">une manière délibérée de gaspiller le temps du tribunal. Il y a </w:t>
      </w:r>
      <w:r w:rsidR="00946E07" w:rsidRPr="00953692">
        <w:rPr>
          <w:sz w:val="24"/>
          <w:szCs w:val="24"/>
          <w:lang w:val="fr-FR"/>
        </w:rPr>
        <w:t>possiblement</w:t>
      </w:r>
      <w:r w:rsidR="00E02D09" w:rsidRPr="00953692">
        <w:rPr>
          <w:sz w:val="24"/>
          <w:szCs w:val="24"/>
          <w:lang w:val="fr-FR"/>
        </w:rPr>
        <w:t xml:space="preserve"> un con</w:t>
      </w:r>
      <w:r w:rsidR="006E1125" w:rsidRPr="00953692">
        <w:rPr>
          <w:sz w:val="24"/>
          <w:szCs w:val="24"/>
          <w:lang w:val="fr-FR"/>
        </w:rPr>
        <w:t xml:space="preserve">traste </w:t>
      </w:r>
      <w:r w:rsidR="00D87AD3" w:rsidRPr="00953692">
        <w:rPr>
          <w:sz w:val="24"/>
          <w:szCs w:val="24"/>
          <w:lang w:val="fr-FR"/>
        </w:rPr>
        <w:t xml:space="preserve">dans cette accusation portée contre la Défense. Il est un peu </w:t>
      </w:r>
      <w:r w:rsidR="00076ABA" w:rsidRPr="00953692">
        <w:rPr>
          <w:sz w:val="24"/>
          <w:szCs w:val="24"/>
          <w:lang w:val="fr-FR"/>
        </w:rPr>
        <w:t>paradoxal</w:t>
      </w:r>
      <w:r w:rsidR="00D87AD3" w:rsidRPr="00953692">
        <w:rPr>
          <w:sz w:val="24"/>
          <w:szCs w:val="24"/>
          <w:lang w:val="fr-FR"/>
        </w:rPr>
        <w:t xml:space="preserve"> de penser que l’accusé cherche à faire perdre du temps au tribunal alors qu’il est lui-même censé </w:t>
      </w:r>
      <w:r w:rsidR="00076ABA" w:rsidRPr="00953692">
        <w:rPr>
          <w:sz w:val="24"/>
          <w:szCs w:val="24"/>
          <w:lang w:val="fr-FR"/>
        </w:rPr>
        <w:t>réclamer être jugé sans retard excessif.</w:t>
      </w:r>
      <w:r w:rsidR="00946E07" w:rsidRPr="00953692">
        <w:rPr>
          <w:sz w:val="24"/>
          <w:szCs w:val="24"/>
          <w:lang w:val="fr-FR"/>
        </w:rPr>
        <w:t xml:space="preserve"> Le sens </w:t>
      </w:r>
      <w:r w:rsidR="00582178" w:rsidRPr="00953692">
        <w:rPr>
          <w:sz w:val="24"/>
          <w:szCs w:val="24"/>
          <w:lang w:val="fr-FR"/>
        </w:rPr>
        <w:t>même</w:t>
      </w:r>
      <w:r w:rsidR="00946E07" w:rsidRPr="00953692">
        <w:rPr>
          <w:sz w:val="24"/>
          <w:szCs w:val="24"/>
          <w:lang w:val="fr-FR"/>
        </w:rPr>
        <w:t xml:space="preserve"> de sa démarche en certification d’appel était d’éviter tout retard qui surviendrait plus tard durant l’instance d’appel.</w:t>
      </w:r>
      <w:r w:rsidR="00582178" w:rsidRPr="00953692">
        <w:rPr>
          <w:sz w:val="24"/>
          <w:szCs w:val="24"/>
          <w:lang w:val="fr-FR"/>
        </w:rPr>
        <w:t xml:space="preserve"> Cependant, si l’on reste dans la logique de la Chambre de première instance, on dirait que, l’accusé fait (ou a fait</w:t>
      </w:r>
      <w:r w:rsidR="004F5A15" w:rsidRPr="00953692">
        <w:rPr>
          <w:sz w:val="24"/>
          <w:szCs w:val="24"/>
          <w:lang w:val="fr-FR"/>
        </w:rPr>
        <w:t xml:space="preserve"> ou encore ferait</w:t>
      </w:r>
      <w:r w:rsidR="00582178" w:rsidRPr="00953692">
        <w:rPr>
          <w:sz w:val="24"/>
          <w:szCs w:val="24"/>
          <w:lang w:val="fr-FR"/>
        </w:rPr>
        <w:t xml:space="preserve">) face à cette conflictualité entre son droit d’être jugé sans retard excessif et son droit de déposer autant des requêtes qu’il le souhaite. </w:t>
      </w:r>
    </w:p>
    <w:p w14:paraId="6781E0F6" w14:textId="320262B5" w:rsidR="00CE5B68" w:rsidRPr="00953692" w:rsidRDefault="003F2222" w:rsidP="00864BBF">
      <w:pPr>
        <w:spacing w:after="0" w:line="276" w:lineRule="auto"/>
        <w:ind w:firstLine="1134"/>
        <w:jc w:val="both"/>
        <w:rPr>
          <w:sz w:val="24"/>
          <w:szCs w:val="24"/>
          <w:lang w:val="fr-FR"/>
        </w:rPr>
      </w:pPr>
      <w:r w:rsidRPr="00953692">
        <w:rPr>
          <w:b/>
          <w:bCs/>
          <w:sz w:val="24"/>
          <w:szCs w:val="24"/>
          <w:lang w:val="fr-FR"/>
        </w:rPr>
        <w:t>439</w:t>
      </w:r>
      <w:r w:rsidR="00950083" w:rsidRPr="00953692">
        <w:rPr>
          <w:b/>
          <w:bCs/>
          <w:sz w:val="24"/>
          <w:szCs w:val="24"/>
          <w:lang w:val="fr-FR"/>
        </w:rPr>
        <w:t>.</w:t>
      </w:r>
      <w:r w:rsidR="00950083" w:rsidRPr="00953692">
        <w:rPr>
          <w:sz w:val="24"/>
          <w:szCs w:val="24"/>
          <w:lang w:val="fr-FR"/>
        </w:rPr>
        <w:t xml:space="preserve"> </w:t>
      </w:r>
      <w:r w:rsidR="00582178" w:rsidRPr="00953692">
        <w:rPr>
          <w:sz w:val="24"/>
          <w:szCs w:val="24"/>
          <w:lang w:val="fr-FR"/>
        </w:rPr>
        <w:t>E</w:t>
      </w:r>
      <w:r w:rsidR="000E0366" w:rsidRPr="00953692">
        <w:rPr>
          <w:sz w:val="24"/>
          <w:szCs w:val="24"/>
          <w:lang w:val="fr-FR"/>
        </w:rPr>
        <w:t>n réalité</w:t>
      </w:r>
      <w:r w:rsidR="00582178" w:rsidRPr="00953692">
        <w:rPr>
          <w:sz w:val="24"/>
          <w:szCs w:val="24"/>
          <w:lang w:val="fr-FR"/>
        </w:rPr>
        <w:t>, son souci de vouloir faire progresser l’affaire en sollicitant de la Chambre d’appel</w:t>
      </w:r>
      <w:r w:rsidR="00AE0EC6" w:rsidRPr="00953692">
        <w:rPr>
          <w:sz w:val="24"/>
          <w:szCs w:val="24"/>
          <w:lang w:val="fr-FR"/>
        </w:rPr>
        <w:t xml:space="preserve"> un règlement de cette demande incidente</w:t>
      </w:r>
      <w:r w:rsidR="00582178" w:rsidRPr="00953692">
        <w:rPr>
          <w:sz w:val="24"/>
          <w:szCs w:val="24"/>
          <w:lang w:val="fr-FR"/>
        </w:rPr>
        <w:t xml:space="preserve"> sera finalement considéré comme une perte de temps </w:t>
      </w:r>
      <w:r w:rsidR="004F5A15" w:rsidRPr="00953692">
        <w:rPr>
          <w:sz w:val="24"/>
          <w:szCs w:val="24"/>
          <w:lang w:val="fr-FR"/>
        </w:rPr>
        <w:t xml:space="preserve">en raison de </w:t>
      </w:r>
      <w:r w:rsidR="009C64F4" w:rsidRPr="00953692">
        <w:rPr>
          <w:sz w:val="24"/>
          <w:szCs w:val="24"/>
          <w:lang w:val="fr-FR"/>
        </w:rPr>
        <w:t>son caractère répétitif</w:t>
      </w:r>
      <w:r w:rsidR="00522C3D" w:rsidRPr="00953692">
        <w:rPr>
          <w:sz w:val="24"/>
          <w:szCs w:val="24"/>
          <w:lang w:val="fr-FR"/>
        </w:rPr>
        <w:t xml:space="preserve"> étant donné que la Chambre a déjà pris position notamment sur cette question-là</w:t>
      </w:r>
      <w:r w:rsidR="009C64F4" w:rsidRPr="00953692">
        <w:rPr>
          <w:sz w:val="24"/>
          <w:szCs w:val="24"/>
          <w:lang w:val="fr-FR"/>
        </w:rPr>
        <w:t>.</w:t>
      </w:r>
      <w:r w:rsidR="00AF016A" w:rsidRPr="00953692">
        <w:rPr>
          <w:sz w:val="24"/>
          <w:szCs w:val="24"/>
          <w:lang w:val="fr-FR"/>
        </w:rPr>
        <w:t xml:space="preserve"> Dans l’esprit de la Chambre</w:t>
      </w:r>
      <w:r w:rsidR="005F180D" w:rsidRPr="00953692">
        <w:rPr>
          <w:sz w:val="24"/>
          <w:szCs w:val="24"/>
          <w:lang w:val="fr-FR"/>
        </w:rPr>
        <w:t>,</w:t>
      </w:r>
      <w:r w:rsidR="00AF016A" w:rsidRPr="00953692">
        <w:rPr>
          <w:sz w:val="24"/>
          <w:szCs w:val="24"/>
          <w:lang w:val="fr-FR"/>
        </w:rPr>
        <w:t xml:space="preserve"> l’accusé ne voit pas le risque qu’il fait courir à la durée du procès</w:t>
      </w:r>
      <w:r w:rsidR="00950083" w:rsidRPr="00953692">
        <w:rPr>
          <w:sz w:val="24"/>
          <w:szCs w:val="24"/>
          <w:lang w:val="fr-FR"/>
        </w:rPr>
        <w:t xml:space="preserve"> en persistant dans sa prétention (précisément lorsqu’elle parle de perte du temps). Ce faisant, la conflictualité </w:t>
      </w:r>
      <w:r w:rsidR="00040A7E" w:rsidRPr="00953692">
        <w:rPr>
          <w:sz w:val="24"/>
          <w:szCs w:val="24"/>
          <w:lang w:val="fr-FR"/>
        </w:rPr>
        <w:t>entre ces droits de l’accusé s’expliquerait</w:t>
      </w:r>
      <w:r w:rsidR="00950083" w:rsidRPr="00953692">
        <w:rPr>
          <w:sz w:val="24"/>
          <w:szCs w:val="24"/>
          <w:lang w:val="fr-FR"/>
        </w:rPr>
        <w:t xml:space="preserve"> </w:t>
      </w:r>
      <w:r w:rsidR="00040A7E" w:rsidRPr="00953692">
        <w:rPr>
          <w:sz w:val="24"/>
          <w:szCs w:val="24"/>
          <w:lang w:val="fr-FR"/>
        </w:rPr>
        <w:t xml:space="preserve">par le fait </w:t>
      </w:r>
      <w:r w:rsidR="00950083" w:rsidRPr="00953692">
        <w:rPr>
          <w:sz w:val="24"/>
          <w:szCs w:val="24"/>
          <w:lang w:val="fr-FR"/>
        </w:rPr>
        <w:t>que l’accusé affaiblit la teneur de son propre droit d’être jugé sans retard excessif. Si la Chambre ne l’a pas fait remarquer expressément, il est évident que</w:t>
      </w:r>
      <w:r w:rsidR="00C7342A" w:rsidRPr="00953692">
        <w:rPr>
          <w:sz w:val="24"/>
          <w:szCs w:val="24"/>
          <w:lang w:val="fr-FR"/>
        </w:rPr>
        <w:t xml:space="preserve">, dans pareil cas, l’accusé n’aura </w:t>
      </w:r>
      <w:r w:rsidR="00E578E9" w:rsidRPr="00953692">
        <w:rPr>
          <w:sz w:val="24"/>
          <w:szCs w:val="24"/>
          <w:lang w:val="fr-FR"/>
        </w:rPr>
        <w:t xml:space="preserve">que </w:t>
      </w:r>
      <w:r w:rsidR="00C7342A" w:rsidRPr="00953692">
        <w:rPr>
          <w:sz w:val="24"/>
          <w:szCs w:val="24"/>
          <w:lang w:val="fr-FR"/>
        </w:rPr>
        <w:t>moins de chance de mettre en cause la durée du procès, considérant la période de son obstination, sanctionnée</w:t>
      </w:r>
      <w:r w:rsidR="00D57613" w:rsidRPr="00953692">
        <w:rPr>
          <w:sz w:val="24"/>
          <w:szCs w:val="24"/>
          <w:lang w:val="fr-FR"/>
        </w:rPr>
        <w:t xml:space="preserve"> d’ailleurs</w:t>
      </w:r>
      <w:r w:rsidR="00C7342A" w:rsidRPr="00953692">
        <w:rPr>
          <w:sz w:val="24"/>
          <w:szCs w:val="24"/>
          <w:lang w:val="fr-FR"/>
        </w:rPr>
        <w:t xml:space="preserve"> pour abus de procédure</w:t>
      </w:r>
      <w:r w:rsidR="00D57613" w:rsidRPr="00953692">
        <w:rPr>
          <w:sz w:val="24"/>
          <w:szCs w:val="24"/>
          <w:lang w:val="fr-FR"/>
        </w:rPr>
        <w:t>, fondé sur la frivolité</w:t>
      </w:r>
      <w:r w:rsidR="004F5A15" w:rsidRPr="00953692">
        <w:rPr>
          <w:sz w:val="24"/>
          <w:szCs w:val="24"/>
          <w:lang w:val="fr-FR"/>
        </w:rPr>
        <w:t xml:space="preserve"> de sa démarche</w:t>
      </w:r>
      <w:r w:rsidR="00D57613" w:rsidRPr="00953692">
        <w:rPr>
          <w:sz w:val="24"/>
          <w:szCs w:val="24"/>
          <w:lang w:val="fr-FR"/>
        </w:rPr>
        <w:t xml:space="preserve"> et la perte du temps</w:t>
      </w:r>
      <w:r w:rsidR="00C7342A" w:rsidRPr="00953692">
        <w:rPr>
          <w:sz w:val="24"/>
          <w:szCs w:val="24"/>
          <w:lang w:val="fr-FR"/>
        </w:rPr>
        <w:t>.</w:t>
      </w:r>
      <w:r w:rsidR="00040A7E" w:rsidRPr="00953692">
        <w:rPr>
          <w:sz w:val="24"/>
          <w:szCs w:val="24"/>
          <w:lang w:val="fr-FR"/>
        </w:rPr>
        <w:t xml:space="preserve"> </w:t>
      </w:r>
    </w:p>
    <w:p w14:paraId="79ED6487" w14:textId="33804A83" w:rsidR="00FB34F5" w:rsidRPr="00953692" w:rsidRDefault="003F2222" w:rsidP="00864BBF">
      <w:pPr>
        <w:spacing w:after="0" w:line="276" w:lineRule="auto"/>
        <w:ind w:firstLine="1134"/>
        <w:jc w:val="both"/>
        <w:rPr>
          <w:sz w:val="24"/>
          <w:szCs w:val="24"/>
          <w:lang w:val="fr-FR"/>
        </w:rPr>
      </w:pPr>
      <w:r w:rsidRPr="00953692">
        <w:rPr>
          <w:b/>
          <w:bCs/>
          <w:sz w:val="24"/>
          <w:szCs w:val="24"/>
          <w:lang w:val="fr-FR"/>
        </w:rPr>
        <w:t>440</w:t>
      </w:r>
      <w:r w:rsidR="000E0366" w:rsidRPr="00953692">
        <w:rPr>
          <w:b/>
          <w:bCs/>
          <w:sz w:val="24"/>
          <w:szCs w:val="24"/>
          <w:lang w:val="fr-FR"/>
        </w:rPr>
        <w:t>.</w:t>
      </w:r>
      <w:r w:rsidR="000E0366" w:rsidRPr="00953692">
        <w:rPr>
          <w:sz w:val="24"/>
          <w:szCs w:val="24"/>
          <w:lang w:val="fr-FR"/>
        </w:rPr>
        <w:t xml:space="preserve"> En somme, </w:t>
      </w:r>
      <w:r w:rsidR="00DF36AF" w:rsidRPr="00953692">
        <w:rPr>
          <w:sz w:val="24"/>
          <w:szCs w:val="24"/>
          <w:lang w:val="fr-FR"/>
        </w:rPr>
        <w:t>cette</w:t>
      </w:r>
      <w:r w:rsidR="000E0366" w:rsidRPr="00953692">
        <w:rPr>
          <w:sz w:val="24"/>
          <w:szCs w:val="24"/>
          <w:lang w:val="fr-FR"/>
        </w:rPr>
        <w:t xml:space="preserve"> décision</w:t>
      </w:r>
      <w:r w:rsidR="00D57613" w:rsidRPr="00953692">
        <w:rPr>
          <w:sz w:val="24"/>
          <w:szCs w:val="24"/>
          <w:lang w:val="fr-FR"/>
        </w:rPr>
        <w:t xml:space="preserve"> </w:t>
      </w:r>
      <w:r w:rsidR="000E0366" w:rsidRPr="00953692">
        <w:rPr>
          <w:sz w:val="24"/>
          <w:szCs w:val="24"/>
          <w:lang w:val="fr-FR"/>
        </w:rPr>
        <w:t>praticise</w:t>
      </w:r>
      <w:r w:rsidR="00D57613" w:rsidRPr="00953692">
        <w:rPr>
          <w:sz w:val="24"/>
          <w:szCs w:val="24"/>
          <w:lang w:val="fr-FR"/>
        </w:rPr>
        <w:t xml:space="preserve"> </w:t>
      </w:r>
      <w:r w:rsidR="00DF36AF" w:rsidRPr="00953692">
        <w:rPr>
          <w:sz w:val="24"/>
          <w:szCs w:val="24"/>
          <w:lang w:val="fr-FR"/>
        </w:rPr>
        <w:t xml:space="preserve">particulièrement </w:t>
      </w:r>
      <w:r w:rsidR="00DC2EC3" w:rsidRPr="00953692">
        <w:rPr>
          <w:sz w:val="24"/>
          <w:szCs w:val="24"/>
          <w:lang w:val="fr-FR"/>
        </w:rPr>
        <w:t>cette logique limitative</w:t>
      </w:r>
      <w:r w:rsidR="000E0366" w:rsidRPr="00953692">
        <w:rPr>
          <w:sz w:val="24"/>
          <w:szCs w:val="24"/>
          <w:lang w:val="fr-FR"/>
        </w:rPr>
        <w:t>,</w:t>
      </w:r>
      <w:r w:rsidR="00DC2EC3" w:rsidRPr="00953692">
        <w:rPr>
          <w:sz w:val="24"/>
          <w:szCs w:val="24"/>
          <w:lang w:val="fr-FR"/>
        </w:rPr>
        <w:t xml:space="preserve"> toute tracée</w:t>
      </w:r>
      <w:r w:rsidR="000E0366" w:rsidRPr="00953692">
        <w:rPr>
          <w:sz w:val="24"/>
          <w:szCs w:val="24"/>
          <w:lang w:val="fr-FR"/>
        </w:rPr>
        <w:t>,</w:t>
      </w:r>
      <w:r w:rsidR="00DC2EC3" w:rsidRPr="00953692">
        <w:rPr>
          <w:sz w:val="24"/>
          <w:szCs w:val="24"/>
          <w:lang w:val="fr-FR"/>
        </w:rPr>
        <w:t xml:space="preserve"> des juridictions pénales internationales en matière de</w:t>
      </w:r>
      <w:r w:rsidR="00DF36AF" w:rsidRPr="00953692">
        <w:rPr>
          <w:sz w:val="24"/>
          <w:szCs w:val="24"/>
          <w:lang w:val="fr-FR"/>
        </w:rPr>
        <w:t xml:space="preserve"> demandes incidentes</w:t>
      </w:r>
      <w:r w:rsidR="00DC2EC3" w:rsidRPr="00953692">
        <w:rPr>
          <w:sz w:val="24"/>
          <w:szCs w:val="24"/>
          <w:lang w:val="fr-FR"/>
        </w:rPr>
        <w:t>.</w:t>
      </w:r>
      <w:r w:rsidR="006B0D9D" w:rsidRPr="00953692">
        <w:rPr>
          <w:sz w:val="24"/>
          <w:szCs w:val="24"/>
          <w:lang w:val="fr-FR"/>
        </w:rPr>
        <w:t xml:space="preserve"> Le problème n’est pas les requêtes en soi ou leur nombre, mais plutôt leur pertinence. </w:t>
      </w:r>
      <w:r w:rsidR="00E97773" w:rsidRPr="00953692">
        <w:rPr>
          <w:sz w:val="24"/>
          <w:szCs w:val="24"/>
          <w:lang w:val="fr-FR"/>
        </w:rPr>
        <w:t xml:space="preserve">L’accusé devra veiller à ce que sa requête apporte quelque chose de nouveau </w:t>
      </w:r>
      <w:r w:rsidR="00CF545B" w:rsidRPr="00953692">
        <w:rPr>
          <w:sz w:val="24"/>
          <w:szCs w:val="24"/>
          <w:lang w:val="fr-FR"/>
        </w:rPr>
        <w:t>dont</w:t>
      </w:r>
      <w:r w:rsidR="00E97773" w:rsidRPr="00953692">
        <w:rPr>
          <w:sz w:val="24"/>
          <w:szCs w:val="24"/>
          <w:lang w:val="fr-FR"/>
        </w:rPr>
        <w:t xml:space="preserve"> le juge en sera obligé de trancher ou d’apporter la solution adéquate. </w:t>
      </w:r>
      <w:r w:rsidR="00C37798" w:rsidRPr="00953692">
        <w:rPr>
          <w:sz w:val="24"/>
          <w:szCs w:val="24"/>
          <w:lang w:val="fr-FR"/>
        </w:rPr>
        <w:t>L’idée de sanctionner ces demandes fantaisistes rentre dans la droite ligne d’économiser le temps de ces juridictions pénales internationales</w:t>
      </w:r>
      <w:r w:rsidR="009B0AF0" w:rsidRPr="00953692">
        <w:rPr>
          <w:sz w:val="24"/>
          <w:szCs w:val="24"/>
          <w:lang w:val="fr-FR"/>
        </w:rPr>
        <w:t>. Il en est de même de</w:t>
      </w:r>
      <w:r w:rsidR="00DC2EC3" w:rsidRPr="00953692">
        <w:rPr>
          <w:sz w:val="24"/>
          <w:szCs w:val="24"/>
          <w:lang w:val="fr-FR"/>
        </w:rPr>
        <w:t xml:space="preserve"> </w:t>
      </w:r>
      <w:r w:rsidR="009B0AF0" w:rsidRPr="00953692">
        <w:rPr>
          <w:sz w:val="24"/>
          <w:szCs w:val="24"/>
          <w:lang w:val="fr-FR"/>
        </w:rPr>
        <w:t>l</w:t>
      </w:r>
      <w:r w:rsidR="00DC2EC3" w:rsidRPr="00953692">
        <w:rPr>
          <w:sz w:val="24"/>
          <w:szCs w:val="24"/>
          <w:lang w:val="fr-FR"/>
        </w:rPr>
        <w:t xml:space="preserve">a limitation de </w:t>
      </w:r>
      <w:r w:rsidR="009B0AF0" w:rsidRPr="00953692">
        <w:rPr>
          <w:sz w:val="24"/>
          <w:szCs w:val="24"/>
          <w:lang w:val="fr-FR"/>
        </w:rPr>
        <w:t>l’appel interlocutoire qui</w:t>
      </w:r>
      <w:r w:rsidR="00DC2EC3" w:rsidRPr="00953692">
        <w:rPr>
          <w:sz w:val="24"/>
          <w:szCs w:val="24"/>
          <w:lang w:val="fr-FR"/>
        </w:rPr>
        <w:t xml:space="preserve"> vise l’évite</w:t>
      </w:r>
      <w:r w:rsidR="007B2562" w:rsidRPr="00953692">
        <w:rPr>
          <w:sz w:val="24"/>
          <w:szCs w:val="24"/>
          <w:lang w:val="fr-FR"/>
        </w:rPr>
        <w:t>ment</w:t>
      </w:r>
      <w:r w:rsidR="00DC2EC3" w:rsidRPr="00953692">
        <w:rPr>
          <w:sz w:val="24"/>
          <w:szCs w:val="24"/>
          <w:lang w:val="fr-FR"/>
        </w:rPr>
        <w:t xml:space="preserve"> des retards prévisibles</w:t>
      </w:r>
      <w:r w:rsidR="007B2562" w:rsidRPr="00953692">
        <w:rPr>
          <w:sz w:val="24"/>
          <w:szCs w:val="24"/>
          <w:lang w:val="fr-FR"/>
        </w:rPr>
        <w:t xml:space="preserve"> qu’un nombre important des requêtes peut provoquer sur la durée globale du procès</w:t>
      </w:r>
      <w:r w:rsidR="00DC2EC3" w:rsidRPr="00953692">
        <w:rPr>
          <w:sz w:val="24"/>
          <w:szCs w:val="24"/>
          <w:lang w:val="fr-FR"/>
        </w:rPr>
        <w:t>.</w:t>
      </w:r>
    </w:p>
    <w:p w14:paraId="25DD9803" w14:textId="42925EC2" w:rsidR="00AD5891" w:rsidRPr="00953692" w:rsidRDefault="0094213F" w:rsidP="00CA3137">
      <w:pPr>
        <w:pStyle w:val="Titre3"/>
        <w:ind w:left="1134"/>
        <w:rPr>
          <w:rFonts w:ascii="Times New Roman" w:hAnsi="Times New Roman"/>
          <w:b w:val="0"/>
          <w:bCs/>
          <w:i/>
          <w:iCs/>
          <w:color w:val="auto"/>
          <w:sz w:val="24"/>
          <w:szCs w:val="24"/>
          <w:lang w:val="fr-FR"/>
        </w:rPr>
      </w:pPr>
      <w:bookmarkStart w:id="95" w:name="_Toc195179447"/>
      <w:bookmarkStart w:id="96" w:name="_Hlk151385745"/>
      <w:r>
        <w:rPr>
          <w:rFonts w:ascii="Times New Roman" w:hAnsi="Times New Roman"/>
          <w:b w:val="0"/>
          <w:bCs/>
          <w:i/>
          <w:iCs/>
          <w:color w:val="auto"/>
          <w:sz w:val="24"/>
          <w:szCs w:val="24"/>
          <w:lang w:val="fr-FR"/>
        </w:rPr>
        <w:lastRenderedPageBreak/>
        <w:t xml:space="preserve">Paragraphe </w:t>
      </w:r>
      <w:r w:rsidR="002C31E1" w:rsidRPr="00953692">
        <w:rPr>
          <w:rFonts w:ascii="Times New Roman" w:hAnsi="Times New Roman"/>
          <w:b w:val="0"/>
          <w:bCs/>
          <w:i/>
          <w:iCs/>
          <w:color w:val="auto"/>
          <w:sz w:val="24"/>
          <w:szCs w:val="24"/>
          <w:lang w:val="fr-FR"/>
        </w:rPr>
        <w:t>2. Limitation de l’appel interlocutoire</w:t>
      </w:r>
      <w:r w:rsidR="008A3D42" w:rsidRPr="00953692">
        <w:rPr>
          <w:rFonts w:ascii="Times New Roman" w:hAnsi="Times New Roman"/>
          <w:b w:val="0"/>
          <w:bCs/>
          <w:i/>
          <w:iCs/>
          <w:color w:val="auto"/>
          <w:sz w:val="24"/>
          <w:szCs w:val="24"/>
          <w:lang w:val="fr-FR"/>
        </w:rPr>
        <w:t xml:space="preserve">, </w:t>
      </w:r>
      <w:r w:rsidR="00DC2EC3" w:rsidRPr="00953692">
        <w:rPr>
          <w:rFonts w:ascii="Times New Roman" w:hAnsi="Times New Roman"/>
          <w:b w:val="0"/>
          <w:bCs/>
          <w:i/>
          <w:iCs/>
          <w:color w:val="auto"/>
          <w:sz w:val="24"/>
          <w:szCs w:val="24"/>
          <w:lang w:val="fr-FR"/>
        </w:rPr>
        <w:t>évitement des retards prévisibles</w:t>
      </w:r>
      <w:bookmarkEnd w:id="95"/>
    </w:p>
    <w:bookmarkEnd w:id="96"/>
    <w:p w14:paraId="7CDB2D03" w14:textId="536BAFDE" w:rsidR="00AD5891" w:rsidRPr="00953692" w:rsidRDefault="003F2222" w:rsidP="00864BBF">
      <w:pPr>
        <w:spacing w:line="276" w:lineRule="auto"/>
        <w:ind w:firstLine="1134"/>
        <w:jc w:val="both"/>
        <w:rPr>
          <w:sz w:val="24"/>
          <w:szCs w:val="24"/>
          <w:lang w:val="fr-FR"/>
        </w:rPr>
      </w:pPr>
      <w:r w:rsidRPr="00953692">
        <w:rPr>
          <w:b/>
          <w:bCs/>
          <w:sz w:val="24"/>
          <w:szCs w:val="24"/>
          <w:lang w:val="fr-FR"/>
        </w:rPr>
        <w:t>441</w:t>
      </w:r>
      <w:r w:rsidR="006108F3" w:rsidRPr="00953692">
        <w:rPr>
          <w:b/>
          <w:bCs/>
          <w:sz w:val="24"/>
          <w:szCs w:val="24"/>
          <w:lang w:val="fr-FR"/>
        </w:rPr>
        <w:t>.</w:t>
      </w:r>
      <w:r w:rsidR="006108F3" w:rsidRPr="00953692">
        <w:rPr>
          <w:sz w:val="24"/>
          <w:szCs w:val="24"/>
          <w:lang w:val="fr-FR"/>
        </w:rPr>
        <w:t xml:space="preserve"> </w:t>
      </w:r>
      <w:r w:rsidR="00CF4D80" w:rsidRPr="00953692">
        <w:rPr>
          <w:sz w:val="24"/>
          <w:szCs w:val="24"/>
          <w:lang w:val="fr-FR"/>
        </w:rPr>
        <w:t xml:space="preserve">La question de l’appel interlocutoire suppose qu’il y </w:t>
      </w:r>
      <w:r w:rsidR="005F180D" w:rsidRPr="00953692">
        <w:rPr>
          <w:sz w:val="24"/>
          <w:szCs w:val="24"/>
          <w:lang w:val="fr-FR"/>
        </w:rPr>
        <w:t>est</w:t>
      </w:r>
      <w:r w:rsidR="00CF4D80" w:rsidRPr="00953692">
        <w:rPr>
          <w:sz w:val="24"/>
          <w:szCs w:val="24"/>
          <w:lang w:val="fr-FR"/>
        </w:rPr>
        <w:t xml:space="preserve"> eu des décisions aussi dites interlocutoires. </w:t>
      </w:r>
      <w:r w:rsidR="00B11738" w:rsidRPr="00953692">
        <w:rPr>
          <w:sz w:val="24"/>
          <w:szCs w:val="24"/>
          <w:lang w:val="fr-FR"/>
        </w:rPr>
        <w:t>La doctrine définit celles-ci co</w:t>
      </w:r>
      <w:r w:rsidR="0010327E" w:rsidRPr="00953692">
        <w:rPr>
          <w:sz w:val="24"/>
          <w:szCs w:val="24"/>
          <w:lang w:val="fr-FR"/>
        </w:rPr>
        <w:t xml:space="preserve">mme </w:t>
      </w:r>
      <w:r w:rsidR="00522C3D" w:rsidRPr="00953692">
        <w:rPr>
          <w:sz w:val="24"/>
          <w:szCs w:val="24"/>
          <w:lang w:val="fr-FR"/>
        </w:rPr>
        <w:t xml:space="preserve">des </w:t>
      </w:r>
      <w:r w:rsidR="0010327E" w:rsidRPr="00953692">
        <w:rPr>
          <w:sz w:val="24"/>
          <w:szCs w:val="24"/>
          <w:lang w:val="fr-FR"/>
        </w:rPr>
        <w:t>« </w:t>
      </w:r>
      <w:r w:rsidR="005234BD" w:rsidRPr="00953692">
        <w:rPr>
          <w:sz w:val="24"/>
          <w:szCs w:val="24"/>
          <w:lang w:val="fr-FR"/>
        </w:rPr>
        <w:t>décisions prononcées par l’organe juridictionnel au cours du procès, avant la condamnation et la peine</w:t>
      </w:r>
      <w:r w:rsidR="0010327E" w:rsidRPr="00953692">
        <w:rPr>
          <w:sz w:val="24"/>
          <w:szCs w:val="24"/>
          <w:lang w:val="fr-FR"/>
        </w:rPr>
        <w:t> »</w:t>
      </w:r>
      <w:r w:rsidR="00A3146F" w:rsidRPr="00953692">
        <w:rPr>
          <w:rStyle w:val="Appelnotedebasdep"/>
          <w:sz w:val="24"/>
          <w:szCs w:val="24"/>
          <w:lang w:val="fr-FR"/>
        </w:rPr>
        <w:footnoteReference w:customMarkFollows="1" w:id="338"/>
        <w:t>313</w:t>
      </w:r>
      <w:r w:rsidR="0010327E" w:rsidRPr="00953692">
        <w:rPr>
          <w:sz w:val="24"/>
          <w:szCs w:val="24"/>
          <w:lang w:val="fr-FR"/>
        </w:rPr>
        <w:t>, « laissant présager, dans la plupart des cas, quelle sera la décision au fond »</w:t>
      </w:r>
      <w:r w:rsidR="00A3146F" w:rsidRPr="00953692">
        <w:rPr>
          <w:rStyle w:val="Appelnotedebasdep"/>
          <w:sz w:val="24"/>
          <w:szCs w:val="24"/>
          <w:lang w:val="fr-FR"/>
        </w:rPr>
        <w:footnoteReference w:customMarkFollows="1" w:id="339"/>
        <w:t>314</w:t>
      </w:r>
      <w:r w:rsidR="0010327E" w:rsidRPr="00953692">
        <w:rPr>
          <w:sz w:val="24"/>
          <w:szCs w:val="24"/>
          <w:lang w:val="fr-FR"/>
        </w:rPr>
        <w:t>.</w:t>
      </w:r>
      <w:r w:rsidR="00907E61" w:rsidRPr="00953692">
        <w:rPr>
          <w:sz w:val="24"/>
          <w:szCs w:val="24"/>
          <w:lang w:val="fr-FR"/>
        </w:rPr>
        <w:t xml:space="preserve"> Comme nous l’avons vu ci-haut, ces décisions sont multiples et indéfinissables, même si elles peuvent être énumérées à la lumière de la pratique. Ainsi, si dans ce sens, elles ne peuvent être </w:t>
      </w:r>
      <w:r w:rsidR="006108F3" w:rsidRPr="00953692">
        <w:rPr>
          <w:sz w:val="24"/>
          <w:szCs w:val="24"/>
          <w:lang w:val="fr-FR"/>
        </w:rPr>
        <w:t xml:space="preserve">limitées ou contrôlées </w:t>
      </w:r>
      <w:r w:rsidR="006108F3" w:rsidRPr="00953692">
        <w:rPr>
          <w:i/>
          <w:iCs/>
          <w:sz w:val="24"/>
          <w:szCs w:val="24"/>
          <w:lang w:val="fr-FR"/>
        </w:rPr>
        <w:t>apriori</w:t>
      </w:r>
      <w:r w:rsidR="00456A07" w:rsidRPr="00953692">
        <w:rPr>
          <w:i/>
          <w:iCs/>
          <w:sz w:val="24"/>
          <w:szCs w:val="24"/>
          <w:lang w:val="fr-FR"/>
        </w:rPr>
        <w:t>,</w:t>
      </w:r>
      <w:r w:rsidR="00907E61" w:rsidRPr="00953692">
        <w:rPr>
          <w:sz w:val="24"/>
          <w:szCs w:val="24"/>
          <w:lang w:val="fr-FR"/>
        </w:rPr>
        <w:t xml:space="preserve"> il ne peut en être le cas en ce qui concerne</w:t>
      </w:r>
      <w:r w:rsidR="00456A07" w:rsidRPr="00953692">
        <w:rPr>
          <w:i/>
          <w:iCs/>
          <w:sz w:val="24"/>
          <w:szCs w:val="24"/>
          <w:lang w:val="fr-FR"/>
        </w:rPr>
        <w:t xml:space="preserve"> </w:t>
      </w:r>
      <w:r w:rsidR="00456A07" w:rsidRPr="00953692">
        <w:rPr>
          <w:sz w:val="24"/>
          <w:szCs w:val="24"/>
          <w:lang w:val="fr-FR"/>
        </w:rPr>
        <w:t>le recours en appel y relati</w:t>
      </w:r>
      <w:r w:rsidR="00907E61" w:rsidRPr="00953692">
        <w:rPr>
          <w:sz w:val="24"/>
          <w:szCs w:val="24"/>
          <w:lang w:val="fr-FR"/>
        </w:rPr>
        <w:t xml:space="preserve">f. Les juridictions pénales internationales prévoient </w:t>
      </w:r>
      <w:r w:rsidR="00FA2BC7" w:rsidRPr="00953692">
        <w:rPr>
          <w:sz w:val="24"/>
          <w:szCs w:val="24"/>
          <w:lang w:val="fr-FR"/>
        </w:rPr>
        <w:t>limitativement</w:t>
      </w:r>
      <w:r w:rsidR="00907E61" w:rsidRPr="00953692">
        <w:rPr>
          <w:sz w:val="24"/>
          <w:szCs w:val="24"/>
          <w:lang w:val="fr-FR"/>
        </w:rPr>
        <w:t xml:space="preserve"> </w:t>
      </w:r>
      <w:r w:rsidR="008D3C9D" w:rsidRPr="00953692">
        <w:rPr>
          <w:sz w:val="24"/>
          <w:szCs w:val="24"/>
          <w:lang w:val="fr-FR"/>
        </w:rPr>
        <w:t xml:space="preserve">de manière précise </w:t>
      </w:r>
      <w:r w:rsidR="00907E61" w:rsidRPr="00953692">
        <w:rPr>
          <w:sz w:val="24"/>
          <w:szCs w:val="24"/>
          <w:lang w:val="fr-FR"/>
        </w:rPr>
        <w:t>les décisions</w:t>
      </w:r>
      <w:r w:rsidR="008D3C9D" w:rsidRPr="00953692">
        <w:rPr>
          <w:sz w:val="24"/>
          <w:szCs w:val="24"/>
          <w:lang w:val="fr-FR"/>
        </w:rPr>
        <w:t xml:space="preserve"> (rendues par la chambre de première instance ou la chambre préliminaire)</w:t>
      </w:r>
      <w:r w:rsidR="00907E61" w:rsidRPr="00953692">
        <w:rPr>
          <w:sz w:val="24"/>
          <w:szCs w:val="24"/>
          <w:lang w:val="fr-FR"/>
        </w:rPr>
        <w:t xml:space="preserve"> susceptibles d’appel</w:t>
      </w:r>
      <w:r w:rsidR="00FA2BC7" w:rsidRPr="00953692">
        <w:rPr>
          <w:sz w:val="24"/>
          <w:szCs w:val="24"/>
          <w:lang w:val="fr-FR"/>
        </w:rPr>
        <w:t xml:space="preserve"> </w:t>
      </w:r>
      <w:r w:rsidR="00522C3D" w:rsidRPr="00953692">
        <w:rPr>
          <w:sz w:val="24"/>
          <w:szCs w:val="24"/>
          <w:lang w:val="fr-FR"/>
        </w:rPr>
        <w:t xml:space="preserve">interlocutoire </w:t>
      </w:r>
      <w:r w:rsidR="00FA2BC7" w:rsidRPr="00953692">
        <w:rPr>
          <w:sz w:val="24"/>
          <w:szCs w:val="24"/>
          <w:lang w:val="fr-FR"/>
        </w:rPr>
        <w:t>(A)</w:t>
      </w:r>
      <w:r w:rsidR="00D8471F" w:rsidRPr="00953692">
        <w:rPr>
          <w:sz w:val="24"/>
          <w:szCs w:val="24"/>
          <w:lang w:val="fr-FR"/>
        </w:rPr>
        <w:t xml:space="preserve"> afin d’éviter</w:t>
      </w:r>
      <w:r w:rsidR="00AD5891" w:rsidRPr="00953692">
        <w:rPr>
          <w:sz w:val="24"/>
          <w:szCs w:val="24"/>
          <w:lang w:val="fr-FR"/>
        </w:rPr>
        <w:t xml:space="preserve"> à la procédure</w:t>
      </w:r>
      <w:r w:rsidR="00D8471F" w:rsidRPr="00953692">
        <w:rPr>
          <w:sz w:val="24"/>
          <w:szCs w:val="24"/>
          <w:lang w:val="fr-FR"/>
        </w:rPr>
        <w:t xml:space="preserve"> notamment</w:t>
      </w:r>
      <w:r w:rsidR="008D3C9D" w:rsidRPr="00953692">
        <w:rPr>
          <w:sz w:val="24"/>
          <w:szCs w:val="24"/>
          <w:lang w:val="fr-FR"/>
        </w:rPr>
        <w:t>,</w:t>
      </w:r>
      <w:r w:rsidR="00D8471F" w:rsidRPr="00953692">
        <w:rPr>
          <w:sz w:val="24"/>
          <w:szCs w:val="24"/>
          <w:lang w:val="fr-FR"/>
        </w:rPr>
        <w:t xml:space="preserve"> tout retard pouvant en résulter (B).</w:t>
      </w:r>
    </w:p>
    <w:p w14:paraId="5A507FED" w14:textId="09712330" w:rsidR="00AD5891" w:rsidRPr="00953692" w:rsidRDefault="00D57613" w:rsidP="006A0175">
      <w:pPr>
        <w:pStyle w:val="Paragraphedeliste"/>
        <w:numPr>
          <w:ilvl w:val="0"/>
          <w:numId w:val="14"/>
        </w:numPr>
        <w:spacing w:before="240" w:after="0" w:line="276" w:lineRule="auto"/>
        <w:jc w:val="both"/>
        <w:outlineLvl w:val="2"/>
        <w:rPr>
          <w:bCs/>
          <w:i/>
          <w:iCs/>
          <w:sz w:val="24"/>
          <w:szCs w:val="24"/>
          <w:lang w:val="fr-FR"/>
        </w:rPr>
      </w:pPr>
      <w:bookmarkStart w:id="97" w:name="_Toc195179448"/>
      <w:bookmarkStart w:id="98" w:name="_Hlk151385781"/>
      <w:r w:rsidRPr="00953692">
        <w:rPr>
          <w:bCs/>
          <w:i/>
          <w:iCs/>
          <w:sz w:val="24"/>
          <w:szCs w:val="24"/>
          <w:lang w:val="fr-FR"/>
        </w:rPr>
        <w:t>Les décisions susceptibles d’appel interlocutoire</w:t>
      </w:r>
      <w:bookmarkEnd w:id="97"/>
    </w:p>
    <w:bookmarkEnd w:id="98"/>
    <w:p w14:paraId="14854393" w14:textId="11AA2B51" w:rsidR="001255B9" w:rsidRPr="00953692" w:rsidRDefault="003F2222" w:rsidP="00864BBF">
      <w:pPr>
        <w:spacing w:before="240" w:after="0" w:line="276" w:lineRule="auto"/>
        <w:ind w:firstLine="1134"/>
        <w:jc w:val="both"/>
        <w:rPr>
          <w:sz w:val="24"/>
          <w:szCs w:val="24"/>
          <w:lang w:val="fr-FR"/>
        </w:rPr>
      </w:pPr>
      <w:r w:rsidRPr="00953692">
        <w:rPr>
          <w:b/>
          <w:bCs/>
          <w:sz w:val="24"/>
          <w:szCs w:val="24"/>
          <w:lang w:val="fr-FR"/>
        </w:rPr>
        <w:t>44</w:t>
      </w:r>
      <w:r w:rsidR="005F180D" w:rsidRPr="00953692">
        <w:rPr>
          <w:b/>
          <w:bCs/>
          <w:sz w:val="24"/>
          <w:szCs w:val="24"/>
          <w:lang w:val="fr-FR"/>
        </w:rPr>
        <w:t>2</w:t>
      </w:r>
      <w:r w:rsidR="00D8471F" w:rsidRPr="00953692">
        <w:rPr>
          <w:b/>
          <w:bCs/>
          <w:sz w:val="24"/>
          <w:szCs w:val="24"/>
          <w:lang w:val="fr-FR"/>
        </w:rPr>
        <w:t>.</w:t>
      </w:r>
      <w:r w:rsidR="00D8471F" w:rsidRPr="00953692">
        <w:rPr>
          <w:sz w:val="24"/>
          <w:szCs w:val="24"/>
          <w:lang w:val="fr-FR"/>
        </w:rPr>
        <w:t xml:space="preserve"> </w:t>
      </w:r>
      <w:bookmarkStart w:id="99" w:name="_Hlk140335236"/>
      <w:r w:rsidR="007031D0" w:rsidRPr="00953692">
        <w:rPr>
          <w:sz w:val="24"/>
          <w:szCs w:val="24"/>
          <w:lang w:val="fr-FR"/>
        </w:rPr>
        <w:t xml:space="preserve">Les juridictions pénales internationales limitent clairement l’appel interlocutoire des décisions rendues par les Chambres de première instance. Elles ont en </w:t>
      </w:r>
      <w:r w:rsidR="00CC0CF1" w:rsidRPr="00953692">
        <w:rPr>
          <w:sz w:val="24"/>
          <w:szCs w:val="24"/>
          <w:lang w:val="fr-FR"/>
        </w:rPr>
        <w:t>aval</w:t>
      </w:r>
      <w:r w:rsidR="007031D0" w:rsidRPr="00953692">
        <w:rPr>
          <w:sz w:val="24"/>
          <w:szCs w:val="24"/>
          <w:lang w:val="fr-FR"/>
        </w:rPr>
        <w:t xml:space="preserve"> leur revanche</w:t>
      </w:r>
      <w:r w:rsidR="00BA5B70" w:rsidRPr="00953692">
        <w:rPr>
          <w:sz w:val="24"/>
          <w:szCs w:val="24"/>
          <w:lang w:val="fr-FR"/>
        </w:rPr>
        <w:t xml:space="preserve"> </w:t>
      </w:r>
      <w:r w:rsidR="00D467A3" w:rsidRPr="00953692">
        <w:rPr>
          <w:sz w:val="24"/>
          <w:szCs w:val="24"/>
          <w:lang w:val="fr-FR"/>
        </w:rPr>
        <w:t>sur cette illimitation</w:t>
      </w:r>
      <w:r w:rsidR="00D17695" w:rsidRPr="00953692">
        <w:rPr>
          <w:sz w:val="24"/>
          <w:szCs w:val="24"/>
          <w:lang w:val="fr-FR"/>
        </w:rPr>
        <w:t xml:space="preserve"> des requêtes</w:t>
      </w:r>
      <w:r w:rsidR="00A2287B" w:rsidRPr="00953692">
        <w:rPr>
          <w:sz w:val="24"/>
          <w:szCs w:val="24"/>
          <w:lang w:val="fr-FR"/>
        </w:rPr>
        <w:t xml:space="preserve"> incidentes</w:t>
      </w:r>
      <w:r w:rsidR="00CC0CF1" w:rsidRPr="00953692">
        <w:rPr>
          <w:sz w:val="24"/>
          <w:szCs w:val="24"/>
          <w:lang w:val="fr-FR"/>
        </w:rPr>
        <w:t xml:space="preserve"> qu’elles </w:t>
      </w:r>
      <w:r w:rsidR="004D6873" w:rsidRPr="00953692">
        <w:rPr>
          <w:sz w:val="24"/>
          <w:szCs w:val="24"/>
          <w:lang w:val="fr-FR"/>
        </w:rPr>
        <w:t>ont</w:t>
      </w:r>
      <w:r w:rsidR="00A2287B" w:rsidRPr="00953692">
        <w:rPr>
          <w:sz w:val="24"/>
          <w:szCs w:val="24"/>
          <w:lang w:val="fr-FR"/>
        </w:rPr>
        <w:t xml:space="preserve">, en quelque sorte, </w:t>
      </w:r>
      <w:r w:rsidR="004D6873" w:rsidRPr="00953692">
        <w:rPr>
          <w:sz w:val="24"/>
          <w:szCs w:val="24"/>
          <w:lang w:val="fr-FR"/>
        </w:rPr>
        <w:t>subie</w:t>
      </w:r>
      <w:r w:rsidR="00CC0CF1" w:rsidRPr="00953692">
        <w:rPr>
          <w:sz w:val="24"/>
          <w:szCs w:val="24"/>
          <w:lang w:val="fr-FR"/>
        </w:rPr>
        <w:t xml:space="preserve"> en amont. </w:t>
      </w:r>
      <w:r w:rsidR="00D467A3" w:rsidRPr="00953692">
        <w:rPr>
          <w:sz w:val="24"/>
          <w:szCs w:val="24"/>
          <w:lang w:val="fr-FR"/>
        </w:rPr>
        <w:t>Cette limitation du recours</w:t>
      </w:r>
      <w:r w:rsidR="004D6873" w:rsidRPr="00953692">
        <w:rPr>
          <w:sz w:val="24"/>
          <w:szCs w:val="24"/>
          <w:lang w:val="fr-FR"/>
        </w:rPr>
        <w:t xml:space="preserve"> ou d’appel</w:t>
      </w:r>
      <w:r w:rsidR="00D467A3" w:rsidRPr="00953692">
        <w:rPr>
          <w:sz w:val="24"/>
          <w:szCs w:val="24"/>
          <w:lang w:val="fr-FR"/>
        </w:rPr>
        <w:t xml:space="preserve"> interlocutoire est originellement l’œuvre des juges du TPIY qui ont initialement prévu dans leur RPP qu’un recours interlocutoire dans le cadre d’une exception préjudicielle d’incompétence</w:t>
      </w:r>
      <w:r w:rsidR="00A3146F" w:rsidRPr="00953692">
        <w:rPr>
          <w:rStyle w:val="Appelnotedebasdep"/>
          <w:sz w:val="24"/>
          <w:szCs w:val="24"/>
          <w:lang w:val="fr-FR"/>
        </w:rPr>
        <w:footnoteReference w:customMarkFollows="1" w:id="340"/>
        <w:t>315</w:t>
      </w:r>
      <w:r w:rsidR="00D467A3" w:rsidRPr="00953692">
        <w:rPr>
          <w:sz w:val="24"/>
          <w:szCs w:val="24"/>
          <w:lang w:val="fr-FR"/>
        </w:rPr>
        <w:t xml:space="preserve">. Par la suite, cette situation a évolué avec le temps, </w:t>
      </w:r>
      <w:r w:rsidR="001255B9" w:rsidRPr="00953692">
        <w:rPr>
          <w:sz w:val="24"/>
          <w:szCs w:val="24"/>
          <w:lang w:val="fr-FR"/>
        </w:rPr>
        <w:t xml:space="preserve">s’étendant à d’autres exceptions </w:t>
      </w:r>
      <w:r w:rsidR="001143C9" w:rsidRPr="00953692">
        <w:rPr>
          <w:sz w:val="24"/>
          <w:szCs w:val="24"/>
          <w:lang w:val="fr-FR"/>
        </w:rPr>
        <w:t>préjudicielles</w:t>
      </w:r>
      <w:r w:rsidR="001255B9" w:rsidRPr="00953692">
        <w:rPr>
          <w:sz w:val="24"/>
          <w:szCs w:val="24"/>
          <w:lang w:val="fr-FR"/>
        </w:rPr>
        <w:t xml:space="preserve"> à savoir</w:t>
      </w:r>
      <w:r w:rsidR="00B32748" w:rsidRPr="00953692">
        <w:rPr>
          <w:sz w:val="24"/>
          <w:szCs w:val="24"/>
          <w:lang w:val="fr-FR"/>
        </w:rPr>
        <w:t>,</w:t>
      </w:r>
      <w:r w:rsidR="001255B9" w:rsidRPr="00953692">
        <w:rPr>
          <w:sz w:val="24"/>
          <w:szCs w:val="24"/>
          <w:lang w:val="fr-FR"/>
        </w:rPr>
        <w:t xml:space="preserve"> </w:t>
      </w:r>
      <w:r w:rsidR="001143C9" w:rsidRPr="00953692">
        <w:rPr>
          <w:i/>
          <w:iCs/>
          <w:sz w:val="24"/>
          <w:szCs w:val="24"/>
          <w:lang w:val="fr-FR"/>
        </w:rPr>
        <w:t>celle fondée sur un vice de forme de l’acte d’accusation, celle aux fins de disjonction de chefs d’accusation et d’instances, et celle fondée sur le rejet d’une commission d’office d’un conseil</w:t>
      </w:r>
      <w:r w:rsidR="00A3146F" w:rsidRPr="00953692">
        <w:rPr>
          <w:rStyle w:val="Appelnotedebasdep"/>
          <w:sz w:val="24"/>
          <w:szCs w:val="24"/>
          <w:lang w:val="fr-FR"/>
        </w:rPr>
        <w:footnoteReference w:customMarkFollows="1" w:id="341"/>
        <w:t>316</w:t>
      </w:r>
      <w:r w:rsidR="001143C9" w:rsidRPr="00953692">
        <w:rPr>
          <w:sz w:val="24"/>
          <w:szCs w:val="24"/>
          <w:lang w:val="fr-FR"/>
        </w:rPr>
        <w:t xml:space="preserve">. </w:t>
      </w:r>
      <w:r w:rsidR="00E41F6A" w:rsidRPr="00953692">
        <w:rPr>
          <w:sz w:val="24"/>
          <w:szCs w:val="24"/>
          <w:lang w:val="fr-FR"/>
        </w:rPr>
        <w:t xml:space="preserve">Conformément à l’article 72 B du RPP du TPIY, </w:t>
      </w:r>
      <w:r w:rsidR="00B32748" w:rsidRPr="00953692">
        <w:rPr>
          <w:sz w:val="24"/>
          <w:szCs w:val="24"/>
          <w:lang w:val="fr-FR"/>
        </w:rPr>
        <w:t>hormis</w:t>
      </w:r>
      <w:r w:rsidR="00E41F6A" w:rsidRPr="00953692">
        <w:rPr>
          <w:sz w:val="24"/>
          <w:szCs w:val="24"/>
          <w:lang w:val="fr-FR"/>
        </w:rPr>
        <w:t xml:space="preserve"> de l’exception </w:t>
      </w:r>
      <w:r w:rsidR="00B32748" w:rsidRPr="00953692">
        <w:rPr>
          <w:sz w:val="24"/>
          <w:szCs w:val="24"/>
          <w:lang w:val="fr-FR"/>
        </w:rPr>
        <w:t xml:space="preserve">préjudicielle </w:t>
      </w:r>
      <w:r w:rsidR="00E41F6A" w:rsidRPr="00953692">
        <w:rPr>
          <w:sz w:val="24"/>
          <w:szCs w:val="24"/>
          <w:lang w:val="fr-FR"/>
        </w:rPr>
        <w:t>d’incompétence, l’appel</w:t>
      </w:r>
      <w:r w:rsidR="009306DA" w:rsidRPr="00953692">
        <w:rPr>
          <w:sz w:val="24"/>
          <w:szCs w:val="24"/>
          <w:lang w:val="fr-FR"/>
        </w:rPr>
        <w:t xml:space="preserve"> interlocutoire pour ces exceptions est rendu possible que sur autorisation de la Chambre en fonction des motifs sérieux et convaincants présentés par la partie intéressée.</w:t>
      </w:r>
    </w:p>
    <w:p w14:paraId="51181CC4" w14:textId="62A8E827" w:rsidR="002E1C11" w:rsidRPr="00953692" w:rsidRDefault="003F2222" w:rsidP="00864BBF">
      <w:pPr>
        <w:spacing w:after="0" w:line="276" w:lineRule="auto"/>
        <w:ind w:firstLine="1134"/>
        <w:jc w:val="both"/>
        <w:rPr>
          <w:sz w:val="24"/>
          <w:szCs w:val="24"/>
          <w:lang w:val="fr-FR"/>
        </w:rPr>
      </w:pPr>
      <w:r w:rsidRPr="00953692">
        <w:rPr>
          <w:b/>
          <w:bCs/>
          <w:sz w:val="24"/>
          <w:szCs w:val="24"/>
          <w:lang w:val="fr-FR"/>
        </w:rPr>
        <w:t>44</w:t>
      </w:r>
      <w:r w:rsidR="005F180D" w:rsidRPr="00953692">
        <w:rPr>
          <w:b/>
          <w:bCs/>
          <w:sz w:val="24"/>
          <w:szCs w:val="24"/>
          <w:lang w:val="fr-FR"/>
        </w:rPr>
        <w:t>3</w:t>
      </w:r>
      <w:r w:rsidR="00B01E1D" w:rsidRPr="00953692">
        <w:rPr>
          <w:b/>
          <w:bCs/>
          <w:sz w:val="24"/>
          <w:szCs w:val="24"/>
          <w:lang w:val="fr-FR"/>
        </w:rPr>
        <w:t>.</w:t>
      </w:r>
      <w:r w:rsidR="00B01E1D" w:rsidRPr="00953692">
        <w:rPr>
          <w:sz w:val="24"/>
          <w:szCs w:val="24"/>
          <w:lang w:val="fr-FR"/>
        </w:rPr>
        <w:t xml:space="preserve"> </w:t>
      </w:r>
      <w:r w:rsidR="00263AB5" w:rsidRPr="00953692">
        <w:rPr>
          <w:sz w:val="24"/>
          <w:szCs w:val="24"/>
          <w:lang w:val="fr-FR"/>
        </w:rPr>
        <w:t>Evidemment a</w:t>
      </w:r>
      <w:r w:rsidR="00AC70C8" w:rsidRPr="00953692">
        <w:rPr>
          <w:sz w:val="24"/>
          <w:szCs w:val="24"/>
          <w:lang w:val="fr-FR"/>
        </w:rPr>
        <w:t>près, compte tenu du nombre important de</w:t>
      </w:r>
      <w:r w:rsidR="004436E6" w:rsidRPr="00953692">
        <w:rPr>
          <w:sz w:val="24"/>
          <w:szCs w:val="24"/>
          <w:lang w:val="fr-FR"/>
        </w:rPr>
        <w:t xml:space="preserve">s requêtes introduites par les parties ne se rapportant pas </w:t>
      </w:r>
      <w:r w:rsidR="00263AB5" w:rsidRPr="00953692">
        <w:rPr>
          <w:sz w:val="24"/>
          <w:szCs w:val="24"/>
          <w:lang w:val="fr-FR"/>
        </w:rPr>
        <w:t>qu’</w:t>
      </w:r>
      <w:r w:rsidR="004436E6" w:rsidRPr="00953692">
        <w:rPr>
          <w:sz w:val="24"/>
          <w:szCs w:val="24"/>
          <w:lang w:val="fr-FR"/>
        </w:rPr>
        <w:t>aux exceptions préjudicielles, les juges</w:t>
      </w:r>
      <w:r w:rsidR="00263AB5" w:rsidRPr="00953692">
        <w:rPr>
          <w:sz w:val="24"/>
          <w:szCs w:val="24"/>
          <w:lang w:val="fr-FR"/>
        </w:rPr>
        <w:t xml:space="preserve"> des TPI</w:t>
      </w:r>
      <w:r w:rsidR="004436E6" w:rsidRPr="00953692">
        <w:rPr>
          <w:sz w:val="24"/>
          <w:szCs w:val="24"/>
          <w:lang w:val="fr-FR"/>
        </w:rPr>
        <w:t xml:space="preserve"> ont senti la nécessité d’étendre à nouveau le recours interlocutoire à toutes les requêtes. </w:t>
      </w:r>
      <w:r w:rsidR="00AB0F9B" w:rsidRPr="00953692">
        <w:rPr>
          <w:sz w:val="24"/>
          <w:szCs w:val="24"/>
          <w:lang w:val="fr-FR"/>
        </w:rPr>
        <w:t>Décidément</w:t>
      </w:r>
      <w:r w:rsidR="004436E6" w:rsidRPr="00953692">
        <w:rPr>
          <w:sz w:val="24"/>
          <w:szCs w:val="24"/>
          <w:lang w:val="fr-FR"/>
        </w:rPr>
        <w:t xml:space="preserve">, </w:t>
      </w:r>
      <w:r w:rsidR="00263AB5" w:rsidRPr="00953692">
        <w:rPr>
          <w:sz w:val="24"/>
          <w:szCs w:val="24"/>
          <w:lang w:val="fr-FR"/>
        </w:rPr>
        <w:t xml:space="preserve">fors </w:t>
      </w:r>
      <w:r w:rsidR="004436E6" w:rsidRPr="00953692">
        <w:rPr>
          <w:sz w:val="24"/>
          <w:szCs w:val="24"/>
          <w:lang w:val="fr-FR"/>
        </w:rPr>
        <w:t xml:space="preserve">le cas d’une exception sur l’incompétence du tribunal dont l’appel est de plein droit, tout autre appel interlocutoire est soumis à la certification d’appel. </w:t>
      </w:r>
      <w:r w:rsidR="00263AB5" w:rsidRPr="00953692">
        <w:rPr>
          <w:sz w:val="24"/>
          <w:szCs w:val="24"/>
          <w:lang w:val="fr-FR"/>
        </w:rPr>
        <w:t xml:space="preserve">Celle-ci est en fait une forme d’autorisation d’interjeter appel contre la décision de la Chambre de première instance. </w:t>
      </w:r>
      <w:r w:rsidR="004436E6" w:rsidRPr="00953692">
        <w:rPr>
          <w:sz w:val="24"/>
          <w:szCs w:val="24"/>
          <w:lang w:val="fr-FR"/>
        </w:rPr>
        <w:t xml:space="preserve">Le requérant devra à cet effet démontrer que </w:t>
      </w:r>
      <w:r w:rsidR="004436E6" w:rsidRPr="00953692">
        <w:rPr>
          <w:i/>
          <w:iCs/>
          <w:sz w:val="24"/>
          <w:szCs w:val="24"/>
          <w:lang w:val="fr-FR"/>
        </w:rPr>
        <w:t xml:space="preserve">la décision touche une question susceptible de compromettre sensiblement l’équité et la </w:t>
      </w:r>
      <w:r w:rsidR="004436E6" w:rsidRPr="00953692">
        <w:rPr>
          <w:i/>
          <w:iCs/>
          <w:sz w:val="24"/>
          <w:szCs w:val="24"/>
          <w:lang w:val="fr-FR"/>
        </w:rPr>
        <w:lastRenderedPageBreak/>
        <w:t>rapidité du procès, ou son issue, et que son règlement immédiat par la Chambre d’appel pourrait concrètement faire progresser la procédure</w:t>
      </w:r>
      <w:r w:rsidR="00A3146F" w:rsidRPr="00953692">
        <w:rPr>
          <w:rStyle w:val="Appelnotedebasdep"/>
          <w:sz w:val="24"/>
          <w:szCs w:val="24"/>
          <w:lang w:val="fr-FR"/>
        </w:rPr>
        <w:footnoteReference w:customMarkFollows="1" w:id="342"/>
        <w:t>317</w:t>
      </w:r>
      <w:r w:rsidR="004436E6" w:rsidRPr="00953692">
        <w:rPr>
          <w:sz w:val="24"/>
          <w:szCs w:val="24"/>
          <w:lang w:val="fr-FR"/>
        </w:rPr>
        <w:t>.</w:t>
      </w:r>
      <w:r w:rsidR="002E1C11" w:rsidRPr="00953692">
        <w:rPr>
          <w:sz w:val="24"/>
          <w:szCs w:val="24"/>
          <w:lang w:val="fr-FR"/>
        </w:rPr>
        <w:t xml:space="preserve"> Cette disposition est également applicable devant le TPIR. Le TSL prévoit</w:t>
      </w:r>
      <w:r w:rsidR="00263AB5" w:rsidRPr="00953692">
        <w:rPr>
          <w:sz w:val="24"/>
          <w:szCs w:val="24"/>
          <w:lang w:val="fr-FR"/>
        </w:rPr>
        <w:t xml:space="preserve"> également</w:t>
      </w:r>
      <w:r w:rsidR="002E1C11" w:rsidRPr="00953692">
        <w:rPr>
          <w:sz w:val="24"/>
          <w:szCs w:val="24"/>
          <w:lang w:val="fr-FR"/>
        </w:rPr>
        <w:t xml:space="preserve"> une telle limitation conformément aux dispositions de l’article </w:t>
      </w:r>
      <w:r w:rsidR="00CE693D" w:rsidRPr="00953692">
        <w:rPr>
          <w:sz w:val="24"/>
          <w:szCs w:val="24"/>
          <w:lang w:val="fr-FR"/>
        </w:rPr>
        <w:t>126 C de son R</w:t>
      </w:r>
      <w:r w:rsidR="00B01E1D" w:rsidRPr="00953692">
        <w:rPr>
          <w:sz w:val="24"/>
          <w:szCs w:val="24"/>
          <w:lang w:val="fr-FR"/>
        </w:rPr>
        <w:t>èglement</w:t>
      </w:r>
      <w:r w:rsidR="00CE693D" w:rsidRPr="00953692">
        <w:rPr>
          <w:sz w:val="24"/>
          <w:szCs w:val="24"/>
          <w:lang w:val="fr-FR"/>
        </w:rPr>
        <w:t>.</w:t>
      </w:r>
    </w:p>
    <w:p w14:paraId="74326FE0" w14:textId="0917F1EF" w:rsidR="00ED47AB" w:rsidRPr="00953692" w:rsidRDefault="003F2222" w:rsidP="00864BBF">
      <w:pPr>
        <w:spacing w:after="0" w:line="276" w:lineRule="auto"/>
        <w:ind w:firstLine="1134"/>
        <w:jc w:val="both"/>
        <w:rPr>
          <w:sz w:val="24"/>
          <w:szCs w:val="24"/>
          <w:lang w:val="fr-FR"/>
        </w:rPr>
      </w:pPr>
      <w:r w:rsidRPr="00953692">
        <w:rPr>
          <w:b/>
          <w:bCs/>
          <w:sz w:val="24"/>
          <w:szCs w:val="24"/>
          <w:lang w:val="fr-FR"/>
        </w:rPr>
        <w:t>44</w:t>
      </w:r>
      <w:r w:rsidR="005F180D" w:rsidRPr="00953692">
        <w:rPr>
          <w:b/>
          <w:bCs/>
          <w:sz w:val="24"/>
          <w:szCs w:val="24"/>
          <w:lang w:val="fr-FR"/>
        </w:rPr>
        <w:t>4</w:t>
      </w:r>
      <w:r w:rsidR="00567449" w:rsidRPr="00953692">
        <w:rPr>
          <w:b/>
          <w:bCs/>
          <w:sz w:val="24"/>
          <w:szCs w:val="24"/>
          <w:lang w:val="fr-FR"/>
        </w:rPr>
        <w:t>.</w:t>
      </w:r>
      <w:r w:rsidR="00567449" w:rsidRPr="00953692">
        <w:rPr>
          <w:sz w:val="24"/>
          <w:szCs w:val="24"/>
          <w:lang w:val="fr-FR"/>
        </w:rPr>
        <w:t xml:space="preserve"> </w:t>
      </w:r>
      <w:r w:rsidR="00ED47AB" w:rsidRPr="00953692">
        <w:rPr>
          <w:sz w:val="24"/>
          <w:szCs w:val="24"/>
          <w:lang w:val="fr-FR"/>
        </w:rPr>
        <w:t>La C</w:t>
      </w:r>
      <w:r w:rsidR="00A520BC" w:rsidRPr="00953692">
        <w:rPr>
          <w:sz w:val="24"/>
          <w:szCs w:val="24"/>
          <w:lang w:val="fr-FR"/>
        </w:rPr>
        <w:t>our pénale internationale,</w:t>
      </w:r>
      <w:r w:rsidR="00ED47AB" w:rsidRPr="00953692">
        <w:rPr>
          <w:sz w:val="24"/>
          <w:szCs w:val="24"/>
          <w:lang w:val="fr-FR"/>
        </w:rPr>
        <w:t xml:space="preserve"> par contre</w:t>
      </w:r>
      <w:r w:rsidR="00A520BC" w:rsidRPr="00953692">
        <w:rPr>
          <w:sz w:val="24"/>
          <w:szCs w:val="24"/>
          <w:lang w:val="fr-FR"/>
        </w:rPr>
        <w:t>,</w:t>
      </w:r>
      <w:r w:rsidR="00ED47AB" w:rsidRPr="00953692">
        <w:rPr>
          <w:sz w:val="24"/>
          <w:szCs w:val="24"/>
          <w:lang w:val="fr-FR"/>
        </w:rPr>
        <w:t xml:space="preserve"> ne reprend pas cette catégorisation </w:t>
      </w:r>
      <w:r w:rsidR="0073693C" w:rsidRPr="00953692">
        <w:rPr>
          <w:sz w:val="24"/>
          <w:szCs w:val="24"/>
          <w:lang w:val="fr-FR"/>
        </w:rPr>
        <w:t xml:space="preserve">claire </w:t>
      </w:r>
      <w:r w:rsidR="00ED47AB" w:rsidRPr="00953692">
        <w:rPr>
          <w:sz w:val="24"/>
          <w:szCs w:val="24"/>
          <w:lang w:val="fr-FR"/>
        </w:rPr>
        <w:t>des requêtes en matière d’appel interlocutoire</w:t>
      </w:r>
      <w:r w:rsidR="0073693C" w:rsidRPr="00953692">
        <w:rPr>
          <w:sz w:val="24"/>
          <w:szCs w:val="24"/>
          <w:lang w:val="fr-FR"/>
        </w:rPr>
        <w:t>, mais maintient le régime restrictif</w:t>
      </w:r>
      <w:r w:rsidR="00F764F7" w:rsidRPr="00953692">
        <w:rPr>
          <w:sz w:val="24"/>
          <w:szCs w:val="24"/>
          <w:lang w:val="fr-FR"/>
        </w:rPr>
        <w:t xml:space="preserve"> et élargit aussi le spectre d</w:t>
      </w:r>
      <w:r w:rsidR="00AB0F9B" w:rsidRPr="00953692">
        <w:rPr>
          <w:sz w:val="24"/>
          <w:szCs w:val="24"/>
          <w:lang w:val="fr-FR"/>
        </w:rPr>
        <w:t>’un</w:t>
      </w:r>
      <w:r w:rsidR="00F764F7" w:rsidRPr="00953692">
        <w:rPr>
          <w:sz w:val="24"/>
          <w:szCs w:val="24"/>
          <w:lang w:val="fr-FR"/>
        </w:rPr>
        <w:t xml:space="preserve"> recours de plein droit. </w:t>
      </w:r>
      <w:r w:rsidR="0073693C" w:rsidRPr="00953692">
        <w:rPr>
          <w:sz w:val="24"/>
          <w:szCs w:val="24"/>
          <w:lang w:val="fr-FR"/>
        </w:rPr>
        <w:t>Ainsi, p</w:t>
      </w:r>
      <w:r w:rsidR="00946252" w:rsidRPr="00953692">
        <w:rPr>
          <w:sz w:val="24"/>
          <w:szCs w:val="24"/>
          <w:lang w:val="fr-FR"/>
        </w:rPr>
        <w:t>a</w:t>
      </w:r>
      <w:r w:rsidR="0073693C" w:rsidRPr="00953692">
        <w:rPr>
          <w:sz w:val="24"/>
          <w:szCs w:val="24"/>
          <w:lang w:val="fr-FR"/>
        </w:rPr>
        <w:t>rmi les déc</w:t>
      </w:r>
      <w:r w:rsidR="00946252" w:rsidRPr="00953692">
        <w:rPr>
          <w:sz w:val="24"/>
          <w:szCs w:val="24"/>
          <w:lang w:val="fr-FR"/>
        </w:rPr>
        <w:t>is</w:t>
      </w:r>
      <w:r w:rsidR="0073693C" w:rsidRPr="00953692">
        <w:rPr>
          <w:sz w:val="24"/>
          <w:szCs w:val="24"/>
          <w:lang w:val="fr-FR"/>
        </w:rPr>
        <w:t>ions qui n’exigent pas une autorisation, on retrouve</w:t>
      </w:r>
      <w:r w:rsidR="00946252" w:rsidRPr="00953692">
        <w:rPr>
          <w:sz w:val="24"/>
          <w:szCs w:val="24"/>
          <w:lang w:val="fr-FR"/>
        </w:rPr>
        <w:t xml:space="preserve"> premièrement</w:t>
      </w:r>
      <w:r w:rsidR="0073693C" w:rsidRPr="00953692">
        <w:rPr>
          <w:sz w:val="24"/>
          <w:szCs w:val="24"/>
          <w:lang w:val="fr-FR"/>
        </w:rPr>
        <w:t xml:space="preserve"> la décision rendue par la Chambre de première instance </w:t>
      </w:r>
      <w:r w:rsidR="00946252" w:rsidRPr="00953692">
        <w:rPr>
          <w:sz w:val="24"/>
          <w:szCs w:val="24"/>
          <w:lang w:val="fr-FR"/>
        </w:rPr>
        <w:t>maintenant la personne acquittée en détention pendant la procédure d’appel</w:t>
      </w:r>
      <w:r w:rsidR="00A3146F" w:rsidRPr="00953692">
        <w:rPr>
          <w:rStyle w:val="Appelnotedebasdep"/>
          <w:sz w:val="24"/>
          <w:szCs w:val="24"/>
          <w:lang w:val="fr-FR"/>
        </w:rPr>
        <w:footnoteReference w:customMarkFollows="1" w:id="343"/>
        <w:t>318</w:t>
      </w:r>
      <w:r w:rsidR="0073693C" w:rsidRPr="00953692">
        <w:rPr>
          <w:sz w:val="24"/>
          <w:szCs w:val="24"/>
          <w:lang w:val="fr-FR"/>
        </w:rPr>
        <w:t>.</w:t>
      </w:r>
      <w:r w:rsidR="00946252" w:rsidRPr="00953692">
        <w:rPr>
          <w:sz w:val="24"/>
          <w:szCs w:val="24"/>
          <w:lang w:val="fr-FR"/>
        </w:rPr>
        <w:t xml:space="preserve"> Deuxièmement, la décision rendue sur la compétence</w:t>
      </w:r>
      <w:r w:rsidR="00A520BC" w:rsidRPr="00953692">
        <w:rPr>
          <w:sz w:val="24"/>
          <w:szCs w:val="24"/>
          <w:lang w:val="fr-FR"/>
        </w:rPr>
        <w:t xml:space="preserve"> de la Cour</w:t>
      </w:r>
      <w:r w:rsidR="00946252" w:rsidRPr="00953692">
        <w:rPr>
          <w:sz w:val="24"/>
          <w:szCs w:val="24"/>
          <w:lang w:val="fr-FR"/>
        </w:rPr>
        <w:t xml:space="preserve"> ou la recevabilité</w:t>
      </w:r>
      <w:r w:rsidR="00A520BC" w:rsidRPr="00953692">
        <w:rPr>
          <w:sz w:val="24"/>
          <w:szCs w:val="24"/>
          <w:lang w:val="fr-FR"/>
        </w:rPr>
        <w:t xml:space="preserve"> de l’affaire</w:t>
      </w:r>
      <w:r w:rsidR="00A3146F" w:rsidRPr="00953692">
        <w:rPr>
          <w:rStyle w:val="Appelnotedebasdep"/>
          <w:sz w:val="24"/>
          <w:szCs w:val="24"/>
          <w:lang w:val="fr-FR"/>
        </w:rPr>
        <w:footnoteReference w:customMarkFollows="1" w:id="344"/>
        <w:t>319</w:t>
      </w:r>
      <w:r w:rsidR="00946252" w:rsidRPr="00953692">
        <w:rPr>
          <w:sz w:val="24"/>
          <w:szCs w:val="24"/>
          <w:lang w:val="fr-FR"/>
        </w:rPr>
        <w:t>. Troisièmement,</w:t>
      </w:r>
      <w:r w:rsidR="00CE6E64" w:rsidRPr="00953692">
        <w:rPr>
          <w:sz w:val="24"/>
          <w:szCs w:val="24"/>
          <w:lang w:val="fr-FR"/>
        </w:rPr>
        <w:t xml:space="preserve"> lorsqu’il s’agit d’une</w:t>
      </w:r>
      <w:r w:rsidR="00946252" w:rsidRPr="00953692">
        <w:rPr>
          <w:sz w:val="24"/>
          <w:szCs w:val="24"/>
          <w:lang w:val="fr-FR"/>
        </w:rPr>
        <w:t xml:space="preserve"> </w:t>
      </w:r>
      <w:r w:rsidR="00CE6E64" w:rsidRPr="00953692">
        <w:rPr>
          <w:sz w:val="24"/>
          <w:szCs w:val="24"/>
          <w:lang w:val="fr-FR"/>
        </w:rPr>
        <w:t>D</w:t>
      </w:r>
      <w:r w:rsidR="00946252" w:rsidRPr="00953692">
        <w:rPr>
          <w:sz w:val="24"/>
          <w:szCs w:val="24"/>
          <w:lang w:val="fr-FR"/>
        </w:rPr>
        <w:t>écision accordant ou refusant la mise en liberté de la personne mise en cause</w:t>
      </w:r>
      <w:r w:rsidR="00A3146F" w:rsidRPr="00953692">
        <w:rPr>
          <w:rStyle w:val="Appelnotedebasdep"/>
          <w:sz w:val="24"/>
          <w:szCs w:val="24"/>
          <w:lang w:val="fr-FR"/>
        </w:rPr>
        <w:footnoteReference w:customMarkFollows="1" w:id="345"/>
        <w:t>320</w:t>
      </w:r>
      <w:r w:rsidR="00946252" w:rsidRPr="00953692">
        <w:rPr>
          <w:sz w:val="24"/>
          <w:szCs w:val="24"/>
          <w:lang w:val="fr-FR"/>
        </w:rPr>
        <w:t>. Et enfin, quatrièmement, la décision de la Chambre préliminaire agi</w:t>
      </w:r>
      <w:r w:rsidR="00A520BC" w:rsidRPr="00953692">
        <w:rPr>
          <w:sz w:val="24"/>
          <w:szCs w:val="24"/>
          <w:lang w:val="fr-FR"/>
        </w:rPr>
        <w:t>ssant</w:t>
      </w:r>
      <w:r w:rsidR="00946252" w:rsidRPr="00953692">
        <w:rPr>
          <w:sz w:val="24"/>
          <w:szCs w:val="24"/>
          <w:lang w:val="fr-FR"/>
        </w:rPr>
        <w:t xml:space="preserve"> de sa propre initiative en prenant des mesures </w:t>
      </w:r>
      <w:r w:rsidR="00CE6E64" w:rsidRPr="00953692">
        <w:rPr>
          <w:sz w:val="24"/>
          <w:szCs w:val="24"/>
          <w:lang w:val="fr-FR"/>
        </w:rPr>
        <w:t>destinées</w:t>
      </w:r>
      <w:r w:rsidR="00946252" w:rsidRPr="00953692">
        <w:rPr>
          <w:sz w:val="24"/>
          <w:szCs w:val="24"/>
          <w:lang w:val="fr-FR"/>
        </w:rPr>
        <w:t xml:space="preserve"> préserver des éléments de preuve qu'elle juge essentiels pour la défense au cours du procès</w:t>
      </w:r>
      <w:r w:rsidR="00A3146F" w:rsidRPr="00953692">
        <w:rPr>
          <w:rStyle w:val="Appelnotedebasdep"/>
          <w:sz w:val="24"/>
          <w:szCs w:val="24"/>
          <w:lang w:val="fr-FR"/>
        </w:rPr>
        <w:footnoteReference w:customMarkFollows="1" w:id="346"/>
        <w:t>321</w:t>
      </w:r>
      <w:r w:rsidR="00946252" w:rsidRPr="00953692">
        <w:rPr>
          <w:sz w:val="24"/>
          <w:szCs w:val="24"/>
          <w:lang w:val="fr-FR"/>
        </w:rPr>
        <w:t>.</w:t>
      </w:r>
    </w:p>
    <w:p w14:paraId="034EABBD" w14:textId="5EB1EE4F" w:rsidR="00EF7307" w:rsidRPr="00953692" w:rsidRDefault="003F2222" w:rsidP="00864BBF">
      <w:pPr>
        <w:spacing w:after="0" w:line="276" w:lineRule="auto"/>
        <w:ind w:firstLine="1134"/>
        <w:jc w:val="both"/>
        <w:rPr>
          <w:sz w:val="24"/>
          <w:szCs w:val="24"/>
          <w:lang w:val="fr-FR"/>
        </w:rPr>
      </w:pPr>
      <w:r w:rsidRPr="00953692">
        <w:rPr>
          <w:b/>
          <w:bCs/>
          <w:sz w:val="24"/>
          <w:szCs w:val="24"/>
          <w:lang w:val="fr-FR"/>
        </w:rPr>
        <w:t>44</w:t>
      </w:r>
      <w:r w:rsidR="005F180D" w:rsidRPr="00953692">
        <w:rPr>
          <w:b/>
          <w:bCs/>
          <w:sz w:val="24"/>
          <w:szCs w:val="24"/>
          <w:lang w:val="fr-FR"/>
        </w:rPr>
        <w:t>5</w:t>
      </w:r>
      <w:r w:rsidR="00F764F7" w:rsidRPr="00953692">
        <w:rPr>
          <w:b/>
          <w:bCs/>
          <w:sz w:val="24"/>
          <w:szCs w:val="24"/>
          <w:lang w:val="fr-FR"/>
        </w:rPr>
        <w:t>.</w:t>
      </w:r>
      <w:r w:rsidR="00F764F7" w:rsidRPr="00953692">
        <w:rPr>
          <w:sz w:val="24"/>
          <w:szCs w:val="24"/>
          <w:lang w:val="fr-FR"/>
        </w:rPr>
        <w:t xml:space="preserve"> </w:t>
      </w:r>
      <w:r w:rsidR="00352B0D" w:rsidRPr="00953692">
        <w:rPr>
          <w:sz w:val="24"/>
          <w:szCs w:val="24"/>
          <w:lang w:val="fr-FR"/>
        </w:rPr>
        <w:t xml:space="preserve">En ce qui concerne les décisions soumises à une autorisation préalable, </w:t>
      </w:r>
      <w:r w:rsidR="00D83696" w:rsidRPr="00953692">
        <w:rPr>
          <w:sz w:val="24"/>
          <w:szCs w:val="24"/>
          <w:lang w:val="fr-FR"/>
        </w:rPr>
        <w:t xml:space="preserve">il faut noter toute </w:t>
      </w:r>
      <w:r w:rsidR="00A520BC" w:rsidRPr="00953692">
        <w:rPr>
          <w:sz w:val="24"/>
          <w:szCs w:val="24"/>
          <w:lang w:val="fr-FR"/>
        </w:rPr>
        <w:t>« </w:t>
      </w:r>
      <w:r w:rsidR="00D83696" w:rsidRPr="00953692">
        <w:rPr>
          <w:i/>
          <w:iCs/>
          <w:sz w:val="24"/>
          <w:szCs w:val="24"/>
          <w:lang w:val="fr-FR"/>
        </w:rPr>
        <w:t xml:space="preserve">décision </w:t>
      </w:r>
      <w:r w:rsidR="00C053F2" w:rsidRPr="00953692">
        <w:rPr>
          <w:i/>
          <w:iCs/>
          <w:sz w:val="24"/>
          <w:szCs w:val="24"/>
          <w:lang w:val="fr-FR"/>
        </w:rPr>
        <w:t>soulevant une question de nature à affecter de manière appréciable le déroulement équitable et rapide de la procédure ou l'issue du procès, et dont le règlement immédiat par la Chambre d'appel pourrait, de l'avis de la Chambre préliminaire ou de la Chambre de première instance, faire sensiblement progresser la procédure</w:t>
      </w:r>
      <w:r w:rsidR="00A520BC" w:rsidRPr="00953692">
        <w:rPr>
          <w:i/>
          <w:iCs/>
          <w:sz w:val="24"/>
          <w:szCs w:val="24"/>
          <w:lang w:val="fr-FR"/>
        </w:rPr>
        <w:t> »</w:t>
      </w:r>
      <w:r w:rsidR="00A3146F" w:rsidRPr="00953692">
        <w:rPr>
          <w:rStyle w:val="Appelnotedebasdep"/>
          <w:sz w:val="24"/>
          <w:szCs w:val="24"/>
          <w:lang w:val="fr-FR"/>
        </w:rPr>
        <w:footnoteReference w:customMarkFollows="1" w:id="347"/>
        <w:t>322</w:t>
      </w:r>
      <w:r w:rsidR="00C053F2" w:rsidRPr="00953692">
        <w:rPr>
          <w:sz w:val="24"/>
          <w:szCs w:val="24"/>
          <w:lang w:val="fr-FR"/>
        </w:rPr>
        <w:t>.</w:t>
      </w:r>
      <w:r w:rsidR="00E40278" w:rsidRPr="00953692">
        <w:rPr>
          <w:sz w:val="24"/>
          <w:szCs w:val="24"/>
          <w:lang w:val="fr-FR"/>
        </w:rPr>
        <w:t xml:space="preserve"> On revoit ici les marques indélébiles de l’illimitation des requêtes</w:t>
      </w:r>
      <w:r w:rsidR="00EF7307" w:rsidRPr="00953692">
        <w:rPr>
          <w:sz w:val="24"/>
          <w:szCs w:val="24"/>
          <w:lang w:val="fr-FR"/>
        </w:rPr>
        <w:t xml:space="preserve"> (parlant des demandes incidentes devant la Chambre de première instance)</w:t>
      </w:r>
      <w:r w:rsidR="00E40278" w:rsidRPr="00953692">
        <w:rPr>
          <w:sz w:val="24"/>
          <w:szCs w:val="24"/>
          <w:lang w:val="fr-FR"/>
        </w:rPr>
        <w:t xml:space="preserve"> telles </w:t>
      </w:r>
      <w:r w:rsidR="00630C8B" w:rsidRPr="00953692">
        <w:rPr>
          <w:sz w:val="24"/>
          <w:szCs w:val="24"/>
          <w:lang w:val="fr-FR"/>
        </w:rPr>
        <w:t>qu’elles s’imposent</w:t>
      </w:r>
      <w:r w:rsidR="00E40278" w:rsidRPr="00953692">
        <w:rPr>
          <w:sz w:val="24"/>
          <w:szCs w:val="24"/>
          <w:lang w:val="fr-FR"/>
        </w:rPr>
        <w:t xml:space="preserve"> également aux autres juridictions</w:t>
      </w:r>
      <w:r w:rsidR="00A520BC" w:rsidRPr="00953692">
        <w:rPr>
          <w:sz w:val="24"/>
          <w:szCs w:val="24"/>
          <w:lang w:val="fr-FR"/>
        </w:rPr>
        <w:t xml:space="preserve"> ad hoc</w:t>
      </w:r>
      <w:r w:rsidR="005952F6" w:rsidRPr="00953692">
        <w:rPr>
          <w:sz w:val="24"/>
          <w:szCs w:val="24"/>
          <w:lang w:val="fr-FR"/>
        </w:rPr>
        <w:t>. Il en est le cas notamment de</w:t>
      </w:r>
      <w:r w:rsidR="00F764F7" w:rsidRPr="00953692">
        <w:rPr>
          <w:sz w:val="24"/>
          <w:szCs w:val="24"/>
          <w:lang w:val="fr-FR"/>
        </w:rPr>
        <w:t xml:space="preserve"> la CPS centrafricaine.</w:t>
      </w:r>
    </w:p>
    <w:p w14:paraId="67D58A82" w14:textId="55838B50" w:rsidR="001F554C" w:rsidRPr="00953692" w:rsidRDefault="003F2222" w:rsidP="00864BBF">
      <w:pPr>
        <w:spacing w:after="0" w:line="276" w:lineRule="auto"/>
        <w:ind w:firstLine="1134"/>
        <w:jc w:val="both"/>
        <w:rPr>
          <w:sz w:val="24"/>
          <w:szCs w:val="24"/>
          <w:lang w:val="fr-FR"/>
        </w:rPr>
      </w:pPr>
      <w:r w:rsidRPr="00953692">
        <w:rPr>
          <w:b/>
          <w:bCs/>
          <w:sz w:val="24"/>
          <w:szCs w:val="24"/>
          <w:lang w:val="fr-FR"/>
        </w:rPr>
        <w:t>44</w:t>
      </w:r>
      <w:r w:rsidR="005F180D" w:rsidRPr="00953692">
        <w:rPr>
          <w:b/>
          <w:bCs/>
          <w:sz w:val="24"/>
          <w:szCs w:val="24"/>
          <w:lang w:val="fr-FR"/>
        </w:rPr>
        <w:t>6</w:t>
      </w:r>
      <w:r w:rsidR="00342DE0" w:rsidRPr="00953692">
        <w:rPr>
          <w:b/>
          <w:bCs/>
          <w:sz w:val="24"/>
          <w:szCs w:val="24"/>
          <w:lang w:val="fr-FR"/>
        </w:rPr>
        <w:t>.</w:t>
      </w:r>
      <w:r w:rsidR="00342DE0" w:rsidRPr="00953692">
        <w:rPr>
          <w:sz w:val="24"/>
          <w:szCs w:val="24"/>
          <w:lang w:val="fr-FR"/>
        </w:rPr>
        <w:t xml:space="preserve"> </w:t>
      </w:r>
      <w:r w:rsidR="006F589E" w:rsidRPr="00953692">
        <w:rPr>
          <w:sz w:val="24"/>
          <w:szCs w:val="24"/>
          <w:lang w:val="fr-FR"/>
        </w:rPr>
        <w:t>Dans l</w:t>
      </w:r>
      <w:r w:rsidR="00342DE0" w:rsidRPr="00953692">
        <w:rPr>
          <w:sz w:val="24"/>
          <w:szCs w:val="24"/>
          <w:lang w:val="fr-FR"/>
        </w:rPr>
        <w:t>’organisation</w:t>
      </w:r>
      <w:r w:rsidR="006F589E" w:rsidRPr="00953692">
        <w:rPr>
          <w:sz w:val="24"/>
          <w:szCs w:val="24"/>
          <w:lang w:val="fr-FR"/>
        </w:rPr>
        <w:t xml:space="preserve"> de cette juridiction, on trouve la Chambre d’appel</w:t>
      </w:r>
      <w:r w:rsidR="00A3146F" w:rsidRPr="00953692">
        <w:rPr>
          <w:rStyle w:val="Appelnotedebasdep"/>
          <w:sz w:val="24"/>
          <w:szCs w:val="24"/>
          <w:lang w:val="fr-FR"/>
        </w:rPr>
        <w:footnoteReference w:customMarkFollows="1" w:id="348"/>
        <w:t>323</w:t>
      </w:r>
      <w:r w:rsidR="006F589E" w:rsidRPr="00953692">
        <w:rPr>
          <w:sz w:val="24"/>
          <w:szCs w:val="24"/>
          <w:lang w:val="fr-FR"/>
        </w:rPr>
        <w:t>, compétente pour statuer sur les appels interjetés contre une décision rendue par les Sections d’assises ou par la Chambre d’accusation spéciale.</w:t>
      </w:r>
      <w:r w:rsidR="00EF7307" w:rsidRPr="00953692">
        <w:rPr>
          <w:sz w:val="24"/>
          <w:szCs w:val="24"/>
          <w:lang w:val="fr-FR"/>
        </w:rPr>
        <w:t xml:space="preserve"> </w:t>
      </w:r>
      <w:r w:rsidR="002925B8" w:rsidRPr="00953692">
        <w:rPr>
          <w:sz w:val="24"/>
          <w:szCs w:val="24"/>
          <w:lang w:val="fr-FR"/>
        </w:rPr>
        <w:t>Devant cette juridiction, il n’existe pas de la certification d’appel, le RPP prévoit plutôt</w:t>
      </w:r>
      <w:r w:rsidR="00D82FE6" w:rsidRPr="00953692">
        <w:rPr>
          <w:sz w:val="24"/>
          <w:szCs w:val="24"/>
          <w:lang w:val="fr-FR"/>
        </w:rPr>
        <w:t>,</w:t>
      </w:r>
      <w:r w:rsidR="002925B8" w:rsidRPr="00953692">
        <w:rPr>
          <w:sz w:val="24"/>
          <w:szCs w:val="24"/>
          <w:lang w:val="fr-FR"/>
        </w:rPr>
        <w:t xml:space="preserve"> d’une part, les décisions de la Chambre d’assise immédiatement appelables</w:t>
      </w:r>
      <w:r w:rsidR="00D82FE6" w:rsidRPr="00953692">
        <w:rPr>
          <w:sz w:val="24"/>
          <w:szCs w:val="24"/>
          <w:lang w:val="fr-FR"/>
        </w:rPr>
        <w:t>,</w:t>
      </w:r>
      <w:r w:rsidR="002925B8" w:rsidRPr="00953692">
        <w:rPr>
          <w:sz w:val="24"/>
          <w:szCs w:val="24"/>
          <w:lang w:val="fr-FR"/>
        </w:rPr>
        <w:t xml:space="preserve"> à savoir, </w:t>
      </w:r>
      <w:r w:rsidR="00EF7307" w:rsidRPr="00953692">
        <w:rPr>
          <w:sz w:val="24"/>
          <w:szCs w:val="24"/>
          <w:lang w:val="fr-FR"/>
        </w:rPr>
        <w:t>« </w:t>
      </w:r>
      <w:r w:rsidR="002925B8" w:rsidRPr="00953692">
        <w:rPr>
          <w:i/>
          <w:iCs/>
          <w:sz w:val="24"/>
          <w:szCs w:val="24"/>
          <w:lang w:val="fr-FR"/>
        </w:rPr>
        <w:t>les décisions qui ont pour effet de mettre un terme à la procédure ; les décisions portant sur l’exclusion d’éléments factuels ; les décisions portant sur la détention et la liberté provisoires</w:t>
      </w:r>
      <w:r w:rsidR="00EF7307" w:rsidRPr="00953692">
        <w:rPr>
          <w:i/>
          <w:iCs/>
          <w:sz w:val="24"/>
          <w:szCs w:val="24"/>
          <w:lang w:val="fr-FR"/>
        </w:rPr>
        <w:t> »</w:t>
      </w:r>
      <w:r w:rsidR="002925B8" w:rsidRPr="00953692">
        <w:rPr>
          <w:sz w:val="24"/>
          <w:szCs w:val="24"/>
          <w:lang w:val="fr-FR"/>
        </w:rPr>
        <w:t>.</w:t>
      </w:r>
      <w:r w:rsidR="00EF7307" w:rsidRPr="00953692">
        <w:rPr>
          <w:sz w:val="24"/>
          <w:szCs w:val="24"/>
          <w:lang w:val="fr-FR"/>
        </w:rPr>
        <w:t xml:space="preserve"> D’autre part, les autres décisions de cette Chambre ne sont susceptibles d’appel qu’une fois que le jugement a été prononcé</w:t>
      </w:r>
      <w:r w:rsidR="00527DC5" w:rsidRPr="00953692">
        <w:rPr>
          <w:rStyle w:val="Appelnotedebasdep"/>
          <w:sz w:val="24"/>
          <w:szCs w:val="24"/>
          <w:lang w:val="fr-FR"/>
        </w:rPr>
        <w:footnoteReference w:customMarkFollows="1" w:id="349"/>
        <w:t>324</w:t>
      </w:r>
      <w:r w:rsidR="00EF7307" w:rsidRPr="00953692">
        <w:rPr>
          <w:sz w:val="24"/>
          <w:szCs w:val="24"/>
          <w:lang w:val="fr-FR"/>
        </w:rPr>
        <w:t>.</w:t>
      </w:r>
      <w:r w:rsidR="008E0250" w:rsidRPr="00953692">
        <w:rPr>
          <w:sz w:val="24"/>
          <w:szCs w:val="24"/>
          <w:lang w:val="fr-FR"/>
        </w:rPr>
        <w:t xml:space="preserve"> </w:t>
      </w:r>
    </w:p>
    <w:p w14:paraId="73DB8A3D" w14:textId="3FD0CEAA" w:rsidR="00840D70" w:rsidRPr="00953692" w:rsidRDefault="003F2222" w:rsidP="00864BBF">
      <w:pPr>
        <w:spacing w:after="0" w:line="276" w:lineRule="auto"/>
        <w:ind w:firstLine="1134"/>
        <w:jc w:val="both"/>
        <w:rPr>
          <w:sz w:val="24"/>
          <w:szCs w:val="24"/>
          <w:lang w:val="fr-FR"/>
        </w:rPr>
      </w:pPr>
      <w:r w:rsidRPr="00953692">
        <w:rPr>
          <w:b/>
          <w:bCs/>
          <w:sz w:val="24"/>
          <w:szCs w:val="24"/>
          <w:lang w:val="fr-FR"/>
        </w:rPr>
        <w:lastRenderedPageBreak/>
        <w:t>44</w:t>
      </w:r>
      <w:r w:rsidR="005F180D" w:rsidRPr="00953692">
        <w:rPr>
          <w:b/>
          <w:bCs/>
          <w:sz w:val="24"/>
          <w:szCs w:val="24"/>
          <w:lang w:val="fr-FR"/>
        </w:rPr>
        <w:t>7</w:t>
      </w:r>
      <w:r w:rsidR="001F554C" w:rsidRPr="00953692">
        <w:rPr>
          <w:b/>
          <w:bCs/>
          <w:sz w:val="24"/>
          <w:szCs w:val="24"/>
          <w:lang w:val="fr-FR"/>
        </w:rPr>
        <w:t>.</w:t>
      </w:r>
      <w:r w:rsidR="001F554C" w:rsidRPr="00953692">
        <w:rPr>
          <w:sz w:val="24"/>
          <w:szCs w:val="24"/>
          <w:lang w:val="fr-FR"/>
        </w:rPr>
        <w:t xml:space="preserve"> </w:t>
      </w:r>
      <w:r w:rsidR="008E0250" w:rsidRPr="00953692">
        <w:rPr>
          <w:sz w:val="24"/>
          <w:szCs w:val="24"/>
          <w:lang w:val="fr-FR"/>
        </w:rPr>
        <w:t>On retrouve une restriction similaire dans le Règlement de procédure d</w:t>
      </w:r>
      <w:r w:rsidR="00840D70" w:rsidRPr="00953692">
        <w:rPr>
          <w:sz w:val="24"/>
          <w:szCs w:val="24"/>
          <w:lang w:val="fr-FR"/>
        </w:rPr>
        <w:t>es</w:t>
      </w:r>
      <w:r w:rsidR="008E0250" w:rsidRPr="00953692">
        <w:rPr>
          <w:sz w:val="24"/>
          <w:szCs w:val="24"/>
          <w:lang w:val="fr-FR"/>
        </w:rPr>
        <w:t xml:space="preserve"> CETC dont l’article 10</w:t>
      </w:r>
      <w:r w:rsidR="00FB3206" w:rsidRPr="00953692">
        <w:rPr>
          <w:sz w:val="24"/>
          <w:szCs w:val="24"/>
          <w:lang w:val="fr-FR"/>
        </w:rPr>
        <w:t>4</w:t>
      </w:r>
      <w:r w:rsidR="008E0250" w:rsidRPr="00953692">
        <w:rPr>
          <w:sz w:val="24"/>
          <w:szCs w:val="24"/>
          <w:lang w:val="fr-FR"/>
        </w:rPr>
        <w:t xml:space="preserve"> </w:t>
      </w:r>
      <w:r w:rsidR="00840D70" w:rsidRPr="00953692">
        <w:rPr>
          <w:sz w:val="24"/>
          <w:szCs w:val="24"/>
          <w:lang w:val="fr-FR"/>
        </w:rPr>
        <w:t xml:space="preserve">prévoit que, </w:t>
      </w:r>
      <w:r w:rsidR="00C922A6" w:rsidRPr="00953692">
        <w:rPr>
          <w:sz w:val="24"/>
          <w:szCs w:val="24"/>
          <w:lang w:val="fr-FR"/>
        </w:rPr>
        <w:t xml:space="preserve">l’appel des décisions rendues par la Chambre de première instance </w:t>
      </w:r>
      <w:r w:rsidR="00840D70" w:rsidRPr="00953692">
        <w:rPr>
          <w:sz w:val="24"/>
          <w:szCs w:val="24"/>
          <w:lang w:val="fr-FR"/>
        </w:rPr>
        <w:t xml:space="preserve">est porté </w:t>
      </w:r>
      <w:r w:rsidR="00C922A6" w:rsidRPr="00953692">
        <w:rPr>
          <w:sz w:val="24"/>
          <w:szCs w:val="24"/>
          <w:lang w:val="fr-FR"/>
        </w:rPr>
        <w:t>devant la Chambre de la Cour suprême, sur fondement « </w:t>
      </w:r>
      <w:r w:rsidR="00C922A6" w:rsidRPr="00953692">
        <w:rPr>
          <w:i/>
          <w:iCs/>
          <w:sz w:val="24"/>
          <w:szCs w:val="24"/>
          <w:lang w:val="fr-FR"/>
        </w:rPr>
        <w:t>d’une erreur sur un point de droit qui invalide la décision, ou une erreur de fait qui a entraîné un déni de justice</w:t>
      </w:r>
      <w:r w:rsidR="00C922A6" w:rsidRPr="00953692">
        <w:rPr>
          <w:sz w:val="24"/>
          <w:szCs w:val="24"/>
          <w:lang w:val="fr-FR"/>
        </w:rPr>
        <w:t> ».</w:t>
      </w:r>
      <w:r w:rsidR="003C2382" w:rsidRPr="00953692">
        <w:rPr>
          <w:sz w:val="24"/>
          <w:szCs w:val="24"/>
          <w:lang w:val="fr-FR"/>
        </w:rPr>
        <w:t xml:space="preserve"> Ce texte fait une distinction entre les décisions immédiatement appelables et celles dont l’appel est sous condition suspensive. Le point 4 de cet article énumère limitativement les décisions immédiatement appelables, à savoir celles qui ont pour effet de mettre fin à la procédure ; celles rendues sur des questions relatives à la détention provisoire </w:t>
      </w:r>
      <w:r w:rsidR="00840D70" w:rsidRPr="00953692">
        <w:rPr>
          <w:sz w:val="24"/>
          <w:szCs w:val="24"/>
          <w:lang w:val="fr-FR"/>
        </w:rPr>
        <w:t xml:space="preserve">de la personne mise en cause </w:t>
      </w:r>
      <w:r w:rsidR="003C2382" w:rsidRPr="00953692">
        <w:rPr>
          <w:sz w:val="24"/>
          <w:szCs w:val="24"/>
          <w:lang w:val="fr-FR"/>
        </w:rPr>
        <w:t>et au contrôle judiciaire ; celles rendues sur des questions concernant des mesures de protection</w:t>
      </w:r>
      <w:r w:rsidR="00840D70" w:rsidRPr="00953692">
        <w:rPr>
          <w:sz w:val="24"/>
          <w:szCs w:val="24"/>
          <w:lang w:val="fr-FR"/>
        </w:rPr>
        <w:t xml:space="preserve"> (des victimes ou accusés)</w:t>
      </w:r>
      <w:r w:rsidR="003C2382" w:rsidRPr="00953692">
        <w:rPr>
          <w:sz w:val="24"/>
          <w:szCs w:val="24"/>
          <w:lang w:val="fr-FR"/>
        </w:rPr>
        <w:t xml:space="preserve"> ; et celles rendues dans le cas d’entraves à l’administration de la justice.</w:t>
      </w:r>
      <w:r w:rsidR="002F072B" w:rsidRPr="00953692">
        <w:rPr>
          <w:sz w:val="24"/>
          <w:szCs w:val="24"/>
          <w:lang w:val="fr-FR"/>
        </w:rPr>
        <w:t xml:space="preserve"> Ceci implique que toutes les autres décisions peuvent </w:t>
      </w:r>
      <w:r w:rsidR="001F554C" w:rsidRPr="00953692">
        <w:rPr>
          <w:sz w:val="24"/>
          <w:szCs w:val="24"/>
          <w:lang w:val="fr-FR"/>
        </w:rPr>
        <w:t>être</w:t>
      </w:r>
      <w:r w:rsidR="002F072B" w:rsidRPr="00953692">
        <w:rPr>
          <w:sz w:val="24"/>
          <w:szCs w:val="24"/>
          <w:lang w:val="fr-FR"/>
        </w:rPr>
        <w:t xml:space="preserve"> attaquées en appel qu’après le jugement définitif qu’aura rendu la </w:t>
      </w:r>
      <w:r w:rsidR="001F554C" w:rsidRPr="00953692">
        <w:rPr>
          <w:sz w:val="24"/>
          <w:szCs w:val="24"/>
          <w:lang w:val="fr-FR"/>
        </w:rPr>
        <w:t>Chambre de première instance.</w:t>
      </w:r>
    </w:p>
    <w:p w14:paraId="7C8753A2" w14:textId="3A742234" w:rsidR="00FB34F5" w:rsidRPr="00953692" w:rsidRDefault="003F2222" w:rsidP="00864BBF">
      <w:pPr>
        <w:spacing w:after="0" w:line="276" w:lineRule="auto"/>
        <w:ind w:firstLine="1134"/>
        <w:jc w:val="both"/>
        <w:rPr>
          <w:sz w:val="24"/>
          <w:szCs w:val="24"/>
          <w:lang w:val="fr-FR"/>
        </w:rPr>
      </w:pPr>
      <w:r w:rsidRPr="00953692">
        <w:rPr>
          <w:b/>
          <w:bCs/>
          <w:sz w:val="24"/>
          <w:szCs w:val="24"/>
          <w:lang w:val="fr-FR"/>
        </w:rPr>
        <w:t>44</w:t>
      </w:r>
      <w:r w:rsidR="005F180D" w:rsidRPr="00953692">
        <w:rPr>
          <w:b/>
          <w:bCs/>
          <w:sz w:val="24"/>
          <w:szCs w:val="24"/>
          <w:lang w:val="fr-FR"/>
        </w:rPr>
        <w:t>8</w:t>
      </w:r>
      <w:r w:rsidR="00DC4405" w:rsidRPr="00953692">
        <w:rPr>
          <w:b/>
          <w:bCs/>
          <w:sz w:val="24"/>
          <w:szCs w:val="24"/>
          <w:lang w:val="fr-FR"/>
        </w:rPr>
        <w:t>.</w:t>
      </w:r>
      <w:r w:rsidR="00DC4405" w:rsidRPr="00953692">
        <w:rPr>
          <w:sz w:val="24"/>
          <w:szCs w:val="24"/>
          <w:lang w:val="fr-FR"/>
        </w:rPr>
        <w:t xml:space="preserve"> Il découle</w:t>
      </w:r>
      <w:r w:rsidR="00FB3206" w:rsidRPr="00953692">
        <w:rPr>
          <w:sz w:val="24"/>
          <w:szCs w:val="24"/>
          <w:lang w:val="fr-FR"/>
        </w:rPr>
        <w:t xml:space="preserve"> finalement de ce qui précède que,</w:t>
      </w:r>
      <w:r w:rsidR="00DC4405" w:rsidRPr="00953692">
        <w:rPr>
          <w:sz w:val="24"/>
          <w:szCs w:val="24"/>
          <w:lang w:val="fr-FR"/>
        </w:rPr>
        <w:t xml:space="preserve"> les juridictions pénales internationales </w:t>
      </w:r>
      <w:r w:rsidR="000A0215" w:rsidRPr="00953692">
        <w:rPr>
          <w:sz w:val="24"/>
          <w:szCs w:val="24"/>
          <w:lang w:val="fr-FR"/>
        </w:rPr>
        <w:t>limitent</w:t>
      </w:r>
      <w:r w:rsidR="004760CA" w:rsidRPr="00953692">
        <w:rPr>
          <w:sz w:val="24"/>
          <w:szCs w:val="24"/>
          <w:lang w:val="fr-FR"/>
        </w:rPr>
        <w:t xml:space="preserve"> clairement</w:t>
      </w:r>
      <w:r w:rsidR="000A0215" w:rsidRPr="00953692">
        <w:rPr>
          <w:sz w:val="24"/>
          <w:szCs w:val="24"/>
          <w:lang w:val="fr-FR"/>
        </w:rPr>
        <w:t xml:space="preserve"> les appels interlocutoires ou autres appels des décisions rendues par la Chambre de première instance</w:t>
      </w:r>
      <w:r w:rsidR="004760CA" w:rsidRPr="00953692">
        <w:rPr>
          <w:sz w:val="24"/>
          <w:szCs w:val="24"/>
          <w:lang w:val="fr-FR"/>
        </w:rPr>
        <w:t xml:space="preserve">. </w:t>
      </w:r>
      <w:r w:rsidR="004A09B9" w:rsidRPr="00953692">
        <w:rPr>
          <w:sz w:val="24"/>
          <w:szCs w:val="24"/>
          <w:lang w:val="fr-FR"/>
        </w:rPr>
        <w:t>Une telle limitation leur évite</w:t>
      </w:r>
      <w:r w:rsidR="0087658C" w:rsidRPr="00953692">
        <w:rPr>
          <w:sz w:val="24"/>
          <w:szCs w:val="24"/>
          <w:lang w:val="fr-FR"/>
        </w:rPr>
        <w:t xml:space="preserve"> de manière générale</w:t>
      </w:r>
      <w:r w:rsidR="004A09B9" w:rsidRPr="00953692">
        <w:rPr>
          <w:sz w:val="24"/>
          <w:szCs w:val="24"/>
          <w:lang w:val="fr-FR"/>
        </w:rPr>
        <w:t xml:space="preserve"> une perturbation du procès, précisément dans le cas où il faudrait en compte</w:t>
      </w:r>
      <w:r w:rsidR="00FB3206" w:rsidRPr="00953692">
        <w:rPr>
          <w:sz w:val="24"/>
          <w:szCs w:val="24"/>
          <w:lang w:val="fr-FR"/>
        </w:rPr>
        <w:t>r</w:t>
      </w:r>
      <w:r w:rsidR="004A09B9" w:rsidRPr="00953692">
        <w:rPr>
          <w:sz w:val="24"/>
          <w:szCs w:val="24"/>
          <w:lang w:val="fr-FR"/>
        </w:rPr>
        <w:t xml:space="preserve"> par dizaine, centaine, voire par millier. </w:t>
      </w:r>
      <w:r w:rsidR="00FB3206" w:rsidRPr="00953692">
        <w:rPr>
          <w:sz w:val="24"/>
          <w:szCs w:val="24"/>
          <w:lang w:val="fr-FR"/>
        </w:rPr>
        <w:t xml:space="preserve">Il faut dire que cette hypothèse reste largement plausible dans un contexte où la complexité de la procédure pénale internationale peut obliger ces juridictions à prononcer plusieurs décisions abordant des </w:t>
      </w:r>
      <w:r w:rsidR="00604808" w:rsidRPr="00953692">
        <w:rPr>
          <w:sz w:val="24"/>
          <w:szCs w:val="24"/>
          <w:lang w:val="fr-FR"/>
        </w:rPr>
        <w:t xml:space="preserve">divers </w:t>
      </w:r>
      <w:r w:rsidR="00FB3206" w:rsidRPr="00953692">
        <w:rPr>
          <w:sz w:val="24"/>
          <w:szCs w:val="24"/>
          <w:lang w:val="fr-FR"/>
        </w:rPr>
        <w:t>sujets. Même si ces appels ne sont pas suspensifs</w:t>
      </w:r>
      <w:r w:rsidR="00527DC5" w:rsidRPr="00953692">
        <w:rPr>
          <w:rStyle w:val="Appelnotedebasdep"/>
          <w:sz w:val="24"/>
          <w:szCs w:val="24"/>
          <w:lang w:val="fr-FR"/>
        </w:rPr>
        <w:footnoteReference w:customMarkFollows="1" w:id="350"/>
        <w:t>325</w:t>
      </w:r>
      <w:r w:rsidR="00FB3206" w:rsidRPr="00953692">
        <w:rPr>
          <w:sz w:val="24"/>
          <w:szCs w:val="24"/>
          <w:lang w:val="fr-FR"/>
        </w:rPr>
        <w:t xml:space="preserve">, il va sans dire que leur multiplicité </w:t>
      </w:r>
      <w:r w:rsidR="0059613B" w:rsidRPr="00953692">
        <w:rPr>
          <w:sz w:val="24"/>
          <w:szCs w:val="24"/>
          <w:lang w:val="fr-FR"/>
        </w:rPr>
        <w:t>fait peser</w:t>
      </w:r>
      <w:r w:rsidR="00FB3206" w:rsidRPr="00953692">
        <w:rPr>
          <w:sz w:val="24"/>
          <w:szCs w:val="24"/>
          <w:lang w:val="fr-FR"/>
        </w:rPr>
        <w:t xml:space="preserve"> une menace réelle </w:t>
      </w:r>
      <w:r w:rsidR="0059613B" w:rsidRPr="00953692">
        <w:rPr>
          <w:sz w:val="24"/>
          <w:szCs w:val="24"/>
          <w:lang w:val="fr-FR"/>
        </w:rPr>
        <w:t>sur</w:t>
      </w:r>
      <w:r w:rsidR="00FB3206" w:rsidRPr="00953692">
        <w:rPr>
          <w:sz w:val="24"/>
          <w:szCs w:val="24"/>
          <w:lang w:val="fr-FR"/>
        </w:rPr>
        <w:t xml:space="preserve"> une procédure qui se veut rapide. </w:t>
      </w:r>
      <w:r w:rsidR="0087658C" w:rsidRPr="00953692">
        <w:rPr>
          <w:sz w:val="24"/>
          <w:szCs w:val="24"/>
          <w:lang w:val="fr-FR"/>
        </w:rPr>
        <w:t>On peut en venir décidément à l’idée d’une économie du procès.</w:t>
      </w:r>
    </w:p>
    <w:p w14:paraId="62D19EEE" w14:textId="10DCB81F" w:rsidR="00FB34F5" w:rsidRPr="00953692" w:rsidRDefault="00B92AD3" w:rsidP="006A0175">
      <w:pPr>
        <w:pStyle w:val="Paragraphedeliste"/>
        <w:numPr>
          <w:ilvl w:val="0"/>
          <w:numId w:val="14"/>
        </w:numPr>
        <w:spacing w:before="240" w:line="276" w:lineRule="auto"/>
        <w:jc w:val="both"/>
        <w:outlineLvl w:val="2"/>
        <w:rPr>
          <w:bCs/>
          <w:i/>
          <w:iCs/>
          <w:sz w:val="24"/>
          <w:szCs w:val="24"/>
          <w:lang w:val="fr-FR"/>
        </w:rPr>
      </w:pPr>
      <w:bookmarkStart w:id="100" w:name="_Toc195179449"/>
      <w:bookmarkStart w:id="101" w:name="_Hlk151385795"/>
      <w:bookmarkEnd w:id="99"/>
      <w:r w:rsidRPr="00953692">
        <w:rPr>
          <w:bCs/>
          <w:i/>
          <w:iCs/>
          <w:sz w:val="24"/>
          <w:szCs w:val="24"/>
          <w:lang w:val="fr-FR"/>
        </w:rPr>
        <w:t>Une limitation</w:t>
      </w:r>
      <w:r w:rsidR="00EF7307" w:rsidRPr="00953692">
        <w:rPr>
          <w:bCs/>
          <w:i/>
          <w:iCs/>
          <w:sz w:val="24"/>
          <w:szCs w:val="24"/>
          <w:lang w:val="fr-FR"/>
        </w:rPr>
        <w:t xml:space="preserve"> commandée</w:t>
      </w:r>
      <w:r w:rsidRPr="00953692">
        <w:rPr>
          <w:bCs/>
          <w:i/>
          <w:iCs/>
          <w:sz w:val="24"/>
          <w:szCs w:val="24"/>
          <w:lang w:val="fr-FR"/>
        </w:rPr>
        <w:t xml:space="preserve"> par l’économie du procès</w:t>
      </w:r>
      <w:bookmarkEnd w:id="100"/>
    </w:p>
    <w:bookmarkEnd w:id="101"/>
    <w:p w14:paraId="6119BC02" w14:textId="69885452" w:rsidR="008D5198" w:rsidRPr="00953692" w:rsidRDefault="003F2222" w:rsidP="00864BBF">
      <w:pPr>
        <w:spacing w:before="240" w:after="0" w:line="276" w:lineRule="auto"/>
        <w:ind w:firstLine="1134"/>
        <w:jc w:val="both"/>
        <w:rPr>
          <w:sz w:val="24"/>
          <w:szCs w:val="24"/>
          <w:lang w:val="fr-FR"/>
        </w:rPr>
      </w:pPr>
      <w:r w:rsidRPr="00953692">
        <w:rPr>
          <w:b/>
          <w:bCs/>
          <w:sz w:val="24"/>
          <w:szCs w:val="24"/>
          <w:lang w:val="fr-FR"/>
        </w:rPr>
        <w:t>44</w:t>
      </w:r>
      <w:r w:rsidR="005F180D" w:rsidRPr="00953692">
        <w:rPr>
          <w:b/>
          <w:bCs/>
          <w:sz w:val="24"/>
          <w:szCs w:val="24"/>
          <w:lang w:val="fr-FR"/>
        </w:rPr>
        <w:t>9</w:t>
      </w:r>
      <w:r w:rsidR="006A55AA" w:rsidRPr="00953692">
        <w:rPr>
          <w:b/>
          <w:bCs/>
          <w:sz w:val="24"/>
          <w:szCs w:val="24"/>
          <w:lang w:val="fr-FR"/>
        </w:rPr>
        <w:t>.</w:t>
      </w:r>
      <w:r w:rsidR="006A55AA" w:rsidRPr="00953692">
        <w:rPr>
          <w:sz w:val="24"/>
          <w:szCs w:val="24"/>
          <w:lang w:val="fr-FR"/>
        </w:rPr>
        <w:t xml:space="preserve"> L</w:t>
      </w:r>
      <w:r w:rsidR="00AF112E" w:rsidRPr="00953692">
        <w:rPr>
          <w:sz w:val="24"/>
          <w:szCs w:val="24"/>
          <w:lang w:val="fr-FR"/>
        </w:rPr>
        <w:t xml:space="preserve">e régime de limitation répond parfaitement à la logique de ne pas inonder les Chambres de tas des questions périphériques n’ayant pas une influence considérable sur le procès, c’est-à-dire son déroulement ou son issue. </w:t>
      </w:r>
      <w:r w:rsidR="001E6111" w:rsidRPr="00953692">
        <w:rPr>
          <w:sz w:val="24"/>
          <w:szCs w:val="24"/>
          <w:lang w:val="fr-FR"/>
        </w:rPr>
        <w:t xml:space="preserve">Il faut alors apprécier au cas par cas la question susceptible d’appel interlocutoire afin de ne pas </w:t>
      </w:r>
      <w:r w:rsidR="003D4415" w:rsidRPr="00953692">
        <w:rPr>
          <w:sz w:val="24"/>
          <w:szCs w:val="24"/>
          <w:lang w:val="fr-FR"/>
        </w:rPr>
        <w:t xml:space="preserve">organiser un procès expéditif ou hâtif. Nous l’avons dit, la décision judiciaire opposable erga omnes, donc à la communauté internationale en ce qui concerne les juridictions pénales internationales, se construit notamment à travers les décisions interlocutoires que les juges sont appelés à rendre au cours du procès. Il arrive que ces décisions soient contestées par l’une des parties, en l’occurrence l’accusé. </w:t>
      </w:r>
      <w:r w:rsidR="00161201" w:rsidRPr="00953692">
        <w:rPr>
          <w:rStyle w:val="grammar"/>
          <w:rFonts w:cs="Times New Roman"/>
          <w:sz w:val="24"/>
          <w:szCs w:val="24"/>
          <w:lang w:val="fr-FR"/>
        </w:rPr>
        <w:t>À</w:t>
      </w:r>
      <w:r w:rsidR="00161201" w:rsidRPr="00953692">
        <w:rPr>
          <w:rFonts w:cs="Times New Roman"/>
          <w:sz w:val="24"/>
          <w:szCs w:val="24"/>
          <w:shd w:val="clear" w:color="auto" w:fill="FFFFFF"/>
          <w:lang w:val="fr-FR"/>
        </w:rPr>
        <w:t xml:space="preserve"> cet effet</w:t>
      </w:r>
      <w:r w:rsidR="003D4415" w:rsidRPr="00953692">
        <w:rPr>
          <w:rFonts w:cs="Times New Roman"/>
          <w:sz w:val="24"/>
          <w:szCs w:val="24"/>
          <w:lang w:val="fr-FR"/>
        </w:rPr>
        <w:t>,</w:t>
      </w:r>
      <w:r w:rsidR="003D4415" w:rsidRPr="00953692">
        <w:rPr>
          <w:sz w:val="24"/>
          <w:szCs w:val="24"/>
          <w:lang w:val="fr-FR"/>
        </w:rPr>
        <w:t xml:space="preserve"> compter tenu de l’importance de l’objet, il est tout à fait logique de porter possiblement l’affaire devant une autre Chambre supérieure, donc la Chambre d’appel</w:t>
      </w:r>
      <w:r w:rsidR="00B370EF" w:rsidRPr="00953692">
        <w:rPr>
          <w:sz w:val="24"/>
          <w:szCs w:val="24"/>
          <w:lang w:val="fr-FR"/>
        </w:rPr>
        <w:t xml:space="preserve"> (ou la Chambre de la Cour suprême pour les CETC)</w:t>
      </w:r>
      <w:r w:rsidR="003D4415" w:rsidRPr="00953692">
        <w:rPr>
          <w:sz w:val="24"/>
          <w:szCs w:val="24"/>
          <w:lang w:val="fr-FR"/>
        </w:rPr>
        <w:t xml:space="preserve">. </w:t>
      </w:r>
      <w:r w:rsidR="004E1F09" w:rsidRPr="00953692">
        <w:rPr>
          <w:sz w:val="24"/>
          <w:szCs w:val="24"/>
          <w:lang w:val="fr-FR"/>
        </w:rPr>
        <w:t>Ainsi, l’appel interlocutoire a pour objet de solliciter une décision définitive à ce problème particulier</w:t>
      </w:r>
      <w:r w:rsidR="00527DC5" w:rsidRPr="00953692">
        <w:rPr>
          <w:rStyle w:val="Appelnotedebasdep"/>
          <w:sz w:val="24"/>
          <w:szCs w:val="24"/>
          <w:lang w:val="fr-FR"/>
        </w:rPr>
        <w:footnoteReference w:customMarkFollows="1" w:id="351"/>
        <w:t>326</w:t>
      </w:r>
      <w:r w:rsidR="004E1F09" w:rsidRPr="00953692">
        <w:rPr>
          <w:sz w:val="24"/>
          <w:szCs w:val="24"/>
          <w:lang w:val="fr-FR"/>
        </w:rPr>
        <w:t xml:space="preserve">. Puisqu’il s’agit d’introduire une autre </w:t>
      </w:r>
      <w:r w:rsidR="004E1F09" w:rsidRPr="00953692">
        <w:rPr>
          <w:sz w:val="24"/>
          <w:szCs w:val="24"/>
          <w:lang w:val="fr-FR"/>
        </w:rPr>
        <w:lastRenderedPageBreak/>
        <w:t xml:space="preserve">instance, les juridictions pénales internationales en limitent le spectre par </w:t>
      </w:r>
      <w:r w:rsidR="00C21DC4" w:rsidRPr="00953692">
        <w:rPr>
          <w:sz w:val="24"/>
          <w:szCs w:val="24"/>
          <w:lang w:val="fr-FR"/>
        </w:rPr>
        <w:t>ce</w:t>
      </w:r>
      <w:r w:rsidR="004E1F09" w:rsidRPr="00953692">
        <w:rPr>
          <w:sz w:val="24"/>
          <w:szCs w:val="24"/>
          <w:lang w:val="fr-FR"/>
        </w:rPr>
        <w:t xml:space="preserve"> mécanisme </w:t>
      </w:r>
      <w:r w:rsidR="00BE1967" w:rsidRPr="00953692">
        <w:rPr>
          <w:sz w:val="24"/>
          <w:szCs w:val="24"/>
          <w:lang w:val="fr-FR"/>
        </w:rPr>
        <w:t>dénommé</w:t>
      </w:r>
      <w:r w:rsidR="004E1F09" w:rsidRPr="00953692">
        <w:rPr>
          <w:sz w:val="24"/>
          <w:szCs w:val="24"/>
          <w:lang w:val="fr-FR"/>
        </w:rPr>
        <w:t xml:space="preserve"> </w:t>
      </w:r>
      <w:r w:rsidR="00BE1967" w:rsidRPr="00953692">
        <w:rPr>
          <w:sz w:val="24"/>
          <w:szCs w:val="24"/>
          <w:lang w:val="fr-FR"/>
        </w:rPr>
        <w:t xml:space="preserve">‘’ autorisation ou </w:t>
      </w:r>
      <w:r w:rsidR="004E1F09" w:rsidRPr="00953692">
        <w:rPr>
          <w:sz w:val="24"/>
          <w:szCs w:val="24"/>
          <w:lang w:val="fr-FR"/>
        </w:rPr>
        <w:t>certification d’appel</w:t>
      </w:r>
      <w:r w:rsidR="00BE1967" w:rsidRPr="00953692">
        <w:rPr>
          <w:sz w:val="24"/>
          <w:szCs w:val="24"/>
          <w:lang w:val="fr-FR"/>
        </w:rPr>
        <w:t>’’</w:t>
      </w:r>
      <w:r w:rsidR="003340B2" w:rsidRPr="00953692">
        <w:rPr>
          <w:sz w:val="24"/>
          <w:szCs w:val="24"/>
          <w:lang w:val="fr-FR"/>
        </w:rPr>
        <w:t xml:space="preserve"> que nous avons définie plus haut</w:t>
      </w:r>
      <w:r w:rsidR="004E1F09" w:rsidRPr="00953692">
        <w:rPr>
          <w:sz w:val="24"/>
          <w:szCs w:val="24"/>
          <w:lang w:val="fr-FR"/>
        </w:rPr>
        <w:t>.</w:t>
      </w:r>
    </w:p>
    <w:p w14:paraId="632E776A" w14:textId="70824E67" w:rsidR="005C5EC8" w:rsidRPr="00953692" w:rsidRDefault="003F2222" w:rsidP="00864BBF">
      <w:pPr>
        <w:spacing w:after="0" w:line="276" w:lineRule="auto"/>
        <w:ind w:firstLine="1134"/>
        <w:jc w:val="both"/>
        <w:rPr>
          <w:sz w:val="24"/>
          <w:szCs w:val="24"/>
          <w:lang w:val="fr-FR"/>
        </w:rPr>
      </w:pPr>
      <w:r w:rsidRPr="00953692">
        <w:rPr>
          <w:b/>
          <w:bCs/>
          <w:sz w:val="24"/>
          <w:szCs w:val="24"/>
          <w:lang w:val="fr-FR"/>
        </w:rPr>
        <w:t>45</w:t>
      </w:r>
      <w:r w:rsidR="005F180D" w:rsidRPr="00953692">
        <w:rPr>
          <w:b/>
          <w:bCs/>
          <w:sz w:val="24"/>
          <w:szCs w:val="24"/>
          <w:lang w:val="fr-FR"/>
        </w:rPr>
        <w:t>0</w:t>
      </w:r>
      <w:r w:rsidR="00142B07" w:rsidRPr="00953692">
        <w:rPr>
          <w:b/>
          <w:bCs/>
          <w:sz w:val="24"/>
          <w:szCs w:val="24"/>
          <w:lang w:val="fr-FR"/>
        </w:rPr>
        <w:t>.</w:t>
      </w:r>
      <w:r w:rsidR="00142B07" w:rsidRPr="00953692">
        <w:rPr>
          <w:sz w:val="24"/>
          <w:szCs w:val="24"/>
          <w:lang w:val="fr-FR"/>
        </w:rPr>
        <w:t xml:space="preserve"> </w:t>
      </w:r>
      <w:r w:rsidR="008C2CD1" w:rsidRPr="00953692">
        <w:rPr>
          <w:sz w:val="24"/>
          <w:szCs w:val="24"/>
          <w:lang w:val="fr-FR"/>
        </w:rPr>
        <w:t xml:space="preserve">En </w:t>
      </w:r>
      <w:r w:rsidR="004E1F09" w:rsidRPr="00953692">
        <w:rPr>
          <w:sz w:val="24"/>
          <w:szCs w:val="24"/>
          <w:lang w:val="fr-FR"/>
        </w:rPr>
        <w:t>réalité</w:t>
      </w:r>
      <w:r w:rsidR="008C2CD1" w:rsidRPr="00953692">
        <w:rPr>
          <w:sz w:val="24"/>
          <w:szCs w:val="24"/>
          <w:lang w:val="fr-FR"/>
        </w:rPr>
        <w:t xml:space="preserve">, </w:t>
      </w:r>
      <w:r w:rsidR="00BE1967" w:rsidRPr="00953692">
        <w:rPr>
          <w:sz w:val="24"/>
          <w:szCs w:val="24"/>
          <w:lang w:val="fr-FR"/>
        </w:rPr>
        <w:t xml:space="preserve">en matière </w:t>
      </w:r>
      <w:r w:rsidR="008C2CD1" w:rsidRPr="00953692">
        <w:rPr>
          <w:sz w:val="24"/>
          <w:szCs w:val="24"/>
          <w:lang w:val="fr-FR"/>
        </w:rPr>
        <w:t>des décisions soumises à une certification ou autorisation</w:t>
      </w:r>
      <w:r w:rsidR="004E1F09" w:rsidRPr="00953692">
        <w:rPr>
          <w:sz w:val="24"/>
          <w:szCs w:val="24"/>
          <w:lang w:val="fr-FR"/>
        </w:rPr>
        <w:t xml:space="preserve"> d’appel</w:t>
      </w:r>
      <w:r w:rsidR="008C2CD1" w:rsidRPr="00953692">
        <w:rPr>
          <w:sz w:val="24"/>
          <w:szCs w:val="24"/>
          <w:lang w:val="fr-FR"/>
        </w:rPr>
        <w:t>, le principe</w:t>
      </w:r>
      <w:r w:rsidR="00B571C2" w:rsidRPr="00953692">
        <w:rPr>
          <w:sz w:val="24"/>
          <w:szCs w:val="24"/>
          <w:lang w:val="fr-FR"/>
        </w:rPr>
        <w:t>,</w:t>
      </w:r>
      <w:r w:rsidR="008C2CD1" w:rsidRPr="00953692">
        <w:rPr>
          <w:sz w:val="24"/>
          <w:szCs w:val="24"/>
          <w:lang w:val="fr-FR"/>
        </w:rPr>
        <w:t xml:space="preserve"> c’est qu’elles ne sont pas susceptibles d’appel.</w:t>
      </w:r>
      <w:r w:rsidR="00173FBA" w:rsidRPr="00953692">
        <w:rPr>
          <w:sz w:val="24"/>
          <w:szCs w:val="24"/>
          <w:lang w:val="fr-FR"/>
        </w:rPr>
        <w:t xml:space="preserve"> Les décisions qui sont dans les viseurs </w:t>
      </w:r>
      <w:r w:rsidR="008876DF" w:rsidRPr="00953692">
        <w:rPr>
          <w:sz w:val="24"/>
          <w:szCs w:val="24"/>
          <w:lang w:val="fr-FR"/>
        </w:rPr>
        <w:t xml:space="preserve">des accusés </w:t>
      </w:r>
      <w:r w:rsidR="00173FBA" w:rsidRPr="00953692">
        <w:rPr>
          <w:sz w:val="24"/>
          <w:szCs w:val="24"/>
          <w:lang w:val="fr-FR"/>
        </w:rPr>
        <w:t xml:space="preserve">restent dans le cadre </w:t>
      </w:r>
      <w:r w:rsidR="005C5EC8" w:rsidRPr="00953692">
        <w:rPr>
          <w:sz w:val="24"/>
          <w:szCs w:val="24"/>
          <w:lang w:val="fr-FR"/>
        </w:rPr>
        <w:t>des pouvoirs dévolus aux organes juridictionnels d</w:t>
      </w:r>
      <w:r w:rsidR="008876DF" w:rsidRPr="00953692">
        <w:rPr>
          <w:sz w:val="24"/>
          <w:szCs w:val="24"/>
          <w:lang w:val="fr-FR"/>
        </w:rPr>
        <w:t>ans l’exercice de leur mission, dont l’objectif est de parvenir à un règlement définitif de l’affaire principale</w:t>
      </w:r>
      <w:r w:rsidR="005C5EC8" w:rsidRPr="00953692">
        <w:rPr>
          <w:sz w:val="24"/>
          <w:szCs w:val="24"/>
          <w:lang w:val="fr-FR"/>
        </w:rPr>
        <w:t xml:space="preserve">. </w:t>
      </w:r>
      <w:r w:rsidR="0021671D" w:rsidRPr="00953692">
        <w:rPr>
          <w:sz w:val="24"/>
          <w:szCs w:val="24"/>
          <w:lang w:val="fr-FR"/>
        </w:rPr>
        <w:t xml:space="preserve">La contestabilité de ces </w:t>
      </w:r>
      <w:r w:rsidR="009757CF" w:rsidRPr="00953692">
        <w:rPr>
          <w:sz w:val="24"/>
          <w:szCs w:val="24"/>
          <w:lang w:val="fr-FR"/>
        </w:rPr>
        <w:t xml:space="preserve">nombreuses </w:t>
      </w:r>
      <w:r w:rsidR="0021671D" w:rsidRPr="00953692">
        <w:rPr>
          <w:sz w:val="24"/>
          <w:szCs w:val="24"/>
          <w:lang w:val="fr-FR"/>
        </w:rPr>
        <w:t>décisions est de nature non seulement à décolorer l’autorité qu’incarnent les juges</w:t>
      </w:r>
      <w:r w:rsidR="009757CF" w:rsidRPr="00953692">
        <w:rPr>
          <w:sz w:val="24"/>
          <w:szCs w:val="24"/>
          <w:lang w:val="fr-FR"/>
        </w:rPr>
        <w:t xml:space="preserve"> dans ce processus</w:t>
      </w:r>
      <w:r w:rsidR="0021671D" w:rsidRPr="00953692">
        <w:rPr>
          <w:sz w:val="24"/>
          <w:szCs w:val="24"/>
          <w:lang w:val="fr-FR"/>
        </w:rPr>
        <w:t>, mais aussi à rendre le procès pratiquement intenable. Si à chaque fois les accusés devraient introduire ou déposer des demandes incidentes ou interlocutoires et interjeter appel contre les décisions qui en résulteront, il serait évident que la machine judiciaire devra s’arrêter à un moment donné du fait d’une surcharge ou d’un enchevêtrement des demandes et des décisions.</w:t>
      </w:r>
      <w:r w:rsidR="00A452EE" w:rsidRPr="00953692">
        <w:rPr>
          <w:sz w:val="24"/>
          <w:szCs w:val="24"/>
          <w:lang w:val="fr-FR"/>
        </w:rPr>
        <w:t xml:space="preserve"> Ainsi, la certification d’appel est donc censée mettre les juges devant leur propre </w:t>
      </w:r>
      <w:r w:rsidR="009757CF" w:rsidRPr="00953692">
        <w:rPr>
          <w:sz w:val="24"/>
          <w:szCs w:val="24"/>
          <w:lang w:val="fr-FR"/>
        </w:rPr>
        <w:t xml:space="preserve">responsabilité en toute </w:t>
      </w:r>
      <w:r w:rsidR="00A452EE" w:rsidRPr="00953692">
        <w:rPr>
          <w:sz w:val="24"/>
          <w:szCs w:val="24"/>
          <w:lang w:val="fr-FR"/>
        </w:rPr>
        <w:t>objectivité</w:t>
      </w:r>
      <w:r w:rsidR="009757CF" w:rsidRPr="00953692">
        <w:rPr>
          <w:sz w:val="24"/>
          <w:szCs w:val="24"/>
          <w:lang w:val="fr-FR"/>
        </w:rPr>
        <w:t>.</w:t>
      </w:r>
    </w:p>
    <w:p w14:paraId="2C73827C" w14:textId="26F55814" w:rsidR="006A55AA" w:rsidRPr="00953692" w:rsidRDefault="003F2222" w:rsidP="00864BBF">
      <w:pPr>
        <w:spacing w:after="0" w:line="276" w:lineRule="auto"/>
        <w:ind w:firstLine="1134"/>
        <w:jc w:val="both"/>
        <w:rPr>
          <w:sz w:val="24"/>
          <w:szCs w:val="24"/>
          <w:lang w:val="fr-FR"/>
        </w:rPr>
      </w:pPr>
      <w:r w:rsidRPr="00953692">
        <w:rPr>
          <w:b/>
          <w:bCs/>
          <w:sz w:val="24"/>
          <w:szCs w:val="24"/>
          <w:lang w:val="fr-FR"/>
        </w:rPr>
        <w:t>451</w:t>
      </w:r>
      <w:r w:rsidR="005C5EC8" w:rsidRPr="00953692">
        <w:rPr>
          <w:b/>
          <w:bCs/>
          <w:sz w:val="24"/>
          <w:szCs w:val="24"/>
          <w:lang w:val="fr-FR"/>
        </w:rPr>
        <w:t>.</w:t>
      </w:r>
      <w:r w:rsidR="005C5EC8" w:rsidRPr="00953692">
        <w:rPr>
          <w:sz w:val="24"/>
          <w:szCs w:val="24"/>
          <w:lang w:val="fr-FR"/>
        </w:rPr>
        <w:t xml:space="preserve"> </w:t>
      </w:r>
      <w:r w:rsidR="006A55AA" w:rsidRPr="00953692">
        <w:rPr>
          <w:sz w:val="24"/>
          <w:szCs w:val="24"/>
          <w:lang w:val="fr-FR"/>
        </w:rPr>
        <w:t>Devant les TPI et la CPI</w:t>
      </w:r>
      <w:r w:rsidR="00BE1967" w:rsidRPr="00953692">
        <w:rPr>
          <w:sz w:val="24"/>
          <w:szCs w:val="24"/>
          <w:lang w:val="fr-FR"/>
        </w:rPr>
        <w:t>,</w:t>
      </w:r>
      <w:r w:rsidR="006A55AA" w:rsidRPr="00953692">
        <w:rPr>
          <w:sz w:val="24"/>
          <w:szCs w:val="24"/>
          <w:lang w:val="fr-FR"/>
        </w:rPr>
        <w:t xml:space="preserve"> par exemple, l</w:t>
      </w:r>
      <w:r w:rsidR="008C2CD1" w:rsidRPr="00953692">
        <w:rPr>
          <w:sz w:val="24"/>
          <w:szCs w:val="24"/>
          <w:lang w:val="fr-FR"/>
        </w:rPr>
        <w:t xml:space="preserve">a </w:t>
      </w:r>
      <w:r w:rsidR="006A55AA" w:rsidRPr="00953692">
        <w:rPr>
          <w:sz w:val="24"/>
          <w:szCs w:val="24"/>
          <w:lang w:val="fr-FR"/>
        </w:rPr>
        <w:t>C</w:t>
      </w:r>
      <w:r w:rsidR="008C2CD1" w:rsidRPr="00953692">
        <w:rPr>
          <w:sz w:val="24"/>
          <w:szCs w:val="24"/>
          <w:lang w:val="fr-FR"/>
        </w:rPr>
        <w:t>hambre qui les a rendues peut néanmoins autoriser</w:t>
      </w:r>
      <w:r w:rsidR="006A55AA" w:rsidRPr="00953692">
        <w:rPr>
          <w:sz w:val="24"/>
          <w:szCs w:val="24"/>
          <w:lang w:val="fr-FR"/>
        </w:rPr>
        <w:t xml:space="preserve"> l’accusé</w:t>
      </w:r>
      <w:r w:rsidR="008C2CD1" w:rsidRPr="00953692">
        <w:rPr>
          <w:sz w:val="24"/>
          <w:szCs w:val="24"/>
          <w:lang w:val="fr-FR"/>
        </w:rPr>
        <w:t xml:space="preserve"> d</w:t>
      </w:r>
      <w:r w:rsidR="006A55AA" w:rsidRPr="00953692">
        <w:rPr>
          <w:sz w:val="24"/>
          <w:szCs w:val="24"/>
          <w:lang w:val="fr-FR"/>
        </w:rPr>
        <w:t>’interjeter appel</w:t>
      </w:r>
      <w:r w:rsidR="008C2CD1" w:rsidRPr="00953692">
        <w:rPr>
          <w:sz w:val="24"/>
          <w:szCs w:val="24"/>
          <w:lang w:val="fr-FR"/>
        </w:rPr>
        <w:t xml:space="preserve"> en vertu essentiellement de son intime conviction, car </w:t>
      </w:r>
      <w:r w:rsidR="00BE1967" w:rsidRPr="00953692">
        <w:rPr>
          <w:sz w:val="24"/>
          <w:szCs w:val="24"/>
          <w:lang w:val="fr-FR"/>
        </w:rPr>
        <w:t>il lui appartient d’en apprécier la pertinence</w:t>
      </w:r>
      <w:r w:rsidR="004D4FE3" w:rsidRPr="00953692">
        <w:rPr>
          <w:sz w:val="24"/>
          <w:szCs w:val="24"/>
          <w:lang w:val="fr-FR"/>
        </w:rPr>
        <w:t xml:space="preserve"> (équité, rapidité)</w:t>
      </w:r>
      <w:r w:rsidR="00067929" w:rsidRPr="00953692">
        <w:rPr>
          <w:sz w:val="24"/>
          <w:szCs w:val="24"/>
          <w:lang w:val="fr-FR"/>
        </w:rPr>
        <w:t xml:space="preserve">. Cependant, </w:t>
      </w:r>
      <w:r w:rsidR="004D4FE3" w:rsidRPr="00953692">
        <w:rPr>
          <w:sz w:val="24"/>
          <w:szCs w:val="24"/>
          <w:lang w:val="fr-FR"/>
        </w:rPr>
        <w:t>la Chambre de première instance (ou la chambre préliminaire ou de mise en état)</w:t>
      </w:r>
      <w:r w:rsidR="00067929" w:rsidRPr="00953692">
        <w:rPr>
          <w:sz w:val="24"/>
          <w:szCs w:val="24"/>
          <w:lang w:val="fr-FR"/>
        </w:rPr>
        <w:t xml:space="preserve"> doit pr</w:t>
      </w:r>
      <w:r w:rsidR="004D4FE3" w:rsidRPr="00953692">
        <w:rPr>
          <w:sz w:val="24"/>
          <w:szCs w:val="24"/>
          <w:lang w:val="fr-FR"/>
        </w:rPr>
        <w:t>endre cette décision</w:t>
      </w:r>
      <w:r w:rsidR="00067929" w:rsidRPr="00953692">
        <w:rPr>
          <w:sz w:val="24"/>
          <w:szCs w:val="24"/>
          <w:lang w:val="fr-FR"/>
        </w:rPr>
        <w:t xml:space="preserve"> avec responsabilité</w:t>
      </w:r>
      <w:r w:rsidR="003F5E3C" w:rsidRPr="00953692">
        <w:rPr>
          <w:sz w:val="24"/>
          <w:szCs w:val="24"/>
          <w:lang w:val="fr-FR"/>
        </w:rPr>
        <w:t xml:space="preserve"> et gravité nécessaire</w:t>
      </w:r>
      <w:r w:rsidR="00142B07" w:rsidRPr="00953692">
        <w:rPr>
          <w:sz w:val="24"/>
          <w:szCs w:val="24"/>
          <w:lang w:val="fr-FR"/>
        </w:rPr>
        <w:t>s</w:t>
      </w:r>
      <w:r w:rsidR="00B571C2" w:rsidRPr="00953692">
        <w:rPr>
          <w:sz w:val="24"/>
          <w:szCs w:val="24"/>
          <w:lang w:val="fr-FR"/>
        </w:rPr>
        <w:t>,</w:t>
      </w:r>
      <w:r w:rsidR="00067929" w:rsidRPr="00953692">
        <w:rPr>
          <w:sz w:val="24"/>
          <w:szCs w:val="24"/>
          <w:lang w:val="fr-FR"/>
        </w:rPr>
        <w:t xml:space="preserve"> étant entendu qu</w:t>
      </w:r>
      <w:r w:rsidR="006A55AA" w:rsidRPr="00953692">
        <w:rPr>
          <w:sz w:val="24"/>
          <w:szCs w:val="24"/>
          <w:lang w:val="fr-FR"/>
        </w:rPr>
        <w:t>’une</w:t>
      </w:r>
      <w:r w:rsidR="00067929" w:rsidRPr="00953692">
        <w:rPr>
          <w:sz w:val="24"/>
          <w:szCs w:val="24"/>
          <w:lang w:val="fr-FR"/>
        </w:rPr>
        <w:t xml:space="preserve"> question irrésolue ou imparfaitement résolue peut bien constituer une bombe à retardement pour la décision qu’elle aura prise </w:t>
      </w:r>
      <w:r w:rsidR="00067929" w:rsidRPr="00953692">
        <w:rPr>
          <w:i/>
          <w:iCs/>
          <w:sz w:val="24"/>
          <w:szCs w:val="24"/>
          <w:lang w:val="fr-FR"/>
        </w:rPr>
        <w:t>in fine</w:t>
      </w:r>
      <w:r w:rsidR="00067929" w:rsidRPr="00953692">
        <w:rPr>
          <w:sz w:val="24"/>
          <w:szCs w:val="24"/>
          <w:lang w:val="fr-FR"/>
        </w:rPr>
        <w:t xml:space="preserve">. </w:t>
      </w:r>
      <w:r w:rsidR="003B1D66" w:rsidRPr="00953692">
        <w:rPr>
          <w:sz w:val="24"/>
          <w:szCs w:val="24"/>
          <w:lang w:val="fr-FR"/>
        </w:rPr>
        <w:t xml:space="preserve">En d’autres termes, si durant la procédure </w:t>
      </w:r>
      <w:r w:rsidR="00142B07" w:rsidRPr="00953692">
        <w:rPr>
          <w:sz w:val="24"/>
          <w:szCs w:val="24"/>
          <w:lang w:val="fr-FR"/>
        </w:rPr>
        <w:t>d’</w:t>
      </w:r>
      <w:r w:rsidR="003B1D66" w:rsidRPr="00953692">
        <w:rPr>
          <w:sz w:val="24"/>
          <w:szCs w:val="24"/>
          <w:lang w:val="fr-FR"/>
        </w:rPr>
        <w:t>appel principal</w:t>
      </w:r>
      <w:r w:rsidR="004D4FE3" w:rsidRPr="00953692">
        <w:rPr>
          <w:sz w:val="24"/>
          <w:szCs w:val="24"/>
          <w:lang w:val="fr-FR"/>
        </w:rPr>
        <w:t>,</w:t>
      </w:r>
      <w:r w:rsidR="003B1D66" w:rsidRPr="00953692">
        <w:rPr>
          <w:sz w:val="24"/>
          <w:szCs w:val="24"/>
          <w:lang w:val="fr-FR"/>
        </w:rPr>
        <w:t xml:space="preserve"> l’accusé soulève cette question et obtient gain de cause, il </w:t>
      </w:r>
      <w:r w:rsidR="009757CF" w:rsidRPr="00953692">
        <w:rPr>
          <w:sz w:val="24"/>
          <w:szCs w:val="24"/>
          <w:lang w:val="fr-FR"/>
        </w:rPr>
        <w:t xml:space="preserve">se </w:t>
      </w:r>
      <w:r w:rsidR="003B1D66" w:rsidRPr="00953692">
        <w:rPr>
          <w:sz w:val="24"/>
          <w:szCs w:val="24"/>
          <w:lang w:val="fr-FR"/>
        </w:rPr>
        <w:t xml:space="preserve">peut </w:t>
      </w:r>
      <w:r w:rsidR="009757CF" w:rsidRPr="00953692">
        <w:rPr>
          <w:sz w:val="24"/>
          <w:szCs w:val="24"/>
          <w:lang w:val="fr-FR"/>
        </w:rPr>
        <w:t xml:space="preserve">qu’il </w:t>
      </w:r>
      <w:r w:rsidR="003B1D66" w:rsidRPr="00953692">
        <w:rPr>
          <w:sz w:val="24"/>
          <w:szCs w:val="24"/>
          <w:lang w:val="fr-FR"/>
        </w:rPr>
        <w:t>y a</w:t>
      </w:r>
      <w:r w:rsidR="009757CF" w:rsidRPr="00953692">
        <w:rPr>
          <w:sz w:val="24"/>
          <w:szCs w:val="24"/>
          <w:lang w:val="fr-FR"/>
        </w:rPr>
        <w:t>it</w:t>
      </w:r>
      <w:r w:rsidR="003B1D66" w:rsidRPr="00953692">
        <w:rPr>
          <w:sz w:val="24"/>
          <w:szCs w:val="24"/>
          <w:lang w:val="fr-FR"/>
        </w:rPr>
        <w:t xml:space="preserve"> des conséquences désastreuses</w:t>
      </w:r>
      <w:r w:rsidR="004D4FE3" w:rsidRPr="00953692">
        <w:rPr>
          <w:sz w:val="24"/>
          <w:szCs w:val="24"/>
          <w:lang w:val="fr-FR"/>
        </w:rPr>
        <w:t xml:space="preserve"> et dévastatrices</w:t>
      </w:r>
      <w:r w:rsidR="003B1D66" w:rsidRPr="00953692">
        <w:rPr>
          <w:sz w:val="24"/>
          <w:szCs w:val="24"/>
          <w:lang w:val="fr-FR"/>
        </w:rPr>
        <w:t xml:space="preserve"> sur la procédure </w:t>
      </w:r>
      <w:r w:rsidR="004D4FE3" w:rsidRPr="00953692">
        <w:rPr>
          <w:sz w:val="24"/>
          <w:szCs w:val="24"/>
          <w:lang w:val="fr-FR"/>
        </w:rPr>
        <w:t xml:space="preserve">(antérieure) </w:t>
      </w:r>
      <w:r w:rsidR="006A55AA" w:rsidRPr="00953692">
        <w:rPr>
          <w:sz w:val="24"/>
          <w:szCs w:val="24"/>
          <w:lang w:val="fr-FR"/>
        </w:rPr>
        <w:t>qui a</w:t>
      </w:r>
      <w:r w:rsidR="008843B4" w:rsidRPr="00953692">
        <w:rPr>
          <w:sz w:val="24"/>
          <w:szCs w:val="24"/>
          <w:lang w:val="fr-FR"/>
        </w:rPr>
        <w:t>ura</w:t>
      </w:r>
      <w:r w:rsidR="006A55AA" w:rsidRPr="00953692">
        <w:rPr>
          <w:sz w:val="24"/>
          <w:szCs w:val="24"/>
          <w:lang w:val="fr-FR"/>
        </w:rPr>
        <w:t xml:space="preserve"> été menée par la Chambre de</w:t>
      </w:r>
      <w:r w:rsidR="003B1D66" w:rsidRPr="00953692">
        <w:rPr>
          <w:sz w:val="24"/>
          <w:szCs w:val="24"/>
          <w:lang w:val="fr-FR"/>
        </w:rPr>
        <w:t xml:space="preserve"> première instance ou la décision finale (</w:t>
      </w:r>
      <w:r w:rsidR="004D4FE3" w:rsidRPr="00953692">
        <w:rPr>
          <w:sz w:val="24"/>
          <w:szCs w:val="24"/>
          <w:lang w:val="fr-FR"/>
        </w:rPr>
        <w:t xml:space="preserve">par exemple, </w:t>
      </w:r>
      <w:r w:rsidR="003B1D66" w:rsidRPr="00953692">
        <w:rPr>
          <w:sz w:val="24"/>
          <w:szCs w:val="24"/>
          <w:lang w:val="fr-FR"/>
        </w:rPr>
        <w:t xml:space="preserve">de condamnation) qui en </w:t>
      </w:r>
      <w:r w:rsidR="00A72C88" w:rsidRPr="00953692">
        <w:rPr>
          <w:sz w:val="24"/>
          <w:szCs w:val="24"/>
          <w:lang w:val="fr-FR"/>
        </w:rPr>
        <w:t>ressortira.</w:t>
      </w:r>
    </w:p>
    <w:p w14:paraId="269C8EF7" w14:textId="0300FF9E" w:rsidR="00CD25DF" w:rsidRPr="00953692" w:rsidRDefault="003F2222" w:rsidP="00864BBF">
      <w:pPr>
        <w:spacing w:after="0" w:line="276" w:lineRule="auto"/>
        <w:ind w:firstLine="1134"/>
        <w:jc w:val="both"/>
        <w:rPr>
          <w:sz w:val="24"/>
          <w:szCs w:val="24"/>
          <w:lang w:val="fr-FR"/>
        </w:rPr>
      </w:pPr>
      <w:r w:rsidRPr="00953692">
        <w:rPr>
          <w:b/>
          <w:bCs/>
          <w:sz w:val="24"/>
          <w:szCs w:val="24"/>
          <w:lang w:val="fr-FR"/>
        </w:rPr>
        <w:t>452</w:t>
      </w:r>
      <w:r w:rsidR="0051121F" w:rsidRPr="00953692">
        <w:rPr>
          <w:b/>
          <w:bCs/>
          <w:sz w:val="24"/>
          <w:szCs w:val="24"/>
          <w:lang w:val="fr-FR"/>
        </w:rPr>
        <w:t>.</w:t>
      </w:r>
      <w:r w:rsidR="0051121F" w:rsidRPr="00953692">
        <w:rPr>
          <w:sz w:val="24"/>
          <w:szCs w:val="24"/>
          <w:lang w:val="fr-FR"/>
        </w:rPr>
        <w:t xml:space="preserve"> </w:t>
      </w:r>
      <w:r w:rsidR="003F5E3C" w:rsidRPr="00953692">
        <w:rPr>
          <w:sz w:val="24"/>
          <w:szCs w:val="24"/>
          <w:lang w:val="fr-FR"/>
        </w:rPr>
        <w:t>Dans l’affaire</w:t>
      </w:r>
      <w:r w:rsidR="00FB0172" w:rsidRPr="00953692">
        <w:rPr>
          <w:sz w:val="24"/>
          <w:szCs w:val="24"/>
          <w:lang w:val="fr-FR"/>
        </w:rPr>
        <w:t xml:space="preserve"> Gotovina et consorts</w:t>
      </w:r>
      <w:r w:rsidR="00942493" w:rsidRPr="00953692">
        <w:rPr>
          <w:sz w:val="24"/>
          <w:szCs w:val="24"/>
          <w:lang w:val="fr-FR"/>
        </w:rPr>
        <w:t>,</w:t>
      </w:r>
      <w:r w:rsidR="003F5E3C" w:rsidRPr="00953692">
        <w:rPr>
          <w:sz w:val="24"/>
          <w:szCs w:val="24"/>
          <w:lang w:val="fr-FR"/>
        </w:rPr>
        <w:t xml:space="preserve"> analysé</w:t>
      </w:r>
      <w:r w:rsidR="00FB0172" w:rsidRPr="00953692">
        <w:rPr>
          <w:sz w:val="24"/>
          <w:szCs w:val="24"/>
          <w:lang w:val="fr-FR"/>
        </w:rPr>
        <w:t>e</w:t>
      </w:r>
      <w:r w:rsidR="003F5E3C" w:rsidRPr="00953692">
        <w:rPr>
          <w:sz w:val="24"/>
          <w:szCs w:val="24"/>
          <w:lang w:val="fr-FR"/>
        </w:rPr>
        <w:t xml:space="preserve"> précédemment, nous avons vu comment </w:t>
      </w:r>
      <w:r w:rsidR="00FB0172" w:rsidRPr="00953692">
        <w:rPr>
          <w:sz w:val="24"/>
          <w:szCs w:val="24"/>
          <w:lang w:val="fr-FR"/>
        </w:rPr>
        <w:t xml:space="preserve">Gotovina et le </w:t>
      </w:r>
      <w:r w:rsidR="000D0897" w:rsidRPr="00953692">
        <w:rPr>
          <w:sz w:val="24"/>
          <w:szCs w:val="24"/>
          <w:lang w:val="fr-FR"/>
        </w:rPr>
        <w:t>P</w:t>
      </w:r>
      <w:r w:rsidR="00FB0172" w:rsidRPr="00953692">
        <w:rPr>
          <w:sz w:val="24"/>
          <w:szCs w:val="24"/>
          <w:lang w:val="fr-FR"/>
        </w:rPr>
        <w:t xml:space="preserve">rocureur </w:t>
      </w:r>
      <w:r w:rsidR="00611A65" w:rsidRPr="00953692">
        <w:rPr>
          <w:sz w:val="24"/>
          <w:szCs w:val="24"/>
          <w:lang w:val="fr-FR"/>
        </w:rPr>
        <w:t>craignaient</w:t>
      </w:r>
      <w:r w:rsidR="00FB0172" w:rsidRPr="00953692">
        <w:rPr>
          <w:sz w:val="24"/>
          <w:szCs w:val="24"/>
          <w:lang w:val="fr-FR"/>
        </w:rPr>
        <w:t xml:space="preserve"> </w:t>
      </w:r>
      <w:r w:rsidR="00611A65" w:rsidRPr="00953692">
        <w:rPr>
          <w:sz w:val="24"/>
          <w:szCs w:val="24"/>
          <w:lang w:val="fr-FR"/>
        </w:rPr>
        <w:t>une suspension d’instance à la suite d’une</w:t>
      </w:r>
      <w:r w:rsidR="00FB0172" w:rsidRPr="00953692">
        <w:rPr>
          <w:sz w:val="24"/>
          <w:szCs w:val="24"/>
          <w:lang w:val="fr-FR"/>
        </w:rPr>
        <w:t xml:space="preserve"> certification </w:t>
      </w:r>
      <w:r w:rsidR="00611A65" w:rsidRPr="00953692">
        <w:rPr>
          <w:sz w:val="24"/>
          <w:szCs w:val="24"/>
          <w:lang w:val="fr-FR"/>
        </w:rPr>
        <w:t>d’</w:t>
      </w:r>
      <w:r w:rsidR="00FB0172" w:rsidRPr="00953692">
        <w:rPr>
          <w:sz w:val="24"/>
          <w:szCs w:val="24"/>
          <w:lang w:val="fr-FR"/>
        </w:rPr>
        <w:t xml:space="preserve">appel demandée par </w:t>
      </w:r>
      <w:r w:rsidR="00AF255E" w:rsidRPr="00953692">
        <w:rPr>
          <w:sz w:val="24"/>
          <w:szCs w:val="24"/>
          <w:lang w:val="fr-FR"/>
        </w:rPr>
        <w:t xml:space="preserve">les équipes de </w:t>
      </w:r>
      <w:r w:rsidR="004D4FE3" w:rsidRPr="00953692">
        <w:rPr>
          <w:sz w:val="24"/>
          <w:szCs w:val="24"/>
          <w:lang w:val="fr-FR"/>
        </w:rPr>
        <w:t xml:space="preserve">la </w:t>
      </w:r>
      <w:r w:rsidR="00AF255E" w:rsidRPr="00953692">
        <w:rPr>
          <w:sz w:val="24"/>
          <w:szCs w:val="24"/>
          <w:lang w:val="fr-FR"/>
        </w:rPr>
        <w:t>Défense d’Ivan Čermak et Mladen Markač. Cependant, tel qu’il</w:t>
      </w:r>
      <w:r w:rsidR="00942493" w:rsidRPr="00953692">
        <w:rPr>
          <w:sz w:val="24"/>
          <w:szCs w:val="24"/>
          <w:lang w:val="fr-FR"/>
        </w:rPr>
        <w:t xml:space="preserve"> a été mentionné plus ha</w:t>
      </w:r>
      <w:r w:rsidR="00CD25DF" w:rsidRPr="00953692">
        <w:rPr>
          <w:sz w:val="24"/>
          <w:szCs w:val="24"/>
          <w:lang w:val="fr-FR"/>
        </w:rPr>
        <w:t>u</w:t>
      </w:r>
      <w:r w:rsidR="00942493" w:rsidRPr="00953692">
        <w:rPr>
          <w:sz w:val="24"/>
          <w:szCs w:val="24"/>
          <w:lang w:val="fr-FR"/>
        </w:rPr>
        <w:t>t</w:t>
      </w:r>
      <w:r w:rsidR="000D0897" w:rsidRPr="00953692">
        <w:rPr>
          <w:sz w:val="24"/>
          <w:szCs w:val="24"/>
          <w:lang w:val="fr-FR"/>
        </w:rPr>
        <w:t>,</w:t>
      </w:r>
      <w:r w:rsidR="00942493" w:rsidRPr="00953692">
        <w:rPr>
          <w:sz w:val="24"/>
          <w:szCs w:val="24"/>
          <w:lang w:val="fr-FR"/>
        </w:rPr>
        <w:t xml:space="preserve"> la </w:t>
      </w:r>
      <w:r w:rsidR="00AF255E" w:rsidRPr="00953692">
        <w:rPr>
          <w:sz w:val="24"/>
          <w:szCs w:val="24"/>
          <w:lang w:val="fr-FR"/>
        </w:rPr>
        <w:t>C</w:t>
      </w:r>
      <w:r w:rsidR="00942493" w:rsidRPr="00953692">
        <w:rPr>
          <w:sz w:val="24"/>
          <w:szCs w:val="24"/>
          <w:lang w:val="fr-FR"/>
        </w:rPr>
        <w:t xml:space="preserve">hambre a fait </w:t>
      </w:r>
      <w:r w:rsidR="00AF255E" w:rsidRPr="00953692">
        <w:rPr>
          <w:sz w:val="24"/>
          <w:szCs w:val="24"/>
          <w:lang w:val="fr-FR"/>
        </w:rPr>
        <w:t xml:space="preserve">montre </w:t>
      </w:r>
      <w:r w:rsidR="00942493" w:rsidRPr="00953692">
        <w:rPr>
          <w:sz w:val="24"/>
          <w:szCs w:val="24"/>
          <w:lang w:val="fr-FR"/>
        </w:rPr>
        <w:t xml:space="preserve">d’un ménagement </w:t>
      </w:r>
      <w:r w:rsidR="00AF255E" w:rsidRPr="00953692">
        <w:rPr>
          <w:sz w:val="24"/>
          <w:szCs w:val="24"/>
          <w:lang w:val="fr-FR"/>
        </w:rPr>
        <w:t>perspicace</w:t>
      </w:r>
      <w:r w:rsidR="00942493" w:rsidRPr="00953692">
        <w:rPr>
          <w:sz w:val="24"/>
          <w:szCs w:val="24"/>
          <w:lang w:val="fr-FR"/>
        </w:rPr>
        <w:t xml:space="preserve"> des </w:t>
      </w:r>
      <w:r w:rsidR="00AF255E" w:rsidRPr="00953692">
        <w:rPr>
          <w:sz w:val="24"/>
          <w:szCs w:val="24"/>
          <w:lang w:val="fr-FR"/>
        </w:rPr>
        <w:t>différents</w:t>
      </w:r>
      <w:r w:rsidR="007E0AB0" w:rsidRPr="00953692">
        <w:rPr>
          <w:sz w:val="24"/>
          <w:szCs w:val="24"/>
          <w:lang w:val="fr-FR"/>
        </w:rPr>
        <w:t xml:space="preserve"> droits des accusés</w:t>
      </w:r>
      <w:r w:rsidR="00942493" w:rsidRPr="00953692">
        <w:rPr>
          <w:sz w:val="24"/>
          <w:szCs w:val="24"/>
          <w:lang w:val="fr-FR"/>
        </w:rPr>
        <w:t xml:space="preserve">. En outre, </w:t>
      </w:r>
      <w:r w:rsidR="009A17AF" w:rsidRPr="00953692">
        <w:rPr>
          <w:sz w:val="24"/>
          <w:szCs w:val="24"/>
          <w:lang w:val="fr-FR"/>
        </w:rPr>
        <w:t>la Chambre a montré un exemple concret de responsabilité, puisqu’en</w:t>
      </w:r>
      <w:r w:rsidR="00CD25DF" w:rsidRPr="00953692">
        <w:rPr>
          <w:sz w:val="24"/>
          <w:szCs w:val="24"/>
          <w:lang w:val="fr-FR"/>
        </w:rPr>
        <w:t xml:space="preserve"> autorisant la </w:t>
      </w:r>
      <w:r w:rsidR="00AF255E" w:rsidRPr="00953692">
        <w:rPr>
          <w:sz w:val="24"/>
          <w:szCs w:val="24"/>
          <w:lang w:val="fr-FR"/>
        </w:rPr>
        <w:t>réouverture</w:t>
      </w:r>
      <w:r w:rsidR="00CD25DF" w:rsidRPr="00953692">
        <w:rPr>
          <w:sz w:val="24"/>
          <w:szCs w:val="24"/>
          <w:lang w:val="fr-FR"/>
        </w:rPr>
        <w:t xml:space="preserve"> de la présentation des moyens de l’Accusation, </w:t>
      </w:r>
      <w:r w:rsidR="007E0AB0" w:rsidRPr="00953692">
        <w:rPr>
          <w:sz w:val="24"/>
          <w:szCs w:val="24"/>
          <w:lang w:val="fr-FR"/>
        </w:rPr>
        <w:t>elle a bien eu conscience des conséquences d’une telle décision sur le droit des accusés, notamment</w:t>
      </w:r>
      <w:r w:rsidR="00CD25DF" w:rsidRPr="00953692">
        <w:rPr>
          <w:sz w:val="24"/>
          <w:szCs w:val="24"/>
          <w:lang w:val="fr-FR"/>
        </w:rPr>
        <w:t xml:space="preserve"> </w:t>
      </w:r>
      <w:r w:rsidR="00CD25DF" w:rsidRPr="00953692">
        <w:rPr>
          <w:i/>
          <w:iCs/>
          <w:sz w:val="24"/>
          <w:szCs w:val="24"/>
          <w:lang w:val="fr-FR"/>
        </w:rPr>
        <w:t>leur droit d’être jugés sans retard excessif, d’être informés dans le plus court délai et de façon détaillée des accusations portées contre eux, de disposer du temps et des facilités nécessaires à la préparation de leur défense, et d’interroger les témoins à charge</w:t>
      </w:r>
      <w:r w:rsidR="00CD25DF" w:rsidRPr="00953692">
        <w:rPr>
          <w:sz w:val="24"/>
          <w:szCs w:val="24"/>
          <w:lang w:val="fr-FR"/>
        </w:rPr>
        <w:t xml:space="preserve">. </w:t>
      </w:r>
    </w:p>
    <w:p w14:paraId="03D9483D" w14:textId="70718913" w:rsidR="008843B4" w:rsidRPr="00953692" w:rsidRDefault="003F2222" w:rsidP="00864BBF">
      <w:pPr>
        <w:spacing w:after="0" w:line="276" w:lineRule="auto"/>
        <w:ind w:firstLine="1134"/>
        <w:jc w:val="both"/>
        <w:rPr>
          <w:sz w:val="24"/>
          <w:szCs w:val="24"/>
          <w:lang w:val="fr-FR"/>
        </w:rPr>
      </w:pPr>
      <w:r w:rsidRPr="00953692">
        <w:rPr>
          <w:b/>
          <w:bCs/>
          <w:sz w:val="24"/>
          <w:szCs w:val="24"/>
          <w:lang w:val="fr-FR"/>
        </w:rPr>
        <w:lastRenderedPageBreak/>
        <w:t>453</w:t>
      </w:r>
      <w:r w:rsidR="000A5359" w:rsidRPr="00953692">
        <w:rPr>
          <w:b/>
          <w:bCs/>
          <w:sz w:val="24"/>
          <w:szCs w:val="24"/>
          <w:lang w:val="fr-FR"/>
        </w:rPr>
        <w:t>.</w:t>
      </w:r>
      <w:r w:rsidR="000A5359" w:rsidRPr="00953692">
        <w:rPr>
          <w:sz w:val="24"/>
          <w:szCs w:val="24"/>
          <w:lang w:val="fr-FR"/>
        </w:rPr>
        <w:t xml:space="preserve"> </w:t>
      </w:r>
      <w:r w:rsidR="00921C6A" w:rsidRPr="00953692">
        <w:rPr>
          <w:sz w:val="24"/>
          <w:szCs w:val="24"/>
          <w:lang w:val="fr-FR"/>
        </w:rPr>
        <w:t>En fait, le raisonnement de l</w:t>
      </w:r>
      <w:r w:rsidR="00CD25DF" w:rsidRPr="00953692">
        <w:rPr>
          <w:sz w:val="24"/>
          <w:szCs w:val="24"/>
          <w:lang w:val="fr-FR"/>
        </w:rPr>
        <w:t xml:space="preserve">a </w:t>
      </w:r>
      <w:r w:rsidR="000D0897" w:rsidRPr="00953692">
        <w:rPr>
          <w:sz w:val="24"/>
          <w:szCs w:val="24"/>
          <w:lang w:val="fr-FR"/>
        </w:rPr>
        <w:t>C</w:t>
      </w:r>
      <w:r w:rsidR="00CD25DF" w:rsidRPr="00953692">
        <w:rPr>
          <w:sz w:val="24"/>
          <w:szCs w:val="24"/>
          <w:lang w:val="fr-FR"/>
        </w:rPr>
        <w:t>hambre</w:t>
      </w:r>
      <w:r w:rsidR="00921C6A" w:rsidRPr="00953692">
        <w:rPr>
          <w:sz w:val="24"/>
          <w:szCs w:val="24"/>
          <w:lang w:val="fr-FR"/>
        </w:rPr>
        <w:t xml:space="preserve"> peut être résumé de la manière suivante. P</w:t>
      </w:r>
      <w:r w:rsidR="00CD25DF" w:rsidRPr="00953692">
        <w:rPr>
          <w:sz w:val="24"/>
          <w:szCs w:val="24"/>
          <w:lang w:val="fr-FR"/>
        </w:rPr>
        <w:t xml:space="preserve">rimo, </w:t>
      </w:r>
      <w:r w:rsidR="00CD25DF" w:rsidRPr="00953692">
        <w:rPr>
          <w:i/>
          <w:iCs/>
          <w:sz w:val="24"/>
          <w:szCs w:val="24"/>
          <w:lang w:val="fr-FR"/>
        </w:rPr>
        <w:t>si elle refusait la certification</w:t>
      </w:r>
      <w:r w:rsidR="00921C6A" w:rsidRPr="00953692">
        <w:rPr>
          <w:i/>
          <w:iCs/>
          <w:sz w:val="24"/>
          <w:szCs w:val="24"/>
          <w:lang w:val="fr-FR"/>
        </w:rPr>
        <w:t xml:space="preserve"> d’appel tel que le souhaitait le </w:t>
      </w:r>
      <w:r w:rsidR="000D0897" w:rsidRPr="00953692">
        <w:rPr>
          <w:i/>
          <w:iCs/>
          <w:sz w:val="24"/>
          <w:szCs w:val="24"/>
          <w:lang w:val="fr-FR"/>
        </w:rPr>
        <w:t>P</w:t>
      </w:r>
      <w:r w:rsidR="00921C6A" w:rsidRPr="00953692">
        <w:rPr>
          <w:i/>
          <w:iCs/>
          <w:sz w:val="24"/>
          <w:szCs w:val="24"/>
          <w:lang w:val="fr-FR"/>
        </w:rPr>
        <w:t>rocureur</w:t>
      </w:r>
      <w:r w:rsidR="00CD25DF" w:rsidRPr="00953692">
        <w:rPr>
          <w:i/>
          <w:iCs/>
          <w:sz w:val="24"/>
          <w:szCs w:val="24"/>
          <w:lang w:val="fr-FR"/>
        </w:rPr>
        <w:t xml:space="preserve">, et que la Chambre d’appel venait à conclure </w:t>
      </w:r>
      <w:r w:rsidR="00921C6A" w:rsidRPr="00953692">
        <w:rPr>
          <w:i/>
          <w:iCs/>
          <w:sz w:val="24"/>
          <w:szCs w:val="24"/>
          <w:lang w:val="fr-FR"/>
        </w:rPr>
        <w:t xml:space="preserve">plus tard </w:t>
      </w:r>
      <w:r w:rsidR="00CD25DF" w:rsidRPr="00953692">
        <w:rPr>
          <w:i/>
          <w:iCs/>
          <w:sz w:val="24"/>
          <w:szCs w:val="24"/>
          <w:lang w:val="fr-FR"/>
        </w:rPr>
        <w:t>qu’elle avait eu tort de rouvrir la présentation des moyens, cela aurait des répercussions sur toutes les parties du jugement ayant été influencées par les nouveaux éléments de preuve ou fondées sur ceux-ci</w:t>
      </w:r>
      <w:r w:rsidR="00CD25DF" w:rsidRPr="00953692">
        <w:rPr>
          <w:sz w:val="24"/>
          <w:szCs w:val="24"/>
          <w:lang w:val="fr-FR"/>
        </w:rPr>
        <w:t>.</w:t>
      </w:r>
      <w:r w:rsidR="00921C6A" w:rsidRPr="00953692">
        <w:rPr>
          <w:sz w:val="24"/>
          <w:szCs w:val="24"/>
          <w:lang w:val="fr-FR"/>
        </w:rPr>
        <w:t xml:space="preserve"> Secundo,</w:t>
      </w:r>
      <w:r w:rsidR="00CD25DF" w:rsidRPr="00953692">
        <w:rPr>
          <w:sz w:val="24"/>
          <w:szCs w:val="24"/>
          <w:lang w:val="fr-FR"/>
        </w:rPr>
        <w:t xml:space="preserve"> </w:t>
      </w:r>
      <w:r w:rsidR="00CD25DF" w:rsidRPr="00953692">
        <w:rPr>
          <w:i/>
          <w:iCs/>
          <w:sz w:val="24"/>
          <w:szCs w:val="24"/>
          <w:lang w:val="fr-FR"/>
        </w:rPr>
        <w:t>ces répercussions pourraient avoir une incidence considérable sur le jugement, de même qu’elles pourraient compliquer et retarder grandement le procès dans son ensemble</w:t>
      </w:r>
      <w:r w:rsidR="00CD25DF" w:rsidRPr="00953692">
        <w:rPr>
          <w:sz w:val="24"/>
          <w:szCs w:val="24"/>
          <w:lang w:val="fr-FR"/>
        </w:rPr>
        <w:t xml:space="preserve">. </w:t>
      </w:r>
      <w:r w:rsidR="00921C6A" w:rsidRPr="00953692">
        <w:rPr>
          <w:sz w:val="24"/>
          <w:szCs w:val="24"/>
          <w:lang w:val="fr-FR"/>
        </w:rPr>
        <w:t xml:space="preserve">Tertio, </w:t>
      </w:r>
      <w:r w:rsidR="00921C6A" w:rsidRPr="00953692">
        <w:rPr>
          <w:i/>
          <w:iCs/>
          <w:sz w:val="24"/>
          <w:szCs w:val="24"/>
          <w:lang w:val="fr-FR"/>
        </w:rPr>
        <w:t>t</w:t>
      </w:r>
      <w:r w:rsidR="00CD25DF" w:rsidRPr="00953692">
        <w:rPr>
          <w:i/>
          <w:iCs/>
          <w:sz w:val="24"/>
          <w:szCs w:val="24"/>
          <w:lang w:val="fr-FR"/>
        </w:rPr>
        <w:t>out retard susceptible de découler d’un appel porté dès à présent devant la Chambre d’appel serait limité, notamment en raison du fait qu’aucune partie n’a demandé la suspension du procès</w:t>
      </w:r>
      <w:r w:rsidR="00527DC5" w:rsidRPr="00953692">
        <w:rPr>
          <w:rStyle w:val="Appelnotedebasdep"/>
          <w:sz w:val="24"/>
          <w:szCs w:val="24"/>
          <w:lang w:val="fr-FR"/>
        </w:rPr>
        <w:footnoteReference w:customMarkFollows="1" w:id="352"/>
        <w:t>327</w:t>
      </w:r>
      <w:r w:rsidR="00CD25DF" w:rsidRPr="00953692">
        <w:rPr>
          <w:sz w:val="24"/>
          <w:szCs w:val="24"/>
          <w:lang w:val="fr-FR"/>
        </w:rPr>
        <w:t>.</w:t>
      </w:r>
      <w:r w:rsidR="00A477CE" w:rsidRPr="00953692">
        <w:rPr>
          <w:sz w:val="24"/>
          <w:szCs w:val="24"/>
          <w:lang w:val="fr-FR"/>
        </w:rPr>
        <w:t xml:space="preserve"> </w:t>
      </w:r>
    </w:p>
    <w:p w14:paraId="3FF4F7B1" w14:textId="6FE1D205" w:rsidR="008843B4" w:rsidRPr="00953692" w:rsidRDefault="003F2222" w:rsidP="00864BBF">
      <w:pPr>
        <w:spacing w:after="0" w:line="276" w:lineRule="auto"/>
        <w:ind w:firstLine="1134"/>
        <w:jc w:val="both"/>
        <w:rPr>
          <w:sz w:val="24"/>
          <w:szCs w:val="24"/>
          <w:lang w:val="fr-FR"/>
        </w:rPr>
      </w:pPr>
      <w:r w:rsidRPr="00953692">
        <w:rPr>
          <w:b/>
          <w:bCs/>
          <w:sz w:val="24"/>
          <w:szCs w:val="24"/>
          <w:lang w:val="fr-FR"/>
        </w:rPr>
        <w:t>454</w:t>
      </w:r>
      <w:r w:rsidR="008843B4" w:rsidRPr="00953692">
        <w:rPr>
          <w:b/>
          <w:bCs/>
          <w:sz w:val="24"/>
          <w:szCs w:val="24"/>
          <w:lang w:val="fr-FR"/>
        </w:rPr>
        <w:t>.</w:t>
      </w:r>
      <w:r w:rsidR="008843B4" w:rsidRPr="00953692">
        <w:rPr>
          <w:sz w:val="24"/>
          <w:szCs w:val="24"/>
          <w:lang w:val="fr-FR"/>
        </w:rPr>
        <w:t xml:space="preserve"> </w:t>
      </w:r>
      <w:r w:rsidR="008A7487" w:rsidRPr="00953692">
        <w:rPr>
          <w:sz w:val="24"/>
          <w:szCs w:val="24"/>
          <w:lang w:val="fr-FR"/>
        </w:rPr>
        <w:t xml:space="preserve">Il ressort d’un tel raisonnement </w:t>
      </w:r>
      <w:r w:rsidR="005B7CC4" w:rsidRPr="00953692">
        <w:rPr>
          <w:sz w:val="24"/>
          <w:szCs w:val="24"/>
          <w:lang w:val="fr-FR"/>
        </w:rPr>
        <w:t xml:space="preserve">des juges du TPIY </w:t>
      </w:r>
      <w:r w:rsidR="008A7487" w:rsidRPr="00953692">
        <w:rPr>
          <w:sz w:val="24"/>
          <w:szCs w:val="24"/>
          <w:lang w:val="fr-FR"/>
        </w:rPr>
        <w:t>que</w:t>
      </w:r>
      <w:r w:rsidR="000D0897" w:rsidRPr="00953692">
        <w:rPr>
          <w:sz w:val="24"/>
          <w:szCs w:val="24"/>
          <w:lang w:val="fr-FR"/>
        </w:rPr>
        <w:t>,</w:t>
      </w:r>
      <w:r w:rsidR="008A7487" w:rsidRPr="00953692">
        <w:rPr>
          <w:sz w:val="24"/>
          <w:szCs w:val="24"/>
          <w:lang w:val="fr-FR"/>
        </w:rPr>
        <w:t xml:space="preserve"> la certification d’appel</w:t>
      </w:r>
      <w:r w:rsidR="005B7CC4" w:rsidRPr="00953692">
        <w:rPr>
          <w:sz w:val="24"/>
          <w:szCs w:val="24"/>
          <w:lang w:val="fr-FR"/>
        </w:rPr>
        <w:t xml:space="preserve"> en elle-même</w:t>
      </w:r>
      <w:r w:rsidR="008A7487" w:rsidRPr="00953692">
        <w:rPr>
          <w:sz w:val="24"/>
          <w:szCs w:val="24"/>
          <w:lang w:val="fr-FR"/>
        </w:rPr>
        <w:t xml:space="preserve"> n’est pas indifférente à la nécessité d’organiser un procès rapide au-delà du seul droit de l’accusé d’être jugé sans retard excessif.</w:t>
      </w:r>
      <w:r w:rsidR="000D0897" w:rsidRPr="00953692">
        <w:rPr>
          <w:sz w:val="24"/>
          <w:szCs w:val="24"/>
          <w:lang w:val="fr-FR"/>
        </w:rPr>
        <w:t xml:space="preserve"> En décidant de certifier un appel interlocutoire, le juge applique une approche prospective du procès relativement à sa durée.</w:t>
      </w:r>
      <w:r w:rsidR="005B7CC4" w:rsidRPr="00953692">
        <w:rPr>
          <w:sz w:val="24"/>
          <w:szCs w:val="24"/>
          <w:lang w:val="fr-FR"/>
        </w:rPr>
        <w:t xml:space="preserve"> </w:t>
      </w:r>
      <w:r w:rsidR="00B33EE2" w:rsidRPr="00953692">
        <w:rPr>
          <w:sz w:val="24"/>
          <w:szCs w:val="24"/>
          <w:lang w:val="fr-FR"/>
        </w:rPr>
        <w:t>Il en est de même</w:t>
      </w:r>
      <w:r w:rsidR="00173FBA" w:rsidRPr="00953692">
        <w:rPr>
          <w:sz w:val="24"/>
          <w:szCs w:val="24"/>
          <w:lang w:val="fr-FR"/>
        </w:rPr>
        <w:t xml:space="preserve"> de</w:t>
      </w:r>
      <w:r w:rsidR="000D0897" w:rsidRPr="00953692">
        <w:rPr>
          <w:sz w:val="24"/>
          <w:szCs w:val="24"/>
          <w:lang w:val="fr-FR"/>
        </w:rPr>
        <w:t xml:space="preserve"> l’accusé lui-même</w:t>
      </w:r>
      <w:r w:rsidR="00173FBA" w:rsidRPr="00953692">
        <w:rPr>
          <w:sz w:val="24"/>
          <w:szCs w:val="24"/>
          <w:lang w:val="fr-FR"/>
        </w:rPr>
        <w:t xml:space="preserve"> qui en fait la demande et</w:t>
      </w:r>
      <w:r w:rsidR="000D0897" w:rsidRPr="00953692">
        <w:rPr>
          <w:sz w:val="24"/>
          <w:szCs w:val="24"/>
          <w:lang w:val="fr-FR"/>
        </w:rPr>
        <w:t xml:space="preserve"> </w:t>
      </w:r>
      <w:r w:rsidR="005B7CC4" w:rsidRPr="00953692">
        <w:rPr>
          <w:sz w:val="24"/>
          <w:szCs w:val="24"/>
          <w:lang w:val="fr-FR"/>
        </w:rPr>
        <w:t xml:space="preserve">pour qui </w:t>
      </w:r>
      <w:r w:rsidR="000D0897" w:rsidRPr="00953692">
        <w:rPr>
          <w:sz w:val="24"/>
          <w:szCs w:val="24"/>
          <w:lang w:val="fr-FR"/>
        </w:rPr>
        <w:t>la certification d’appel</w:t>
      </w:r>
      <w:r w:rsidR="00A455C7" w:rsidRPr="00953692">
        <w:rPr>
          <w:sz w:val="24"/>
          <w:szCs w:val="24"/>
          <w:lang w:val="fr-FR"/>
        </w:rPr>
        <w:t xml:space="preserve"> </w:t>
      </w:r>
      <w:r w:rsidR="00173FBA" w:rsidRPr="00953692">
        <w:rPr>
          <w:sz w:val="24"/>
          <w:szCs w:val="24"/>
          <w:lang w:val="fr-FR"/>
        </w:rPr>
        <w:t xml:space="preserve">devra </w:t>
      </w:r>
      <w:r w:rsidR="000D0897" w:rsidRPr="00953692">
        <w:rPr>
          <w:sz w:val="24"/>
          <w:szCs w:val="24"/>
          <w:lang w:val="fr-FR"/>
        </w:rPr>
        <w:t>constitue</w:t>
      </w:r>
      <w:r w:rsidR="00B33EE2" w:rsidRPr="00953692">
        <w:rPr>
          <w:sz w:val="24"/>
          <w:szCs w:val="24"/>
          <w:lang w:val="fr-FR"/>
        </w:rPr>
        <w:t>r</w:t>
      </w:r>
      <w:r w:rsidR="00A455C7" w:rsidRPr="00953692">
        <w:rPr>
          <w:sz w:val="24"/>
          <w:szCs w:val="24"/>
          <w:lang w:val="fr-FR"/>
        </w:rPr>
        <w:t xml:space="preserve"> un moyen pour</w:t>
      </w:r>
      <w:r w:rsidR="00B33EE2" w:rsidRPr="00953692">
        <w:rPr>
          <w:sz w:val="24"/>
          <w:szCs w:val="24"/>
          <w:lang w:val="fr-FR"/>
        </w:rPr>
        <w:t xml:space="preserve"> lui</w:t>
      </w:r>
      <w:r w:rsidR="00A455C7" w:rsidRPr="00953692">
        <w:rPr>
          <w:sz w:val="24"/>
          <w:szCs w:val="24"/>
          <w:lang w:val="fr-FR"/>
        </w:rPr>
        <w:t xml:space="preserve"> de s’assur</w:t>
      </w:r>
      <w:r w:rsidR="004D4FE3" w:rsidRPr="00953692">
        <w:rPr>
          <w:sz w:val="24"/>
          <w:szCs w:val="24"/>
          <w:lang w:val="fr-FR"/>
        </w:rPr>
        <w:t>er</w:t>
      </w:r>
      <w:r w:rsidR="00A455C7" w:rsidRPr="00953692">
        <w:rPr>
          <w:sz w:val="24"/>
          <w:szCs w:val="24"/>
          <w:lang w:val="fr-FR"/>
        </w:rPr>
        <w:t xml:space="preserve"> que son procès ne durera pas trop longtemps.</w:t>
      </w:r>
      <w:r w:rsidR="000D0897" w:rsidRPr="00953692">
        <w:rPr>
          <w:sz w:val="24"/>
          <w:szCs w:val="24"/>
          <w:lang w:val="fr-FR"/>
        </w:rPr>
        <w:t xml:space="preserve"> </w:t>
      </w:r>
      <w:r w:rsidR="00173FBA" w:rsidRPr="00953692">
        <w:rPr>
          <w:sz w:val="24"/>
          <w:szCs w:val="24"/>
          <w:lang w:val="fr-FR"/>
        </w:rPr>
        <w:t>Ceci résulte</w:t>
      </w:r>
      <w:r w:rsidR="000D0897" w:rsidRPr="00953692">
        <w:rPr>
          <w:sz w:val="24"/>
          <w:szCs w:val="24"/>
          <w:lang w:val="fr-FR"/>
        </w:rPr>
        <w:t xml:space="preserve"> </w:t>
      </w:r>
      <w:r w:rsidR="00173FBA" w:rsidRPr="00953692">
        <w:rPr>
          <w:sz w:val="24"/>
          <w:szCs w:val="24"/>
          <w:lang w:val="fr-FR"/>
        </w:rPr>
        <w:t>d</w:t>
      </w:r>
      <w:r w:rsidR="000D0897" w:rsidRPr="00953692">
        <w:rPr>
          <w:sz w:val="24"/>
          <w:szCs w:val="24"/>
          <w:lang w:val="fr-FR"/>
        </w:rPr>
        <w:t xml:space="preserve">es </w:t>
      </w:r>
      <w:r w:rsidR="00173FBA" w:rsidRPr="00953692">
        <w:rPr>
          <w:sz w:val="24"/>
          <w:szCs w:val="24"/>
          <w:lang w:val="fr-FR"/>
        </w:rPr>
        <w:t>condition</w:t>
      </w:r>
      <w:r w:rsidR="000D0897" w:rsidRPr="00953692">
        <w:rPr>
          <w:sz w:val="24"/>
          <w:szCs w:val="24"/>
          <w:lang w:val="fr-FR"/>
        </w:rPr>
        <w:t xml:space="preserve">s </w:t>
      </w:r>
      <w:r w:rsidR="006E1FC3" w:rsidRPr="00953692">
        <w:rPr>
          <w:sz w:val="24"/>
          <w:szCs w:val="24"/>
          <w:lang w:val="fr-FR"/>
        </w:rPr>
        <w:t>exigé</w:t>
      </w:r>
      <w:r w:rsidR="00173FBA" w:rsidRPr="00953692">
        <w:rPr>
          <w:sz w:val="24"/>
          <w:szCs w:val="24"/>
          <w:lang w:val="fr-FR"/>
        </w:rPr>
        <w:t>e</w:t>
      </w:r>
      <w:r w:rsidR="006E1FC3" w:rsidRPr="00953692">
        <w:rPr>
          <w:sz w:val="24"/>
          <w:szCs w:val="24"/>
          <w:lang w:val="fr-FR"/>
        </w:rPr>
        <w:t>s en cette matière</w:t>
      </w:r>
      <w:r w:rsidR="00173FBA" w:rsidRPr="00953692">
        <w:rPr>
          <w:sz w:val="24"/>
          <w:szCs w:val="24"/>
          <w:lang w:val="fr-FR"/>
        </w:rPr>
        <w:t>. Pour qu’il y ait une certification d’appel,</w:t>
      </w:r>
      <w:r w:rsidR="006E1FC3" w:rsidRPr="00953692">
        <w:rPr>
          <w:sz w:val="24"/>
          <w:szCs w:val="24"/>
          <w:lang w:val="fr-FR"/>
        </w:rPr>
        <w:t xml:space="preserve"> l</w:t>
      </w:r>
      <w:r w:rsidR="00173FBA" w:rsidRPr="00953692">
        <w:rPr>
          <w:sz w:val="24"/>
          <w:szCs w:val="24"/>
          <w:lang w:val="fr-FR"/>
        </w:rPr>
        <w:t>’objet de la décision attaquée</w:t>
      </w:r>
      <w:r w:rsidR="006E1FC3" w:rsidRPr="00953692">
        <w:rPr>
          <w:sz w:val="24"/>
          <w:szCs w:val="24"/>
          <w:lang w:val="fr-FR"/>
        </w:rPr>
        <w:t xml:space="preserve"> devra notamment toucher à la rapidité du procès ou dont le règlement immédiat par la Chambre d’appel permettrait de faire progresser considérablement l’affaire.</w:t>
      </w:r>
      <w:r w:rsidR="00A455C7" w:rsidRPr="00953692">
        <w:rPr>
          <w:sz w:val="24"/>
          <w:szCs w:val="24"/>
          <w:lang w:val="fr-FR"/>
        </w:rPr>
        <w:t xml:space="preserve"> </w:t>
      </w:r>
      <w:r w:rsidR="00695D61" w:rsidRPr="00953692">
        <w:rPr>
          <w:sz w:val="24"/>
          <w:szCs w:val="24"/>
          <w:lang w:val="fr-FR"/>
        </w:rPr>
        <w:t>Cette possibilité est laissée à l’appréciation préalable de l’accusé.</w:t>
      </w:r>
      <w:r w:rsidR="00E31F3B" w:rsidRPr="00953692">
        <w:rPr>
          <w:sz w:val="24"/>
          <w:szCs w:val="24"/>
          <w:lang w:val="fr-FR"/>
        </w:rPr>
        <w:t xml:space="preserve"> Il y a là un indicateur clair qui montre suffisamment que les juges devront veiller à ce que le procès ne connaisse pas de retard (injustifié) à cause du droit de l’accusé de former un recours.</w:t>
      </w:r>
    </w:p>
    <w:p w14:paraId="450F70C2" w14:textId="319C16A9" w:rsidR="000830B2" w:rsidRPr="00953692" w:rsidRDefault="003F2222" w:rsidP="00864BBF">
      <w:pPr>
        <w:spacing w:after="0" w:line="276" w:lineRule="auto"/>
        <w:ind w:firstLine="1134"/>
        <w:jc w:val="both"/>
        <w:rPr>
          <w:sz w:val="24"/>
          <w:szCs w:val="24"/>
          <w:lang w:val="fr-FR"/>
        </w:rPr>
      </w:pPr>
      <w:r w:rsidRPr="00953692">
        <w:rPr>
          <w:b/>
          <w:bCs/>
          <w:sz w:val="24"/>
          <w:szCs w:val="24"/>
          <w:lang w:val="fr-FR"/>
        </w:rPr>
        <w:t>455</w:t>
      </w:r>
      <w:r w:rsidR="008843B4" w:rsidRPr="00953692">
        <w:rPr>
          <w:b/>
          <w:bCs/>
          <w:sz w:val="24"/>
          <w:szCs w:val="24"/>
          <w:lang w:val="fr-FR"/>
        </w:rPr>
        <w:t>.</w:t>
      </w:r>
      <w:r w:rsidR="008843B4" w:rsidRPr="00953692">
        <w:rPr>
          <w:sz w:val="24"/>
          <w:szCs w:val="24"/>
          <w:lang w:val="fr-FR"/>
        </w:rPr>
        <w:t xml:space="preserve"> </w:t>
      </w:r>
      <w:r w:rsidR="00A455C7" w:rsidRPr="00953692">
        <w:rPr>
          <w:sz w:val="24"/>
          <w:szCs w:val="24"/>
          <w:lang w:val="fr-FR"/>
        </w:rPr>
        <w:t>Dans l’affaire Vojislav Seselj, pour finalement rejeter la requête tendant à mettre fin au procès déposée par l’accusé, la Chambre de première instance a fait remarquer le fait pour le requérant de ne pas</w:t>
      </w:r>
      <w:r w:rsidR="008843B4" w:rsidRPr="00953692">
        <w:rPr>
          <w:sz w:val="24"/>
          <w:szCs w:val="24"/>
          <w:lang w:val="fr-FR"/>
        </w:rPr>
        <w:t xml:space="preserve"> avoir</w:t>
      </w:r>
      <w:r w:rsidR="00A455C7" w:rsidRPr="00953692">
        <w:rPr>
          <w:sz w:val="24"/>
          <w:szCs w:val="24"/>
          <w:lang w:val="fr-FR"/>
        </w:rPr>
        <w:t xml:space="preserve"> sollicit</w:t>
      </w:r>
      <w:r w:rsidR="008843B4" w:rsidRPr="00953692">
        <w:rPr>
          <w:sz w:val="24"/>
          <w:szCs w:val="24"/>
          <w:lang w:val="fr-FR"/>
        </w:rPr>
        <w:t xml:space="preserve">é </w:t>
      </w:r>
      <w:r w:rsidR="00A455C7" w:rsidRPr="00953692">
        <w:rPr>
          <w:sz w:val="24"/>
          <w:szCs w:val="24"/>
          <w:lang w:val="fr-FR"/>
        </w:rPr>
        <w:t>une certification d’appel afin de pouvoir s’opposer à</w:t>
      </w:r>
      <w:r w:rsidR="000A61D3" w:rsidRPr="00953692">
        <w:rPr>
          <w:sz w:val="24"/>
          <w:szCs w:val="24"/>
          <w:lang w:val="fr-FR"/>
        </w:rPr>
        <w:t xml:space="preserve"> sa décision du 10 février 2010 ayant rejeté sa </w:t>
      </w:r>
      <w:r w:rsidR="0048386A" w:rsidRPr="00953692">
        <w:rPr>
          <w:sz w:val="24"/>
          <w:szCs w:val="24"/>
          <w:lang w:val="fr-FR"/>
        </w:rPr>
        <w:t>requête</w:t>
      </w:r>
      <w:r w:rsidR="000A61D3" w:rsidRPr="00953692">
        <w:rPr>
          <w:sz w:val="24"/>
          <w:szCs w:val="24"/>
          <w:lang w:val="fr-FR"/>
        </w:rPr>
        <w:t xml:space="preserve"> orale </w:t>
      </w:r>
      <w:r w:rsidR="004D4FE3" w:rsidRPr="00953692">
        <w:rPr>
          <w:sz w:val="24"/>
          <w:szCs w:val="24"/>
          <w:lang w:val="fr-FR"/>
        </w:rPr>
        <w:t xml:space="preserve">relative à la suspension de la procédure </w:t>
      </w:r>
      <w:r w:rsidR="000A61D3" w:rsidRPr="00953692">
        <w:rPr>
          <w:sz w:val="24"/>
          <w:szCs w:val="24"/>
          <w:lang w:val="fr-FR"/>
        </w:rPr>
        <w:t>pour abus de procédure</w:t>
      </w:r>
      <w:r w:rsidR="00527DC5" w:rsidRPr="00953692">
        <w:rPr>
          <w:rStyle w:val="Appelnotedebasdep"/>
          <w:sz w:val="24"/>
          <w:szCs w:val="24"/>
          <w:lang w:val="fr-FR"/>
        </w:rPr>
        <w:footnoteReference w:customMarkFollows="1" w:id="353"/>
        <w:t>328</w:t>
      </w:r>
      <w:r w:rsidR="00A455C7" w:rsidRPr="00953692">
        <w:rPr>
          <w:sz w:val="24"/>
          <w:szCs w:val="24"/>
          <w:lang w:val="fr-FR"/>
        </w:rPr>
        <w:t xml:space="preserve">. </w:t>
      </w:r>
      <w:r w:rsidR="00B571C2" w:rsidRPr="00953692">
        <w:rPr>
          <w:rStyle w:val="grammar"/>
          <w:rFonts w:cs="Times New Roman"/>
          <w:sz w:val="24"/>
          <w:szCs w:val="24"/>
          <w:lang w:val="fr-FR"/>
        </w:rPr>
        <w:t>À</w:t>
      </w:r>
      <w:r w:rsidR="00B571C2" w:rsidRPr="00953692">
        <w:rPr>
          <w:rFonts w:cs="Times New Roman"/>
          <w:sz w:val="24"/>
          <w:szCs w:val="24"/>
          <w:shd w:val="clear" w:color="auto" w:fill="FFFFFF"/>
          <w:lang w:val="fr-FR"/>
        </w:rPr>
        <w:t xml:space="preserve"> son tour</w:t>
      </w:r>
      <w:r w:rsidR="0048386A" w:rsidRPr="00953692">
        <w:rPr>
          <w:rFonts w:cs="Times New Roman"/>
          <w:sz w:val="24"/>
          <w:szCs w:val="24"/>
          <w:lang w:val="fr-FR"/>
        </w:rPr>
        <w:t xml:space="preserve">, </w:t>
      </w:r>
      <w:r w:rsidR="00A455C7" w:rsidRPr="00953692">
        <w:rPr>
          <w:rFonts w:cs="Times New Roman"/>
          <w:sz w:val="24"/>
          <w:szCs w:val="24"/>
          <w:lang w:val="fr-FR"/>
        </w:rPr>
        <w:t>le</w:t>
      </w:r>
      <w:r w:rsidR="00A455C7" w:rsidRPr="00953692">
        <w:rPr>
          <w:sz w:val="24"/>
          <w:szCs w:val="24"/>
          <w:lang w:val="fr-FR"/>
        </w:rPr>
        <w:t xml:space="preserve"> juge Antonetti dans son opinion individuelle</w:t>
      </w:r>
      <w:r w:rsidR="00B571C2" w:rsidRPr="00953692">
        <w:rPr>
          <w:sz w:val="24"/>
          <w:szCs w:val="24"/>
          <w:lang w:val="fr-FR"/>
        </w:rPr>
        <w:t>,</w:t>
      </w:r>
      <w:r w:rsidR="0048386A" w:rsidRPr="00953692">
        <w:rPr>
          <w:sz w:val="24"/>
          <w:szCs w:val="24"/>
          <w:lang w:val="fr-FR"/>
        </w:rPr>
        <w:t xml:space="preserve"> a fustigé l’attitude de l’accusé de ne pas solliciter la certification d’appel afin de s’opposer la nomination d’un conseil</w:t>
      </w:r>
      <w:r w:rsidR="004D4FE3" w:rsidRPr="00953692">
        <w:rPr>
          <w:sz w:val="24"/>
          <w:szCs w:val="24"/>
          <w:lang w:val="fr-FR"/>
        </w:rPr>
        <w:t>, qui avait finalement conduit à la suspension d’audiences</w:t>
      </w:r>
      <w:r w:rsidR="00527DC5" w:rsidRPr="00953692">
        <w:rPr>
          <w:rStyle w:val="Appelnotedebasdep"/>
          <w:sz w:val="24"/>
          <w:szCs w:val="24"/>
          <w:lang w:val="fr-FR"/>
        </w:rPr>
        <w:footnoteReference w:customMarkFollows="1" w:id="354"/>
        <w:t>329</w:t>
      </w:r>
      <w:r w:rsidR="00A455C7" w:rsidRPr="00953692">
        <w:rPr>
          <w:sz w:val="24"/>
          <w:szCs w:val="24"/>
          <w:lang w:val="fr-FR"/>
        </w:rPr>
        <w:t xml:space="preserve">. </w:t>
      </w:r>
      <w:r w:rsidR="0048386A" w:rsidRPr="00953692">
        <w:rPr>
          <w:sz w:val="24"/>
          <w:szCs w:val="24"/>
          <w:lang w:val="fr-FR"/>
        </w:rPr>
        <w:t>Car</w:t>
      </w:r>
      <w:r w:rsidR="0048386A" w:rsidRPr="00953692">
        <w:rPr>
          <w:i/>
          <w:iCs/>
          <w:sz w:val="24"/>
          <w:szCs w:val="24"/>
          <w:lang w:val="fr-FR"/>
        </w:rPr>
        <w:t xml:space="preserve">, </w:t>
      </w:r>
      <w:r w:rsidR="00DE47E5" w:rsidRPr="00953692">
        <w:rPr>
          <w:sz w:val="24"/>
          <w:szCs w:val="24"/>
          <w:lang w:val="fr-FR"/>
        </w:rPr>
        <w:t>une certification d’appel</w:t>
      </w:r>
      <w:r w:rsidR="00A63AE6" w:rsidRPr="00953692">
        <w:rPr>
          <w:sz w:val="24"/>
          <w:szCs w:val="24"/>
          <w:lang w:val="fr-FR"/>
        </w:rPr>
        <w:t>, au cas où elle eut été accordée,</w:t>
      </w:r>
      <w:r w:rsidR="00DE47E5" w:rsidRPr="00953692">
        <w:rPr>
          <w:sz w:val="24"/>
          <w:szCs w:val="24"/>
          <w:lang w:val="fr-FR"/>
        </w:rPr>
        <w:t xml:space="preserve"> aurait permis à l’accusé de saisir la Chambre d’appel aux</w:t>
      </w:r>
      <w:r w:rsidR="008D5198" w:rsidRPr="00953692">
        <w:rPr>
          <w:sz w:val="24"/>
          <w:szCs w:val="24"/>
          <w:lang w:val="fr-FR"/>
        </w:rPr>
        <w:t xml:space="preserve"> fins</w:t>
      </w:r>
      <w:r w:rsidR="00DE47E5" w:rsidRPr="00953692">
        <w:rPr>
          <w:sz w:val="24"/>
          <w:szCs w:val="24"/>
          <w:lang w:val="fr-FR"/>
        </w:rPr>
        <w:t xml:space="preserve"> d’infirmer </w:t>
      </w:r>
      <w:r w:rsidR="00BD7378" w:rsidRPr="00953692">
        <w:rPr>
          <w:sz w:val="24"/>
          <w:szCs w:val="24"/>
          <w:lang w:val="fr-FR"/>
        </w:rPr>
        <w:t>la décision de suspendre l’instance.</w:t>
      </w:r>
    </w:p>
    <w:p w14:paraId="6E6A2203" w14:textId="52D463DD" w:rsidR="00542E60" w:rsidRPr="00953692" w:rsidRDefault="003F2222" w:rsidP="00864BBF">
      <w:pPr>
        <w:spacing w:after="0" w:line="276" w:lineRule="auto"/>
        <w:ind w:firstLine="1134"/>
        <w:jc w:val="both"/>
        <w:rPr>
          <w:sz w:val="24"/>
          <w:szCs w:val="24"/>
          <w:lang w:val="fr-FR"/>
        </w:rPr>
      </w:pPr>
      <w:r w:rsidRPr="00953692">
        <w:rPr>
          <w:b/>
          <w:bCs/>
          <w:sz w:val="24"/>
          <w:szCs w:val="24"/>
          <w:lang w:val="fr-FR"/>
        </w:rPr>
        <w:t>456</w:t>
      </w:r>
      <w:r w:rsidR="008B75E5" w:rsidRPr="00953692">
        <w:rPr>
          <w:b/>
          <w:bCs/>
          <w:sz w:val="24"/>
          <w:szCs w:val="24"/>
          <w:lang w:val="fr-FR"/>
        </w:rPr>
        <w:t>.</w:t>
      </w:r>
      <w:r w:rsidR="008B75E5" w:rsidRPr="00953692">
        <w:rPr>
          <w:sz w:val="24"/>
          <w:szCs w:val="24"/>
          <w:lang w:val="fr-FR"/>
        </w:rPr>
        <w:t xml:space="preserve"> </w:t>
      </w:r>
      <w:r w:rsidR="00B33EE2" w:rsidRPr="00953692">
        <w:rPr>
          <w:sz w:val="24"/>
          <w:szCs w:val="24"/>
          <w:lang w:val="fr-FR"/>
        </w:rPr>
        <w:t xml:space="preserve">Cependant, il convient de retenir somme toute que, l’appel interlocutoire reste tout autant une menace pour la durée du procès, et donc le droit de l’accusé d’être jugé sans retard excessif. </w:t>
      </w:r>
      <w:r w:rsidR="001F6B51" w:rsidRPr="00953692">
        <w:rPr>
          <w:sz w:val="24"/>
          <w:szCs w:val="24"/>
          <w:lang w:val="fr-FR"/>
        </w:rPr>
        <w:t>P</w:t>
      </w:r>
      <w:r w:rsidR="003545E3" w:rsidRPr="00953692">
        <w:rPr>
          <w:sz w:val="24"/>
          <w:szCs w:val="24"/>
          <w:lang w:val="fr-FR"/>
        </w:rPr>
        <w:t xml:space="preserve">our mieux le comprendre </w:t>
      </w:r>
      <w:r w:rsidR="001F6B51" w:rsidRPr="00953692">
        <w:rPr>
          <w:sz w:val="24"/>
          <w:szCs w:val="24"/>
          <w:lang w:val="fr-FR"/>
        </w:rPr>
        <w:t xml:space="preserve">ce mécanisme, il faut </w:t>
      </w:r>
      <w:r w:rsidR="003545E3" w:rsidRPr="00953692">
        <w:rPr>
          <w:sz w:val="24"/>
          <w:szCs w:val="24"/>
          <w:lang w:val="fr-FR"/>
        </w:rPr>
        <w:t xml:space="preserve">d’une part, </w:t>
      </w:r>
      <w:r w:rsidR="003545E3" w:rsidRPr="00953692">
        <w:rPr>
          <w:sz w:val="24"/>
          <w:szCs w:val="24"/>
          <w:lang w:val="fr-FR"/>
        </w:rPr>
        <w:lastRenderedPageBreak/>
        <w:t xml:space="preserve">placer ou replacer </w:t>
      </w:r>
      <w:r w:rsidR="00493D05" w:rsidRPr="00953692">
        <w:rPr>
          <w:sz w:val="24"/>
          <w:szCs w:val="24"/>
          <w:lang w:val="fr-FR"/>
        </w:rPr>
        <w:t xml:space="preserve">cet </w:t>
      </w:r>
      <w:r w:rsidR="003545E3" w:rsidRPr="00953692">
        <w:rPr>
          <w:sz w:val="24"/>
          <w:szCs w:val="24"/>
          <w:lang w:val="fr-FR"/>
        </w:rPr>
        <w:t>appel interlocutoire dans un processus qui commence par une demande incidente, ayant donné lieu à une décision</w:t>
      </w:r>
      <w:r w:rsidR="00B571C2" w:rsidRPr="00953692">
        <w:rPr>
          <w:sz w:val="24"/>
          <w:szCs w:val="24"/>
          <w:lang w:val="fr-FR"/>
        </w:rPr>
        <w:t>,</w:t>
      </w:r>
      <w:r w:rsidR="003545E3" w:rsidRPr="00953692">
        <w:rPr>
          <w:sz w:val="24"/>
          <w:szCs w:val="24"/>
          <w:lang w:val="fr-FR"/>
        </w:rPr>
        <w:t xml:space="preserve"> et de celle-ci en découle une contestation. Ce processus va continuer son cours jusqu’à ce que la Chambre d’appel tranche</w:t>
      </w:r>
      <w:r w:rsidR="00493D05" w:rsidRPr="00953692">
        <w:rPr>
          <w:sz w:val="24"/>
          <w:szCs w:val="24"/>
          <w:lang w:val="fr-FR"/>
        </w:rPr>
        <w:t xml:space="preserve"> définitivement</w:t>
      </w:r>
      <w:r w:rsidR="003545E3" w:rsidRPr="00953692">
        <w:rPr>
          <w:sz w:val="24"/>
          <w:szCs w:val="24"/>
          <w:lang w:val="fr-FR"/>
        </w:rPr>
        <w:t xml:space="preserve"> l’affaire. </w:t>
      </w:r>
      <w:r w:rsidR="00820DAE" w:rsidRPr="00953692">
        <w:rPr>
          <w:sz w:val="24"/>
          <w:szCs w:val="24"/>
          <w:lang w:val="fr-FR"/>
        </w:rPr>
        <w:t xml:space="preserve">Du coup, on est </w:t>
      </w:r>
      <w:r w:rsidR="00493D05" w:rsidRPr="00953692">
        <w:rPr>
          <w:sz w:val="24"/>
          <w:szCs w:val="24"/>
          <w:lang w:val="fr-FR"/>
        </w:rPr>
        <w:t xml:space="preserve">pratiquement </w:t>
      </w:r>
      <w:r w:rsidR="00820DAE" w:rsidRPr="00953692">
        <w:rPr>
          <w:sz w:val="24"/>
          <w:szCs w:val="24"/>
          <w:lang w:val="fr-FR"/>
        </w:rPr>
        <w:t xml:space="preserve">dans une procédure parallèle </w:t>
      </w:r>
      <w:r w:rsidR="00493D05" w:rsidRPr="00953692">
        <w:rPr>
          <w:sz w:val="24"/>
          <w:szCs w:val="24"/>
          <w:lang w:val="fr-FR"/>
        </w:rPr>
        <w:t>dont la susceptibilité</w:t>
      </w:r>
      <w:r w:rsidR="00820DAE" w:rsidRPr="00953692">
        <w:rPr>
          <w:sz w:val="24"/>
          <w:szCs w:val="24"/>
          <w:lang w:val="fr-FR"/>
        </w:rPr>
        <w:t xml:space="preserve"> </w:t>
      </w:r>
      <w:r w:rsidR="00493D05" w:rsidRPr="00953692">
        <w:rPr>
          <w:sz w:val="24"/>
          <w:szCs w:val="24"/>
          <w:lang w:val="fr-FR"/>
        </w:rPr>
        <w:t>d’</w:t>
      </w:r>
      <w:r w:rsidR="00820DAE" w:rsidRPr="00953692">
        <w:rPr>
          <w:sz w:val="24"/>
          <w:szCs w:val="24"/>
          <w:lang w:val="fr-FR"/>
        </w:rPr>
        <w:t>influe</w:t>
      </w:r>
      <w:r w:rsidR="00493D05" w:rsidRPr="00953692">
        <w:rPr>
          <w:sz w:val="24"/>
          <w:szCs w:val="24"/>
          <w:lang w:val="fr-FR"/>
        </w:rPr>
        <w:t>r</w:t>
      </w:r>
      <w:r w:rsidR="00820DAE" w:rsidRPr="00953692">
        <w:rPr>
          <w:sz w:val="24"/>
          <w:szCs w:val="24"/>
          <w:lang w:val="fr-FR"/>
        </w:rPr>
        <w:t xml:space="preserve"> sur l’affaire principale</w:t>
      </w:r>
      <w:r w:rsidR="00493D05" w:rsidRPr="00953692">
        <w:rPr>
          <w:sz w:val="24"/>
          <w:szCs w:val="24"/>
          <w:lang w:val="fr-FR"/>
        </w:rPr>
        <w:t xml:space="preserve"> n’est pas moins évidente</w:t>
      </w:r>
      <w:r w:rsidR="00820DAE" w:rsidRPr="00953692">
        <w:rPr>
          <w:sz w:val="24"/>
          <w:szCs w:val="24"/>
          <w:lang w:val="fr-FR"/>
        </w:rPr>
        <w:t xml:space="preserve">, notamment en ce qui concerne la durée </w:t>
      </w:r>
      <w:r w:rsidR="00493D05" w:rsidRPr="00953692">
        <w:rPr>
          <w:sz w:val="24"/>
          <w:szCs w:val="24"/>
          <w:lang w:val="fr-FR"/>
        </w:rPr>
        <w:t>globale du procès</w:t>
      </w:r>
      <w:r w:rsidR="00820DAE" w:rsidRPr="00953692">
        <w:rPr>
          <w:sz w:val="24"/>
          <w:szCs w:val="24"/>
          <w:lang w:val="fr-FR"/>
        </w:rPr>
        <w:t xml:space="preserve">. </w:t>
      </w:r>
    </w:p>
    <w:p w14:paraId="47C72095" w14:textId="704CF278" w:rsidR="006A0175" w:rsidRPr="00953692" w:rsidRDefault="003F2222" w:rsidP="0094213F">
      <w:pPr>
        <w:spacing w:line="276" w:lineRule="auto"/>
        <w:ind w:firstLine="1134"/>
        <w:jc w:val="both"/>
        <w:rPr>
          <w:sz w:val="24"/>
          <w:szCs w:val="24"/>
          <w:lang w:val="fr-FR"/>
        </w:rPr>
      </w:pPr>
      <w:r w:rsidRPr="00953692">
        <w:rPr>
          <w:b/>
          <w:bCs/>
          <w:sz w:val="24"/>
          <w:szCs w:val="24"/>
          <w:lang w:val="fr-FR"/>
        </w:rPr>
        <w:t>457</w:t>
      </w:r>
      <w:r w:rsidR="00C15636" w:rsidRPr="00953692">
        <w:rPr>
          <w:b/>
          <w:bCs/>
          <w:sz w:val="24"/>
          <w:szCs w:val="24"/>
          <w:lang w:val="fr-FR"/>
        </w:rPr>
        <w:t>.</w:t>
      </w:r>
      <w:r w:rsidR="00C15636" w:rsidRPr="00953692">
        <w:rPr>
          <w:sz w:val="24"/>
          <w:szCs w:val="24"/>
          <w:lang w:val="fr-FR"/>
        </w:rPr>
        <w:t xml:space="preserve"> </w:t>
      </w:r>
      <w:r w:rsidR="00683388" w:rsidRPr="00953692">
        <w:rPr>
          <w:sz w:val="24"/>
          <w:szCs w:val="24"/>
          <w:lang w:val="fr-FR"/>
        </w:rPr>
        <w:t>D’autre part,</w:t>
      </w:r>
      <w:r w:rsidR="008843B4" w:rsidRPr="00953692">
        <w:rPr>
          <w:sz w:val="24"/>
          <w:szCs w:val="24"/>
          <w:lang w:val="fr-FR"/>
        </w:rPr>
        <w:t xml:space="preserve"> </w:t>
      </w:r>
      <w:r w:rsidR="00683388" w:rsidRPr="00953692">
        <w:rPr>
          <w:sz w:val="24"/>
          <w:szCs w:val="24"/>
          <w:lang w:val="fr-FR"/>
        </w:rPr>
        <w:t xml:space="preserve">rappeler </w:t>
      </w:r>
      <w:r w:rsidR="001F6B51" w:rsidRPr="00953692">
        <w:rPr>
          <w:sz w:val="24"/>
          <w:szCs w:val="24"/>
          <w:lang w:val="fr-FR"/>
        </w:rPr>
        <w:t xml:space="preserve">finalement </w:t>
      </w:r>
      <w:r w:rsidR="00683388" w:rsidRPr="00953692">
        <w:rPr>
          <w:sz w:val="24"/>
          <w:szCs w:val="24"/>
          <w:lang w:val="fr-FR"/>
        </w:rPr>
        <w:t>le contexte de ces procès pénaux internationaux, marqué par une complexité tant fondamentale que procédurale</w:t>
      </w:r>
      <w:r w:rsidR="001F6B51" w:rsidRPr="00953692">
        <w:rPr>
          <w:sz w:val="24"/>
          <w:szCs w:val="24"/>
          <w:lang w:val="fr-FR"/>
        </w:rPr>
        <w:t xml:space="preserve"> dans une temporalité limitée</w:t>
      </w:r>
      <w:r w:rsidR="00683388" w:rsidRPr="00953692">
        <w:rPr>
          <w:sz w:val="24"/>
          <w:szCs w:val="24"/>
          <w:lang w:val="fr-FR"/>
        </w:rPr>
        <w:t xml:space="preserve">. Sous cet angle, </w:t>
      </w:r>
      <w:r w:rsidR="00493D05" w:rsidRPr="00953692">
        <w:rPr>
          <w:sz w:val="24"/>
          <w:szCs w:val="24"/>
          <w:lang w:val="fr-FR"/>
        </w:rPr>
        <w:t xml:space="preserve">il est remarquable que, </w:t>
      </w:r>
      <w:r w:rsidR="00683388" w:rsidRPr="00953692">
        <w:rPr>
          <w:sz w:val="24"/>
          <w:szCs w:val="24"/>
          <w:lang w:val="fr-FR"/>
        </w:rPr>
        <w:t>plus il y a des requêtes appelables</w:t>
      </w:r>
      <w:r w:rsidR="004D6B59" w:rsidRPr="00953692">
        <w:rPr>
          <w:sz w:val="24"/>
          <w:szCs w:val="24"/>
          <w:lang w:val="fr-FR"/>
        </w:rPr>
        <w:t>, plus</w:t>
      </w:r>
      <w:r w:rsidR="00683388" w:rsidRPr="00953692">
        <w:rPr>
          <w:sz w:val="24"/>
          <w:szCs w:val="24"/>
          <w:lang w:val="fr-FR"/>
        </w:rPr>
        <w:t xml:space="preserve"> il serait </w:t>
      </w:r>
      <w:r w:rsidR="00B571C2" w:rsidRPr="00953692">
        <w:rPr>
          <w:sz w:val="24"/>
          <w:szCs w:val="24"/>
          <w:lang w:val="fr-FR"/>
        </w:rPr>
        <w:t>incontestable</w:t>
      </w:r>
      <w:r w:rsidR="00683388" w:rsidRPr="00953692">
        <w:rPr>
          <w:sz w:val="24"/>
          <w:szCs w:val="24"/>
          <w:lang w:val="fr-FR"/>
        </w:rPr>
        <w:t xml:space="preserve"> que le procès connaisse des retards qui ser</w:t>
      </w:r>
      <w:r w:rsidR="004D6B59" w:rsidRPr="00953692">
        <w:rPr>
          <w:sz w:val="24"/>
          <w:szCs w:val="24"/>
          <w:lang w:val="fr-FR"/>
        </w:rPr>
        <w:t>aie</w:t>
      </w:r>
      <w:r w:rsidR="00683388" w:rsidRPr="00953692">
        <w:rPr>
          <w:sz w:val="24"/>
          <w:szCs w:val="24"/>
          <w:lang w:val="fr-FR"/>
        </w:rPr>
        <w:t>nt</w:t>
      </w:r>
      <w:r w:rsidR="001C3644" w:rsidRPr="00953692">
        <w:rPr>
          <w:sz w:val="24"/>
          <w:szCs w:val="24"/>
          <w:lang w:val="fr-FR"/>
        </w:rPr>
        <w:t xml:space="preserve"> par ailleurs</w:t>
      </w:r>
      <w:r w:rsidR="00683388" w:rsidRPr="00953692">
        <w:rPr>
          <w:sz w:val="24"/>
          <w:szCs w:val="24"/>
          <w:lang w:val="fr-FR"/>
        </w:rPr>
        <w:t xml:space="preserve"> justifiés par l’observation du droit de l’accusé de former un recours. </w:t>
      </w:r>
      <w:r w:rsidR="004D6B59" w:rsidRPr="00953692">
        <w:rPr>
          <w:sz w:val="24"/>
          <w:szCs w:val="24"/>
          <w:lang w:val="fr-FR"/>
        </w:rPr>
        <w:t>L’invocation de la violation du délai raisonnable</w:t>
      </w:r>
      <w:r w:rsidR="008E4121" w:rsidRPr="00953692">
        <w:rPr>
          <w:sz w:val="24"/>
          <w:szCs w:val="24"/>
          <w:lang w:val="fr-FR"/>
        </w:rPr>
        <w:t xml:space="preserve"> va donc se heurter à </w:t>
      </w:r>
      <w:r w:rsidR="001C3644" w:rsidRPr="00953692">
        <w:rPr>
          <w:sz w:val="24"/>
          <w:szCs w:val="24"/>
          <w:lang w:val="fr-FR"/>
        </w:rPr>
        <w:t>cet</w:t>
      </w:r>
      <w:r w:rsidR="008E4121" w:rsidRPr="00953692">
        <w:rPr>
          <w:sz w:val="24"/>
          <w:szCs w:val="24"/>
          <w:lang w:val="fr-FR"/>
        </w:rPr>
        <w:t xml:space="preserve"> autre droit de l’accusé. </w:t>
      </w:r>
      <w:r w:rsidR="00683388" w:rsidRPr="00953692">
        <w:rPr>
          <w:sz w:val="24"/>
          <w:szCs w:val="24"/>
          <w:lang w:val="fr-FR"/>
        </w:rPr>
        <w:t>Ainsi, un tel conflit s’avère désavantageux pour le droit d’être jugé sans retard excessif</w:t>
      </w:r>
      <w:r w:rsidR="001C3644" w:rsidRPr="00953692">
        <w:rPr>
          <w:sz w:val="24"/>
          <w:szCs w:val="24"/>
          <w:lang w:val="fr-FR"/>
        </w:rPr>
        <w:t>, qui en paiera bien évidemment le prix</w:t>
      </w:r>
      <w:r w:rsidR="00683388" w:rsidRPr="00953692">
        <w:rPr>
          <w:sz w:val="24"/>
          <w:szCs w:val="24"/>
          <w:lang w:val="fr-FR"/>
        </w:rPr>
        <w:t>, dans la mesure où, que ce soit l</w:t>
      </w:r>
      <w:r w:rsidR="003D5C7D" w:rsidRPr="00953692">
        <w:rPr>
          <w:sz w:val="24"/>
          <w:szCs w:val="24"/>
          <w:lang w:val="fr-FR"/>
        </w:rPr>
        <w:t>’</w:t>
      </w:r>
      <w:r w:rsidR="00683388" w:rsidRPr="00953692">
        <w:rPr>
          <w:sz w:val="24"/>
          <w:szCs w:val="24"/>
          <w:lang w:val="fr-FR"/>
        </w:rPr>
        <w:t>introdu</w:t>
      </w:r>
      <w:r w:rsidR="003D5C7D" w:rsidRPr="00953692">
        <w:rPr>
          <w:sz w:val="24"/>
          <w:szCs w:val="24"/>
          <w:lang w:val="fr-FR"/>
        </w:rPr>
        <w:t>ction</w:t>
      </w:r>
      <w:r w:rsidR="00683388" w:rsidRPr="00953692">
        <w:rPr>
          <w:sz w:val="24"/>
          <w:szCs w:val="24"/>
          <w:lang w:val="fr-FR"/>
        </w:rPr>
        <w:t xml:space="preserve"> </w:t>
      </w:r>
      <w:r w:rsidR="003D5C7D" w:rsidRPr="00953692">
        <w:rPr>
          <w:sz w:val="24"/>
          <w:szCs w:val="24"/>
          <w:lang w:val="fr-FR"/>
        </w:rPr>
        <w:t>d’</w:t>
      </w:r>
      <w:r w:rsidR="00683388" w:rsidRPr="00953692">
        <w:rPr>
          <w:sz w:val="24"/>
          <w:szCs w:val="24"/>
          <w:lang w:val="fr-FR"/>
        </w:rPr>
        <w:t>une demande incidente</w:t>
      </w:r>
      <w:r w:rsidR="00AD5891" w:rsidRPr="00953692">
        <w:rPr>
          <w:sz w:val="24"/>
          <w:szCs w:val="24"/>
          <w:lang w:val="fr-FR"/>
        </w:rPr>
        <w:t xml:space="preserve"> ou</w:t>
      </w:r>
      <w:r w:rsidR="00683388" w:rsidRPr="00953692">
        <w:rPr>
          <w:sz w:val="24"/>
          <w:szCs w:val="24"/>
          <w:lang w:val="fr-FR"/>
        </w:rPr>
        <w:t xml:space="preserve"> </w:t>
      </w:r>
      <w:r w:rsidR="008E4121" w:rsidRPr="00953692">
        <w:rPr>
          <w:sz w:val="24"/>
          <w:szCs w:val="24"/>
          <w:lang w:val="fr-FR"/>
        </w:rPr>
        <w:t>la demande</w:t>
      </w:r>
      <w:r w:rsidR="00683388" w:rsidRPr="00953692">
        <w:rPr>
          <w:sz w:val="24"/>
          <w:szCs w:val="24"/>
          <w:lang w:val="fr-FR"/>
        </w:rPr>
        <w:t xml:space="preserve"> d</w:t>
      </w:r>
      <w:r w:rsidR="008E4121" w:rsidRPr="00953692">
        <w:rPr>
          <w:sz w:val="24"/>
          <w:szCs w:val="24"/>
          <w:lang w:val="fr-FR"/>
        </w:rPr>
        <w:t>e certification d’appel ou l’</w:t>
      </w:r>
      <w:r w:rsidR="00683388" w:rsidRPr="00953692">
        <w:rPr>
          <w:sz w:val="24"/>
          <w:szCs w:val="24"/>
          <w:lang w:val="fr-FR"/>
        </w:rPr>
        <w:t>interje</w:t>
      </w:r>
      <w:r w:rsidR="008E4121" w:rsidRPr="00953692">
        <w:rPr>
          <w:sz w:val="24"/>
          <w:szCs w:val="24"/>
          <w:lang w:val="fr-FR"/>
        </w:rPr>
        <w:t>ction</w:t>
      </w:r>
      <w:r w:rsidR="00683388" w:rsidRPr="00953692">
        <w:rPr>
          <w:sz w:val="24"/>
          <w:szCs w:val="24"/>
          <w:lang w:val="fr-FR"/>
        </w:rPr>
        <w:t xml:space="preserve"> appel contre la décision </w:t>
      </w:r>
      <w:r w:rsidR="003D5C7D" w:rsidRPr="00953692">
        <w:rPr>
          <w:sz w:val="24"/>
          <w:szCs w:val="24"/>
          <w:lang w:val="fr-FR"/>
        </w:rPr>
        <w:t xml:space="preserve">qui en résulterait, </w:t>
      </w:r>
      <w:r w:rsidR="00AD5891" w:rsidRPr="00953692">
        <w:rPr>
          <w:sz w:val="24"/>
          <w:szCs w:val="24"/>
          <w:lang w:val="fr-FR"/>
        </w:rPr>
        <w:t>il s’agit</w:t>
      </w:r>
      <w:r w:rsidR="003D5C7D" w:rsidRPr="00953692">
        <w:rPr>
          <w:sz w:val="24"/>
          <w:szCs w:val="24"/>
          <w:lang w:val="fr-FR"/>
        </w:rPr>
        <w:t xml:space="preserve"> </w:t>
      </w:r>
      <w:r w:rsidR="00AD5891" w:rsidRPr="00953692">
        <w:rPr>
          <w:sz w:val="24"/>
          <w:szCs w:val="24"/>
          <w:lang w:val="fr-FR"/>
        </w:rPr>
        <w:t>d’</w:t>
      </w:r>
      <w:r w:rsidR="003D5C7D" w:rsidRPr="00953692">
        <w:rPr>
          <w:sz w:val="24"/>
          <w:szCs w:val="24"/>
          <w:lang w:val="fr-FR"/>
        </w:rPr>
        <w:t>un choix de l’accusé. Il en est de même de la décision d’interjeter appel contre la décision définitive</w:t>
      </w:r>
      <w:r w:rsidR="00542E60" w:rsidRPr="00953692">
        <w:rPr>
          <w:sz w:val="24"/>
          <w:szCs w:val="24"/>
          <w:lang w:val="fr-FR"/>
        </w:rPr>
        <w:t>,</w:t>
      </w:r>
      <w:r w:rsidR="003D5C7D" w:rsidRPr="00953692">
        <w:rPr>
          <w:sz w:val="24"/>
          <w:szCs w:val="24"/>
          <w:lang w:val="fr-FR"/>
        </w:rPr>
        <w:t xml:space="preserve"> le jugement de la Chambre de première instance.</w:t>
      </w:r>
    </w:p>
    <w:p w14:paraId="6B912E9C" w14:textId="16ECD18E" w:rsidR="006A0175" w:rsidRPr="0094213F" w:rsidRDefault="006B4317" w:rsidP="0094213F">
      <w:pPr>
        <w:pStyle w:val="Titre2"/>
        <w:spacing w:after="160"/>
        <w:ind w:left="1134"/>
        <w:rPr>
          <w:rFonts w:ascii="Times New Roman" w:hAnsi="Times New Roman" w:cs="Times New Roman"/>
          <w:b/>
          <w:bCs/>
          <w:color w:val="auto"/>
          <w:sz w:val="24"/>
          <w:szCs w:val="24"/>
          <w:lang w:val="fr-FR"/>
        </w:rPr>
      </w:pPr>
      <w:bookmarkStart w:id="102" w:name="_Toc195179450"/>
      <w:bookmarkStart w:id="103" w:name="_Hlk118297505"/>
      <w:r w:rsidRPr="00953692">
        <w:rPr>
          <w:rFonts w:ascii="Times New Roman" w:hAnsi="Times New Roman" w:cs="Times New Roman"/>
          <w:b/>
          <w:bCs/>
          <w:color w:val="auto"/>
          <w:sz w:val="24"/>
          <w:szCs w:val="24"/>
          <w:lang w:val="fr-FR"/>
        </w:rPr>
        <w:t>Section 02. De l’appel principal</w:t>
      </w:r>
      <w:r w:rsidR="00B63CAD" w:rsidRPr="00953692">
        <w:rPr>
          <w:rFonts w:ascii="Times New Roman" w:hAnsi="Times New Roman" w:cs="Times New Roman"/>
          <w:b/>
          <w:bCs/>
          <w:color w:val="auto"/>
          <w:sz w:val="24"/>
          <w:szCs w:val="24"/>
          <w:lang w:val="fr-FR"/>
        </w:rPr>
        <w:t>, un droit de l’accusé</w:t>
      </w:r>
      <w:r w:rsidR="00422FBE" w:rsidRPr="00953692">
        <w:rPr>
          <w:rFonts w:ascii="Times New Roman" w:hAnsi="Times New Roman" w:cs="Times New Roman"/>
          <w:b/>
          <w:bCs/>
          <w:color w:val="auto"/>
          <w:sz w:val="24"/>
          <w:szCs w:val="24"/>
          <w:lang w:val="fr-FR"/>
        </w:rPr>
        <w:t xml:space="preserve"> dont la mise en œuvre</w:t>
      </w:r>
      <w:r w:rsidR="00B63CAD" w:rsidRPr="00953692">
        <w:rPr>
          <w:rFonts w:ascii="Times New Roman" w:hAnsi="Times New Roman" w:cs="Times New Roman"/>
          <w:b/>
          <w:bCs/>
          <w:color w:val="auto"/>
          <w:sz w:val="24"/>
          <w:szCs w:val="24"/>
          <w:lang w:val="fr-FR"/>
        </w:rPr>
        <w:t xml:space="preserve"> prolonge la durée du procès</w:t>
      </w:r>
      <w:bookmarkEnd w:id="102"/>
    </w:p>
    <w:bookmarkEnd w:id="103"/>
    <w:p w14:paraId="13867C15" w14:textId="15C6CDC3" w:rsidR="009757CF" w:rsidRPr="00953692" w:rsidRDefault="003F2222" w:rsidP="0094213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458</w:t>
      </w:r>
      <w:r w:rsidR="00185CFB" w:rsidRPr="00953692">
        <w:rPr>
          <w:rFonts w:cs="Times New Roman"/>
          <w:sz w:val="24"/>
          <w:szCs w:val="24"/>
          <w:shd w:val="clear" w:color="auto" w:fill="FFFFFF"/>
          <w:lang w:val="fr-FR"/>
        </w:rPr>
        <w:t xml:space="preserve">. </w:t>
      </w:r>
      <w:r w:rsidR="00485F39" w:rsidRPr="00953692">
        <w:rPr>
          <w:rFonts w:cs="Times New Roman"/>
          <w:sz w:val="24"/>
          <w:szCs w:val="24"/>
          <w:shd w:val="clear" w:color="auto" w:fill="FFFFFF"/>
          <w:lang w:val="fr-FR"/>
        </w:rPr>
        <w:t>En procédure pénale internationale, l</w:t>
      </w:r>
      <w:r w:rsidR="00156FB8" w:rsidRPr="00953692">
        <w:rPr>
          <w:rFonts w:cs="Times New Roman"/>
          <w:sz w:val="24"/>
          <w:szCs w:val="24"/>
          <w:shd w:val="clear" w:color="auto" w:fill="FFFFFF"/>
          <w:lang w:val="fr-FR"/>
        </w:rPr>
        <w:t xml:space="preserve">a décision finale de condamnation ou d’acquittement </w:t>
      </w:r>
      <w:r w:rsidR="00485F39" w:rsidRPr="00953692">
        <w:rPr>
          <w:rFonts w:cs="Times New Roman"/>
          <w:sz w:val="24"/>
          <w:szCs w:val="24"/>
          <w:shd w:val="clear" w:color="auto" w:fill="FFFFFF"/>
          <w:lang w:val="fr-FR"/>
        </w:rPr>
        <w:t>rendue par</w:t>
      </w:r>
      <w:r w:rsidR="00156FB8" w:rsidRPr="00953692">
        <w:rPr>
          <w:rFonts w:cs="Times New Roman"/>
          <w:sz w:val="24"/>
          <w:szCs w:val="24"/>
          <w:shd w:val="clear" w:color="auto" w:fill="FFFFFF"/>
          <w:lang w:val="fr-FR"/>
        </w:rPr>
        <w:t xml:space="preserve"> la Chambre de première instance est</w:t>
      </w:r>
      <w:r w:rsidR="00485F39" w:rsidRPr="00953692">
        <w:rPr>
          <w:rFonts w:cs="Times New Roman"/>
          <w:sz w:val="24"/>
          <w:szCs w:val="24"/>
          <w:shd w:val="clear" w:color="auto" w:fill="FFFFFF"/>
          <w:lang w:val="fr-FR"/>
        </w:rPr>
        <w:t xml:space="preserve"> en principe</w:t>
      </w:r>
      <w:r w:rsidR="00156FB8" w:rsidRPr="00953692">
        <w:rPr>
          <w:rFonts w:cs="Times New Roman"/>
          <w:sz w:val="24"/>
          <w:szCs w:val="24"/>
          <w:shd w:val="clear" w:color="auto" w:fill="FFFFFF"/>
          <w:lang w:val="fr-FR"/>
        </w:rPr>
        <w:t xml:space="preserve"> </w:t>
      </w:r>
      <w:r w:rsidR="00CB23A5" w:rsidRPr="00953692">
        <w:rPr>
          <w:rFonts w:cs="Times New Roman"/>
          <w:sz w:val="24"/>
          <w:szCs w:val="24"/>
          <w:shd w:val="clear" w:color="auto" w:fill="FFFFFF"/>
          <w:lang w:val="fr-FR"/>
        </w:rPr>
        <w:t>susceptible d’appel devant la Chambre d’appel (allusion faite à la structuration ordinaire des juridictions pénales internationales</w:t>
      </w:r>
      <w:r w:rsidR="00527DC5" w:rsidRPr="00953692">
        <w:rPr>
          <w:rStyle w:val="Appelnotedebasdep"/>
          <w:rFonts w:cs="Times New Roman"/>
          <w:sz w:val="24"/>
          <w:szCs w:val="24"/>
          <w:shd w:val="clear" w:color="auto" w:fill="FFFFFF"/>
          <w:lang w:val="fr-FR"/>
        </w:rPr>
        <w:footnoteReference w:customMarkFollows="1" w:id="355"/>
        <w:t>330</w:t>
      </w:r>
      <w:r w:rsidR="00CB23A5" w:rsidRPr="00953692">
        <w:rPr>
          <w:rFonts w:cs="Times New Roman"/>
          <w:sz w:val="24"/>
          <w:szCs w:val="24"/>
          <w:shd w:val="clear" w:color="auto" w:fill="FFFFFF"/>
          <w:lang w:val="fr-FR"/>
        </w:rPr>
        <w:t xml:space="preserve">). </w:t>
      </w:r>
      <w:r w:rsidR="007A13DF" w:rsidRPr="00953692">
        <w:rPr>
          <w:rFonts w:cs="Times New Roman"/>
          <w:sz w:val="24"/>
          <w:szCs w:val="24"/>
          <w:shd w:val="clear" w:color="auto" w:fill="FFFFFF"/>
          <w:lang w:val="fr-FR"/>
        </w:rPr>
        <w:t>De façon générale</w:t>
      </w:r>
      <w:r w:rsidR="009757CF" w:rsidRPr="00953692">
        <w:rPr>
          <w:rFonts w:cs="Times New Roman"/>
          <w:sz w:val="24"/>
          <w:szCs w:val="24"/>
          <w:shd w:val="clear" w:color="auto" w:fill="FFFFFF"/>
          <w:lang w:val="fr-FR"/>
        </w:rPr>
        <w:t xml:space="preserve"> en procédure pénale</w:t>
      </w:r>
      <w:r w:rsidR="007A13DF" w:rsidRPr="00953692">
        <w:rPr>
          <w:rFonts w:cs="Times New Roman"/>
          <w:sz w:val="24"/>
          <w:szCs w:val="24"/>
          <w:shd w:val="clear" w:color="auto" w:fill="FFFFFF"/>
          <w:lang w:val="fr-FR"/>
        </w:rPr>
        <w:t>, tant au niveau international que national, l’appel est un recours statutaire</w:t>
      </w:r>
      <w:r w:rsidR="00E471A4" w:rsidRPr="00953692">
        <w:rPr>
          <w:rFonts w:cs="Times New Roman"/>
          <w:sz w:val="24"/>
          <w:szCs w:val="24"/>
          <w:shd w:val="clear" w:color="auto" w:fill="FFFFFF"/>
          <w:lang w:val="fr-FR"/>
        </w:rPr>
        <w:t xml:space="preserve"> (légal)</w:t>
      </w:r>
      <w:r w:rsidR="007A13DF" w:rsidRPr="00953692">
        <w:rPr>
          <w:rFonts w:cs="Times New Roman"/>
          <w:sz w:val="24"/>
          <w:szCs w:val="24"/>
          <w:shd w:val="clear" w:color="auto" w:fill="FFFFFF"/>
          <w:lang w:val="fr-FR"/>
        </w:rPr>
        <w:t xml:space="preserve"> en ce sens qu’il ne se présume pas et doit être prévu par les textes pertinents</w:t>
      </w:r>
      <w:r w:rsidR="00527DC5" w:rsidRPr="00953692">
        <w:rPr>
          <w:rStyle w:val="Appelnotedebasdep"/>
          <w:rFonts w:cs="Times New Roman"/>
          <w:sz w:val="24"/>
          <w:szCs w:val="24"/>
          <w:shd w:val="clear" w:color="auto" w:fill="FFFFFF"/>
          <w:lang w:val="fr-FR"/>
        </w:rPr>
        <w:footnoteReference w:customMarkFollows="1" w:id="356"/>
        <w:t>331</w:t>
      </w:r>
      <w:r w:rsidR="007A13DF" w:rsidRPr="00953692">
        <w:rPr>
          <w:rFonts w:cs="Times New Roman"/>
          <w:sz w:val="24"/>
          <w:szCs w:val="24"/>
          <w:shd w:val="clear" w:color="auto" w:fill="FFFFFF"/>
          <w:lang w:val="fr-FR"/>
        </w:rPr>
        <w:t>.</w:t>
      </w:r>
      <w:r w:rsidR="00FC3FC2" w:rsidRPr="00953692">
        <w:rPr>
          <w:rFonts w:cs="Times New Roman"/>
          <w:sz w:val="24"/>
          <w:szCs w:val="24"/>
          <w:shd w:val="clear" w:color="auto" w:fill="FFFFFF"/>
          <w:lang w:val="fr-FR"/>
        </w:rPr>
        <w:t xml:space="preserve"> Lorsqu’un texte ne le prévoit pas, comme il en fut le cas avec la Charte de Nuremberg et celle de Tokyo</w:t>
      </w:r>
      <w:r w:rsidR="00527DC5" w:rsidRPr="00953692">
        <w:rPr>
          <w:rStyle w:val="Appelnotedebasdep"/>
          <w:rFonts w:cs="Times New Roman"/>
          <w:sz w:val="24"/>
          <w:szCs w:val="24"/>
          <w:shd w:val="clear" w:color="auto" w:fill="FFFFFF"/>
          <w:lang w:val="fr-FR"/>
        </w:rPr>
        <w:footnoteReference w:customMarkFollows="1" w:id="357"/>
        <w:t>332</w:t>
      </w:r>
      <w:r w:rsidR="00FC3FC2" w:rsidRPr="00953692">
        <w:rPr>
          <w:rFonts w:cs="Times New Roman"/>
          <w:sz w:val="24"/>
          <w:szCs w:val="24"/>
          <w:shd w:val="clear" w:color="auto" w:fill="FFFFFF"/>
          <w:lang w:val="fr-FR"/>
        </w:rPr>
        <w:t xml:space="preserve">, </w:t>
      </w:r>
      <w:r w:rsidR="00A65869" w:rsidRPr="00953692">
        <w:rPr>
          <w:rFonts w:cs="Times New Roman"/>
          <w:sz w:val="24"/>
          <w:szCs w:val="24"/>
          <w:shd w:val="clear" w:color="auto" w:fill="FFFFFF"/>
          <w:lang w:val="fr-FR"/>
        </w:rPr>
        <w:t>l’accusé, condamné</w:t>
      </w:r>
      <w:r w:rsidR="00A04F1E" w:rsidRPr="00953692">
        <w:rPr>
          <w:rFonts w:cs="Times New Roman"/>
          <w:sz w:val="24"/>
          <w:szCs w:val="24"/>
          <w:shd w:val="clear" w:color="auto" w:fill="FFFFFF"/>
          <w:lang w:val="fr-FR"/>
        </w:rPr>
        <w:t>,</w:t>
      </w:r>
      <w:r w:rsidR="00A65869" w:rsidRPr="00953692">
        <w:rPr>
          <w:rFonts w:cs="Times New Roman"/>
          <w:sz w:val="24"/>
          <w:szCs w:val="24"/>
          <w:shd w:val="clear" w:color="auto" w:fill="FFFFFF"/>
          <w:lang w:val="fr-FR"/>
        </w:rPr>
        <w:t xml:space="preserve"> ne peut s’en prévaloir en invoqu</w:t>
      </w:r>
      <w:r w:rsidR="00246A07" w:rsidRPr="00953692">
        <w:rPr>
          <w:rFonts w:cs="Times New Roman"/>
          <w:sz w:val="24"/>
          <w:szCs w:val="24"/>
          <w:shd w:val="clear" w:color="auto" w:fill="FFFFFF"/>
          <w:lang w:val="fr-FR"/>
        </w:rPr>
        <w:t>ant</w:t>
      </w:r>
      <w:r w:rsidR="00A65869" w:rsidRPr="00953692">
        <w:rPr>
          <w:rFonts w:cs="Times New Roman"/>
          <w:sz w:val="24"/>
          <w:szCs w:val="24"/>
          <w:shd w:val="clear" w:color="auto" w:fill="FFFFFF"/>
          <w:lang w:val="fr-FR"/>
        </w:rPr>
        <w:t xml:space="preserve"> </w:t>
      </w:r>
      <w:r w:rsidR="00485F39" w:rsidRPr="00953692">
        <w:rPr>
          <w:rFonts w:cs="Times New Roman"/>
          <w:sz w:val="24"/>
          <w:szCs w:val="24"/>
          <w:shd w:val="clear" w:color="auto" w:fill="FFFFFF"/>
          <w:lang w:val="fr-FR"/>
        </w:rPr>
        <w:t xml:space="preserve">notamment </w:t>
      </w:r>
      <w:r w:rsidR="00A65869" w:rsidRPr="00953692">
        <w:rPr>
          <w:rFonts w:cs="Times New Roman"/>
          <w:sz w:val="24"/>
          <w:szCs w:val="24"/>
          <w:shd w:val="clear" w:color="auto" w:fill="FFFFFF"/>
          <w:lang w:val="fr-FR"/>
        </w:rPr>
        <w:t>une autre source non conventionnelle.</w:t>
      </w:r>
      <w:r w:rsidR="00D27B20" w:rsidRPr="00953692">
        <w:rPr>
          <w:rFonts w:cs="Times New Roman"/>
          <w:sz w:val="24"/>
          <w:szCs w:val="24"/>
          <w:shd w:val="clear" w:color="auto" w:fill="FFFFFF"/>
          <w:lang w:val="fr-FR"/>
        </w:rPr>
        <w:t xml:space="preserve"> En théorie générale de la procédure pénale, il est de cas où le recours en appel est complètement exclu, notamment en ce qui concerne les juridictions qui jugent en premier et dernier ressort.</w:t>
      </w:r>
    </w:p>
    <w:p w14:paraId="50C8A405" w14:textId="0F567BA5" w:rsidR="0074271C" w:rsidRPr="00953692" w:rsidRDefault="003F2222" w:rsidP="0094213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459</w:t>
      </w:r>
      <w:r w:rsidR="00485F39" w:rsidRPr="00953692">
        <w:rPr>
          <w:rFonts w:cs="Times New Roman"/>
          <w:b/>
          <w:bCs/>
          <w:sz w:val="24"/>
          <w:szCs w:val="24"/>
          <w:shd w:val="clear" w:color="auto" w:fill="FFFFFF"/>
          <w:lang w:val="fr-FR"/>
        </w:rPr>
        <w:t>.</w:t>
      </w:r>
      <w:r w:rsidR="00485F39" w:rsidRPr="00953692">
        <w:rPr>
          <w:rFonts w:cs="Times New Roman"/>
          <w:sz w:val="24"/>
          <w:szCs w:val="24"/>
          <w:shd w:val="clear" w:color="auto" w:fill="FFFFFF"/>
          <w:lang w:val="fr-FR"/>
        </w:rPr>
        <w:t xml:space="preserve"> </w:t>
      </w:r>
      <w:r w:rsidR="007565C4" w:rsidRPr="00953692">
        <w:rPr>
          <w:rFonts w:cs="Times New Roman"/>
          <w:sz w:val="24"/>
          <w:szCs w:val="24"/>
          <w:shd w:val="clear" w:color="auto" w:fill="FFFFFF"/>
          <w:lang w:val="fr-FR"/>
        </w:rPr>
        <w:t xml:space="preserve">Depuis les tribunaux pénaux internationaux des années 1990, </w:t>
      </w:r>
      <w:r w:rsidR="00F849FF" w:rsidRPr="00953692">
        <w:rPr>
          <w:rFonts w:cs="Times New Roman"/>
          <w:sz w:val="24"/>
          <w:szCs w:val="24"/>
          <w:shd w:val="clear" w:color="auto" w:fill="FFFFFF"/>
          <w:lang w:val="fr-FR"/>
        </w:rPr>
        <w:t xml:space="preserve">le recours en appel fait partie intégrante des droits de l’accusé et </w:t>
      </w:r>
      <w:r w:rsidR="005F3D53" w:rsidRPr="00953692">
        <w:rPr>
          <w:rFonts w:cs="Times New Roman"/>
          <w:sz w:val="24"/>
          <w:szCs w:val="24"/>
          <w:shd w:val="clear" w:color="auto" w:fill="FFFFFF"/>
          <w:lang w:val="fr-FR"/>
        </w:rPr>
        <w:t>en</w:t>
      </w:r>
      <w:r w:rsidR="00F849FF" w:rsidRPr="00953692">
        <w:rPr>
          <w:rFonts w:cs="Times New Roman"/>
          <w:sz w:val="24"/>
          <w:szCs w:val="24"/>
          <w:shd w:val="clear" w:color="auto" w:fill="FFFFFF"/>
          <w:lang w:val="fr-FR"/>
        </w:rPr>
        <w:t xml:space="preserve"> formalise le principe du double degré de juridiction.</w:t>
      </w:r>
      <w:r w:rsidR="00466CD1" w:rsidRPr="00953692">
        <w:rPr>
          <w:rFonts w:cs="Times New Roman"/>
          <w:sz w:val="24"/>
          <w:szCs w:val="24"/>
          <w:shd w:val="clear" w:color="auto" w:fill="FFFFFF"/>
          <w:lang w:val="fr-FR"/>
        </w:rPr>
        <w:t xml:space="preserve"> Lequel principe veut que l’affaire soit</w:t>
      </w:r>
      <w:r w:rsidR="00C0239B" w:rsidRPr="00953692">
        <w:rPr>
          <w:rFonts w:cs="Times New Roman"/>
          <w:sz w:val="24"/>
          <w:szCs w:val="24"/>
          <w:shd w:val="clear" w:color="auto" w:fill="FFFFFF"/>
          <w:lang w:val="fr-FR"/>
        </w:rPr>
        <w:t xml:space="preserve"> éventuellement </w:t>
      </w:r>
      <w:r w:rsidR="0081012D" w:rsidRPr="00953692">
        <w:rPr>
          <w:rFonts w:cs="Times New Roman"/>
          <w:sz w:val="24"/>
          <w:szCs w:val="24"/>
          <w:shd w:val="clear" w:color="auto" w:fill="FFFFFF"/>
          <w:lang w:val="fr-FR"/>
        </w:rPr>
        <w:t>jugée</w:t>
      </w:r>
      <w:r w:rsidR="00466CD1" w:rsidRPr="00953692">
        <w:rPr>
          <w:rFonts w:cs="Times New Roman"/>
          <w:sz w:val="24"/>
          <w:szCs w:val="24"/>
          <w:shd w:val="clear" w:color="auto" w:fill="FFFFFF"/>
          <w:lang w:val="fr-FR"/>
        </w:rPr>
        <w:t xml:space="preserve"> deux fois à des niveaux différents. </w:t>
      </w:r>
      <w:r w:rsidR="0081012D" w:rsidRPr="00953692">
        <w:rPr>
          <w:rFonts w:cs="Times New Roman"/>
          <w:sz w:val="24"/>
          <w:szCs w:val="24"/>
          <w:shd w:val="clear" w:color="auto" w:fill="FFFFFF"/>
          <w:lang w:val="fr-FR"/>
        </w:rPr>
        <w:t>Il n</w:t>
      </w:r>
      <w:r w:rsidR="006E779E" w:rsidRPr="00953692">
        <w:rPr>
          <w:rFonts w:cs="Times New Roman"/>
          <w:sz w:val="24"/>
          <w:szCs w:val="24"/>
          <w:shd w:val="clear" w:color="auto" w:fill="FFFFFF"/>
          <w:lang w:val="fr-FR"/>
        </w:rPr>
        <w:t>e</w:t>
      </w:r>
      <w:r w:rsidR="0081012D" w:rsidRPr="00953692">
        <w:rPr>
          <w:rFonts w:cs="Times New Roman"/>
          <w:sz w:val="24"/>
          <w:szCs w:val="24"/>
          <w:shd w:val="clear" w:color="auto" w:fill="FFFFFF"/>
          <w:lang w:val="fr-FR"/>
        </w:rPr>
        <w:t xml:space="preserve"> s’agit pas </w:t>
      </w:r>
      <w:r w:rsidR="006E779E" w:rsidRPr="00953692">
        <w:rPr>
          <w:rFonts w:cs="Times New Roman"/>
          <w:sz w:val="24"/>
          <w:szCs w:val="24"/>
          <w:shd w:val="clear" w:color="auto" w:fill="FFFFFF"/>
          <w:lang w:val="fr-FR"/>
        </w:rPr>
        <w:t xml:space="preserve">d’une </w:t>
      </w:r>
      <w:r w:rsidR="0081012D" w:rsidRPr="00953692">
        <w:rPr>
          <w:rFonts w:cs="Times New Roman"/>
          <w:sz w:val="24"/>
          <w:szCs w:val="24"/>
          <w:shd w:val="clear" w:color="auto" w:fill="FFFFFF"/>
          <w:lang w:val="fr-FR"/>
        </w:rPr>
        <w:t xml:space="preserve">obligation mais plutôt d’un droit, </w:t>
      </w:r>
      <w:r w:rsidR="006E779E" w:rsidRPr="00953692">
        <w:rPr>
          <w:rFonts w:cs="Times New Roman"/>
          <w:sz w:val="24"/>
          <w:szCs w:val="24"/>
          <w:shd w:val="clear" w:color="auto" w:fill="FFFFFF"/>
          <w:lang w:val="fr-FR"/>
        </w:rPr>
        <w:t>tributaire</w:t>
      </w:r>
      <w:r w:rsidR="0081012D" w:rsidRPr="00953692">
        <w:rPr>
          <w:rFonts w:cs="Times New Roman"/>
          <w:sz w:val="24"/>
          <w:szCs w:val="24"/>
          <w:shd w:val="clear" w:color="auto" w:fill="FFFFFF"/>
          <w:lang w:val="fr-FR"/>
        </w:rPr>
        <w:t xml:space="preserve"> de l’accueil que l’accusé réserve à la décision de la Chambre de première </w:t>
      </w:r>
      <w:r w:rsidR="0081012D" w:rsidRPr="00953692">
        <w:rPr>
          <w:rFonts w:cs="Times New Roman"/>
          <w:sz w:val="24"/>
          <w:szCs w:val="24"/>
          <w:shd w:val="clear" w:color="auto" w:fill="FFFFFF"/>
          <w:lang w:val="fr-FR"/>
        </w:rPr>
        <w:lastRenderedPageBreak/>
        <w:t>instance</w:t>
      </w:r>
      <w:r w:rsidR="0024476D" w:rsidRPr="00953692">
        <w:rPr>
          <w:rFonts w:cs="Times New Roman"/>
          <w:sz w:val="24"/>
          <w:szCs w:val="24"/>
          <w:shd w:val="clear" w:color="auto" w:fill="FFFFFF"/>
          <w:lang w:val="fr-FR"/>
        </w:rPr>
        <w:t>, précisément en ce qui concerne la condamnation, la peine infligée ou encore les dommages et intérêts à verser aux victimes.</w:t>
      </w:r>
      <w:r w:rsidR="006E779E" w:rsidRPr="00953692">
        <w:rPr>
          <w:rFonts w:cs="Times New Roman"/>
          <w:sz w:val="24"/>
          <w:szCs w:val="24"/>
          <w:shd w:val="clear" w:color="auto" w:fill="FFFFFF"/>
          <w:lang w:val="fr-FR"/>
        </w:rPr>
        <w:t xml:space="preserve"> En clair, l’accusé ou le condamné a donc le choix d’en contester ou non.</w:t>
      </w:r>
    </w:p>
    <w:p w14:paraId="6DC0A658" w14:textId="037830CE" w:rsidR="00FB34F5" w:rsidRPr="00953692" w:rsidRDefault="003F2222" w:rsidP="00864BBF">
      <w:pPr>
        <w:spacing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460</w:t>
      </w:r>
      <w:r w:rsidR="00185CFB" w:rsidRPr="00953692">
        <w:rPr>
          <w:rFonts w:cs="Times New Roman"/>
          <w:sz w:val="24"/>
          <w:szCs w:val="24"/>
          <w:shd w:val="clear" w:color="auto" w:fill="FFFFFF"/>
          <w:lang w:val="fr-FR"/>
        </w:rPr>
        <w:t xml:space="preserve">. </w:t>
      </w:r>
      <w:r w:rsidR="00C0239B" w:rsidRPr="00953692">
        <w:rPr>
          <w:rFonts w:cs="Times New Roman"/>
          <w:sz w:val="24"/>
          <w:szCs w:val="24"/>
          <w:shd w:val="clear" w:color="auto" w:fill="FFFFFF"/>
          <w:lang w:val="fr-FR"/>
        </w:rPr>
        <w:t>En effet, puisqu’il est question d’</w:t>
      </w:r>
      <w:r w:rsidR="00B3019C" w:rsidRPr="00953692">
        <w:rPr>
          <w:rFonts w:cs="Times New Roman"/>
          <w:sz w:val="24"/>
          <w:szCs w:val="24"/>
          <w:shd w:val="clear" w:color="auto" w:fill="FFFFFF"/>
          <w:lang w:val="fr-FR"/>
        </w:rPr>
        <w:t xml:space="preserve">opérer </w:t>
      </w:r>
      <w:r w:rsidR="00C0239B" w:rsidRPr="00953692">
        <w:rPr>
          <w:rFonts w:cs="Times New Roman"/>
          <w:sz w:val="24"/>
          <w:szCs w:val="24"/>
          <w:shd w:val="clear" w:color="auto" w:fill="FFFFFF"/>
          <w:lang w:val="fr-FR"/>
        </w:rPr>
        <w:t xml:space="preserve">un choix, il faut dire que le condamné </w:t>
      </w:r>
      <w:r w:rsidR="00B3019C" w:rsidRPr="00953692">
        <w:rPr>
          <w:rFonts w:cs="Times New Roman"/>
          <w:sz w:val="24"/>
          <w:szCs w:val="24"/>
          <w:shd w:val="clear" w:color="auto" w:fill="FFFFFF"/>
          <w:lang w:val="fr-FR"/>
        </w:rPr>
        <w:t>devrait éprouver un sentiment d’injustice fondée sur une erreur de fait, de droit, un vice de procédure ou sur tout motif compromettant l’équité ou la régularité de la procédure</w:t>
      </w:r>
      <w:r w:rsidR="0019617F" w:rsidRPr="00953692">
        <w:rPr>
          <w:rFonts w:cs="Times New Roman"/>
          <w:sz w:val="24"/>
          <w:szCs w:val="24"/>
          <w:shd w:val="clear" w:color="auto" w:fill="FFFFFF"/>
          <w:lang w:val="fr-FR"/>
        </w:rPr>
        <w:t xml:space="preserve"> comme le veulent les actes constitutifs de ces juridictions pénales internationales</w:t>
      </w:r>
      <w:r w:rsidR="00527DC5" w:rsidRPr="00953692">
        <w:rPr>
          <w:rStyle w:val="Appelnotedebasdep"/>
          <w:rFonts w:cs="Times New Roman"/>
          <w:sz w:val="24"/>
          <w:szCs w:val="24"/>
          <w:shd w:val="clear" w:color="auto" w:fill="FFFFFF"/>
          <w:lang w:val="fr-FR"/>
        </w:rPr>
        <w:footnoteReference w:customMarkFollows="1" w:id="358"/>
        <w:t>333</w:t>
      </w:r>
      <w:r w:rsidR="00B3019C" w:rsidRPr="00953692">
        <w:rPr>
          <w:rFonts w:cs="Times New Roman"/>
          <w:sz w:val="24"/>
          <w:szCs w:val="24"/>
          <w:shd w:val="clear" w:color="auto" w:fill="FFFFFF"/>
          <w:lang w:val="fr-FR"/>
        </w:rPr>
        <w:t xml:space="preserve">. </w:t>
      </w:r>
      <w:r w:rsidR="007B4C9B" w:rsidRPr="00953692">
        <w:rPr>
          <w:rFonts w:cs="Times New Roman"/>
          <w:sz w:val="24"/>
          <w:szCs w:val="24"/>
          <w:shd w:val="clear" w:color="auto" w:fill="FFFFFF"/>
          <w:lang w:val="fr-FR"/>
        </w:rPr>
        <w:t xml:space="preserve">Dans ce cas, s’il est possible d’affirmer qu’une instance de plus empêche le procès de s’arrêter, il conviendrait </w:t>
      </w:r>
      <w:r w:rsidR="00C86C3E" w:rsidRPr="00953692">
        <w:rPr>
          <w:rFonts w:cs="Times New Roman"/>
          <w:sz w:val="24"/>
          <w:szCs w:val="24"/>
          <w:shd w:val="clear" w:color="auto" w:fill="FFFFFF"/>
          <w:lang w:val="fr-FR"/>
        </w:rPr>
        <w:t xml:space="preserve">donc </w:t>
      </w:r>
      <w:r w:rsidR="007B4C9B" w:rsidRPr="00953692">
        <w:rPr>
          <w:rFonts w:cs="Times New Roman"/>
          <w:sz w:val="24"/>
          <w:szCs w:val="24"/>
          <w:shd w:val="clear" w:color="auto" w:fill="FFFFFF"/>
          <w:lang w:val="fr-FR"/>
        </w:rPr>
        <w:t>de reconnaitre</w:t>
      </w:r>
      <w:r w:rsidR="00185CFB" w:rsidRPr="00953692">
        <w:rPr>
          <w:rFonts w:cs="Times New Roman"/>
          <w:sz w:val="24"/>
          <w:szCs w:val="24"/>
          <w:shd w:val="clear" w:color="auto" w:fill="FFFFFF"/>
          <w:lang w:val="fr-FR"/>
        </w:rPr>
        <w:t xml:space="preserve"> </w:t>
      </w:r>
      <w:r w:rsidR="00C86C3E" w:rsidRPr="00953692">
        <w:rPr>
          <w:rFonts w:cs="Times New Roman"/>
          <w:sz w:val="24"/>
          <w:szCs w:val="24"/>
          <w:shd w:val="clear" w:color="auto" w:fill="FFFFFF"/>
          <w:lang w:val="fr-FR"/>
        </w:rPr>
        <w:t xml:space="preserve">en même temps </w:t>
      </w:r>
      <w:r w:rsidR="00185CFB" w:rsidRPr="00953692">
        <w:rPr>
          <w:rFonts w:cs="Times New Roman"/>
          <w:sz w:val="24"/>
          <w:szCs w:val="24"/>
          <w:shd w:val="clear" w:color="auto" w:fill="FFFFFF"/>
          <w:lang w:val="fr-FR"/>
        </w:rPr>
        <w:t>que, ce sentiment d’injustice débouch</w:t>
      </w:r>
      <w:r w:rsidR="00C86C3E" w:rsidRPr="00953692">
        <w:rPr>
          <w:rFonts w:cs="Times New Roman"/>
          <w:sz w:val="24"/>
          <w:szCs w:val="24"/>
          <w:shd w:val="clear" w:color="auto" w:fill="FFFFFF"/>
          <w:lang w:val="fr-FR"/>
        </w:rPr>
        <w:t>ant</w:t>
      </w:r>
      <w:r w:rsidR="00185CFB" w:rsidRPr="00953692">
        <w:rPr>
          <w:rFonts w:cs="Times New Roman"/>
          <w:sz w:val="24"/>
          <w:szCs w:val="24"/>
          <w:shd w:val="clear" w:color="auto" w:fill="FFFFFF"/>
          <w:lang w:val="fr-FR"/>
        </w:rPr>
        <w:t xml:space="preserve"> sur la nécessité d’interjeter appel</w:t>
      </w:r>
      <w:r w:rsidR="00C25D1B" w:rsidRPr="00953692">
        <w:rPr>
          <w:rFonts w:cs="Times New Roman"/>
          <w:sz w:val="24"/>
          <w:szCs w:val="24"/>
          <w:shd w:val="clear" w:color="auto" w:fill="FFFFFF"/>
          <w:lang w:val="fr-FR"/>
        </w:rPr>
        <w:t>,</w:t>
      </w:r>
      <w:r w:rsidR="00C86C3E" w:rsidRPr="00953692">
        <w:rPr>
          <w:rFonts w:cs="Times New Roman"/>
          <w:sz w:val="24"/>
          <w:szCs w:val="24"/>
          <w:shd w:val="clear" w:color="auto" w:fill="FFFFFF"/>
          <w:lang w:val="fr-FR"/>
        </w:rPr>
        <w:t xml:space="preserve"> est</w:t>
      </w:r>
      <w:r w:rsidR="00185CFB" w:rsidRPr="00953692">
        <w:rPr>
          <w:rFonts w:cs="Times New Roman"/>
          <w:sz w:val="24"/>
          <w:szCs w:val="24"/>
          <w:shd w:val="clear" w:color="auto" w:fill="FFFFFF"/>
          <w:lang w:val="fr-FR"/>
        </w:rPr>
        <w:t xml:space="preserve"> </w:t>
      </w:r>
      <w:r w:rsidR="00C15636" w:rsidRPr="00953692">
        <w:rPr>
          <w:rFonts w:cs="Times New Roman"/>
          <w:sz w:val="24"/>
          <w:szCs w:val="24"/>
          <w:shd w:val="clear" w:color="auto" w:fill="FFFFFF"/>
          <w:lang w:val="fr-FR"/>
        </w:rPr>
        <w:t>révélatrice de</w:t>
      </w:r>
      <w:r w:rsidR="00185CFB" w:rsidRPr="00953692">
        <w:rPr>
          <w:rFonts w:cs="Times New Roman"/>
          <w:sz w:val="24"/>
          <w:szCs w:val="24"/>
          <w:shd w:val="clear" w:color="auto" w:fill="FFFFFF"/>
          <w:lang w:val="fr-FR"/>
        </w:rPr>
        <w:t xml:space="preserve"> la conflictualité avec le droit d’être jugé sans retard excessif (paragraphe 1).</w:t>
      </w:r>
      <w:r w:rsidR="00173D86" w:rsidRPr="00953692">
        <w:rPr>
          <w:rFonts w:cs="Times New Roman"/>
          <w:sz w:val="24"/>
          <w:szCs w:val="24"/>
          <w:shd w:val="clear" w:color="auto" w:fill="FFFFFF"/>
          <w:lang w:val="fr-FR"/>
        </w:rPr>
        <w:t xml:space="preserve"> </w:t>
      </w:r>
      <w:r w:rsidR="009A6F96" w:rsidRPr="00953692">
        <w:rPr>
          <w:rFonts w:cs="Times New Roman"/>
          <w:sz w:val="24"/>
          <w:szCs w:val="24"/>
          <w:shd w:val="clear" w:color="auto" w:fill="FFFFFF"/>
          <w:lang w:val="fr-FR"/>
        </w:rPr>
        <w:t xml:space="preserve">Néanmoins, ce conflit sera en outre très vite tempéré par le caractère restrictif de </w:t>
      </w:r>
      <w:r w:rsidR="006722C7" w:rsidRPr="00953692">
        <w:rPr>
          <w:rFonts w:cs="Times New Roman"/>
          <w:sz w:val="24"/>
          <w:szCs w:val="24"/>
          <w:shd w:val="clear" w:color="auto" w:fill="FFFFFF"/>
          <w:lang w:val="fr-FR"/>
        </w:rPr>
        <w:t>cette seconde instance</w:t>
      </w:r>
      <w:r w:rsidR="00C86C3E" w:rsidRPr="00953692">
        <w:rPr>
          <w:rFonts w:cs="Times New Roman"/>
          <w:sz w:val="24"/>
          <w:szCs w:val="24"/>
          <w:shd w:val="clear" w:color="auto" w:fill="FFFFFF"/>
          <w:lang w:val="fr-FR"/>
        </w:rPr>
        <w:t>, notamment par son effet dévolutif</w:t>
      </w:r>
      <w:r w:rsidR="009A6F96" w:rsidRPr="00953692">
        <w:rPr>
          <w:rFonts w:cs="Times New Roman"/>
          <w:sz w:val="24"/>
          <w:szCs w:val="24"/>
          <w:shd w:val="clear" w:color="auto" w:fill="FFFFFF"/>
          <w:lang w:val="fr-FR"/>
        </w:rPr>
        <w:t xml:space="preserve"> (paragraphe 2).</w:t>
      </w:r>
    </w:p>
    <w:p w14:paraId="466FB451" w14:textId="4FDD5CFE" w:rsidR="00663287" w:rsidRPr="00953692" w:rsidRDefault="00512E4C" w:rsidP="006A0175">
      <w:pPr>
        <w:pStyle w:val="Titre3"/>
        <w:ind w:left="1134"/>
        <w:rPr>
          <w:rFonts w:ascii="Times New Roman" w:hAnsi="Times New Roman"/>
          <w:b w:val="0"/>
          <w:bCs/>
          <w:i/>
          <w:iCs/>
          <w:color w:val="auto"/>
          <w:sz w:val="24"/>
          <w:szCs w:val="24"/>
          <w:shd w:val="clear" w:color="auto" w:fill="FFFFFF"/>
          <w:lang w:val="fr-FR"/>
        </w:rPr>
      </w:pPr>
      <w:bookmarkStart w:id="104" w:name="_Toc195179451"/>
      <w:r w:rsidRPr="00953692">
        <w:rPr>
          <w:rFonts w:ascii="Times New Roman" w:hAnsi="Times New Roman"/>
          <w:b w:val="0"/>
          <w:bCs/>
          <w:i/>
          <w:iCs/>
          <w:color w:val="auto"/>
          <w:sz w:val="24"/>
          <w:szCs w:val="24"/>
          <w:shd w:val="clear" w:color="auto" w:fill="FFFFFF"/>
          <w:lang w:val="fr-FR"/>
        </w:rPr>
        <w:t xml:space="preserve">Paragraphe 1. </w:t>
      </w:r>
      <w:r w:rsidR="00913BBB" w:rsidRPr="00953692">
        <w:rPr>
          <w:rFonts w:ascii="Times New Roman" w:hAnsi="Times New Roman"/>
          <w:b w:val="0"/>
          <w:bCs/>
          <w:i/>
          <w:iCs/>
          <w:color w:val="auto"/>
          <w:sz w:val="24"/>
          <w:szCs w:val="24"/>
          <w:shd w:val="clear" w:color="auto" w:fill="FFFFFF"/>
          <w:lang w:val="fr-FR"/>
        </w:rPr>
        <w:t>N</w:t>
      </w:r>
      <w:r w:rsidRPr="00953692">
        <w:rPr>
          <w:rFonts w:ascii="Times New Roman" w:hAnsi="Times New Roman"/>
          <w:b w:val="0"/>
          <w:bCs/>
          <w:i/>
          <w:iCs/>
          <w:color w:val="auto"/>
          <w:sz w:val="24"/>
          <w:szCs w:val="24"/>
          <w:shd w:val="clear" w:color="auto" w:fill="FFFFFF"/>
          <w:lang w:val="fr-FR"/>
        </w:rPr>
        <w:t>écessité d’interjeter appel</w:t>
      </w:r>
      <w:r w:rsidR="00C15636" w:rsidRPr="00953692">
        <w:rPr>
          <w:rFonts w:ascii="Times New Roman" w:hAnsi="Times New Roman"/>
          <w:b w:val="0"/>
          <w:bCs/>
          <w:i/>
          <w:iCs/>
          <w:color w:val="auto"/>
          <w:sz w:val="24"/>
          <w:szCs w:val="24"/>
          <w:shd w:val="clear" w:color="auto" w:fill="FFFFFF"/>
          <w:lang w:val="fr-FR"/>
        </w:rPr>
        <w:t>, révélatrice d</w:t>
      </w:r>
      <w:r w:rsidR="00CA3F03" w:rsidRPr="00953692">
        <w:rPr>
          <w:rFonts w:ascii="Times New Roman" w:hAnsi="Times New Roman"/>
          <w:b w:val="0"/>
          <w:bCs/>
          <w:i/>
          <w:iCs/>
          <w:color w:val="auto"/>
          <w:sz w:val="24"/>
          <w:szCs w:val="24"/>
          <w:shd w:val="clear" w:color="auto" w:fill="FFFFFF"/>
          <w:lang w:val="fr-FR"/>
        </w:rPr>
        <w:t>’une</w:t>
      </w:r>
      <w:r w:rsidRPr="00953692">
        <w:rPr>
          <w:rFonts w:ascii="Times New Roman" w:hAnsi="Times New Roman"/>
          <w:b w:val="0"/>
          <w:bCs/>
          <w:i/>
          <w:iCs/>
          <w:color w:val="auto"/>
          <w:sz w:val="24"/>
          <w:szCs w:val="24"/>
          <w:shd w:val="clear" w:color="auto" w:fill="FFFFFF"/>
          <w:lang w:val="fr-FR"/>
        </w:rPr>
        <w:t xml:space="preserve"> conflictualité avec le droit d’être jugé sans retard excessif</w:t>
      </w:r>
      <w:bookmarkEnd w:id="104"/>
    </w:p>
    <w:p w14:paraId="2029A417" w14:textId="11CFD273" w:rsidR="00D27B20" w:rsidRPr="00953692" w:rsidRDefault="003F2222" w:rsidP="00864BBF">
      <w:pPr>
        <w:spacing w:before="240"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461</w:t>
      </w:r>
      <w:r w:rsidR="00B60677" w:rsidRPr="00953692">
        <w:rPr>
          <w:rFonts w:cs="Times New Roman"/>
          <w:b/>
          <w:bCs/>
          <w:sz w:val="24"/>
          <w:szCs w:val="24"/>
          <w:shd w:val="clear" w:color="auto" w:fill="FFFFFF"/>
          <w:lang w:val="fr-FR"/>
        </w:rPr>
        <w:t>.</w:t>
      </w:r>
      <w:r w:rsidR="00B60677" w:rsidRPr="00953692">
        <w:rPr>
          <w:rFonts w:cs="Times New Roman"/>
          <w:sz w:val="24"/>
          <w:szCs w:val="24"/>
          <w:shd w:val="clear" w:color="auto" w:fill="FFFFFF"/>
          <w:lang w:val="fr-FR"/>
        </w:rPr>
        <w:t xml:space="preserve"> </w:t>
      </w:r>
      <w:r w:rsidR="008331C1" w:rsidRPr="00953692">
        <w:rPr>
          <w:rFonts w:cs="Times New Roman"/>
          <w:sz w:val="24"/>
          <w:szCs w:val="24"/>
          <w:shd w:val="clear" w:color="auto" w:fill="FFFFFF"/>
          <w:lang w:val="fr-FR"/>
        </w:rPr>
        <w:t>D’un côté, interjeter appel est un choix que l’accusé opère librement sans aucune contrainte quelconque</w:t>
      </w:r>
      <w:r w:rsidR="006326D1" w:rsidRPr="00953692">
        <w:rPr>
          <w:rFonts w:cs="Times New Roman"/>
          <w:sz w:val="24"/>
          <w:szCs w:val="24"/>
          <w:shd w:val="clear" w:color="auto" w:fill="FFFFFF"/>
          <w:lang w:val="fr-FR"/>
        </w:rPr>
        <w:t> ; d</w:t>
      </w:r>
      <w:r w:rsidR="008331C1" w:rsidRPr="00953692">
        <w:rPr>
          <w:rFonts w:cs="Times New Roman"/>
          <w:sz w:val="24"/>
          <w:szCs w:val="24"/>
          <w:shd w:val="clear" w:color="auto" w:fill="FFFFFF"/>
          <w:lang w:val="fr-FR"/>
        </w:rPr>
        <w:t xml:space="preserve">e l’autre côté, nonobstant l’obligation d’agir avec diligence qui concerne aussi l’accusé, être jugé sans retard excessif est aussi dans une certaine mesure un choix de ce dernier. </w:t>
      </w:r>
      <w:r w:rsidR="00EB6F6E" w:rsidRPr="00953692">
        <w:rPr>
          <w:rFonts w:cs="Times New Roman"/>
          <w:sz w:val="24"/>
          <w:szCs w:val="24"/>
          <w:shd w:val="clear" w:color="auto" w:fill="FFFFFF"/>
          <w:lang w:val="fr-FR"/>
        </w:rPr>
        <w:t xml:space="preserve">La pratique montre que, c’est lui qui s’investit dans son procès et exige à ce qu’il soit jugé sans retard excessif à travers les différentes requêtes qu’il introduit. </w:t>
      </w:r>
      <w:r w:rsidR="007313AD" w:rsidRPr="00953692">
        <w:rPr>
          <w:rFonts w:cs="Times New Roman"/>
          <w:sz w:val="24"/>
          <w:szCs w:val="24"/>
          <w:shd w:val="clear" w:color="auto" w:fill="FFFFFF"/>
          <w:lang w:val="fr-FR"/>
        </w:rPr>
        <w:t>C’est pourquoi, le choix de solliciter</w:t>
      </w:r>
      <w:r w:rsidR="003F1471" w:rsidRPr="00953692">
        <w:rPr>
          <w:rFonts w:cs="Times New Roman"/>
          <w:sz w:val="24"/>
          <w:szCs w:val="24"/>
          <w:shd w:val="clear" w:color="auto" w:fill="FFFFFF"/>
          <w:lang w:val="fr-FR"/>
        </w:rPr>
        <w:t xml:space="preserve"> l’ouverture</w:t>
      </w:r>
      <w:r w:rsidR="00431CF4" w:rsidRPr="00953692">
        <w:rPr>
          <w:rFonts w:cs="Times New Roman"/>
          <w:sz w:val="24"/>
          <w:szCs w:val="24"/>
          <w:shd w:val="clear" w:color="auto" w:fill="FFFFFF"/>
          <w:lang w:val="fr-FR"/>
        </w:rPr>
        <w:t xml:space="preserve"> d’une nouvelle instance</w:t>
      </w:r>
      <w:r w:rsidR="003F1471" w:rsidRPr="00953692">
        <w:rPr>
          <w:rFonts w:cs="Times New Roman"/>
          <w:sz w:val="24"/>
          <w:szCs w:val="24"/>
          <w:shd w:val="clear" w:color="auto" w:fill="FFFFFF"/>
          <w:lang w:val="fr-FR"/>
        </w:rPr>
        <w:t xml:space="preserve"> </w:t>
      </w:r>
      <w:r w:rsidR="00431CF4" w:rsidRPr="00953692">
        <w:rPr>
          <w:rFonts w:cs="Times New Roman"/>
          <w:sz w:val="24"/>
          <w:szCs w:val="24"/>
          <w:shd w:val="clear" w:color="auto" w:fill="FFFFFF"/>
          <w:lang w:val="fr-FR"/>
        </w:rPr>
        <w:t xml:space="preserve">et la perception </w:t>
      </w:r>
      <w:r w:rsidR="00C25D1B" w:rsidRPr="00953692">
        <w:rPr>
          <w:rFonts w:cs="Times New Roman"/>
          <w:sz w:val="24"/>
          <w:szCs w:val="24"/>
          <w:shd w:val="clear" w:color="auto" w:fill="FFFFFF"/>
          <w:lang w:val="fr-FR"/>
        </w:rPr>
        <w:t>même</w:t>
      </w:r>
      <w:r w:rsidR="007313AD" w:rsidRPr="00953692">
        <w:rPr>
          <w:rFonts w:cs="Times New Roman"/>
          <w:sz w:val="24"/>
          <w:szCs w:val="24"/>
          <w:shd w:val="clear" w:color="auto" w:fill="FFFFFF"/>
          <w:lang w:val="fr-FR"/>
        </w:rPr>
        <w:t xml:space="preserve"> </w:t>
      </w:r>
      <w:r w:rsidR="00431CF4" w:rsidRPr="00953692">
        <w:rPr>
          <w:rFonts w:cs="Times New Roman"/>
          <w:sz w:val="24"/>
          <w:szCs w:val="24"/>
          <w:shd w:val="clear" w:color="auto" w:fill="FFFFFF"/>
          <w:lang w:val="fr-FR"/>
        </w:rPr>
        <w:t>du</w:t>
      </w:r>
      <w:r w:rsidR="003F1471" w:rsidRPr="00953692">
        <w:rPr>
          <w:rFonts w:cs="Times New Roman"/>
          <w:sz w:val="24"/>
          <w:szCs w:val="24"/>
          <w:shd w:val="clear" w:color="auto" w:fill="FFFFFF"/>
          <w:lang w:val="fr-FR"/>
        </w:rPr>
        <w:t xml:space="preserve"> délai raisonnable</w:t>
      </w:r>
      <w:r w:rsidR="007313AD" w:rsidRPr="00953692">
        <w:rPr>
          <w:rFonts w:cs="Times New Roman"/>
          <w:sz w:val="24"/>
          <w:szCs w:val="24"/>
          <w:shd w:val="clear" w:color="auto" w:fill="FFFFFF"/>
          <w:lang w:val="fr-FR"/>
        </w:rPr>
        <w:t xml:space="preserve"> semblent, apriori, contrariés</w:t>
      </w:r>
      <w:r w:rsidR="00431CF4" w:rsidRPr="00953692">
        <w:rPr>
          <w:rFonts w:cs="Times New Roman"/>
          <w:sz w:val="24"/>
          <w:szCs w:val="24"/>
          <w:shd w:val="clear" w:color="auto" w:fill="FFFFFF"/>
          <w:lang w:val="fr-FR"/>
        </w:rPr>
        <w:t>.</w:t>
      </w:r>
      <w:r w:rsidR="003F1471" w:rsidRPr="00953692">
        <w:rPr>
          <w:rFonts w:cs="Times New Roman"/>
          <w:sz w:val="24"/>
          <w:szCs w:val="24"/>
          <w:shd w:val="clear" w:color="auto" w:fill="FFFFFF"/>
          <w:lang w:val="fr-FR"/>
        </w:rPr>
        <w:t xml:space="preserve"> </w:t>
      </w:r>
      <w:r w:rsidR="007C04B2" w:rsidRPr="00953692">
        <w:rPr>
          <w:rFonts w:cs="Times New Roman"/>
          <w:sz w:val="24"/>
          <w:szCs w:val="24"/>
          <w:shd w:val="clear" w:color="auto" w:fill="FFFFFF"/>
          <w:lang w:val="fr-FR"/>
        </w:rPr>
        <w:t>Le délai raisonnable vise à ce que le procès s’arrête alors que la nécessité d’interjeter appel a pour conséquence de continuer le procès. Car, l</w:t>
      </w:r>
      <w:r w:rsidR="00FF0E0C" w:rsidRPr="00953692">
        <w:rPr>
          <w:rFonts w:cs="Times New Roman"/>
          <w:sz w:val="24"/>
          <w:szCs w:val="24"/>
          <w:shd w:val="clear" w:color="auto" w:fill="FFFFFF"/>
          <w:lang w:val="fr-FR"/>
        </w:rPr>
        <w:t>’appel est une continuation</w:t>
      </w:r>
      <w:r w:rsidR="00760BB8" w:rsidRPr="00953692">
        <w:rPr>
          <w:rFonts w:cs="Times New Roman"/>
          <w:sz w:val="24"/>
          <w:szCs w:val="24"/>
          <w:shd w:val="clear" w:color="auto" w:fill="FFFFFF"/>
          <w:lang w:val="fr-FR"/>
        </w:rPr>
        <w:t xml:space="preserve"> ou un prolongement</w:t>
      </w:r>
      <w:r w:rsidR="00FF0E0C" w:rsidRPr="00953692">
        <w:rPr>
          <w:rFonts w:cs="Times New Roman"/>
          <w:sz w:val="24"/>
          <w:szCs w:val="24"/>
          <w:shd w:val="clear" w:color="auto" w:fill="FFFFFF"/>
          <w:lang w:val="fr-FR"/>
        </w:rPr>
        <w:t xml:space="preserve"> d’un procès qui aurait dû s’arrêter dès le prononcé du jugement par la Chambre de première instance</w:t>
      </w:r>
      <w:r w:rsidR="00527DC5" w:rsidRPr="00953692">
        <w:rPr>
          <w:rStyle w:val="Appelnotedebasdep"/>
          <w:rFonts w:cs="Times New Roman"/>
          <w:sz w:val="24"/>
          <w:szCs w:val="24"/>
          <w:shd w:val="clear" w:color="auto" w:fill="FFFFFF"/>
          <w:lang w:val="fr-FR"/>
        </w:rPr>
        <w:footnoteReference w:customMarkFollows="1" w:id="359"/>
        <w:t>334</w:t>
      </w:r>
      <w:r w:rsidR="00555572" w:rsidRPr="00953692">
        <w:rPr>
          <w:rFonts w:cs="Times New Roman"/>
          <w:sz w:val="24"/>
          <w:szCs w:val="24"/>
          <w:shd w:val="clear" w:color="auto" w:fill="FFFFFF"/>
          <w:lang w:val="fr-FR"/>
        </w:rPr>
        <w:t xml:space="preserve"> et avec ceci, l’expectative du délai raisonnable</w:t>
      </w:r>
      <w:r w:rsidR="00246A07" w:rsidRPr="00953692">
        <w:rPr>
          <w:rFonts w:cs="Times New Roman"/>
          <w:sz w:val="24"/>
          <w:szCs w:val="24"/>
          <w:shd w:val="clear" w:color="auto" w:fill="FFFFFF"/>
          <w:lang w:val="fr-FR"/>
        </w:rPr>
        <w:t xml:space="preserve"> aussi</w:t>
      </w:r>
      <w:r w:rsidR="00F32D7A" w:rsidRPr="00953692">
        <w:rPr>
          <w:rFonts w:cs="Times New Roman"/>
          <w:sz w:val="24"/>
          <w:szCs w:val="24"/>
          <w:shd w:val="clear" w:color="auto" w:fill="FFFFFF"/>
          <w:lang w:val="fr-FR"/>
        </w:rPr>
        <w:t> ; o</w:t>
      </w:r>
      <w:r w:rsidR="007C04B2" w:rsidRPr="00953692">
        <w:rPr>
          <w:rFonts w:cs="Times New Roman"/>
          <w:sz w:val="24"/>
          <w:szCs w:val="24"/>
          <w:shd w:val="clear" w:color="auto" w:fill="FFFFFF"/>
          <w:lang w:val="fr-FR"/>
        </w:rPr>
        <w:t xml:space="preserve">n </w:t>
      </w:r>
      <w:r w:rsidR="00F32D7A" w:rsidRPr="00953692">
        <w:rPr>
          <w:rFonts w:cs="Times New Roman"/>
          <w:sz w:val="24"/>
          <w:szCs w:val="24"/>
          <w:shd w:val="clear" w:color="auto" w:fill="FFFFFF"/>
          <w:lang w:val="fr-FR"/>
        </w:rPr>
        <w:t>re</w:t>
      </w:r>
      <w:r w:rsidR="007C04B2" w:rsidRPr="00953692">
        <w:rPr>
          <w:rFonts w:cs="Times New Roman"/>
          <w:sz w:val="24"/>
          <w:szCs w:val="24"/>
          <w:shd w:val="clear" w:color="auto" w:fill="FFFFFF"/>
          <w:lang w:val="fr-FR"/>
        </w:rPr>
        <w:t xml:space="preserve">trouve </w:t>
      </w:r>
      <w:r w:rsidR="00F32D7A" w:rsidRPr="00953692">
        <w:rPr>
          <w:rFonts w:cs="Times New Roman"/>
          <w:sz w:val="24"/>
          <w:szCs w:val="24"/>
          <w:shd w:val="clear" w:color="auto" w:fill="FFFFFF"/>
          <w:lang w:val="fr-FR"/>
        </w:rPr>
        <w:t xml:space="preserve">donc </w:t>
      </w:r>
      <w:r w:rsidR="007C04B2" w:rsidRPr="00953692">
        <w:rPr>
          <w:rFonts w:cs="Times New Roman"/>
          <w:sz w:val="24"/>
          <w:szCs w:val="24"/>
          <w:shd w:val="clear" w:color="auto" w:fill="FFFFFF"/>
          <w:lang w:val="fr-FR"/>
        </w:rPr>
        <w:t>là le premier indice de cette conflictualité.</w:t>
      </w:r>
    </w:p>
    <w:p w14:paraId="1D697C2F" w14:textId="50029A4A" w:rsidR="006326D1" w:rsidRPr="00953692" w:rsidRDefault="003F2222"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462</w:t>
      </w:r>
      <w:r w:rsidR="00D33D40" w:rsidRPr="00953692">
        <w:rPr>
          <w:rFonts w:cs="Times New Roman"/>
          <w:b/>
          <w:bCs/>
          <w:sz w:val="24"/>
          <w:szCs w:val="24"/>
          <w:shd w:val="clear" w:color="auto" w:fill="FFFFFF"/>
          <w:lang w:val="fr-FR"/>
        </w:rPr>
        <w:t>.</w:t>
      </w:r>
      <w:r w:rsidR="00D33D40" w:rsidRPr="00953692">
        <w:rPr>
          <w:rFonts w:cs="Times New Roman"/>
          <w:sz w:val="24"/>
          <w:szCs w:val="24"/>
          <w:shd w:val="clear" w:color="auto" w:fill="FFFFFF"/>
          <w:lang w:val="fr-FR"/>
        </w:rPr>
        <w:t xml:space="preserve"> Le second indice de cette conflictualité, c’est l’impossibilité de vouloir à la fois le beurre et l’argent du beurre. </w:t>
      </w:r>
      <w:r w:rsidR="00023AA1" w:rsidRPr="00953692">
        <w:rPr>
          <w:rFonts w:cs="Times New Roman"/>
          <w:sz w:val="24"/>
          <w:szCs w:val="24"/>
          <w:shd w:val="clear" w:color="auto" w:fill="FFFFFF"/>
          <w:lang w:val="fr-FR"/>
        </w:rPr>
        <w:t>E</w:t>
      </w:r>
      <w:r w:rsidR="00760BB8" w:rsidRPr="00953692">
        <w:rPr>
          <w:rFonts w:cs="Times New Roman"/>
          <w:sz w:val="24"/>
          <w:szCs w:val="24"/>
          <w:shd w:val="clear" w:color="auto" w:fill="FFFFFF"/>
          <w:lang w:val="fr-FR"/>
        </w:rPr>
        <w:t>n optant pour cette voie contestataire, l’accusé ne peut en même temps se plaindre de cette continuation, ou de la durée qui en résulte.</w:t>
      </w:r>
      <w:r w:rsidR="00023AA1" w:rsidRPr="00953692">
        <w:rPr>
          <w:rFonts w:cs="Times New Roman"/>
          <w:sz w:val="24"/>
          <w:szCs w:val="24"/>
          <w:shd w:val="clear" w:color="auto" w:fill="FFFFFF"/>
          <w:lang w:val="fr-FR"/>
        </w:rPr>
        <w:t xml:space="preserve"> Contrairement à la logique de la complémentarité qui implique que l’accusé s’appuie sur un autre droit pour soutenir la violation de son droit d’</w:t>
      </w:r>
      <w:r w:rsidR="00C02728" w:rsidRPr="00953692">
        <w:rPr>
          <w:rFonts w:cs="Times New Roman"/>
          <w:sz w:val="24"/>
          <w:szCs w:val="24"/>
          <w:shd w:val="clear" w:color="auto" w:fill="FFFFFF"/>
          <w:lang w:val="fr-FR"/>
        </w:rPr>
        <w:t>être</w:t>
      </w:r>
      <w:r w:rsidR="00023AA1" w:rsidRPr="00953692">
        <w:rPr>
          <w:rFonts w:cs="Times New Roman"/>
          <w:sz w:val="24"/>
          <w:szCs w:val="24"/>
          <w:shd w:val="clear" w:color="auto" w:fill="FFFFFF"/>
          <w:lang w:val="fr-FR"/>
        </w:rPr>
        <w:t xml:space="preserve"> jugé sans retard excessif, la conflictualité </w:t>
      </w:r>
      <w:r w:rsidR="00C02728" w:rsidRPr="00953692">
        <w:rPr>
          <w:rFonts w:cs="Times New Roman"/>
          <w:sz w:val="24"/>
          <w:szCs w:val="24"/>
          <w:shd w:val="clear" w:color="auto" w:fill="FFFFFF"/>
          <w:lang w:val="fr-FR"/>
        </w:rPr>
        <w:t xml:space="preserve">est suggestive d’un schéma antithétique. </w:t>
      </w:r>
      <w:r w:rsidR="00B3428F" w:rsidRPr="00953692">
        <w:rPr>
          <w:rFonts w:cs="Times New Roman"/>
          <w:sz w:val="24"/>
          <w:szCs w:val="24"/>
          <w:shd w:val="clear" w:color="auto" w:fill="FFFFFF"/>
          <w:lang w:val="fr-FR"/>
        </w:rPr>
        <w:t>C’est l’idée même de la concurrence des droits qui s’avèrent tous nécessaires,</w:t>
      </w:r>
      <w:r w:rsidR="006326D1" w:rsidRPr="00953692">
        <w:rPr>
          <w:rFonts w:cs="Times New Roman"/>
          <w:sz w:val="24"/>
          <w:szCs w:val="24"/>
          <w:shd w:val="clear" w:color="auto" w:fill="FFFFFF"/>
          <w:lang w:val="fr-FR"/>
        </w:rPr>
        <w:t xml:space="preserve"> et donc</w:t>
      </w:r>
      <w:r w:rsidR="00B3428F" w:rsidRPr="00953692">
        <w:rPr>
          <w:rFonts w:cs="Times New Roman"/>
          <w:sz w:val="24"/>
          <w:szCs w:val="24"/>
          <w:shd w:val="clear" w:color="auto" w:fill="FFFFFF"/>
          <w:lang w:val="fr-FR"/>
        </w:rPr>
        <w:t xml:space="preserve"> impossible</w:t>
      </w:r>
      <w:r w:rsidR="006326D1" w:rsidRPr="00953692">
        <w:rPr>
          <w:rFonts w:cs="Times New Roman"/>
          <w:sz w:val="24"/>
          <w:szCs w:val="24"/>
          <w:shd w:val="clear" w:color="auto" w:fill="FFFFFF"/>
          <w:lang w:val="fr-FR"/>
        </w:rPr>
        <w:t xml:space="preserve"> pour les accusés</w:t>
      </w:r>
      <w:r w:rsidR="00B3428F" w:rsidRPr="00953692">
        <w:rPr>
          <w:rFonts w:cs="Times New Roman"/>
          <w:sz w:val="24"/>
          <w:szCs w:val="24"/>
          <w:shd w:val="clear" w:color="auto" w:fill="FFFFFF"/>
          <w:lang w:val="fr-FR"/>
        </w:rPr>
        <w:t xml:space="preserve"> de les insérer tous dans la contemporanéité. </w:t>
      </w:r>
    </w:p>
    <w:p w14:paraId="0E786446" w14:textId="12E8A441" w:rsidR="00C25D1B" w:rsidRPr="00953692" w:rsidRDefault="003F2222"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lastRenderedPageBreak/>
        <w:t>463</w:t>
      </w:r>
      <w:r w:rsidR="006326D1" w:rsidRPr="00953692">
        <w:rPr>
          <w:rFonts w:cs="Times New Roman"/>
          <w:b/>
          <w:bCs/>
          <w:sz w:val="24"/>
          <w:szCs w:val="24"/>
          <w:shd w:val="clear" w:color="auto" w:fill="FFFFFF"/>
          <w:lang w:val="fr-FR"/>
        </w:rPr>
        <w:t>.</w:t>
      </w:r>
      <w:r w:rsidR="006326D1" w:rsidRPr="00953692">
        <w:rPr>
          <w:rFonts w:cs="Times New Roman"/>
          <w:sz w:val="24"/>
          <w:szCs w:val="24"/>
          <w:shd w:val="clear" w:color="auto" w:fill="FFFFFF"/>
          <w:lang w:val="fr-FR"/>
        </w:rPr>
        <w:t xml:space="preserve"> </w:t>
      </w:r>
      <w:r w:rsidR="00A61047" w:rsidRPr="00953692">
        <w:rPr>
          <w:rFonts w:cs="Times New Roman"/>
          <w:sz w:val="24"/>
          <w:szCs w:val="24"/>
          <w:shd w:val="clear" w:color="auto" w:fill="FFFFFF"/>
          <w:lang w:val="fr-FR"/>
        </w:rPr>
        <w:t>En optant pour la seconde instance, l’accusé me</w:t>
      </w:r>
      <w:r w:rsidR="00C824C3" w:rsidRPr="00953692">
        <w:rPr>
          <w:rFonts w:cs="Times New Roman"/>
          <w:sz w:val="24"/>
          <w:szCs w:val="24"/>
          <w:shd w:val="clear" w:color="auto" w:fill="FFFFFF"/>
          <w:lang w:val="fr-FR"/>
        </w:rPr>
        <w:t>t</w:t>
      </w:r>
      <w:r w:rsidR="00A61047" w:rsidRPr="00953692">
        <w:rPr>
          <w:rFonts w:cs="Times New Roman"/>
          <w:sz w:val="24"/>
          <w:szCs w:val="24"/>
          <w:shd w:val="clear" w:color="auto" w:fill="FFFFFF"/>
          <w:lang w:val="fr-FR"/>
        </w:rPr>
        <w:t xml:space="preserve"> en sourdine son droit d’être jugé sans retard excessif</w:t>
      </w:r>
      <w:r w:rsidR="00F1736E" w:rsidRPr="00953692">
        <w:rPr>
          <w:rFonts w:cs="Times New Roman"/>
          <w:sz w:val="24"/>
          <w:szCs w:val="24"/>
          <w:shd w:val="clear" w:color="auto" w:fill="FFFFFF"/>
          <w:lang w:val="fr-FR"/>
        </w:rPr>
        <w:t> ; c</w:t>
      </w:r>
      <w:r w:rsidR="00726D5D" w:rsidRPr="00953692">
        <w:rPr>
          <w:rFonts w:cs="Times New Roman"/>
          <w:sz w:val="24"/>
          <w:szCs w:val="24"/>
          <w:shd w:val="clear" w:color="auto" w:fill="FFFFFF"/>
          <w:lang w:val="fr-FR"/>
        </w:rPr>
        <w:t>hose qui ne peut d’ailleurs lui être reproché de quelque manière que ce soit.</w:t>
      </w:r>
      <w:r w:rsidR="00A61047" w:rsidRPr="00953692">
        <w:rPr>
          <w:rFonts w:cs="Times New Roman"/>
          <w:sz w:val="24"/>
          <w:szCs w:val="24"/>
          <w:shd w:val="clear" w:color="auto" w:fill="FFFFFF"/>
          <w:lang w:val="fr-FR"/>
        </w:rPr>
        <w:t xml:space="preserve"> </w:t>
      </w:r>
      <w:r w:rsidR="00726D5D" w:rsidRPr="00953692">
        <w:rPr>
          <w:rFonts w:cs="Times New Roman"/>
          <w:sz w:val="24"/>
          <w:szCs w:val="24"/>
          <w:shd w:val="clear" w:color="auto" w:fill="FFFFFF"/>
          <w:lang w:val="fr-FR"/>
        </w:rPr>
        <w:t>Dans ce même ordre d’idées en outre,</w:t>
      </w:r>
      <w:r w:rsidR="00CB52DB" w:rsidRPr="00953692">
        <w:rPr>
          <w:rFonts w:cs="Times New Roman"/>
          <w:sz w:val="24"/>
          <w:szCs w:val="24"/>
          <w:shd w:val="clear" w:color="auto" w:fill="FFFFFF"/>
          <w:lang w:val="fr-FR"/>
        </w:rPr>
        <w:t xml:space="preserve"> il ne peut non plus invoquer la violation de </w:t>
      </w:r>
      <w:r w:rsidR="001F5745" w:rsidRPr="00953692">
        <w:rPr>
          <w:rFonts w:cs="Times New Roman"/>
          <w:sz w:val="24"/>
          <w:szCs w:val="24"/>
          <w:shd w:val="clear" w:color="auto" w:fill="FFFFFF"/>
          <w:lang w:val="fr-FR"/>
        </w:rPr>
        <w:t>son</w:t>
      </w:r>
      <w:r w:rsidR="00CB52DB" w:rsidRPr="00953692">
        <w:rPr>
          <w:rFonts w:cs="Times New Roman"/>
          <w:sz w:val="24"/>
          <w:szCs w:val="24"/>
          <w:shd w:val="clear" w:color="auto" w:fill="FFFFFF"/>
          <w:lang w:val="fr-FR"/>
        </w:rPr>
        <w:t xml:space="preserve"> droit </w:t>
      </w:r>
      <w:r w:rsidR="001F5745" w:rsidRPr="00953692">
        <w:rPr>
          <w:rFonts w:cs="Times New Roman"/>
          <w:sz w:val="24"/>
          <w:szCs w:val="24"/>
          <w:shd w:val="clear" w:color="auto" w:fill="FFFFFF"/>
          <w:lang w:val="fr-FR"/>
        </w:rPr>
        <w:t xml:space="preserve">d’être jugé sans retard excessif </w:t>
      </w:r>
      <w:r w:rsidR="00CB52DB" w:rsidRPr="00953692">
        <w:rPr>
          <w:rFonts w:cs="Times New Roman"/>
          <w:sz w:val="24"/>
          <w:szCs w:val="24"/>
          <w:shd w:val="clear" w:color="auto" w:fill="FFFFFF"/>
          <w:lang w:val="fr-FR"/>
        </w:rPr>
        <w:t xml:space="preserve">par le seul que le Procureur </w:t>
      </w:r>
      <w:r w:rsidR="00C25D1B" w:rsidRPr="00953692">
        <w:rPr>
          <w:rFonts w:cs="Times New Roman"/>
          <w:sz w:val="24"/>
          <w:szCs w:val="24"/>
          <w:shd w:val="clear" w:color="auto" w:fill="FFFFFF"/>
          <w:lang w:val="fr-FR"/>
        </w:rPr>
        <w:t>a interjeté appel (contre le jugement d’acquittement), peu importe que ce recours soit déclaré fondé ou non.</w:t>
      </w:r>
      <w:r w:rsidR="001F5745" w:rsidRPr="00953692">
        <w:rPr>
          <w:rFonts w:cs="Times New Roman"/>
          <w:sz w:val="24"/>
          <w:szCs w:val="24"/>
          <w:shd w:val="clear" w:color="auto" w:fill="FFFFFF"/>
          <w:lang w:val="fr-FR"/>
        </w:rPr>
        <w:t xml:space="preserve"> En d’autres termes, l’accusé ou l’acquitté ne peut s’appuyer sur le choix du procureur de continuer le procès devant l’instance d’appel pour invoquer la violation de son droit à un délai raisonnable. </w:t>
      </w:r>
    </w:p>
    <w:p w14:paraId="0AE16E45" w14:textId="12A7396C" w:rsidR="006326D1" w:rsidRPr="00953692" w:rsidRDefault="003F2222"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464</w:t>
      </w:r>
      <w:r w:rsidR="00C25D1B" w:rsidRPr="00953692">
        <w:rPr>
          <w:rFonts w:cs="Times New Roman"/>
          <w:sz w:val="24"/>
          <w:szCs w:val="24"/>
          <w:shd w:val="clear" w:color="auto" w:fill="FFFFFF"/>
          <w:lang w:val="fr-FR"/>
        </w:rPr>
        <w:t xml:space="preserve">. </w:t>
      </w:r>
      <w:r w:rsidR="00726D5D" w:rsidRPr="00953692">
        <w:rPr>
          <w:rFonts w:cs="Times New Roman"/>
          <w:sz w:val="24"/>
          <w:szCs w:val="24"/>
          <w:shd w:val="clear" w:color="auto" w:fill="FFFFFF"/>
          <w:lang w:val="fr-FR"/>
        </w:rPr>
        <w:t xml:space="preserve">Il en ressort </w:t>
      </w:r>
      <w:r w:rsidR="00597FD7" w:rsidRPr="00953692">
        <w:rPr>
          <w:rFonts w:cs="Times New Roman"/>
          <w:sz w:val="24"/>
          <w:szCs w:val="24"/>
          <w:shd w:val="clear" w:color="auto" w:fill="FFFFFF"/>
          <w:lang w:val="fr-FR"/>
        </w:rPr>
        <w:t>subtilement</w:t>
      </w:r>
      <w:r w:rsidR="00726D5D" w:rsidRPr="00953692">
        <w:rPr>
          <w:rFonts w:cs="Times New Roman"/>
          <w:sz w:val="24"/>
          <w:szCs w:val="24"/>
          <w:shd w:val="clear" w:color="auto" w:fill="FFFFFF"/>
          <w:lang w:val="fr-FR"/>
        </w:rPr>
        <w:t xml:space="preserve"> que, la conflictualité entre ces deux prérogatives de l’accusé est indiscutable, mais surtout insoluble</w:t>
      </w:r>
      <w:r w:rsidR="00597FD7" w:rsidRPr="00953692">
        <w:rPr>
          <w:rFonts w:cs="Times New Roman"/>
          <w:sz w:val="24"/>
          <w:szCs w:val="24"/>
          <w:shd w:val="clear" w:color="auto" w:fill="FFFFFF"/>
          <w:lang w:val="fr-FR"/>
        </w:rPr>
        <w:t xml:space="preserve"> par nature</w:t>
      </w:r>
      <w:r w:rsidR="00726D5D" w:rsidRPr="00953692">
        <w:rPr>
          <w:rFonts w:cs="Times New Roman"/>
          <w:sz w:val="24"/>
          <w:szCs w:val="24"/>
          <w:shd w:val="clear" w:color="auto" w:fill="FFFFFF"/>
          <w:lang w:val="fr-FR"/>
        </w:rPr>
        <w:t xml:space="preserve">. Dès le moment </w:t>
      </w:r>
      <w:r w:rsidR="006F6756" w:rsidRPr="00953692">
        <w:rPr>
          <w:rFonts w:cs="Times New Roman"/>
          <w:sz w:val="24"/>
          <w:szCs w:val="24"/>
          <w:shd w:val="clear" w:color="auto" w:fill="FFFFFF"/>
          <w:lang w:val="fr-FR"/>
        </w:rPr>
        <w:t xml:space="preserve">où </w:t>
      </w:r>
      <w:r w:rsidR="00726D5D" w:rsidRPr="00953692">
        <w:rPr>
          <w:rFonts w:cs="Times New Roman"/>
          <w:sz w:val="24"/>
          <w:szCs w:val="24"/>
          <w:shd w:val="clear" w:color="auto" w:fill="FFFFFF"/>
          <w:lang w:val="fr-FR"/>
        </w:rPr>
        <w:t xml:space="preserve">l’accusé décide d’interjeter appel, </w:t>
      </w:r>
      <w:r w:rsidR="00C969F4" w:rsidRPr="00953692">
        <w:rPr>
          <w:rFonts w:cs="Times New Roman"/>
          <w:sz w:val="24"/>
          <w:szCs w:val="24"/>
          <w:shd w:val="clear" w:color="auto" w:fill="FFFFFF"/>
          <w:lang w:val="fr-FR"/>
        </w:rPr>
        <w:t>rien ne peut concilier ces deux prérogatives qui devaient être toutes observées. On rappellera que l’instance d’appel n’échappe pas à la règle du délai raisonnable</w:t>
      </w:r>
      <w:r w:rsidR="00597FD7" w:rsidRPr="00953692">
        <w:rPr>
          <w:rFonts w:cs="Times New Roman"/>
          <w:sz w:val="24"/>
          <w:szCs w:val="24"/>
          <w:shd w:val="clear" w:color="auto" w:fill="FFFFFF"/>
          <w:lang w:val="fr-FR"/>
        </w:rPr>
        <w:t>,</w:t>
      </w:r>
      <w:r w:rsidR="00C969F4" w:rsidRPr="00953692">
        <w:rPr>
          <w:rFonts w:cs="Times New Roman"/>
          <w:sz w:val="24"/>
          <w:szCs w:val="24"/>
          <w:shd w:val="clear" w:color="auto" w:fill="FFFFFF"/>
          <w:lang w:val="fr-FR"/>
        </w:rPr>
        <w:t xml:space="preserve"> expliqu</w:t>
      </w:r>
      <w:r w:rsidR="00597FD7" w:rsidRPr="00953692">
        <w:rPr>
          <w:rFonts w:cs="Times New Roman"/>
          <w:sz w:val="24"/>
          <w:szCs w:val="24"/>
          <w:shd w:val="clear" w:color="auto" w:fill="FFFFFF"/>
          <w:lang w:val="fr-FR"/>
        </w:rPr>
        <w:t>ant à cet effet</w:t>
      </w:r>
      <w:r w:rsidR="00C969F4" w:rsidRPr="00953692">
        <w:rPr>
          <w:rFonts w:cs="Times New Roman"/>
          <w:sz w:val="24"/>
          <w:szCs w:val="24"/>
          <w:shd w:val="clear" w:color="auto" w:fill="FFFFFF"/>
          <w:lang w:val="fr-FR"/>
        </w:rPr>
        <w:t xml:space="preserve"> que cette décision de l’accusé n’est pas très exactement un renoncement à ce droit,</w:t>
      </w:r>
      <w:r w:rsidR="00173D86" w:rsidRPr="00953692">
        <w:rPr>
          <w:rFonts w:cs="Times New Roman"/>
          <w:sz w:val="24"/>
          <w:szCs w:val="24"/>
          <w:shd w:val="clear" w:color="auto" w:fill="FFFFFF"/>
          <w:lang w:val="fr-FR"/>
        </w:rPr>
        <w:t xml:space="preserve"> mais </w:t>
      </w:r>
      <w:r w:rsidR="00C969F4" w:rsidRPr="00953692">
        <w:rPr>
          <w:rFonts w:cs="Times New Roman"/>
          <w:sz w:val="24"/>
          <w:szCs w:val="24"/>
          <w:shd w:val="clear" w:color="auto" w:fill="FFFFFF"/>
          <w:lang w:val="fr-FR"/>
        </w:rPr>
        <w:t>l’expression du besoin d’être mieux ou correctement jugé.</w:t>
      </w:r>
    </w:p>
    <w:p w14:paraId="51210012" w14:textId="11565368" w:rsidR="0028306E" w:rsidRPr="00953692" w:rsidRDefault="003F2222"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465</w:t>
      </w:r>
      <w:r w:rsidR="003B09E3" w:rsidRPr="00953692">
        <w:rPr>
          <w:rFonts w:cs="Times New Roman"/>
          <w:b/>
          <w:bCs/>
          <w:sz w:val="24"/>
          <w:szCs w:val="24"/>
          <w:shd w:val="clear" w:color="auto" w:fill="FFFFFF"/>
          <w:lang w:val="fr-FR"/>
        </w:rPr>
        <w:t>.</w:t>
      </w:r>
      <w:r w:rsidR="003B09E3" w:rsidRPr="00953692">
        <w:rPr>
          <w:rFonts w:cs="Times New Roman"/>
          <w:sz w:val="24"/>
          <w:szCs w:val="24"/>
          <w:shd w:val="clear" w:color="auto" w:fill="FFFFFF"/>
          <w:lang w:val="fr-FR"/>
        </w:rPr>
        <w:t xml:space="preserve"> </w:t>
      </w:r>
      <w:r w:rsidR="00C969F4" w:rsidRPr="00953692">
        <w:rPr>
          <w:rFonts w:cs="Times New Roman"/>
          <w:sz w:val="24"/>
          <w:szCs w:val="24"/>
          <w:shd w:val="clear" w:color="auto" w:fill="FFFFFF"/>
          <w:lang w:val="fr-FR"/>
        </w:rPr>
        <w:t>D’ailleurs</w:t>
      </w:r>
      <w:r w:rsidR="00A04F1E" w:rsidRPr="00953692">
        <w:rPr>
          <w:rFonts w:cs="Times New Roman"/>
          <w:sz w:val="24"/>
          <w:szCs w:val="24"/>
          <w:shd w:val="clear" w:color="auto" w:fill="FFFFFF"/>
          <w:lang w:val="fr-FR"/>
        </w:rPr>
        <w:t>,</w:t>
      </w:r>
      <w:r w:rsidR="00C969F4" w:rsidRPr="00953692">
        <w:rPr>
          <w:rFonts w:cs="Times New Roman"/>
          <w:sz w:val="24"/>
          <w:szCs w:val="24"/>
          <w:shd w:val="clear" w:color="auto" w:fill="FFFFFF"/>
          <w:lang w:val="fr-FR"/>
        </w:rPr>
        <w:t xml:space="preserve"> ce besoin n’en finit pas en matière procédurale, car plus il existe d’instance</w:t>
      </w:r>
      <w:r w:rsidR="00173D86" w:rsidRPr="00953692">
        <w:rPr>
          <w:rFonts w:cs="Times New Roman"/>
          <w:sz w:val="24"/>
          <w:szCs w:val="24"/>
          <w:shd w:val="clear" w:color="auto" w:fill="FFFFFF"/>
          <w:lang w:val="fr-FR"/>
        </w:rPr>
        <w:t>s</w:t>
      </w:r>
      <w:r w:rsidR="00C969F4" w:rsidRPr="00953692">
        <w:rPr>
          <w:rFonts w:cs="Times New Roman"/>
          <w:sz w:val="24"/>
          <w:szCs w:val="24"/>
          <w:shd w:val="clear" w:color="auto" w:fill="FFFFFF"/>
          <w:lang w:val="fr-FR"/>
        </w:rPr>
        <w:t xml:space="preserve"> supérieure</w:t>
      </w:r>
      <w:r w:rsidR="00173D86" w:rsidRPr="00953692">
        <w:rPr>
          <w:rFonts w:cs="Times New Roman"/>
          <w:sz w:val="24"/>
          <w:szCs w:val="24"/>
          <w:shd w:val="clear" w:color="auto" w:fill="FFFFFF"/>
          <w:lang w:val="fr-FR"/>
        </w:rPr>
        <w:t>s</w:t>
      </w:r>
      <w:r w:rsidR="00C969F4" w:rsidRPr="00953692">
        <w:rPr>
          <w:rFonts w:cs="Times New Roman"/>
          <w:sz w:val="24"/>
          <w:szCs w:val="24"/>
          <w:shd w:val="clear" w:color="auto" w:fill="FFFFFF"/>
          <w:lang w:val="fr-FR"/>
        </w:rPr>
        <w:t xml:space="preserve"> (cassation par exemple au niveau national ou les Cours régionales) devant l</w:t>
      </w:r>
      <w:r w:rsidR="00173D86" w:rsidRPr="00953692">
        <w:rPr>
          <w:rFonts w:cs="Times New Roman"/>
          <w:sz w:val="24"/>
          <w:szCs w:val="24"/>
          <w:shd w:val="clear" w:color="auto" w:fill="FFFFFF"/>
          <w:lang w:val="fr-FR"/>
        </w:rPr>
        <w:t>es</w:t>
      </w:r>
      <w:r w:rsidR="00C969F4" w:rsidRPr="00953692">
        <w:rPr>
          <w:rFonts w:cs="Times New Roman"/>
          <w:sz w:val="24"/>
          <w:szCs w:val="24"/>
          <w:shd w:val="clear" w:color="auto" w:fill="FFFFFF"/>
          <w:lang w:val="fr-FR"/>
        </w:rPr>
        <w:t>quelle</w:t>
      </w:r>
      <w:r w:rsidR="00173D86" w:rsidRPr="00953692">
        <w:rPr>
          <w:rFonts w:cs="Times New Roman"/>
          <w:sz w:val="24"/>
          <w:szCs w:val="24"/>
          <w:shd w:val="clear" w:color="auto" w:fill="FFFFFF"/>
          <w:lang w:val="fr-FR"/>
        </w:rPr>
        <w:t>s</w:t>
      </w:r>
      <w:r w:rsidR="00C969F4" w:rsidRPr="00953692">
        <w:rPr>
          <w:rFonts w:cs="Times New Roman"/>
          <w:sz w:val="24"/>
          <w:szCs w:val="24"/>
          <w:shd w:val="clear" w:color="auto" w:fill="FFFFFF"/>
          <w:lang w:val="fr-FR"/>
        </w:rPr>
        <w:t xml:space="preserve"> il est possible de porter l’affaire, la pratique judiciaire montre</w:t>
      </w:r>
      <w:r w:rsidR="003A4581" w:rsidRPr="00953692">
        <w:rPr>
          <w:rFonts w:cs="Times New Roman"/>
          <w:sz w:val="24"/>
          <w:szCs w:val="24"/>
          <w:shd w:val="clear" w:color="auto" w:fill="FFFFFF"/>
          <w:lang w:val="fr-FR"/>
        </w:rPr>
        <w:t xml:space="preserve"> généralement</w:t>
      </w:r>
      <w:r w:rsidR="00C969F4" w:rsidRPr="00953692">
        <w:rPr>
          <w:rFonts w:cs="Times New Roman"/>
          <w:sz w:val="24"/>
          <w:szCs w:val="24"/>
          <w:shd w:val="clear" w:color="auto" w:fill="FFFFFF"/>
          <w:lang w:val="fr-FR"/>
        </w:rPr>
        <w:t xml:space="preserve"> que, l’accusé ne s’en fatigue </w:t>
      </w:r>
      <w:r w:rsidR="00597FD7" w:rsidRPr="00953692">
        <w:rPr>
          <w:rFonts w:cs="Times New Roman"/>
          <w:sz w:val="24"/>
          <w:szCs w:val="24"/>
          <w:shd w:val="clear" w:color="auto" w:fill="FFFFFF"/>
          <w:lang w:val="fr-FR"/>
        </w:rPr>
        <w:t xml:space="preserve">et n’y renonce </w:t>
      </w:r>
      <w:r w:rsidR="00C969F4" w:rsidRPr="00953692">
        <w:rPr>
          <w:rFonts w:cs="Times New Roman"/>
          <w:sz w:val="24"/>
          <w:szCs w:val="24"/>
          <w:shd w:val="clear" w:color="auto" w:fill="FFFFFF"/>
          <w:lang w:val="fr-FR"/>
        </w:rPr>
        <w:t>que très rarement.</w:t>
      </w:r>
      <w:r w:rsidR="003A4581" w:rsidRPr="00953692">
        <w:rPr>
          <w:rFonts w:cs="Times New Roman"/>
          <w:sz w:val="24"/>
          <w:szCs w:val="24"/>
          <w:shd w:val="clear" w:color="auto" w:fill="FFFFFF"/>
          <w:lang w:val="fr-FR"/>
        </w:rPr>
        <w:t xml:space="preserve"> Tant qu’il n’a pas gain de cause et dans la mesure du possible, </w:t>
      </w:r>
      <w:r w:rsidR="00173D86" w:rsidRPr="00953692">
        <w:rPr>
          <w:rFonts w:cs="Times New Roman"/>
          <w:sz w:val="24"/>
          <w:szCs w:val="24"/>
          <w:shd w:val="clear" w:color="auto" w:fill="FFFFFF"/>
          <w:lang w:val="fr-FR"/>
        </w:rPr>
        <w:t xml:space="preserve">l’accusé peut décider de continuer le procès, </w:t>
      </w:r>
      <w:r w:rsidR="00597FD7" w:rsidRPr="00953692">
        <w:rPr>
          <w:rFonts w:cs="Times New Roman"/>
          <w:sz w:val="24"/>
          <w:szCs w:val="24"/>
          <w:shd w:val="clear" w:color="auto" w:fill="FFFFFF"/>
          <w:lang w:val="fr-FR"/>
        </w:rPr>
        <w:t xml:space="preserve">en </w:t>
      </w:r>
      <w:r w:rsidR="00173D86" w:rsidRPr="00953692">
        <w:rPr>
          <w:rFonts w:cs="Times New Roman"/>
          <w:sz w:val="24"/>
          <w:szCs w:val="24"/>
          <w:shd w:val="clear" w:color="auto" w:fill="FFFFFF"/>
          <w:lang w:val="fr-FR"/>
        </w:rPr>
        <w:t>all</w:t>
      </w:r>
      <w:r w:rsidR="00597FD7" w:rsidRPr="00953692">
        <w:rPr>
          <w:rFonts w:cs="Times New Roman"/>
          <w:sz w:val="24"/>
          <w:szCs w:val="24"/>
          <w:shd w:val="clear" w:color="auto" w:fill="FFFFFF"/>
          <w:lang w:val="fr-FR"/>
        </w:rPr>
        <w:t>ant</w:t>
      </w:r>
      <w:r w:rsidR="00173D86" w:rsidRPr="00953692">
        <w:rPr>
          <w:rFonts w:cs="Times New Roman"/>
          <w:sz w:val="24"/>
          <w:szCs w:val="24"/>
          <w:shd w:val="clear" w:color="auto" w:fill="FFFFFF"/>
          <w:lang w:val="fr-FR"/>
        </w:rPr>
        <w:t xml:space="preserve"> d’instance en instance, sans s’intéresser au coup que subit son </w:t>
      </w:r>
      <w:r w:rsidR="00597FD7" w:rsidRPr="00953692">
        <w:rPr>
          <w:rFonts w:cs="Times New Roman"/>
          <w:sz w:val="24"/>
          <w:szCs w:val="24"/>
          <w:shd w:val="clear" w:color="auto" w:fill="FFFFFF"/>
          <w:lang w:val="fr-FR"/>
        </w:rPr>
        <w:t xml:space="preserve">propre </w:t>
      </w:r>
      <w:r w:rsidR="00173D86" w:rsidRPr="00953692">
        <w:rPr>
          <w:rFonts w:cs="Times New Roman"/>
          <w:sz w:val="24"/>
          <w:szCs w:val="24"/>
          <w:shd w:val="clear" w:color="auto" w:fill="FFFFFF"/>
          <w:lang w:val="fr-FR"/>
        </w:rPr>
        <w:t xml:space="preserve">droit d’être jugé sans retard excessif. Toutefois, </w:t>
      </w:r>
      <w:r w:rsidR="00597FD7" w:rsidRPr="00953692">
        <w:rPr>
          <w:rFonts w:cs="Times New Roman"/>
          <w:sz w:val="24"/>
          <w:szCs w:val="24"/>
          <w:shd w:val="clear" w:color="auto" w:fill="FFFFFF"/>
          <w:lang w:val="fr-FR"/>
        </w:rPr>
        <w:t>ce conflit est tempéré par l’effet dévolutif de l’appel</w:t>
      </w:r>
      <w:r w:rsidR="00173D86" w:rsidRPr="00953692">
        <w:rPr>
          <w:rFonts w:cs="Times New Roman"/>
          <w:sz w:val="24"/>
          <w:szCs w:val="24"/>
          <w:shd w:val="clear" w:color="auto" w:fill="FFFFFF"/>
          <w:lang w:val="fr-FR"/>
        </w:rPr>
        <w:t>.</w:t>
      </w:r>
    </w:p>
    <w:p w14:paraId="29187A1E" w14:textId="2CB0512D" w:rsidR="00611A65" w:rsidRPr="00953692" w:rsidRDefault="00512E4C" w:rsidP="006A0175">
      <w:pPr>
        <w:pStyle w:val="Titre3"/>
        <w:ind w:left="1134"/>
        <w:rPr>
          <w:rFonts w:ascii="Times New Roman" w:hAnsi="Times New Roman"/>
          <w:b w:val="0"/>
          <w:bCs/>
          <w:color w:val="auto"/>
          <w:sz w:val="24"/>
          <w:szCs w:val="24"/>
          <w:shd w:val="clear" w:color="auto" w:fill="FFFFFF"/>
          <w:lang w:val="fr-FR"/>
        </w:rPr>
      </w:pPr>
      <w:bookmarkStart w:id="105" w:name="_Toc195179452"/>
      <w:r w:rsidRPr="00953692">
        <w:rPr>
          <w:rFonts w:ascii="Times New Roman" w:eastAsia="Calibri" w:hAnsi="Times New Roman"/>
          <w:b w:val="0"/>
          <w:bCs/>
          <w:i/>
          <w:iCs/>
          <w:color w:val="auto"/>
          <w:sz w:val="24"/>
          <w:szCs w:val="24"/>
          <w:lang w:val="fr-FR"/>
        </w:rPr>
        <w:t xml:space="preserve">Paragraphe 2. </w:t>
      </w:r>
      <w:r w:rsidR="006E779E" w:rsidRPr="00953692">
        <w:rPr>
          <w:rFonts w:ascii="Times New Roman" w:eastAsia="Calibri" w:hAnsi="Times New Roman"/>
          <w:b w:val="0"/>
          <w:bCs/>
          <w:i/>
          <w:iCs/>
          <w:color w:val="auto"/>
          <w:sz w:val="24"/>
          <w:szCs w:val="24"/>
          <w:lang w:val="fr-FR"/>
        </w:rPr>
        <w:t>Un conflit tempéré par le caractère restrictif</w:t>
      </w:r>
      <w:r w:rsidR="00FD6ED3" w:rsidRPr="00953692">
        <w:rPr>
          <w:rFonts w:ascii="Times New Roman" w:eastAsia="Calibri" w:hAnsi="Times New Roman"/>
          <w:b w:val="0"/>
          <w:bCs/>
          <w:i/>
          <w:iCs/>
          <w:color w:val="auto"/>
          <w:sz w:val="24"/>
          <w:szCs w:val="24"/>
          <w:lang w:val="fr-FR"/>
        </w:rPr>
        <w:t xml:space="preserve"> de l’appel</w:t>
      </w:r>
      <w:bookmarkEnd w:id="105"/>
    </w:p>
    <w:p w14:paraId="685CE87D" w14:textId="4C0CAF1C" w:rsidR="003A5E99" w:rsidRPr="00953692" w:rsidRDefault="003F2222" w:rsidP="00864BBF">
      <w:pPr>
        <w:spacing w:before="240" w:after="0" w:line="276" w:lineRule="auto"/>
        <w:ind w:firstLine="1134"/>
        <w:jc w:val="both"/>
        <w:rPr>
          <w:rFonts w:eastAsia="Times New Roman" w:cs="Times New Roman"/>
          <w:sz w:val="24"/>
          <w:szCs w:val="24"/>
          <w:shd w:val="clear" w:color="auto" w:fill="FFFFFF"/>
          <w:lang w:val="fr-FR"/>
        </w:rPr>
      </w:pPr>
      <w:r w:rsidRPr="00953692">
        <w:rPr>
          <w:b/>
          <w:bCs/>
          <w:sz w:val="24"/>
          <w:szCs w:val="24"/>
          <w:lang w:val="fr-FR"/>
        </w:rPr>
        <w:t>466</w:t>
      </w:r>
      <w:r w:rsidR="006F719D" w:rsidRPr="00953692">
        <w:rPr>
          <w:b/>
          <w:bCs/>
          <w:sz w:val="24"/>
          <w:szCs w:val="24"/>
          <w:lang w:val="fr-FR"/>
        </w:rPr>
        <w:t>.</w:t>
      </w:r>
      <w:r w:rsidR="006F719D" w:rsidRPr="00953692">
        <w:rPr>
          <w:sz w:val="24"/>
          <w:szCs w:val="24"/>
          <w:lang w:val="fr-FR"/>
        </w:rPr>
        <w:t xml:space="preserve"> </w:t>
      </w:r>
      <w:r w:rsidR="00C11D5A" w:rsidRPr="00953692">
        <w:rPr>
          <w:sz w:val="24"/>
          <w:szCs w:val="24"/>
          <w:lang w:val="fr-FR"/>
        </w:rPr>
        <w:t>« L’appel est une voie de recours de réformation par laquelle une partie porte le procès devant une juridiction immédiatement supérieure en vue d’un nouvel examen du procès »</w:t>
      </w:r>
      <w:r w:rsidR="00527DC5" w:rsidRPr="00953692">
        <w:rPr>
          <w:rStyle w:val="Appelnotedebasdep"/>
          <w:sz w:val="24"/>
          <w:szCs w:val="24"/>
          <w:lang w:val="fr-FR"/>
        </w:rPr>
        <w:footnoteReference w:customMarkFollows="1" w:id="360"/>
        <w:t>335</w:t>
      </w:r>
      <w:r w:rsidR="00C11D5A" w:rsidRPr="00953692">
        <w:rPr>
          <w:sz w:val="24"/>
          <w:szCs w:val="24"/>
          <w:lang w:val="fr-FR"/>
        </w:rPr>
        <w:t>.</w:t>
      </w:r>
      <w:r w:rsidR="00922833" w:rsidRPr="00953692">
        <w:rPr>
          <w:sz w:val="24"/>
          <w:szCs w:val="24"/>
          <w:lang w:val="fr-FR"/>
        </w:rPr>
        <w:t xml:space="preserve"> Ce nouvel examen ne signifie nullement que le</w:t>
      </w:r>
      <w:r w:rsidR="00A04F1E" w:rsidRPr="00953692">
        <w:rPr>
          <w:sz w:val="24"/>
          <w:szCs w:val="24"/>
          <w:lang w:val="fr-FR"/>
        </w:rPr>
        <w:t>s</w:t>
      </w:r>
      <w:r w:rsidR="00922833" w:rsidRPr="00953692">
        <w:rPr>
          <w:sz w:val="24"/>
          <w:szCs w:val="24"/>
          <w:lang w:val="fr-FR"/>
        </w:rPr>
        <w:t xml:space="preserve"> juges d’appel </w:t>
      </w:r>
      <w:r w:rsidR="00A04F1E" w:rsidRPr="00953692">
        <w:rPr>
          <w:sz w:val="24"/>
          <w:szCs w:val="24"/>
          <w:lang w:val="fr-FR"/>
        </w:rPr>
        <w:t>devront</w:t>
      </w:r>
      <w:r w:rsidR="00922833" w:rsidRPr="00953692">
        <w:rPr>
          <w:sz w:val="24"/>
          <w:szCs w:val="24"/>
          <w:lang w:val="fr-FR"/>
        </w:rPr>
        <w:t xml:space="preserve"> reprendre </w:t>
      </w:r>
      <w:r w:rsidR="00922833" w:rsidRPr="00953692">
        <w:rPr>
          <w:i/>
          <w:iCs/>
          <w:sz w:val="24"/>
          <w:szCs w:val="24"/>
          <w:lang w:val="fr-FR"/>
        </w:rPr>
        <w:t>in toto</w:t>
      </w:r>
      <w:r w:rsidR="00922833" w:rsidRPr="00953692">
        <w:rPr>
          <w:sz w:val="24"/>
          <w:szCs w:val="24"/>
          <w:lang w:val="fr-FR"/>
        </w:rPr>
        <w:t xml:space="preserve"> le procès. En règle générale, cette voie de recours a un effet dévolutif</w:t>
      </w:r>
      <w:r w:rsidR="00527DC5" w:rsidRPr="00953692">
        <w:rPr>
          <w:rStyle w:val="Appelnotedebasdep"/>
          <w:sz w:val="24"/>
          <w:szCs w:val="24"/>
          <w:lang w:val="fr-FR"/>
        </w:rPr>
        <w:footnoteReference w:customMarkFollows="1" w:id="361"/>
        <w:t>336 </w:t>
      </w:r>
      <w:r w:rsidR="00FF4F16" w:rsidRPr="00953692">
        <w:rPr>
          <w:sz w:val="24"/>
          <w:szCs w:val="24"/>
          <w:lang w:val="fr-FR"/>
        </w:rPr>
        <w:t>:</w:t>
      </w:r>
      <w:r w:rsidR="00922833" w:rsidRPr="00953692">
        <w:rPr>
          <w:sz w:val="24"/>
          <w:szCs w:val="24"/>
          <w:lang w:val="fr-FR"/>
        </w:rPr>
        <w:t xml:space="preserve"> </w:t>
      </w:r>
      <w:r w:rsidR="00922833" w:rsidRPr="00953692">
        <w:rPr>
          <w:i/>
          <w:iCs/>
          <w:sz w:val="24"/>
          <w:szCs w:val="24"/>
          <w:lang w:val="fr-FR"/>
        </w:rPr>
        <w:t>tantum devolutum quantum appellatum</w:t>
      </w:r>
      <w:r w:rsidR="00922833" w:rsidRPr="00953692">
        <w:rPr>
          <w:sz w:val="24"/>
          <w:szCs w:val="24"/>
          <w:lang w:val="fr-FR"/>
        </w:rPr>
        <w:t xml:space="preserve">. </w:t>
      </w:r>
      <w:r w:rsidR="00990483" w:rsidRPr="00953692">
        <w:rPr>
          <w:sz w:val="24"/>
          <w:szCs w:val="24"/>
          <w:lang w:val="fr-FR"/>
        </w:rPr>
        <w:t>Les pouvoirs du juge d’appel se limite</w:t>
      </w:r>
      <w:r w:rsidR="00A04F1E" w:rsidRPr="00953692">
        <w:rPr>
          <w:sz w:val="24"/>
          <w:szCs w:val="24"/>
          <w:lang w:val="fr-FR"/>
        </w:rPr>
        <w:t>nt</w:t>
      </w:r>
      <w:r w:rsidR="00990483" w:rsidRPr="00953692">
        <w:rPr>
          <w:sz w:val="24"/>
          <w:szCs w:val="24"/>
          <w:lang w:val="fr-FR"/>
        </w:rPr>
        <w:t xml:space="preserve"> aux différents points que l’appelant </w:t>
      </w:r>
      <w:r w:rsidR="006F719D" w:rsidRPr="00953692">
        <w:rPr>
          <w:sz w:val="24"/>
          <w:szCs w:val="24"/>
          <w:lang w:val="fr-FR"/>
        </w:rPr>
        <w:t>soulève</w:t>
      </w:r>
      <w:r w:rsidR="00990483" w:rsidRPr="00953692">
        <w:rPr>
          <w:sz w:val="24"/>
          <w:szCs w:val="24"/>
          <w:lang w:val="fr-FR"/>
        </w:rPr>
        <w:t xml:space="preserve"> dans son acte d’appel, qu</w:t>
      </w:r>
      <w:r w:rsidR="00FF4F16" w:rsidRPr="00953692">
        <w:rPr>
          <w:sz w:val="24"/>
          <w:szCs w:val="24"/>
          <w:lang w:val="fr-FR"/>
        </w:rPr>
        <w:t>e les juristes appellent :</w:t>
      </w:r>
      <w:r w:rsidR="00990483" w:rsidRPr="00953692">
        <w:rPr>
          <w:sz w:val="24"/>
          <w:szCs w:val="24"/>
          <w:lang w:val="fr-FR"/>
        </w:rPr>
        <w:t xml:space="preserve"> les motifs d’appel.</w:t>
      </w:r>
      <w:r w:rsidR="003453D5" w:rsidRPr="00953692">
        <w:rPr>
          <w:sz w:val="24"/>
          <w:szCs w:val="24"/>
          <w:lang w:val="fr-FR"/>
        </w:rPr>
        <w:t xml:space="preserve"> Le condamné peut limiter ces motifs à quelques points ou chefs d’accusation, mais il peut également cibler l’ensemble du dispositif du jugement portant condamnation</w:t>
      </w:r>
      <w:r w:rsidR="00FF4F16" w:rsidRPr="00953692">
        <w:rPr>
          <w:sz w:val="24"/>
          <w:szCs w:val="24"/>
          <w:lang w:val="fr-FR"/>
        </w:rPr>
        <w:t xml:space="preserve"> rendue par la Chambre de première instance</w:t>
      </w:r>
      <w:r w:rsidR="00527DC5" w:rsidRPr="00953692">
        <w:rPr>
          <w:rStyle w:val="Appelnotedebasdep"/>
          <w:sz w:val="24"/>
          <w:szCs w:val="24"/>
          <w:lang w:val="fr-FR"/>
        </w:rPr>
        <w:footnoteReference w:customMarkFollows="1" w:id="362"/>
        <w:t>337</w:t>
      </w:r>
      <w:r w:rsidR="003453D5" w:rsidRPr="00953692">
        <w:rPr>
          <w:sz w:val="24"/>
          <w:szCs w:val="24"/>
          <w:lang w:val="fr-FR"/>
        </w:rPr>
        <w:t>.</w:t>
      </w:r>
      <w:r w:rsidR="00FF4F16" w:rsidRPr="00953692">
        <w:rPr>
          <w:sz w:val="24"/>
          <w:szCs w:val="24"/>
          <w:lang w:val="fr-FR"/>
        </w:rPr>
        <w:t xml:space="preserve"> Il convient de constater que</w:t>
      </w:r>
      <w:r w:rsidR="006F719D" w:rsidRPr="00953692">
        <w:rPr>
          <w:sz w:val="24"/>
          <w:szCs w:val="24"/>
          <w:lang w:val="fr-FR"/>
        </w:rPr>
        <w:t xml:space="preserve"> préalablement, les parties n'ont pas la liberté d’avant</w:t>
      </w:r>
      <w:r w:rsidR="00FF4F16" w:rsidRPr="00953692">
        <w:rPr>
          <w:sz w:val="24"/>
          <w:szCs w:val="24"/>
          <w:lang w:val="fr-FR"/>
        </w:rPr>
        <w:t>.</w:t>
      </w:r>
      <w:r w:rsidR="006F719D" w:rsidRPr="00953692">
        <w:rPr>
          <w:sz w:val="24"/>
          <w:szCs w:val="24"/>
          <w:lang w:val="fr-FR"/>
        </w:rPr>
        <w:t xml:space="preserve"> </w:t>
      </w:r>
      <w:r w:rsidR="00FF4F16" w:rsidRPr="00953692">
        <w:rPr>
          <w:sz w:val="24"/>
          <w:szCs w:val="24"/>
          <w:lang w:val="fr-FR"/>
        </w:rPr>
        <w:t>L</w:t>
      </w:r>
      <w:r w:rsidR="006F719D" w:rsidRPr="00953692">
        <w:rPr>
          <w:sz w:val="24"/>
          <w:szCs w:val="24"/>
          <w:lang w:val="fr-FR"/>
        </w:rPr>
        <w:t>es actes constitutifs de ces juridictions pénales internationales la restreignent beaucoup plus strictemen</w:t>
      </w:r>
      <w:r w:rsidR="006B7CB1" w:rsidRPr="00953692">
        <w:rPr>
          <w:sz w:val="24"/>
          <w:szCs w:val="24"/>
          <w:lang w:val="fr-FR"/>
        </w:rPr>
        <w:t xml:space="preserve">t au </w:t>
      </w:r>
      <w:r w:rsidR="006B7CB1" w:rsidRPr="00953692">
        <w:rPr>
          <w:sz w:val="24"/>
          <w:szCs w:val="24"/>
          <w:lang w:val="fr-FR"/>
        </w:rPr>
        <w:lastRenderedPageBreak/>
        <w:t xml:space="preserve">point de rendre </w:t>
      </w:r>
      <w:r w:rsidR="006B7CB1" w:rsidRPr="00953692">
        <w:rPr>
          <w:rFonts w:eastAsia="Times New Roman" w:cs="Times New Roman"/>
          <w:sz w:val="24"/>
          <w:szCs w:val="24"/>
          <w:shd w:val="clear" w:color="auto" w:fill="FFFFFF"/>
          <w:lang w:val="fr-FR"/>
        </w:rPr>
        <w:t>c</w:t>
      </w:r>
      <w:r w:rsidR="00114BF8" w:rsidRPr="00953692">
        <w:rPr>
          <w:rFonts w:eastAsia="Times New Roman" w:cs="Times New Roman"/>
          <w:sz w:val="24"/>
          <w:szCs w:val="24"/>
          <w:shd w:val="clear" w:color="auto" w:fill="FFFFFF"/>
          <w:lang w:val="fr-FR"/>
        </w:rPr>
        <w:t xml:space="preserve">e recours valable que s’il est fondé sur les critères ou motifs </w:t>
      </w:r>
      <w:r w:rsidR="006F719D" w:rsidRPr="00953692">
        <w:rPr>
          <w:rFonts w:eastAsia="Times New Roman" w:cs="Times New Roman"/>
          <w:sz w:val="24"/>
          <w:szCs w:val="24"/>
          <w:shd w:val="clear" w:color="auto" w:fill="FFFFFF"/>
          <w:lang w:val="fr-FR"/>
        </w:rPr>
        <w:t>expressément</w:t>
      </w:r>
      <w:r w:rsidR="00114BF8" w:rsidRPr="00953692">
        <w:rPr>
          <w:rFonts w:eastAsia="Times New Roman" w:cs="Times New Roman"/>
          <w:sz w:val="24"/>
          <w:szCs w:val="24"/>
          <w:shd w:val="clear" w:color="auto" w:fill="FFFFFF"/>
          <w:lang w:val="fr-FR"/>
        </w:rPr>
        <w:t xml:space="preserve"> établis par les statuts respectifs de ces juridictions.</w:t>
      </w:r>
    </w:p>
    <w:p w14:paraId="16D6AFDD" w14:textId="2D89093F" w:rsidR="00C638FA" w:rsidRPr="00953692" w:rsidRDefault="003F2222" w:rsidP="00864BBF">
      <w:pPr>
        <w:spacing w:after="0" w:line="276" w:lineRule="auto"/>
        <w:ind w:firstLine="1134"/>
        <w:jc w:val="both"/>
        <w:rPr>
          <w:sz w:val="24"/>
          <w:szCs w:val="24"/>
          <w:lang w:val="fr-FR"/>
        </w:rPr>
      </w:pPr>
      <w:r w:rsidRPr="00953692">
        <w:rPr>
          <w:rFonts w:eastAsia="Times New Roman" w:cs="Times New Roman"/>
          <w:b/>
          <w:bCs/>
          <w:sz w:val="24"/>
          <w:szCs w:val="24"/>
          <w:shd w:val="clear" w:color="auto" w:fill="FFFFFF"/>
          <w:lang w:val="fr-FR"/>
        </w:rPr>
        <w:t>467</w:t>
      </w:r>
      <w:r w:rsidR="006F719D" w:rsidRPr="00953692">
        <w:rPr>
          <w:rFonts w:eastAsia="Times New Roman" w:cs="Times New Roman"/>
          <w:b/>
          <w:bCs/>
          <w:sz w:val="24"/>
          <w:szCs w:val="24"/>
          <w:shd w:val="clear" w:color="auto" w:fill="FFFFFF"/>
          <w:lang w:val="fr-FR"/>
        </w:rPr>
        <w:t>.</w:t>
      </w:r>
      <w:r w:rsidR="006F719D" w:rsidRPr="00953692">
        <w:rPr>
          <w:rFonts w:eastAsia="Times New Roman" w:cs="Times New Roman"/>
          <w:sz w:val="24"/>
          <w:szCs w:val="24"/>
          <w:shd w:val="clear" w:color="auto" w:fill="FFFFFF"/>
          <w:lang w:val="fr-FR"/>
        </w:rPr>
        <w:t xml:space="preserve"> </w:t>
      </w:r>
      <w:r w:rsidR="00114BF8" w:rsidRPr="00953692">
        <w:rPr>
          <w:rFonts w:eastAsia="Times New Roman" w:cs="Times New Roman"/>
          <w:sz w:val="24"/>
          <w:szCs w:val="24"/>
          <w:shd w:val="clear" w:color="auto" w:fill="FFFFFF"/>
          <w:lang w:val="fr-FR"/>
        </w:rPr>
        <w:t>Ainsi,</w:t>
      </w:r>
      <w:r w:rsidR="006F719D" w:rsidRPr="00953692">
        <w:rPr>
          <w:rFonts w:eastAsia="Times New Roman" w:cs="Times New Roman"/>
          <w:sz w:val="24"/>
          <w:szCs w:val="24"/>
          <w:shd w:val="clear" w:color="auto" w:fill="FFFFFF"/>
          <w:lang w:val="fr-FR"/>
        </w:rPr>
        <w:t xml:space="preserve"> par exemple,</w:t>
      </w:r>
      <w:r w:rsidR="00114BF8" w:rsidRPr="00953692">
        <w:rPr>
          <w:rFonts w:eastAsia="Times New Roman" w:cs="Times New Roman"/>
          <w:sz w:val="24"/>
          <w:szCs w:val="24"/>
          <w:shd w:val="clear" w:color="auto" w:fill="FFFFFF"/>
          <w:lang w:val="fr-FR"/>
        </w:rPr>
        <w:t xml:space="preserve"> </w:t>
      </w:r>
      <w:r w:rsidR="00CE3B79" w:rsidRPr="00953692">
        <w:rPr>
          <w:rFonts w:eastAsia="Times New Roman" w:cs="Times New Roman"/>
          <w:sz w:val="24"/>
          <w:szCs w:val="24"/>
          <w:shd w:val="clear" w:color="auto" w:fill="FFFFFF"/>
          <w:lang w:val="fr-FR"/>
        </w:rPr>
        <w:t>les articles 25 des statuts des TPI prévoient deux motifs d’appel</w:t>
      </w:r>
      <w:r w:rsidR="006E5003" w:rsidRPr="00953692">
        <w:rPr>
          <w:rFonts w:eastAsia="Times New Roman" w:cs="Times New Roman"/>
          <w:sz w:val="24"/>
          <w:szCs w:val="24"/>
          <w:shd w:val="clear" w:color="auto" w:fill="FFFFFF"/>
          <w:lang w:val="fr-FR"/>
        </w:rPr>
        <w:t>,</w:t>
      </w:r>
      <w:r w:rsidR="00CE3B79" w:rsidRPr="00953692">
        <w:rPr>
          <w:rFonts w:eastAsia="Times New Roman" w:cs="Times New Roman"/>
          <w:sz w:val="24"/>
          <w:szCs w:val="24"/>
          <w:shd w:val="clear" w:color="auto" w:fill="FFFFFF"/>
          <w:lang w:val="fr-FR"/>
        </w:rPr>
        <w:t xml:space="preserve"> à savoir </w:t>
      </w:r>
      <w:r w:rsidR="00114BF8" w:rsidRPr="00953692">
        <w:rPr>
          <w:sz w:val="24"/>
          <w:szCs w:val="24"/>
          <w:lang w:val="fr-FR"/>
        </w:rPr>
        <w:t>erreur sur un point de droit qui invalide la décision ; ou erreur de fait qui a entraîné un déni de justice.</w:t>
      </w:r>
      <w:r w:rsidR="00CE3B79" w:rsidRPr="00953692">
        <w:rPr>
          <w:sz w:val="24"/>
          <w:szCs w:val="24"/>
          <w:lang w:val="fr-FR"/>
        </w:rPr>
        <w:t xml:space="preserve"> Les dispositions de cet article commun ont été reprises par l’article 26 du statut du TSL</w:t>
      </w:r>
      <w:r w:rsidR="00527DC5" w:rsidRPr="00953692">
        <w:rPr>
          <w:rStyle w:val="Appelnotedebasdep"/>
          <w:sz w:val="24"/>
          <w:szCs w:val="24"/>
          <w:lang w:val="fr-FR"/>
        </w:rPr>
        <w:footnoteReference w:customMarkFollows="1" w:id="363"/>
        <w:t>338</w:t>
      </w:r>
      <w:r w:rsidR="00CE3B79" w:rsidRPr="00953692">
        <w:rPr>
          <w:sz w:val="24"/>
          <w:szCs w:val="24"/>
          <w:lang w:val="fr-FR"/>
        </w:rPr>
        <w:t xml:space="preserve">. </w:t>
      </w:r>
      <w:r w:rsidR="00477E6D" w:rsidRPr="00953692">
        <w:rPr>
          <w:sz w:val="24"/>
          <w:szCs w:val="24"/>
          <w:lang w:val="fr-FR"/>
        </w:rPr>
        <w:t>Le statut de Rome reprend ces deux motifs</w:t>
      </w:r>
      <w:r w:rsidR="006E5003" w:rsidRPr="00953692">
        <w:rPr>
          <w:sz w:val="24"/>
          <w:szCs w:val="24"/>
          <w:lang w:val="fr-FR"/>
        </w:rPr>
        <w:t>,</w:t>
      </w:r>
      <w:r w:rsidR="00477E6D" w:rsidRPr="00953692">
        <w:rPr>
          <w:sz w:val="24"/>
          <w:szCs w:val="24"/>
          <w:lang w:val="fr-FR"/>
        </w:rPr>
        <w:t xml:space="preserve"> tout en</w:t>
      </w:r>
      <w:r w:rsidR="00C638FA" w:rsidRPr="00953692">
        <w:rPr>
          <w:sz w:val="24"/>
          <w:szCs w:val="24"/>
          <w:lang w:val="fr-FR"/>
        </w:rPr>
        <w:t xml:space="preserve"> y</w:t>
      </w:r>
      <w:r w:rsidR="00477E6D" w:rsidRPr="00953692">
        <w:rPr>
          <w:sz w:val="24"/>
          <w:szCs w:val="24"/>
          <w:lang w:val="fr-FR"/>
        </w:rPr>
        <w:t xml:space="preserve"> ajoutant d’abord un troisième, </w:t>
      </w:r>
      <w:r w:rsidR="00C638FA" w:rsidRPr="00953692">
        <w:rPr>
          <w:sz w:val="24"/>
          <w:szCs w:val="24"/>
          <w:lang w:val="fr-FR"/>
        </w:rPr>
        <w:t>relatif à</w:t>
      </w:r>
      <w:r w:rsidR="00477E6D" w:rsidRPr="00953692">
        <w:rPr>
          <w:sz w:val="24"/>
          <w:szCs w:val="24"/>
          <w:lang w:val="fr-FR"/>
        </w:rPr>
        <w:t xml:space="preserve"> un vice de procédure</w:t>
      </w:r>
      <w:r w:rsidR="006E5003" w:rsidRPr="00953692">
        <w:rPr>
          <w:sz w:val="24"/>
          <w:szCs w:val="24"/>
          <w:lang w:val="fr-FR"/>
        </w:rPr>
        <w:t>,</w:t>
      </w:r>
      <w:r w:rsidR="00477E6D" w:rsidRPr="00953692">
        <w:rPr>
          <w:sz w:val="24"/>
          <w:szCs w:val="24"/>
          <w:lang w:val="fr-FR"/>
        </w:rPr>
        <w:t xml:space="preserve"> </w:t>
      </w:r>
      <w:r w:rsidR="00C638FA" w:rsidRPr="00953692">
        <w:rPr>
          <w:sz w:val="24"/>
          <w:szCs w:val="24"/>
          <w:lang w:val="fr-FR"/>
        </w:rPr>
        <w:t>en ce qui concerne l’appel interjeté par les deux parties. Ensuite, un quatrième motif, s’agissant de l’appel de la personne déclarée coupable ou d’un appel en son nom, relatif à tout autre motif de nature à compromettre l'équité ou la régularité de la procédure ou de la décision</w:t>
      </w:r>
      <w:r w:rsidR="00527DC5" w:rsidRPr="00953692">
        <w:rPr>
          <w:rStyle w:val="Appelnotedebasdep"/>
          <w:sz w:val="24"/>
          <w:szCs w:val="24"/>
          <w:lang w:val="fr-FR"/>
        </w:rPr>
        <w:footnoteReference w:customMarkFollows="1" w:id="364"/>
        <w:t>339</w:t>
      </w:r>
      <w:r w:rsidR="00C638FA" w:rsidRPr="00953692">
        <w:rPr>
          <w:sz w:val="24"/>
          <w:szCs w:val="24"/>
          <w:lang w:val="fr-FR"/>
        </w:rPr>
        <w:t>.</w:t>
      </w:r>
      <w:r w:rsidR="007B0BB6" w:rsidRPr="00953692">
        <w:rPr>
          <w:sz w:val="24"/>
          <w:szCs w:val="24"/>
          <w:lang w:val="fr-FR"/>
        </w:rPr>
        <w:t xml:space="preserve"> Ces motifs démontrent clairement une restriction de l’action de l’accusé, qui devra trouver dans la décision contestée un ou plusieurs motifs valables</w:t>
      </w:r>
      <w:r w:rsidR="006E5003" w:rsidRPr="00953692">
        <w:rPr>
          <w:sz w:val="24"/>
          <w:szCs w:val="24"/>
          <w:lang w:val="fr-FR"/>
        </w:rPr>
        <w:t>,</w:t>
      </w:r>
      <w:r w:rsidR="007B0BB6" w:rsidRPr="00953692">
        <w:rPr>
          <w:sz w:val="24"/>
          <w:szCs w:val="24"/>
          <w:lang w:val="fr-FR"/>
        </w:rPr>
        <w:t xml:space="preserve"> </w:t>
      </w:r>
      <w:r w:rsidR="0054741C" w:rsidRPr="00953692">
        <w:rPr>
          <w:sz w:val="24"/>
          <w:szCs w:val="24"/>
          <w:lang w:val="fr-FR"/>
        </w:rPr>
        <w:t xml:space="preserve">graves ou importants </w:t>
      </w:r>
      <w:r w:rsidR="007B0BB6" w:rsidRPr="00953692">
        <w:rPr>
          <w:sz w:val="24"/>
          <w:szCs w:val="24"/>
          <w:lang w:val="fr-FR"/>
        </w:rPr>
        <w:t>qui laissent croire que le premier juge a versé dans l’erreur.</w:t>
      </w:r>
    </w:p>
    <w:p w14:paraId="05910CF2" w14:textId="3FDD422E" w:rsidR="0054741C" w:rsidRPr="00953692" w:rsidRDefault="003F2222" w:rsidP="00864BBF">
      <w:pPr>
        <w:spacing w:line="276" w:lineRule="auto"/>
        <w:ind w:firstLine="1134"/>
        <w:jc w:val="both"/>
        <w:rPr>
          <w:sz w:val="22"/>
          <w:lang w:val="fr-FR"/>
        </w:rPr>
      </w:pPr>
      <w:r w:rsidRPr="00953692">
        <w:rPr>
          <w:b/>
          <w:bCs/>
          <w:sz w:val="24"/>
          <w:szCs w:val="24"/>
          <w:lang w:val="fr-FR"/>
        </w:rPr>
        <w:t>468</w:t>
      </w:r>
      <w:r w:rsidR="000C3706" w:rsidRPr="00953692">
        <w:rPr>
          <w:b/>
          <w:bCs/>
          <w:sz w:val="24"/>
          <w:szCs w:val="24"/>
          <w:lang w:val="fr-FR"/>
        </w:rPr>
        <w:t>.</w:t>
      </w:r>
      <w:r w:rsidR="000C3706" w:rsidRPr="00953692">
        <w:rPr>
          <w:sz w:val="24"/>
          <w:szCs w:val="24"/>
          <w:lang w:val="fr-FR"/>
        </w:rPr>
        <w:t xml:space="preserve"> </w:t>
      </w:r>
      <w:r w:rsidR="0054741C" w:rsidRPr="00953692">
        <w:rPr>
          <w:sz w:val="24"/>
          <w:szCs w:val="24"/>
          <w:lang w:val="fr-FR"/>
        </w:rPr>
        <w:t xml:space="preserve">La conséquence logique de ce qui précède, </w:t>
      </w:r>
      <w:r w:rsidR="00B04FAB" w:rsidRPr="00953692">
        <w:rPr>
          <w:sz w:val="24"/>
          <w:szCs w:val="24"/>
          <w:lang w:val="fr-FR"/>
        </w:rPr>
        <w:t>c’est</w:t>
      </w:r>
      <w:r w:rsidR="0054741C" w:rsidRPr="00953692">
        <w:rPr>
          <w:sz w:val="24"/>
          <w:szCs w:val="24"/>
          <w:lang w:val="fr-FR"/>
        </w:rPr>
        <w:t xml:space="preserve"> que </w:t>
      </w:r>
      <w:r w:rsidR="00016806" w:rsidRPr="00953692">
        <w:rPr>
          <w:sz w:val="24"/>
          <w:szCs w:val="24"/>
          <w:lang w:val="fr-FR"/>
        </w:rPr>
        <w:t xml:space="preserve">les juges d’appel sont appelés à accorder </w:t>
      </w:r>
      <w:r w:rsidR="00FF4F16" w:rsidRPr="00953692">
        <w:rPr>
          <w:sz w:val="24"/>
          <w:szCs w:val="24"/>
          <w:lang w:val="fr-FR"/>
        </w:rPr>
        <w:t xml:space="preserve">avant tout </w:t>
      </w:r>
      <w:r w:rsidR="00016806" w:rsidRPr="00953692">
        <w:rPr>
          <w:sz w:val="24"/>
          <w:szCs w:val="24"/>
          <w:lang w:val="fr-FR"/>
        </w:rPr>
        <w:t xml:space="preserve">crédit </w:t>
      </w:r>
      <w:r w:rsidR="00B04FAB" w:rsidRPr="00953692">
        <w:rPr>
          <w:sz w:val="24"/>
          <w:szCs w:val="24"/>
          <w:lang w:val="fr-FR"/>
        </w:rPr>
        <w:t>au</w:t>
      </w:r>
      <w:r w:rsidR="00016806" w:rsidRPr="00953692">
        <w:rPr>
          <w:sz w:val="24"/>
          <w:szCs w:val="24"/>
          <w:lang w:val="fr-FR"/>
        </w:rPr>
        <w:t xml:space="preserve"> jugement rendu par la </w:t>
      </w:r>
      <w:r w:rsidR="00FF4F16" w:rsidRPr="00953692">
        <w:rPr>
          <w:sz w:val="24"/>
          <w:szCs w:val="24"/>
          <w:lang w:val="fr-FR"/>
        </w:rPr>
        <w:t>C</w:t>
      </w:r>
      <w:r w:rsidR="00016806" w:rsidRPr="00953692">
        <w:rPr>
          <w:sz w:val="24"/>
          <w:szCs w:val="24"/>
          <w:lang w:val="fr-FR"/>
        </w:rPr>
        <w:t xml:space="preserve">hambre de première instance. Ils ne portent leur attention que sur des points plus exactement soulevés de manière pertinente par l’appelant. Dans l’affaire Vidoje Blagojević et Dragan Jokić, </w:t>
      </w:r>
      <w:r w:rsidR="0050703B" w:rsidRPr="00953692">
        <w:rPr>
          <w:sz w:val="24"/>
          <w:szCs w:val="24"/>
          <w:lang w:val="fr-FR"/>
        </w:rPr>
        <w:t xml:space="preserve">les juges ont </w:t>
      </w:r>
      <w:r w:rsidR="000C3706" w:rsidRPr="00953692">
        <w:rPr>
          <w:sz w:val="24"/>
          <w:szCs w:val="24"/>
          <w:lang w:val="fr-FR"/>
        </w:rPr>
        <w:t xml:space="preserve">de manière limpide </w:t>
      </w:r>
      <w:r w:rsidR="0050703B" w:rsidRPr="00953692">
        <w:rPr>
          <w:sz w:val="24"/>
          <w:szCs w:val="24"/>
          <w:lang w:val="fr-FR"/>
        </w:rPr>
        <w:t xml:space="preserve">fait remarquer que </w:t>
      </w:r>
      <w:r w:rsidR="00016806" w:rsidRPr="00953692">
        <w:rPr>
          <w:sz w:val="24"/>
          <w:szCs w:val="24"/>
          <w:lang w:val="fr-FR"/>
        </w:rPr>
        <w:t>la Chambre d’appel ne décide pas à la légère de revenir sur les constatations faites en première instance lorsqu’elle juge de leur caractère raisonnable</w:t>
      </w:r>
      <w:r w:rsidR="00527DC5" w:rsidRPr="00953692">
        <w:rPr>
          <w:rStyle w:val="Appelnotedebasdep"/>
          <w:sz w:val="24"/>
          <w:szCs w:val="24"/>
          <w:lang w:val="fr-FR"/>
        </w:rPr>
        <w:footnoteReference w:customMarkFollows="1" w:id="365"/>
        <w:t>340</w:t>
      </w:r>
      <w:r w:rsidR="0050703B" w:rsidRPr="00953692">
        <w:rPr>
          <w:sz w:val="24"/>
          <w:szCs w:val="24"/>
          <w:lang w:val="fr-FR"/>
        </w:rPr>
        <w:t xml:space="preserve">. Ils ont ensuite rappelé la jurisprudence du tribunal </w:t>
      </w:r>
      <w:r w:rsidR="000E7DA4" w:rsidRPr="00953692">
        <w:rPr>
          <w:sz w:val="24"/>
          <w:szCs w:val="24"/>
          <w:lang w:val="fr-FR"/>
        </w:rPr>
        <w:t xml:space="preserve">selon laquelle : </w:t>
      </w:r>
    </w:p>
    <w:p w14:paraId="0A28CCF1" w14:textId="3897B64A" w:rsidR="0054741C" w:rsidRPr="00953692" w:rsidRDefault="000E7DA4" w:rsidP="00864BBF">
      <w:pPr>
        <w:spacing w:line="276" w:lineRule="auto"/>
        <w:ind w:left="1134" w:firstLine="1134"/>
        <w:jc w:val="both"/>
        <w:rPr>
          <w:i/>
          <w:iCs/>
          <w:sz w:val="22"/>
          <w:lang w:val="fr-FR"/>
        </w:rPr>
      </w:pPr>
      <w:r w:rsidRPr="00953692">
        <w:rPr>
          <w:i/>
          <w:iCs/>
          <w:sz w:val="22"/>
          <w:lang w:val="fr-FR"/>
        </w:rPr>
        <w:t>(…) c’est d’abord à la Chambre de première instance d’examiner les éléments de preuve présentés au procès, de les apprécier et de décider du poids à leur accorder. Par conséquent, la Chambre d’appel doit toujours accorder quelque crédit aux constatations de la Chambre de première instance. Ce n’est que lorsque aucun juge du fait raisonnable n’aurait accepté les éléments de preuve sur lesquels s’est fondée la Chambre de première instance, ou que l’appréciation de ces éléments est « totalement entachée d’erreur », que la Chambre d’appel peut substituer sa propre conclusion à celle tirée en première instance</w:t>
      </w:r>
      <w:r w:rsidR="00527DC5" w:rsidRPr="00953692">
        <w:rPr>
          <w:rStyle w:val="Appelnotedebasdep"/>
          <w:i/>
          <w:iCs/>
          <w:sz w:val="22"/>
          <w:lang w:val="fr-FR"/>
        </w:rPr>
        <w:footnoteReference w:customMarkFollows="1" w:id="366"/>
        <w:t>341</w:t>
      </w:r>
      <w:r w:rsidRPr="00953692">
        <w:rPr>
          <w:i/>
          <w:iCs/>
          <w:sz w:val="22"/>
          <w:lang w:val="fr-FR"/>
        </w:rPr>
        <w:t>.</w:t>
      </w:r>
    </w:p>
    <w:p w14:paraId="10EFD758" w14:textId="024B5899" w:rsidR="00030B5A" w:rsidRPr="00953692" w:rsidRDefault="003F2222" w:rsidP="00864BBF">
      <w:pPr>
        <w:spacing w:after="0" w:line="276" w:lineRule="auto"/>
        <w:ind w:firstLine="1134"/>
        <w:jc w:val="both"/>
        <w:rPr>
          <w:rFonts w:cs="Times New Roman"/>
          <w:sz w:val="24"/>
          <w:szCs w:val="24"/>
          <w:shd w:val="clear" w:color="auto" w:fill="FFFFFF"/>
          <w:lang w:val="fr-FR"/>
        </w:rPr>
      </w:pPr>
      <w:r w:rsidRPr="00953692">
        <w:rPr>
          <w:b/>
          <w:bCs/>
          <w:sz w:val="24"/>
          <w:szCs w:val="24"/>
          <w:lang w:val="fr-FR"/>
        </w:rPr>
        <w:t>469</w:t>
      </w:r>
      <w:r w:rsidR="000C3706" w:rsidRPr="00953692">
        <w:rPr>
          <w:b/>
          <w:bCs/>
          <w:sz w:val="24"/>
          <w:szCs w:val="24"/>
          <w:lang w:val="fr-FR"/>
        </w:rPr>
        <w:t>.</w:t>
      </w:r>
      <w:r w:rsidR="000C3706" w:rsidRPr="00953692">
        <w:rPr>
          <w:sz w:val="24"/>
          <w:szCs w:val="24"/>
          <w:lang w:val="fr-FR"/>
        </w:rPr>
        <w:t xml:space="preserve"> </w:t>
      </w:r>
      <w:r w:rsidR="00BB1121" w:rsidRPr="00953692">
        <w:rPr>
          <w:sz w:val="24"/>
          <w:szCs w:val="24"/>
          <w:lang w:val="fr-FR"/>
        </w:rPr>
        <w:t>On voit en pratique la prudence avec laquelle les juges d’appel envisagent de remettre en cause les conclusions du premier juge</w:t>
      </w:r>
      <w:r w:rsidR="0071365D" w:rsidRPr="00953692">
        <w:rPr>
          <w:sz w:val="24"/>
          <w:szCs w:val="24"/>
          <w:lang w:val="fr-FR"/>
        </w:rPr>
        <w:t>. Comme le soutient Anne-Marie La</w:t>
      </w:r>
      <w:r w:rsidR="00F35A92" w:rsidRPr="00953692">
        <w:rPr>
          <w:sz w:val="24"/>
          <w:szCs w:val="24"/>
          <w:lang w:val="fr-FR"/>
        </w:rPr>
        <w:t xml:space="preserve"> </w:t>
      </w:r>
      <w:r w:rsidR="0071365D" w:rsidRPr="00953692">
        <w:rPr>
          <w:sz w:val="24"/>
          <w:szCs w:val="24"/>
          <w:lang w:val="fr-FR"/>
        </w:rPr>
        <w:t>Rosa, « </w:t>
      </w:r>
      <w:r w:rsidR="0071365D" w:rsidRPr="00953692">
        <w:rPr>
          <w:rFonts w:cs="Times New Roman"/>
          <w:sz w:val="24"/>
          <w:szCs w:val="24"/>
          <w:shd w:val="clear" w:color="auto" w:fill="FFFFFF"/>
          <w:lang w:val="fr-FR"/>
        </w:rPr>
        <w:t xml:space="preserve">le recours en appel doit demeurer une mesure corrective qui vise à redresser les déficiences d’une première procédure. L’instance d’appel doit éviter de refaire le procès en entier, d’autant qu’elle n’offre pas en règle générale une opportunité </w:t>
      </w:r>
      <w:r w:rsidR="0071365D" w:rsidRPr="00953692">
        <w:rPr>
          <w:rFonts w:cs="Times New Roman"/>
          <w:sz w:val="24"/>
          <w:szCs w:val="24"/>
          <w:shd w:val="clear" w:color="auto" w:fill="FFFFFF"/>
          <w:lang w:val="fr-FR"/>
        </w:rPr>
        <w:lastRenderedPageBreak/>
        <w:t>de confrontation directe avec les témoins ; le recours se fonde, sauf exception, sur le dossier de première instance, les parties ne pouvant soulever de nouvelles questions en appel »</w:t>
      </w:r>
      <w:r w:rsidR="00414279" w:rsidRPr="00953692">
        <w:rPr>
          <w:rStyle w:val="Appelnotedebasdep"/>
          <w:rFonts w:cs="Times New Roman"/>
          <w:sz w:val="24"/>
          <w:szCs w:val="24"/>
          <w:shd w:val="clear" w:color="auto" w:fill="FFFFFF"/>
          <w:lang w:val="fr-FR"/>
        </w:rPr>
        <w:footnoteReference w:customMarkFollows="1" w:id="367"/>
        <w:t>342</w:t>
      </w:r>
      <w:r w:rsidR="0071365D" w:rsidRPr="00953692">
        <w:rPr>
          <w:rFonts w:cs="Times New Roman"/>
          <w:sz w:val="24"/>
          <w:szCs w:val="24"/>
          <w:shd w:val="clear" w:color="auto" w:fill="FFFFFF"/>
          <w:lang w:val="fr-FR"/>
        </w:rPr>
        <w:t>.</w:t>
      </w:r>
      <w:r w:rsidR="006D0E65" w:rsidRPr="00953692">
        <w:rPr>
          <w:rFonts w:cs="Times New Roman"/>
          <w:sz w:val="24"/>
          <w:szCs w:val="24"/>
          <w:shd w:val="clear" w:color="auto" w:fill="FFFFFF"/>
          <w:lang w:val="fr-FR"/>
        </w:rPr>
        <w:t xml:space="preserve"> </w:t>
      </w:r>
    </w:p>
    <w:p w14:paraId="58FAC8D3" w14:textId="72B00E52" w:rsidR="000C3706" w:rsidRPr="00953692" w:rsidRDefault="003F2222"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470</w:t>
      </w:r>
      <w:r w:rsidR="00030B5A" w:rsidRPr="00953692">
        <w:rPr>
          <w:rFonts w:cs="Times New Roman"/>
          <w:b/>
          <w:bCs/>
          <w:sz w:val="24"/>
          <w:szCs w:val="24"/>
          <w:shd w:val="clear" w:color="auto" w:fill="FFFFFF"/>
          <w:lang w:val="fr-FR"/>
        </w:rPr>
        <w:t>.</w:t>
      </w:r>
      <w:r w:rsidR="00030B5A" w:rsidRPr="00953692">
        <w:rPr>
          <w:rFonts w:cs="Times New Roman"/>
          <w:sz w:val="24"/>
          <w:szCs w:val="24"/>
          <w:shd w:val="clear" w:color="auto" w:fill="FFFFFF"/>
          <w:lang w:val="fr-FR"/>
        </w:rPr>
        <w:t xml:space="preserve"> </w:t>
      </w:r>
      <w:r w:rsidR="005216EB" w:rsidRPr="00953692">
        <w:rPr>
          <w:rFonts w:cs="Times New Roman"/>
          <w:sz w:val="24"/>
          <w:szCs w:val="24"/>
          <w:shd w:val="clear" w:color="auto" w:fill="FFFFFF"/>
          <w:lang w:val="fr-FR"/>
        </w:rPr>
        <w:t>Dans un tel régime restrictif, le cadre des débats est donc rétréci drastiquement</w:t>
      </w:r>
      <w:r w:rsidR="0076035C" w:rsidRPr="00953692">
        <w:rPr>
          <w:rFonts w:cs="Times New Roman"/>
          <w:sz w:val="24"/>
          <w:szCs w:val="24"/>
          <w:shd w:val="clear" w:color="auto" w:fill="FFFFFF"/>
          <w:lang w:val="fr-FR"/>
        </w:rPr>
        <w:t>. Les</w:t>
      </w:r>
      <w:r w:rsidR="005216EB" w:rsidRPr="00953692">
        <w:rPr>
          <w:rFonts w:cs="Times New Roman"/>
          <w:sz w:val="24"/>
          <w:szCs w:val="24"/>
          <w:shd w:val="clear" w:color="auto" w:fill="FFFFFF"/>
          <w:lang w:val="fr-FR"/>
        </w:rPr>
        <w:t xml:space="preserve"> débats judiciaires </w:t>
      </w:r>
      <w:r w:rsidR="0076035C" w:rsidRPr="00953692">
        <w:rPr>
          <w:rFonts w:cs="Times New Roman"/>
          <w:sz w:val="24"/>
          <w:szCs w:val="24"/>
          <w:shd w:val="clear" w:color="auto" w:fill="FFFFFF"/>
          <w:lang w:val="fr-FR"/>
        </w:rPr>
        <w:t xml:space="preserve">longs et sinueux sont évités ou évitables, car la matière ne devrait pas être si abondante comme il en a été le cas en première instance. Une situation qui pourrait bien faire l’affaire du délai raisonnable. </w:t>
      </w:r>
      <w:r w:rsidR="00432EB1" w:rsidRPr="00953692">
        <w:rPr>
          <w:rFonts w:cs="Times New Roman"/>
          <w:sz w:val="24"/>
          <w:szCs w:val="24"/>
          <w:shd w:val="clear" w:color="auto" w:fill="FFFFFF"/>
          <w:lang w:val="fr-FR"/>
        </w:rPr>
        <w:t>En plus, la Chambre d’appel est aussi censée conduire l’instance dans un délai raisonnable comme le ferait le juge de la Chambre de première instance</w:t>
      </w:r>
      <w:r w:rsidR="00414279" w:rsidRPr="00953692">
        <w:rPr>
          <w:rStyle w:val="Appelnotedebasdep"/>
          <w:rFonts w:cs="Times New Roman"/>
          <w:sz w:val="24"/>
          <w:szCs w:val="24"/>
          <w:shd w:val="clear" w:color="auto" w:fill="FFFFFF"/>
          <w:lang w:val="fr-FR"/>
        </w:rPr>
        <w:footnoteReference w:customMarkFollows="1" w:id="368"/>
        <w:t>343</w:t>
      </w:r>
      <w:r w:rsidR="00432EB1" w:rsidRPr="00953692">
        <w:rPr>
          <w:rFonts w:cs="Times New Roman"/>
          <w:sz w:val="24"/>
          <w:szCs w:val="24"/>
          <w:shd w:val="clear" w:color="auto" w:fill="FFFFFF"/>
          <w:lang w:val="fr-FR"/>
        </w:rPr>
        <w:t xml:space="preserve">. </w:t>
      </w:r>
      <w:r w:rsidR="0076035C" w:rsidRPr="00953692">
        <w:rPr>
          <w:rFonts w:cs="Times New Roman"/>
          <w:sz w:val="24"/>
          <w:szCs w:val="24"/>
          <w:shd w:val="clear" w:color="auto" w:fill="FFFFFF"/>
          <w:lang w:val="fr-FR"/>
        </w:rPr>
        <w:t>Rappelons qu’il est rarissime que l’accusé se plaigne de la durée de l’instance d’appel</w:t>
      </w:r>
      <w:r w:rsidR="00363D45" w:rsidRPr="00953692">
        <w:rPr>
          <w:rFonts w:cs="Times New Roman"/>
          <w:sz w:val="24"/>
          <w:szCs w:val="24"/>
          <w:shd w:val="clear" w:color="auto" w:fill="FFFFFF"/>
          <w:lang w:val="fr-FR"/>
        </w:rPr>
        <w:t>, et c</w:t>
      </w:r>
      <w:r w:rsidR="0076035C" w:rsidRPr="00953692">
        <w:rPr>
          <w:rFonts w:cs="Times New Roman"/>
          <w:sz w:val="24"/>
          <w:szCs w:val="24"/>
          <w:shd w:val="clear" w:color="auto" w:fill="FFFFFF"/>
          <w:lang w:val="fr-FR"/>
        </w:rPr>
        <w:t>ette restriction n’en est pas innocente.</w:t>
      </w:r>
    </w:p>
    <w:p w14:paraId="6CE045C1" w14:textId="3DA072F8" w:rsidR="00AF7A28" w:rsidRPr="00953692" w:rsidRDefault="003F2222" w:rsidP="00864BBF">
      <w:pPr>
        <w:spacing w:after="0" w:line="276" w:lineRule="auto"/>
        <w:ind w:firstLine="1134"/>
        <w:jc w:val="both"/>
        <w:rPr>
          <w:rFonts w:cs="Times New Roman"/>
          <w:sz w:val="24"/>
          <w:szCs w:val="24"/>
          <w:lang w:val="fr-FR"/>
        </w:rPr>
      </w:pPr>
      <w:r w:rsidRPr="00953692">
        <w:rPr>
          <w:rFonts w:cs="Times New Roman"/>
          <w:b/>
          <w:bCs/>
          <w:sz w:val="24"/>
          <w:szCs w:val="24"/>
          <w:shd w:val="clear" w:color="auto" w:fill="FFFFFF"/>
          <w:lang w:val="fr-FR"/>
        </w:rPr>
        <w:t>471</w:t>
      </w:r>
      <w:r w:rsidR="00DB7C17" w:rsidRPr="00953692">
        <w:rPr>
          <w:rFonts w:cs="Times New Roman"/>
          <w:b/>
          <w:bCs/>
          <w:sz w:val="24"/>
          <w:szCs w:val="24"/>
          <w:shd w:val="clear" w:color="auto" w:fill="FFFFFF"/>
          <w:lang w:val="fr-FR"/>
        </w:rPr>
        <w:t>.</w:t>
      </w:r>
      <w:r w:rsidR="00DB7C17" w:rsidRPr="00953692">
        <w:rPr>
          <w:rFonts w:cs="Times New Roman"/>
          <w:sz w:val="24"/>
          <w:szCs w:val="24"/>
          <w:shd w:val="clear" w:color="auto" w:fill="FFFFFF"/>
          <w:lang w:val="fr-FR"/>
        </w:rPr>
        <w:t xml:space="preserve"> </w:t>
      </w:r>
      <w:bookmarkStart w:id="106" w:name="_Hlk140334719"/>
      <w:r w:rsidR="00007970" w:rsidRPr="00953692">
        <w:rPr>
          <w:rFonts w:cs="Times New Roman"/>
          <w:sz w:val="24"/>
          <w:szCs w:val="24"/>
          <w:shd w:val="clear" w:color="auto" w:fill="FFFFFF"/>
          <w:lang w:val="fr-FR"/>
        </w:rPr>
        <w:t xml:space="preserve">En notre connaissance, la seule affaire dans laquelle la Chambre d’appel a été mise en cause est celle </w:t>
      </w:r>
      <w:r w:rsidR="00363D45" w:rsidRPr="00953692">
        <w:rPr>
          <w:rFonts w:cs="Times New Roman"/>
          <w:sz w:val="24"/>
          <w:szCs w:val="24"/>
          <w:shd w:val="clear" w:color="auto" w:fill="FFFFFF"/>
          <w:lang w:val="fr-FR"/>
        </w:rPr>
        <w:t xml:space="preserve">de </w:t>
      </w:r>
      <w:r w:rsidR="00363D45" w:rsidRPr="00953692">
        <w:rPr>
          <w:rFonts w:cs="Times New Roman"/>
          <w:sz w:val="24"/>
          <w:szCs w:val="24"/>
          <w:lang w:val="fr-FR"/>
        </w:rPr>
        <w:t>Ntahobali et Nteziryayo</w:t>
      </w:r>
      <w:r w:rsidR="001D3B87" w:rsidRPr="00953692">
        <w:rPr>
          <w:rFonts w:cs="Times New Roman"/>
          <w:sz w:val="24"/>
          <w:szCs w:val="24"/>
          <w:lang w:val="fr-FR"/>
        </w:rPr>
        <w:t xml:space="preserve"> devant le TPIR</w:t>
      </w:r>
      <w:r w:rsidR="00D56E7D" w:rsidRPr="00953692">
        <w:rPr>
          <w:rFonts w:cs="Times New Roman"/>
          <w:sz w:val="24"/>
          <w:szCs w:val="24"/>
          <w:lang w:val="fr-FR"/>
        </w:rPr>
        <w:t xml:space="preserve">, dans laquelle ces derniers ont prétendu que la phase du procès en appel a accusé un retard excessif résultant de la traduction du jugement attaqué. </w:t>
      </w:r>
      <w:r w:rsidR="00F07DB7" w:rsidRPr="00953692">
        <w:rPr>
          <w:rFonts w:cs="Times New Roman"/>
          <w:sz w:val="24"/>
          <w:szCs w:val="24"/>
          <w:lang w:val="fr-FR"/>
        </w:rPr>
        <w:t>La Chambre d’appel qui a rejeté cet argument, a par conséquent justifié ce retard d’un an et demi par le fait que les coappelants ne comprenant pas l’anglais</w:t>
      </w:r>
      <w:r w:rsidR="000C3706" w:rsidRPr="00953692">
        <w:rPr>
          <w:rFonts w:cs="Times New Roman"/>
          <w:sz w:val="24"/>
          <w:szCs w:val="24"/>
          <w:lang w:val="fr-FR"/>
        </w:rPr>
        <w:t>,</w:t>
      </w:r>
      <w:r w:rsidR="00F07DB7" w:rsidRPr="00953692">
        <w:rPr>
          <w:rFonts w:cs="Times New Roman"/>
          <w:sz w:val="24"/>
          <w:szCs w:val="24"/>
          <w:lang w:val="fr-FR"/>
        </w:rPr>
        <w:t xml:space="preserve"> il a fallu </w:t>
      </w:r>
      <w:r w:rsidR="005D1FBB" w:rsidRPr="00953692">
        <w:rPr>
          <w:rFonts w:cs="Times New Roman"/>
          <w:sz w:val="24"/>
          <w:szCs w:val="24"/>
          <w:lang w:val="fr-FR"/>
        </w:rPr>
        <w:t xml:space="preserve">leur </w:t>
      </w:r>
      <w:r w:rsidR="00F07DB7" w:rsidRPr="00953692">
        <w:rPr>
          <w:rFonts w:cs="Times New Roman"/>
          <w:sz w:val="24"/>
          <w:szCs w:val="24"/>
          <w:lang w:val="fr-FR"/>
        </w:rPr>
        <w:t>accorder des délais supplémentaires</w:t>
      </w:r>
      <w:r w:rsidR="000C3706" w:rsidRPr="00953692">
        <w:rPr>
          <w:rFonts w:cs="Times New Roman"/>
          <w:sz w:val="24"/>
          <w:szCs w:val="24"/>
          <w:lang w:val="fr-FR"/>
        </w:rPr>
        <w:t xml:space="preserve"> à </w:t>
      </w:r>
      <w:r w:rsidR="00F07DB7" w:rsidRPr="00953692">
        <w:rPr>
          <w:rFonts w:cs="Times New Roman"/>
          <w:sz w:val="24"/>
          <w:szCs w:val="24"/>
          <w:lang w:val="fr-FR"/>
        </w:rPr>
        <w:t xml:space="preserve">compter de la transmission de la traduction en français, pour qu’ils </w:t>
      </w:r>
      <w:r w:rsidR="00D620D6" w:rsidRPr="00953692">
        <w:rPr>
          <w:rFonts w:cs="Times New Roman"/>
          <w:sz w:val="24"/>
          <w:szCs w:val="24"/>
          <w:lang w:val="fr-FR"/>
        </w:rPr>
        <w:t>aient</w:t>
      </w:r>
      <w:r w:rsidR="00F07DB7" w:rsidRPr="00953692">
        <w:rPr>
          <w:rFonts w:cs="Times New Roman"/>
          <w:sz w:val="24"/>
          <w:szCs w:val="24"/>
          <w:lang w:val="fr-FR"/>
        </w:rPr>
        <w:t xml:space="preserve"> l’occasion de préparer pleinement leur défense respective. La </w:t>
      </w:r>
      <w:r w:rsidR="00030B5A" w:rsidRPr="00953692">
        <w:rPr>
          <w:rFonts w:cs="Times New Roman"/>
          <w:sz w:val="24"/>
          <w:szCs w:val="24"/>
          <w:lang w:val="fr-FR"/>
        </w:rPr>
        <w:t>C</w:t>
      </w:r>
      <w:r w:rsidR="00F07DB7" w:rsidRPr="00953692">
        <w:rPr>
          <w:rFonts w:cs="Times New Roman"/>
          <w:sz w:val="24"/>
          <w:szCs w:val="24"/>
          <w:lang w:val="fr-FR"/>
        </w:rPr>
        <w:t>hambre a relevé également la difficulté de traduire un document de 1468 pages en interligne simple, qui contient des milliers de références et traite de concepts juridiques complexes. Elle a finalement indiqué que les accusés n’ont relevé aucune ambigüité dans la traduction du jugement en français, démontrant ainsi un travail de qualité qui exigeait plus du temps</w:t>
      </w:r>
      <w:r w:rsidR="00414279" w:rsidRPr="00953692">
        <w:rPr>
          <w:rStyle w:val="Appelnotedebasdep"/>
          <w:rFonts w:cs="Times New Roman"/>
          <w:sz w:val="24"/>
          <w:szCs w:val="24"/>
          <w:lang w:val="fr-FR"/>
        </w:rPr>
        <w:footnoteReference w:customMarkFollows="1" w:id="369"/>
        <w:t>345</w:t>
      </w:r>
      <w:r w:rsidR="00F07DB7" w:rsidRPr="00953692">
        <w:rPr>
          <w:rFonts w:cs="Times New Roman"/>
          <w:sz w:val="24"/>
          <w:szCs w:val="24"/>
          <w:lang w:val="fr-FR"/>
        </w:rPr>
        <w:t>.</w:t>
      </w:r>
    </w:p>
    <w:bookmarkEnd w:id="106"/>
    <w:p w14:paraId="1088A5A8" w14:textId="0F45EC3F" w:rsidR="00293B35" w:rsidRPr="00953692" w:rsidRDefault="003F2222" w:rsidP="00864BBF">
      <w:pPr>
        <w:spacing w:line="276" w:lineRule="auto"/>
        <w:ind w:firstLine="1134"/>
        <w:jc w:val="both"/>
        <w:rPr>
          <w:sz w:val="24"/>
          <w:szCs w:val="24"/>
          <w:lang w:val="fr-FR"/>
        </w:rPr>
      </w:pPr>
      <w:r w:rsidRPr="00953692">
        <w:rPr>
          <w:rFonts w:cs="Times New Roman"/>
          <w:b/>
          <w:bCs/>
          <w:sz w:val="24"/>
          <w:szCs w:val="24"/>
          <w:shd w:val="clear" w:color="auto" w:fill="FFFFFF"/>
          <w:lang w:val="fr-FR"/>
        </w:rPr>
        <w:t>472</w:t>
      </w:r>
      <w:r w:rsidR="00DB7C17" w:rsidRPr="00953692">
        <w:rPr>
          <w:rFonts w:cs="Times New Roman"/>
          <w:b/>
          <w:bCs/>
          <w:sz w:val="24"/>
          <w:szCs w:val="24"/>
          <w:shd w:val="clear" w:color="auto" w:fill="FFFFFF"/>
          <w:lang w:val="fr-FR"/>
        </w:rPr>
        <w:t>.</w:t>
      </w:r>
      <w:r w:rsidR="00DB7C17" w:rsidRPr="00953692">
        <w:rPr>
          <w:rFonts w:cs="Times New Roman"/>
          <w:sz w:val="24"/>
          <w:szCs w:val="24"/>
          <w:shd w:val="clear" w:color="auto" w:fill="FFFFFF"/>
          <w:lang w:val="fr-FR"/>
        </w:rPr>
        <w:t xml:space="preserve"> </w:t>
      </w:r>
      <w:r w:rsidR="00AF7A28" w:rsidRPr="00953692">
        <w:rPr>
          <w:rFonts w:cs="Times New Roman"/>
          <w:sz w:val="24"/>
          <w:szCs w:val="24"/>
          <w:shd w:val="clear" w:color="auto" w:fill="FFFFFF"/>
          <w:lang w:val="fr-FR"/>
        </w:rPr>
        <w:t>Enfin</w:t>
      </w:r>
      <w:r w:rsidR="00F35A92" w:rsidRPr="00953692">
        <w:rPr>
          <w:rFonts w:cs="Times New Roman"/>
          <w:sz w:val="24"/>
          <w:szCs w:val="24"/>
          <w:shd w:val="clear" w:color="auto" w:fill="FFFFFF"/>
          <w:lang w:val="fr-FR"/>
        </w:rPr>
        <w:t xml:space="preserve">, la </w:t>
      </w:r>
      <w:r w:rsidR="006158FE" w:rsidRPr="00953692">
        <w:rPr>
          <w:rFonts w:cs="Times New Roman"/>
          <w:sz w:val="24"/>
          <w:szCs w:val="24"/>
          <w:shd w:val="clear" w:color="auto" w:fill="FFFFFF"/>
          <w:lang w:val="fr-FR"/>
        </w:rPr>
        <w:t>C</w:t>
      </w:r>
      <w:r w:rsidR="00F35A92" w:rsidRPr="00953692">
        <w:rPr>
          <w:rFonts w:cs="Times New Roman"/>
          <w:sz w:val="24"/>
          <w:szCs w:val="24"/>
          <w:shd w:val="clear" w:color="auto" w:fill="FFFFFF"/>
          <w:lang w:val="fr-FR"/>
        </w:rPr>
        <w:t xml:space="preserve">hambre d’appel </w:t>
      </w:r>
      <w:r w:rsidR="00E3609B" w:rsidRPr="00953692">
        <w:rPr>
          <w:rFonts w:cs="Times New Roman"/>
          <w:sz w:val="24"/>
          <w:szCs w:val="24"/>
          <w:shd w:val="clear" w:color="auto" w:fill="FFFFFF"/>
          <w:lang w:val="fr-FR"/>
        </w:rPr>
        <w:t xml:space="preserve">reste un juge des faits et </w:t>
      </w:r>
      <w:r w:rsidR="00F35A92" w:rsidRPr="00953692">
        <w:rPr>
          <w:rFonts w:cs="Times New Roman"/>
          <w:sz w:val="24"/>
          <w:szCs w:val="24"/>
          <w:shd w:val="clear" w:color="auto" w:fill="FFFFFF"/>
          <w:lang w:val="fr-FR"/>
        </w:rPr>
        <w:t xml:space="preserve">possède </w:t>
      </w:r>
      <w:r w:rsidR="00E3609B" w:rsidRPr="00953692">
        <w:rPr>
          <w:rFonts w:cs="Times New Roman"/>
          <w:sz w:val="24"/>
          <w:szCs w:val="24"/>
          <w:shd w:val="clear" w:color="auto" w:fill="FFFFFF"/>
          <w:lang w:val="fr-FR"/>
        </w:rPr>
        <w:t>à ce titre</w:t>
      </w:r>
      <w:r w:rsidR="00F35A92" w:rsidRPr="00953692">
        <w:rPr>
          <w:rFonts w:cs="Times New Roman"/>
          <w:sz w:val="24"/>
          <w:szCs w:val="24"/>
          <w:shd w:val="clear" w:color="auto" w:fill="FFFFFF"/>
          <w:lang w:val="fr-FR"/>
        </w:rPr>
        <w:t xml:space="preserve"> tous les pouvoirs que ceux de la </w:t>
      </w:r>
      <w:r w:rsidR="0052585A" w:rsidRPr="00953692">
        <w:rPr>
          <w:rFonts w:cs="Times New Roman"/>
          <w:sz w:val="24"/>
          <w:szCs w:val="24"/>
          <w:shd w:val="clear" w:color="auto" w:fill="FFFFFF"/>
          <w:lang w:val="fr-FR"/>
        </w:rPr>
        <w:t>C</w:t>
      </w:r>
      <w:r w:rsidR="00F35A92" w:rsidRPr="00953692">
        <w:rPr>
          <w:rFonts w:cs="Times New Roman"/>
          <w:sz w:val="24"/>
          <w:szCs w:val="24"/>
          <w:shd w:val="clear" w:color="auto" w:fill="FFFFFF"/>
          <w:lang w:val="fr-FR"/>
        </w:rPr>
        <w:t>hambre de première instance</w:t>
      </w:r>
      <w:r w:rsidR="00414279" w:rsidRPr="00953692">
        <w:rPr>
          <w:rStyle w:val="Appelnotedebasdep"/>
          <w:rFonts w:cs="Times New Roman"/>
          <w:sz w:val="24"/>
          <w:szCs w:val="24"/>
          <w:shd w:val="clear" w:color="auto" w:fill="FFFFFF"/>
          <w:lang w:val="fr-FR"/>
        </w:rPr>
        <w:footnoteReference w:customMarkFollows="1" w:id="370"/>
        <w:t>346</w:t>
      </w:r>
      <w:r w:rsidR="00F35A92" w:rsidRPr="00953692">
        <w:rPr>
          <w:rFonts w:cs="Times New Roman"/>
          <w:sz w:val="24"/>
          <w:szCs w:val="24"/>
          <w:shd w:val="clear" w:color="auto" w:fill="FFFFFF"/>
          <w:lang w:val="fr-FR"/>
        </w:rPr>
        <w:t xml:space="preserve">. Lorsqu’elle déclare recevable, </w:t>
      </w:r>
      <w:r w:rsidR="001E31A9" w:rsidRPr="00953692">
        <w:rPr>
          <w:rFonts w:cs="Times New Roman"/>
          <w:sz w:val="24"/>
          <w:szCs w:val="24"/>
          <w:shd w:val="clear" w:color="auto" w:fill="FFFFFF"/>
          <w:lang w:val="fr-FR"/>
        </w:rPr>
        <w:t>elle</w:t>
      </w:r>
      <w:r w:rsidR="00F35A92" w:rsidRPr="00953692">
        <w:rPr>
          <w:rFonts w:cs="Times New Roman"/>
          <w:sz w:val="24"/>
          <w:szCs w:val="24"/>
          <w:shd w:val="clear" w:color="auto" w:fill="FFFFFF"/>
          <w:lang w:val="fr-FR"/>
        </w:rPr>
        <w:t xml:space="preserve"> peut donc exiger des preuves supplémentaires sous-tendant les motifs d’appel. </w:t>
      </w:r>
      <w:r w:rsidR="00DB7287" w:rsidRPr="00953692">
        <w:rPr>
          <w:rFonts w:cs="Times New Roman"/>
          <w:sz w:val="24"/>
          <w:szCs w:val="24"/>
          <w:shd w:val="clear" w:color="auto" w:fill="FFFFFF"/>
          <w:lang w:val="fr-FR"/>
        </w:rPr>
        <w:t xml:space="preserve">Elle peut soulever </w:t>
      </w:r>
      <w:r w:rsidR="004E375A" w:rsidRPr="00953692">
        <w:rPr>
          <w:rFonts w:cs="Times New Roman"/>
          <w:sz w:val="24"/>
          <w:szCs w:val="24"/>
          <w:shd w:val="clear" w:color="auto" w:fill="FFFFFF"/>
          <w:lang w:val="fr-FR"/>
        </w:rPr>
        <w:t xml:space="preserve">d’office </w:t>
      </w:r>
      <w:r w:rsidR="00DB7287" w:rsidRPr="00953692">
        <w:rPr>
          <w:rFonts w:cs="Times New Roman"/>
          <w:sz w:val="24"/>
          <w:szCs w:val="24"/>
          <w:shd w:val="clear" w:color="auto" w:fill="FFFFFF"/>
          <w:lang w:val="fr-FR"/>
        </w:rPr>
        <w:t>des questions d’ordre public qui n’ont pas été soulevé</w:t>
      </w:r>
      <w:r w:rsidR="00756405" w:rsidRPr="00953692">
        <w:rPr>
          <w:rFonts w:cs="Times New Roman"/>
          <w:sz w:val="24"/>
          <w:szCs w:val="24"/>
          <w:shd w:val="clear" w:color="auto" w:fill="FFFFFF"/>
          <w:lang w:val="fr-FR"/>
        </w:rPr>
        <w:t>es</w:t>
      </w:r>
      <w:r w:rsidR="00DB7287" w:rsidRPr="00953692">
        <w:rPr>
          <w:rFonts w:cs="Times New Roman"/>
          <w:sz w:val="24"/>
          <w:szCs w:val="24"/>
          <w:shd w:val="clear" w:color="auto" w:fill="FFFFFF"/>
          <w:lang w:val="fr-FR"/>
        </w:rPr>
        <w:t xml:space="preserve"> </w:t>
      </w:r>
      <w:r w:rsidR="00756405" w:rsidRPr="00953692">
        <w:rPr>
          <w:rFonts w:cs="Times New Roman"/>
          <w:sz w:val="24"/>
          <w:szCs w:val="24"/>
          <w:shd w:val="clear" w:color="auto" w:fill="FFFFFF"/>
          <w:lang w:val="fr-FR"/>
        </w:rPr>
        <w:t>en</w:t>
      </w:r>
      <w:r w:rsidR="004E375A" w:rsidRPr="00953692">
        <w:rPr>
          <w:rFonts w:cs="Times New Roman"/>
          <w:sz w:val="24"/>
          <w:szCs w:val="24"/>
          <w:shd w:val="clear" w:color="auto" w:fill="FFFFFF"/>
          <w:lang w:val="fr-FR"/>
        </w:rPr>
        <w:t xml:space="preserve"> première instance. </w:t>
      </w:r>
      <w:r w:rsidR="008206FC" w:rsidRPr="00953692">
        <w:rPr>
          <w:rFonts w:cs="Times New Roman"/>
          <w:sz w:val="24"/>
          <w:szCs w:val="24"/>
          <w:shd w:val="clear" w:color="auto" w:fill="FFFFFF"/>
          <w:lang w:val="fr-FR"/>
        </w:rPr>
        <w:t>Devant la CPI</w:t>
      </w:r>
      <w:r w:rsidR="004E375A" w:rsidRPr="00953692">
        <w:rPr>
          <w:rFonts w:cs="Times New Roman"/>
          <w:sz w:val="24"/>
          <w:szCs w:val="24"/>
          <w:shd w:val="clear" w:color="auto" w:fill="FFFFFF"/>
          <w:lang w:val="fr-FR"/>
        </w:rPr>
        <w:t xml:space="preserve">, par exemple, </w:t>
      </w:r>
      <w:r w:rsidR="008206FC" w:rsidRPr="00953692">
        <w:rPr>
          <w:rFonts w:cs="Times New Roman"/>
          <w:sz w:val="24"/>
          <w:szCs w:val="24"/>
          <w:shd w:val="clear" w:color="auto" w:fill="FFFFFF"/>
          <w:lang w:val="fr-FR"/>
        </w:rPr>
        <w:t>dont le statut</w:t>
      </w:r>
      <w:r w:rsidR="004E375A" w:rsidRPr="00953692">
        <w:rPr>
          <w:rFonts w:cs="Times New Roman"/>
          <w:sz w:val="24"/>
          <w:szCs w:val="24"/>
          <w:shd w:val="clear" w:color="auto" w:fill="FFFFFF"/>
          <w:lang w:val="fr-FR"/>
        </w:rPr>
        <w:t xml:space="preserve"> prévoit la possibilité d’interjeter appel pour </w:t>
      </w:r>
      <w:r w:rsidR="004E375A" w:rsidRPr="00953692">
        <w:rPr>
          <w:i/>
          <w:iCs/>
          <w:sz w:val="24"/>
          <w:szCs w:val="24"/>
          <w:lang w:val="fr-FR"/>
        </w:rPr>
        <w:t>tout motif de nature à compromettre l'équité ou la régularité de la procédure ou de la décision</w:t>
      </w:r>
      <w:r w:rsidR="004E375A" w:rsidRPr="00953692">
        <w:rPr>
          <w:sz w:val="24"/>
          <w:szCs w:val="24"/>
          <w:lang w:val="fr-FR"/>
        </w:rPr>
        <w:t>,</w:t>
      </w:r>
      <w:r w:rsidR="006158FE" w:rsidRPr="00953692">
        <w:rPr>
          <w:sz w:val="24"/>
          <w:szCs w:val="24"/>
          <w:lang w:val="fr-FR"/>
        </w:rPr>
        <w:t xml:space="preserve"> </w:t>
      </w:r>
      <w:r w:rsidR="00393C84" w:rsidRPr="00953692">
        <w:rPr>
          <w:sz w:val="24"/>
          <w:szCs w:val="24"/>
          <w:lang w:val="fr-FR"/>
        </w:rPr>
        <w:t>la Chambre d’appel peut examiner la question relative au procès équitable à l’égard de l’accusé</w:t>
      </w:r>
      <w:r w:rsidR="006752FE" w:rsidRPr="00953692">
        <w:rPr>
          <w:sz w:val="24"/>
          <w:szCs w:val="24"/>
          <w:lang w:val="fr-FR"/>
        </w:rPr>
        <w:t xml:space="preserve"> tel que prévu par l’article 14 du PIDCP et repris </w:t>
      </w:r>
      <w:r w:rsidR="008206FC" w:rsidRPr="00953692">
        <w:rPr>
          <w:sz w:val="24"/>
          <w:szCs w:val="24"/>
          <w:lang w:val="fr-FR"/>
        </w:rPr>
        <w:t xml:space="preserve">précisément par </w:t>
      </w:r>
      <w:r w:rsidR="006752FE" w:rsidRPr="00953692">
        <w:rPr>
          <w:sz w:val="24"/>
          <w:szCs w:val="24"/>
          <w:lang w:val="fr-FR"/>
        </w:rPr>
        <w:t xml:space="preserve">l’article 67 du statut de Rome. </w:t>
      </w:r>
      <w:r w:rsidR="00D40E80" w:rsidRPr="00953692">
        <w:rPr>
          <w:sz w:val="24"/>
          <w:szCs w:val="24"/>
          <w:lang w:val="fr-FR"/>
        </w:rPr>
        <w:t xml:space="preserve">Il peut s’agir de la </w:t>
      </w:r>
      <w:r w:rsidR="00D40E80" w:rsidRPr="00953692">
        <w:rPr>
          <w:sz w:val="24"/>
          <w:szCs w:val="24"/>
          <w:lang w:val="fr-FR"/>
        </w:rPr>
        <w:lastRenderedPageBreak/>
        <w:t xml:space="preserve">durée du procès, plus précisément de la violation du délai raisonnable. </w:t>
      </w:r>
      <w:r w:rsidR="004C6019" w:rsidRPr="00953692">
        <w:rPr>
          <w:sz w:val="24"/>
          <w:szCs w:val="24"/>
          <w:lang w:val="fr-FR"/>
        </w:rPr>
        <w:t>Les TPI ont également considéré que cette question pouvait constituer un motif d’appel, et en ont très souvent traité.</w:t>
      </w:r>
      <w:r w:rsidR="0092174E" w:rsidRPr="00953692">
        <w:rPr>
          <w:sz w:val="24"/>
          <w:szCs w:val="24"/>
          <w:lang w:val="fr-FR"/>
        </w:rPr>
        <w:t xml:space="preserve"> Ainsi,</w:t>
      </w:r>
      <w:r w:rsidR="004C6019" w:rsidRPr="00953692">
        <w:rPr>
          <w:sz w:val="24"/>
          <w:szCs w:val="24"/>
          <w:lang w:val="fr-FR"/>
        </w:rPr>
        <w:t xml:space="preserve"> l’instance d’appel </w:t>
      </w:r>
      <w:r w:rsidR="00C60E58" w:rsidRPr="00953692">
        <w:rPr>
          <w:sz w:val="24"/>
          <w:szCs w:val="24"/>
          <w:lang w:val="fr-FR"/>
        </w:rPr>
        <w:t xml:space="preserve">peut </w:t>
      </w:r>
      <w:r w:rsidR="00E7530C" w:rsidRPr="00953692">
        <w:rPr>
          <w:sz w:val="24"/>
          <w:szCs w:val="24"/>
          <w:lang w:val="fr-FR"/>
        </w:rPr>
        <w:t>en conséquence</w:t>
      </w:r>
      <w:r w:rsidR="00C60E58" w:rsidRPr="00953692">
        <w:rPr>
          <w:sz w:val="24"/>
          <w:szCs w:val="24"/>
          <w:lang w:val="fr-FR"/>
        </w:rPr>
        <w:t xml:space="preserve"> constituer un moyen ultime pour l’accusé d’exiger une réparation </w:t>
      </w:r>
      <w:r w:rsidR="00770315" w:rsidRPr="00953692">
        <w:rPr>
          <w:sz w:val="24"/>
          <w:szCs w:val="24"/>
          <w:lang w:val="fr-FR"/>
        </w:rPr>
        <w:t>pour violation de son droit d’être jugé sans retard excessif</w:t>
      </w:r>
      <w:r w:rsidR="0092174E" w:rsidRPr="00953692">
        <w:rPr>
          <w:sz w:val="24"/>
          <w:szCs w:val="24"/>
          <w:lang w:val="fr-FR"/>
        </w:rPr>
        <w:t xml:space="preserve"> </w:t>
      </w:r>
      <w:r w:rsidR="00563BFF" w:rsidRPr="00953692">
        <w:rPr>
          <w:sz w:val="24"/>
          <w:szCs w:val="24"/>
          <w:lang w:val="fr-FR"/>
        </w:rPr>
        <w:t xml:space="preserve">qui se serait </w:t>
      </w:r>
      <w:r w:rsidR="0092174E" w:rsidRPr="00953692">
        <w:rPr>
          <w:sz w:val="24"/>
          <w:szCs w:val="24"/>
          <w:lang w:val="fr-FR"/>
        </w:rPr>
        <w:t>commise</w:t>
      </w:r>
      <w:r w:rsidR="00F310F1" w:rsidRPr="00953692">
        <w:rPr>
          <w:sz w:val="24"/>
          <w:szCs w:val="24"/>
          <w:lang w:val="fr-FR"/>
        </w:rPr>
        <w:t xml:space="preserve"> durant la procédure</w:t>
      </w:r>
      <w:r w:rsidR="0092174E" w:rsidRPr="00953692">
        <w:rPr>
          <w:sz w:val="24"/>
          <w:szCs w:val="24"/>
          <w:lang w:val="fr-FR"/>
        </w:rPr>
        <w:t xml:space="preserve"> en première instance</w:t>
      </w:r>
      <w:r w:rsidR="00770315" w:rsidRPr="00953692">
        <w:rPr>
          <w:sz w:val="24"/>
          <w:szCs w:val="24"/>
          <w:lang w:val="fr-FR"/>
        </w:rPr>
        <w:t>.</w:t>
      </w:r>
    </w:p>
    <w:p w14:paraId="6B38B5D1" w14:textId="77777777" w:rsidR="00085636" w:rsidRPr="00953692" w:rsidRDefault="00085636" w:rsidP="00864BBF">
      <w:pPr>
        <w:spacing w:line="276" w:lineRule="auto"/>
        <w:rPr>
          <w:rFonts w:eastAsia="Calibri" w:cs="Times New Roman"/>
          <w:b/>
          <w:bCs/>
          <w:sz w:val="24"/>
          <w:szCs w:val="24"/>
          <w:lang w:val="fr-FR"/>
        </w:rPr>
      </w:pPr>
    </w:p>
    <w:p w14:paraId="0CA0DAA2" w14:textId="77777777" w:rsidR="000E2641" w:rsidRPr="00953692" w:rsidRDefault="000E2641" w:rsidP="00864BBF">
      <w:pPr>
        <w:spacing w:line="276" w:lineRule="auto"/>
        <w:rPr>
          <w:rFonts w:eastAsia="Calibri" w:cs="Times New Roman"/>
          <w:b/>
          <w:bCs/>
          <w:sz w:val="24"/>
          <w:szCs w:val="24"/>
          <w:lang w:val="fr-FR"/>
        </w:rPr>
      </w:pPr>
    </w:p>
    <w:p w14:paraId="30631106"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46AE6F59"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6C577AE8"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3D249273"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59945A62"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0D6F6392"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3D931FDE"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6AC089D2"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401A6B73"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13C84749"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5307B9E9"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0025457B"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2DD3DDE7"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4B15D7E1"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61353E48"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5A945607" w14:textId="77777777" w:rsidR="00767A38" w:rsidRPr="00953692" w:rsidRDefault="00767A38" w:rsidP="00864BBF">
      <w:pPr>
        <w:spacing w:line="276" w:lineRule="auto"/>
        <w:ind w:firstLine="1134"/>
        <w:jc w:val="center"/>
        <w:rPr>
          <w:rFonts w:eastAsia="Calibri" w:cs="Times New Roman"/>
          <w:b/>
          <w:bCs/>
          <w:sz w:val="24"/>
          <w:szCs w:val="24"/>
          <w:lang w:val="fr-FR"/>
        </w:rPr>
      </w:pPr>
    </w:p>
    <w:p w14:paraId="328342BC" w14:textId="77777777" w:rsidR="006A0175" w:rsidRPr="00953692" w:rsidRDefault="006A0175" w:rsidP="00864BBF">
      <w:pPr>
        <w:spacing w:line="276" w:lineRule="auto"/>
        <w:ind w:firstLine="1134"/>
        <w:jc w:val="center"/>
        <w:rPr>
          <w:rFonts w:eastAsia="Calibri" w:cs="Times New Roman"/>
          <w:b/>
          <w:bCs/>
          <w:sz w:val="24"/>
          <w:szCs w:val="24"/>
          <w:lang w:val="fr-FR"/>
        </w:rPr>
      </w:pPr>
    </w:p>
    <w:p w14:paraId="70A40681" w14:textId="77777777" w:rsidR="006A0175" w:rsidRPr="00953692" w:rsidRDefault="006A0175" w:rsidP="00864BBF">
      <w:pPr>
        <w:spacing w:line="276" w:lineRule="auto"/>
        <w:ind w:firstLine="1134"/>
        <w:jc w:val="center"/>
        <w:rPr>
          <w:rFonts w:eastAsia="Calibri" w:cs="Times New Roman"/>
          <w:b/>
          <w:bCs/>
          <w:sz w:val="24"/>
          <w:szCs w:val="24"/>
          <w:lang w:val="fr-FR"/>
        </w:rPr>
      </w:pPr>
    </w:p>
    <w:p w14:paraId="5F9A6564" w14:textId="77777777" w:rsidR="006A0175" w:rsidRPr="00953692" w:rsidRDefault="006A0175" w:rsidP="00864BBF">
      <w:pPr>
        <w:spacing w:line="276" w:lineRule="auto"/>
        <w:ind w:firstLine="1134"/>
        <w:jc w:val="center"/>
        <w:rPr>
          <w:rFonts w:eastAsia="Calibri" w:cs="Times New Roman"/>
          <w:b/>
          <w:bCs/>
          <w:sz w:val="24"/>
          <w:szCs w:val="24"/>
          <w:lang w:val="fr-FR"/>
        </w:rPr>
      </w:pPr>
    </w:p>
    <w:p w14:paraId="719DBBDF" w14:textId="77777777" w:rsidR="002F2795" w:rsidRPr="00953692" w:rsidRDefault="002F2795" w:rsidP="00864BBF">
      <w:pPr>
        <w:spacing w:line="276" w:lineRule="auto"/>
        <w:ind w:firstLine="1134"/>
        <w:jc w:val="center"/>
        <w:rPr>
          <w:rFonts w:eastAsia="Calibri" w:cs="Times New Roman"/>
          <w:b/>
          <w:bCs/>
          <w:sz w:val="24"/>
          <w:szCs w:val="24"/>
          <w:lang w:val="fr-FR"/>
        </w:rPr>
      </w:pPr>
    </w:p>
    <w:p w14:paraId="0FA1D8C3" w14:textId="77777777" w:rsidR="006A0175" w:rsidRPr="00953692" w:rsidRDefault="006A0175" w:rsidP="006A0175">
      <w:pPr>
        <w:spacing w:line="276" w:lineRule="auto"/>
        <w:rPr>
          <w:rFonts w:eastAsia="Calibri" w:cs="Times New Roman"/>
          <w:b/>
          <w:bCs/>
          <w:sz w:val="24"/>
          <w:szCs w:val="24"/>
          <w:lang w:val="fr-FR"/>
        </w:rPr>
      </w:pPr>
    </w:p>
    <w:p w14:paraId="0083A6C3" w14:textId="77777777" w:rsidR="006A0175" w:rsidRPr="00953692" w:rsidRDefault="006A0175" w:rsidP="006A0175">
      <w:pPr>
        <w:spacing w:line="276" w:lineRule="auto"/>
        <w:rPr>
          <w:rFonts w:eastAsia="Calibri" w:cs="Times New Roman"/>
          <w:b/>
          <w:bCs/>
          <w:sz w:val="24"/>
          <w:szCs w:val="24"/>
          <w:lang w:val="fr-FR"/>
        </w:rPr>
      </w:pPr>
    </w:p>
    <w:p w14:paraId="1DFFFC6D" w14:textId="77777777" w:rsidR="006A0175" w:rsidRPr="00953692" w:rsidRDefault="006A0175" w:rsidP="006A0175">
      <w:pPr>
        <w:pStyle w:val="Titre3"/>
        <w:jc w:val="center"/>
        <w:rPr>
          <w:rFonts w:ascii="Times New Roman" w:eastAsia="Calibri" w:hAnsi="Times New Roman"/>
          <w:bCs/>
          <w:color w:val="auto"/>
          <w:sz w:val="24"/>
          <w:szCs w:val="24"/>
          <w:lang w:val="fr-FR"/>
        </w:rPr>
      </w:pPr>
      <w:bookmarkStart w:id="107" w:name="_Toc195179453"/>
      <w:r w:rsidRPr="00953692">
        <w:rPr>
          <w:rFonts w:ascii="Times New Roman" w:eastAsia="Calibri" w:hAnsi="Times New Roman"/>
          <w:bCs/>
          <w:color w:val="auto"/>
          <w:sz w:val="24"/>
          <w:szCs w:val="24"/>
          <w:lang w:val="fr-FR"/>
        </w:rPr>
        <w:lastRenderedPageBreak/>
        <w:t>Conclusion</w:t>
      </w:r>
      <w:bookmarkEnd w:id="107"/>
    </w:p>
    <w:p w14:paraId="6EBC32F2" w14:textId="77777777" w:rsidR="006A0175" w:rsidRPr="00953692" w:rsidRDefault="006A0175" w:rsidP="00864BBF">
      <w:pPr>
        <w:spacing w:after="0" w:line="276" w:lineRule="auto"/>
        <w:ind w:firstLine="1134"/>
        <w:jc w:val="both"/>
        <w:rPr>
          <w:rFonts w:eastAsia="Calibri" w:cs="Times New Roman"/>
          <w:b/>
          <w:bCs/>
          <w:sz w:val="24"/>
          <w:szCs w:val="24"/>
          <w:lang w:val="fr-FR"/>
        </w:rPr>
      </w:pPr>
    </w:p>
    <w:p w14:paraId="32C2DBF3" w14:textId="79FFC07F" w:rsidR="00F0490B" w:rsidRPr="00953692" w:rsidRDefault="00D04C50" w:rsidP="00864BBF">
      <w:pPr>
        <w:spacing w:after="0" w:line="276" w:lineRule="auto"/>
        <w:ind w:firstLine="1134"/>
        <w:jc w:val="both"/>
        <w:rPr>
          <w:rFonts w:cs="Times New Roman"/>
          <w:sz w:val="24"/>
          <w:szCs w:val="24"/>
          <w:shd w:val="clear" w:color="auto" w:fill="FFFFFF"/>
          <w:lang w:val="fr-FR"/>
        </w:rPr>
      </w:pPr>
      <w:r w:rsidRPr="00953692">
        <w:rPr>
          <w:rFonts w:eastAsia="Calibri" w:cs="Times New Roman"/>
          <w:b/>
          <w:bCs/>
          <w:sz w:val="24"/>
          <w:szCs w:val="24"/>
          <w:lang w:val="fr-FR"/>
        </w:rPr>
        <w:t>473</w:t>
      </w:r>
      <w:r w:rsidR="009342C3" w:rsidRPr="00953692">
        <w:rPr>
          <w:rFonts w:eastAsia="Calibri" w:cs="Times New Roman"/>
          <w:b/>
          <w:bCs/>
          <w:sz w:val="24"/>
          <w:szCs w:val="24"/>
          <w:lang w:val="fr-FR"/>
        </w:rPr>
        <w:t>.</w:t>
      </w:r>
      <w:r w:rsidR="009342C3" w:rsidRPr="00953692">
        <w:rPr>
          <w:rFonts w:eastAsia="Calibri" w:cs="Times New Roman"/>
          <w:sz w:val="24"/>
          <w:szCs w:val="24"/>
          <w:lang w:val="fr-FR"/>
        </w:rPr>
        <w:t xml:space="preserve"> </w:t>
      </w:r>
      <w:r w:rsidR="00307DE7" w:rsidRPr="00953692">
        <w:rPr>
          <w:rFonts w:eastAsia="Calibri" w:cs="Times New Roman"/>
          <w:sz w:val="24"/>
          <w:szCs w:val="24"/>
          <w:lang w:val="fr-FR"/>
        </w:rPr>
        <w:t>Il résulte de cette étude</w:t>
      </w:r>
      <w:r w:rsidR="0052585A" w:rsidRPr="00953692">
        <w:rPr>
          <w:rFonts w:eastAsia="Calibri" w:cs="Times New Roman"/>
          <w:sz w:val="24"/>
          <w:szCs w:val="24"/>
          <w:lang w:val="fr-FR"/>
        </w:rPr>
        <w:t xml:space="preserve"> </w:t>
      </w:r>
      <w:r w:rsidR="00275F7B" w:rsidRPr="00953692">
        <w:rPr>
          <w:rFonts w:eastAsia="Calibri" w:cs="Times New Roman"/>
          <w:sz w:val="24"/>
          <w:szCs w:val="24"/>
          <w:lang w:val="fr-FR"/>
        </w:rPr>
        <w:t xml:space="preserve">que, </w:t>
      </w:r>
      <w:r w:rsidR="0052585A" w:rsidRPr="00953692">
        <w:rPr>
          <w:rFonts w:eastAsia="Calibri" w:cs="Times New Roman"/>
          <w:sz w:val="24"/>
          <w:szCs w:val="24"/>
          <w:lang w:val="fr-FR"/>
        </w:rPr>
        <w:t>le délai raisonnable</w:t>
      </w:r>
      <w:r w:rsidR="00F0490B" w:rsidRPr="00953692">
        <w:rPr>
          <w:rFonts w:eastAsia="Calibri" w:cs="Times New Roman"/>
          <w:sz w:val="24"/>
          <w:szCs w:val="24"/>
          <w:lang w:val="fr-FR"/>
        </w:rPr>
        <w:t xml:space="preserve"> du procès ou le droit d’être jugé sans retard excessif</w:t>
      </w:r>
      <w:r w:rsidR="0052585A" w:rsidRPr="00953692">
        <w:rPr>
          <w:rFonts w:eastAsia="Calibri" w:cs="Times New Roman"/>
          <w:sz w:val="24"/>
          <w:szCs w:val="24"/>
          <w:lang w:val="fr-FR"/>
        </w:rPr>
        <w:t xml:space="preserve"> n’a de substance que </w:t>
      </w:r>
      <w:r w:rsidR="00F0490B" w:rsidRPr="00953692">
        <w:rPr>
          <w:rFonts w:eastAsia="Calibri" w:cs="Times New Roman"/>
          <w:sz w:val="24"/>
          <w:szCs w:val="24"/>
          <w:lang w:val="fr-FR"/>
        </w:rPr>
        <w:t xml:space="preserve">dans </w:t>
      </w:r>
      <w:r w:rsidR="0052585A" w:rsidRPr="00953692">
        <w:rPr>
          <w:rFonts w:eastAsia="Calibri" w:cs="Times New Roman"/>
          <w:sz w:val="24"/>
          <w:szCs w:val="24"/>
          <w:lang w:val="fr-FR"/>
        </w:rPr>
        <w:t>la temporalité du procès</w:t>
      </w:r>
      <w:r w:rsidR="00F0490B" w:rsidRPr="00953692">
        <w:rPr>
          <w:rFonts w:eastAsia="Calibri" w:cs="Times New Roman"/>
          <w:sz w:val="24"/>
          <w:szCs w:val="24"/>
          <w:lang w:val="fr-FR"/>
        </w:rPr>
        <w:t> ; c</w:t>
      </w:r>
      <w:r w:rsidR="0052585A" w:rsidRPr="00953692">
        <w:rPr>
          <w:rFonts w:eastAsia="Calibri" w:cs="Times New Roman"/>
          <w:sz w:val="24"/>
          <w:szCs w:val="24"/>
          <w:lang w:val="fr-FR"/>
        </w:rPr>
        <w:t>’est aussi sa finalité</w:t>
      </w:r>
      <w:r w:rsidR="009949F0" w:rsidRPr="00953692">
        <w:rPr>
          <w:rFonts w:eastAsia="Calibri" w:cs="Times New Roman"/>
          <w:sz w:val="24"/>
          <w:szCs w:val="24"/>
          <w:lang w:val="fr-FR"/>
        </w:rPr>
        <w:t> :</w:t>
      </w:r>
      <w:r w:rsidR="0052585A" w:rsidRPr="00953692">
        <w:rPr>
          <w:rFonts w:eastAsia="Calibri" w:cs="Times New Roman"/>
          <w:sz w:val="24"/>
          <w:szCs w:val="24"/>
          <w:lang w:val="fr-FR"/>
        </w:rPr>
        <w:t xml:space="preserve"> celle de réguler</w:t>
      </w:r>
      <w:r w:rsidR="00985A96" w:rsidRPr="00953692">
        <w:rPr>
          <w:rFonts w:eastAsia="Calibri" w:cs="Times New Roman"/>
          <w:sz w:val="24"/>
          <w:szCs w:val="24"/>
          <w:lang w:val="fr-FR"/>
        </w:rPr>
        <w:t xml:space="preserve"> et de rationaliser la durée ou le temps de ce procès. La tâche est colossale </w:t>
      </w:r>
      <w:r w:rsidR="00921C5D" w:rsidRPr="00953692">
        <w:rPr>
          <w:rFonts w:eastAsia="Calibri" w:cs="Times New Roman"/>
          <w:sz w:val="24"/>
          <w:szCs w:val="24"/>
          <w:lang w:val="fr-FR"/>
        </w:rPr>
        <w:t xml:space="preserve">et surtout </w:t>
      </w:r>
      <w:r w:rsidR="00985A96" w:rsidRPr="00953692">
        <w:rPr>
          <w:rFonts w:eastAsia="Calibri" w:cs="Times New Roman"/>
          <w:sz w:val="24"/>
          <w:szCs w:val="24"/>
          <w:lang w:val="fr-FR"/>
        </w:rPr>
        <w:t xml:space="preserve">à la </w:t>
      </w:r>
      <w:r w:rsidR="00B13661" w:rsidRPr="00953692">
        <w:rPr>
          <w:rFonts w:eastAsia="Calibri" w:cs="Times New Roman"/>
          <w:sz w:val="24"/>
          <w:szCs w:val="24"/>
          <w:lang w:val="fr-FR"/>
        </w:rPr>
        <w:t>limite</w:t>
      </w:r>
      <w:r w:rsidR="00985A96" w:rsidRPr="00953692">
        <w:rPr>
          <w:rFonts w:eastAsia="Calibri" w:cs="Times New Roman"/>
          <w:sz w:val="24"/>
          <w:szCs w:val="24"/>
          <w:lang w:val="fr-FR"/>
        </w:rPr>
        <w:t xml:space="preserve"> de l’impossible lorsqu’il faut envisager cette règle dans une procédure, comme nous le rappelle </w:t>
      </w:r>
      <w:r w:rsidR="00985A96" w:rsidRPr="00953692">
        <w:rPr>
          <w:rFonts w:eastAsia="Times New Roman" w:cs="Times New Roman"/>
          <w:sz w:val="24"/>
          <w:szCs w:val="24"/>
          <w:shd w:val="clear" w:color="auto" w:fill="FFFFFF"/>
          <w:lang w:val="fr-FR"/>
        </w:rPr>
        <w:t>Natacha</w:t>
      </w:r>
      <w:r w:rsidR="00985A96" w:rsidRPr="00953692">
        <w:rPr>
          <w:rFonts w:eastAsia="Times New Roman" w:cs="Times New Roman"/>
          <w:b/>
          <w:sz w:val="24"/>
          <w:szCs w:val="24"/>
          <w:shd w:val="clear" w:color="auto" w:fill="FFFFFF"/>
          <w:lang w:val="fr-FR"/>
        </w:rPr>
        <w:t> </w:t>
      </w:r>
      <w:r w:rsidR="00985A96" w:rsidRPr="00953692">
        <w:rPr>
          <w:rFonts w:eastAsia="Times New Roman" w:cs="Times New Roman"/>
          <w:sz w:val="24"/>
          <w:szCs w:val="24"/>
          <w:shd w:val="clear" w:color="auto" w:fill="FFFFFF"/>
          <w:lang w:val="fr-FR"/>
        </w:rPr>
        <w:t xml:space="preserve">Fauveau Ivanovic, « appartenant </w:t>
      </w:r>
      <w:r w:rsidR="00E5779A" w:rsidRPr="00953692">
        <w:rPr>
          <w:rFonts w:cs="Times New Roman"/>
          <w:sz w:val="24"/>
          <w:szCs w:val="24"/>
          <w:shd w:val="clear" w:color="auto" w:fill="FFFFFF"/>
          <w:lang w:val="fr-FR"/>
        </w:rPr>
        <w:t>à la catégorie des procès de longue durée et que, souvent, chacune des phases d’un procès (la phase préalable au procès, le procès de première instance, le procès en appel) dure plusieurs années</w:t>
      </w:r>
      <w:r w:rsidR="00985A96" w:rsidRPr="00953692">
        <w:rPr>
          <w:rFonts w:cs="Times New Roman"/>
          <w:sz w:val="24"/>
          <w:szCs w:val="24"/>
          <w:shd w:val="clear" w:color="auto" w:fill="FFFFFF"/>
          <w:lang w:val="fr-FR"/>
        </w:rPr>
        <w:t> »</w:t>
      </w:r>
      <w:r w:rsidR="00414279" w:rsidRPr="00953692">
        <w:rPr>
          <w:rStyle w:val="Appelnotedebasdep"/>
          <w:rFonts w:cs="Times New Roman"/>
          <w:sz w:val="24"/>
          <w:szCs w:val="24"/>
          <w:shd w:val="clear" w:color="auto" w:fill="FFFFFF"/>
          <w:lang w:val="fr-FR"/>
        </w:rPr>
        <w:footnoteReference w:customMarkFollows="1" w:id="371"/>
        <w:t>347</w:t>
      </w:r>
      <w:r w:rsidR="00E5779A" w:rsidRPr="00953692">
        <w:rPr>
          <w:rFonts w:cs="Times New Roman"/>
          <w:sz w:val="24"/>
          <w:szCs w:val="24"/>
          <w:shd w:val="clear" w:color="auto" w:fill="FFFFFF"/>
          <w:lang w:val="fr-FR"/>
        </w:rPr>
        <w:t>.</w:t>
      </w:r>
      <w:r w:rsidR="00F0490B" w:rsidRPr="00953692">
        <w:rPr>
          <w:rFonts w:cs="Times New Roman"/>
          <w:sz w:val="24"/>
          <w:szCs w:val="24"/>
          <w:shd w:val="clear" w:color="auto" w:fill="FFFFFF"/>
          <w:lang w:val="fr-FR"/>
        </w:rPr>
        <w:t xml:space="preserve"> Grosso modo, les procédures pénales internationales sont à placer dans la durée</w:t>
      </w:r>
      <w:r w:rsidR="001F167A" w:rsidRPr="00953692">
        <w:rPr>
          <w:rFonts w:cs="Times New Roman"/>
          <w:sz w:val="24"/>
          <w:szCs w:val="24"/>
          <w:shd w:val="clear" w:color="auto" w:fill="FFFFFF"/>
          <w:lang w:val="fr-FR"/>
        </w:rPr>
        <w:t xml:space="preserve"> et dans l’instantanéité ou dans l’immédiateté</w:t>
      </w:r>
      <w:r w:rsidR="00F0490B" w:rsidRPr="00953692">
        <w:rPr>
          <w:rFonts w:cs="Times New Roman"/>
          <w:sz w:val="24"/>
          <w:szCs w:val="24"/>
          <w:shd w:val="clear" w:color="auto" w:fill="FFFFFF"/>
          <w:lang w:val="fr-FR"/>
        </w:rPr>
        <w:t>.</w:t>
      </w:r>
    </w:p>
    <w:p w14:paraId="2C9B8F59" w14:textId="19648052" w:rsidR="00695411" w:rsidRPr="00953692" w:rsidRDefault="00D04C50"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474</w:t>
      </w:r>
      <w:r w:rsidR="00F0490B" w:rsidRPr="00953692">
        <w:rPr>
          <w:rFonts w:cs="Times New Roman"/>
          <w:b/>
          <w:bCs/>
          <w:sz w:val="24"/>
          <w:szCs w:val="24"/>
          <w:shd w:val="clear" w:color="auto" w:fill="FFFFFF"/>
          <w:lang w:val="fr-FR"/>
        </w:rPr>
        <w:t>.</w:t>
      </w:r>
      <w:r w:rsidR="00F0490B" w:rsidRPr="00953692">
        <w:rPr>
          <w:rFonts w:cs="Times New Roman"/>
          <w:sz w:val="24"/>
          <w:szCs w:val="24"/>
          <w:shd w:val="clear" w:color="auto" w:fill="FFFFFF"/>
          <w:lang w:val="fr-FR"/>
        </w:rPr>
        <w:t xml:space="preserve"> De fait, les travaux de </w:t>
      </w:r>
      <w:r w:rsidR="00F0490B" w:rsidRPr="00953692">
        <w:rPr>
          <w:rFonts w:eastAsia="Times New Roman" w:cs="Times New Roman"/>
          <w:sz w:val="24"/>
          <w:szCs w:val="24"/>
          <w:shd w:val="clear" w:color="auto" w:fill="FFFFFF"/>
          <w:lang w:val="fr-FR"/>
        </w:rPr>
        <w:t>Natacha</w:t>
      </w:r>
      <w:r w:rsidR="00F0490B" w:rsidRPr="00953692">
        <w:rPr>
          <w:rFonts w:eastAsia="Times New Roman" w:cs="Times New Roman"/>
          <w:b/>
          <w:sz w:val="24"/>
          <w:szCs w:val="24"/>
          <w:shd w:val="clear" w:color="auto" w:fill="FFFFFF"/>
          <w:lang w:val="fr-FR"/>
        </w:rPr>
        <w:t> </w:t>
      </w:r>
      <w:r w:rsidR="00F0490B" w:rsidRPr="00953692">
        <w:rPr>
          <w:rFonts w:eastAsia="Times New Roman" w:cs="Times New Roman"/>
          <w:sz w:val="24"/>
          <w:szCs w:val="24"/>
          <w:shd w:val="clear" w:color="auto" w:fill="FFFFFF"/>
          <w:lang w:val="fr-FR"/>
        </w:rPr>
        <w:t>Fauveau Ivanovic, particulièrement</w:t>
      </w:r>
      <w:r w:rsidR="0064552D" w:rsidRPr="00953692">
        <w:rPr>
          <w:rFonts w:cs="Times New Roman"/>
          <w:sz w:val="24"/>
          <w:szCs w:val="24"/>
          <w:shd w:val="clear" w:color="auto" w:fill="FFFFFF"/>
          <w:lang w:val="fr-FR"/>
        </w:rPr>
        <w:t xml:space="preserve"> s</w:t>
      </w:r>
      <w:r w:rsidR="009949F0" w:rsidRPr="00953692">
        <w:rPr>
          <w:rFonts w:cs="Times New Roman"/>
          <w:sz w:val="24"/>
          <w:szCs w:val="24"/>
          <w:shd w:val="clear" w:color="auto" w:fill="FFFFFF"/>
          <w:lang w:val="fr-FR"/>
        </w:rPr>
        <w:t>a remarquable</w:t>
      </w:r>
      <w:r w:rsidR="0064552D" w:rsidRPr="00953692">
        <w:rPr>
          <w:rFonts w:cs="Times New Roman"/>
          <w:sz w:val="24"/>
          <w:szCs w:val="24"/>
          <w:shd w:val="clear" w:color="auto" w:fill="FFFFFF"/>
          <w:lang w:val="fr-FR"/>
        </w:rPr>
        <w:t xml:space="preserve"> étude sur </w:t>
      </w:r>
      <w:r w:rsidR="009949F0" w:rsidRPr="00953692">
        <w:rPr>
          <w:rFonts w:cs="Times New Roman"/>
          <w:sz w:val="24"/>
          <w:szCs w:val="24"/>
          <w:shd w:val="clear" w:color="auto" w:fill="FFFFFF"/>
          <w:lang w:val="fr-FR"/>
        </w:rPr>
        <w:t>« </w:t>
      </w:r>
      <w:r w:rsidR="0064552D" w:rsidRPr="00953692">
        <w:rPr>
          <w:rFonts w:eastAsia="Times New Roman" w:cs="Times New Roman"/>
          <w:i/>
          <w:iCs/>
          <w:sz w:val="24"/>
          <w:szCs w:val="24"/>
          <w:shd w:val="clear" w:color="auto" w:fill="FFFFFF"/>
          <w:lang w:val="fr-FR"/>
        </w:rPr>
        <w:t>réalité pour les droits de la défense au sein de la Cour pénale internationale</w:t>
      </w:r>
      <w:r w:rsidR="009949F0" w:rsidRPr="00953692">
        <w:rPr>
          <w:rFonts w:eastAsia="Times New Roman" w:cs="Times New Roman"/>
          <w:i/>
          <w:iCs/>
          <w:sz w:val="24"/>
          <w:szCs w:val="24"/>
          <w:shd w:val="clear" w:color="auto" w:fill="FFFFFF"/>
          <w:lang w:val="fr-FR"/>
        </w:rPr>
        <w:t> »</w:t>
      </w:r>
      <w:r w:rsidR="0064552D" w:rsidRPr="00953692">
        <w:rPr>
          <w:rFonts w:eastAsia="Times New Roman" w:cs="Times New Roman"/>
          <w:sz w:val="24"/>
          <w:szCs w:val="24"/>
          <w:shd w:val="clear" w:color="auto" w:fill="FFFFFF"/>
          <w:lang w:val="fr-FR"/>
        </w:rPr>
        <w:t>,</w:t>
      </w:r>
      <w:r w:rsidR="00F0490B" w:rsidRPr="00953692">
        <w:rPr>
          <w:rFonts w:eastAsia="Times New Roman" w:cs="Times New Roman"/>
          <w:sz w:val="24"/>
          <w:szCs w:val="24"/>
          <w:shd w:val="clear" w:color="auto" w:fill="FFFFFF"/>
          <w:lang w:val="fr-FR"/>
        </w:rPr>
        <w:t xml:space="preserve"> a pertinemment révélé</w:t>
      </w:r>
      <w:r w:rsidR="0064552D" w:rsidRPr="00953692">
        <w:rPr>
          <w:rFonts w:eastAsia="Times New Roman" w:cs="Times New Roman"/>
          <w:sz w:val="24"/>
          <w:szCs w:val="24"/>
          <w:shd w:val="clear" w:color="auto" w:fill="FFFFFF"/>
          <w:lang w:val="fr-FR"/>
        </w:rPr>
        <w:t xml:space="preserve"> la difficulté à laquelle </w:t>
      </w:r>
      <w:r w:rsidR="009949F0" w:rsidRPr="00953692">
        <w:rPr>
          <w:rFonts w:eastAsia="Times New Roman" w:cs="Times New Roman"/>
          <w:sz w:val="24"/>
          <w:szCs w:val="24"/>
          <w:shd w:val="clear" w:color="auto" w:fill="FFFFFF"/>
          <w:lang w:val="fr-FR"/>
        </w:rPr>
        <w:t>l’</w:t>
      </w:r>
      <w:r w:rsidR="0064552D" w:rsidRPr="00953692">
        <w:rPr>
          <w:rFonts w:eastAsia="Times New Roman" w:cs="Times New Roman"/>
          <w:sz w:val="24"/>
          <w:szCs w:val="24"/>
          <w:shd w:val="clear" w:color="auto" w:fill="FFFFFF"/>
          <w:lang w:val="fr-FR"/>
        </w:rPr>
        <w:t xml:space="preserve">on se heurte en </w:t>
      </w:r>
      <w:r w:rsidR="00F0490B" w:rsidRPr="00953692">
        <w:rPr>
          <w:rFonts w:eastAsia="Times New Roman" w:cs="Times New Roman"/>
          <w:sz w:val="24"/>
          <w:szCs w:val="24"/>
          <w:shd w:val="clear" w:color="auto" w:fill="FFFFFF"/>
          <w:lang w:val="fr-FR"/>
        </w:rPr>
        <w:t>cherchant à</w:t>
      </w:r>
      <w:r w:rsidR="0064552D" w:rsidRPr="00953692">
        <w:rPr>
          <w:rFonts w:eastAsia="Times New Roman" w:cs="Times New Roman"/>
          <w:sz w:val="24"/>
          <w:szCs w:val="24"/>
          <w:shd w:val="clear" w:color="auto" w:fill="FFFFFF"/>
          <w:lang w:val="fr-FR"/>
        </w:rPr>
        <w:t xml:space="preserve"> prévaloir le droit de l’accusé d’</w:t>
      </w:r>
      <w:r w:rsidR="00887E03" w:rsidRPr="00953692">
        <w:rPr>
          <w:rFonts w:eastAsia="Times New Roman" w:cs="Times New Roman"/>
          <w:sz w:val="24"/>
          <w:szCs w:val="24"/>
          <w:shd w:val="clear" w:color="auto" w:fill="FFFFFF"/>
          <w:lang w:val="fr-FR"/>
        </w:rPr>
        <w:t>être</w:t>
      </w:r>
      <w:r w:rsidR="0064552D" w:rsidRPr="00953692">
        <w:rPr>
          <w:rFonts w:eastAsia="Times New Roman" w:cs="Times New Roman"/>
          <w:sz w:val="24"/>
          <w:szCs w:val="24"/>
          <w:shd w:val="clear" w:color="auto" w:fill="FFFFFF"/>
          <w:lang w:val="fr-FR"/>
        </w:rPr>
        <w:t xml:space="preserve"> jugé sans retard excessif</w:t>
      </w:r>
      <w:r w:rsidR="00F0490B" w:rsidRPr="00953692">
        <w:rPr>
          <w:rFonts w:eastAsia="Times New Roman" w:cs="Times New Roman"/>
          <w:sz w:val="24"/>
          <w:szCs w:val="24"/>
          <w:shd w:val="clear" w:color="auto" w:fill="FFFFFF"/>
          <w:lang w:val="fr-FR"/>
        </w:rPr>
        <w:t> ;</w:t>
      </w:r>
      <w:r w:rsidR="00887E03" w:rsidRPr="00953692">
        <w:rPr>
          <w:rFonts w:eastAsia="Times New Roman" w:cs="Times New Roman"/>
          <w:sz w:val="24"/>
          <w:szCs w:val="24"/>
          <w:shd w:val="clear" w:color="auto" w:fill="FFFFFF"/>
          <w:lang w:val="fr-FR"/>
        </w:rPr>
        <w:t xml:space="preserve"> car, soutient-elle,</w:t>
      </w:r>
      <w:r w:rsidR="00887E03" w:rsidRPr="00953692">
        <w:rPr>
          <w:rFonts w:cs="Times New Roman"/>
          <w:sz w:val="24"/>
          <w:szCs w:val="24"/>
          <w:shd w:val="clear" w:color="auto" w:fill="FFFFFF"/>
          <w:lang w:val="fr-FR"/>
        </w:rPr>
        <w:t xml:space="preserve"> « </w:t>
      </w:r>
      <w:r w:rsidR="009949F0" w:rsidRPr="00953692">
        <w:rPr>
          <w:rFonts w:cs="Times New Roman"/>
          <w:sz w:val="24"/>
          <w:szCs w:val="24"/>
          <w:shd w:val="clear" w:color="auto" w:fill="FFFFFF"/>
          <w:lang w:val="fr-FR"/>
        </w:rPr>
        <w:t>ce droit</w:t>
      </w:r>
      <w:r w:rsidR="00887E03" w:rsidRPr="00953692">
        <w:rPr>
          <w:rFonts w:cs="Times New Roman"/>
          <w:sz w:val="24"/>
          <w:szCs w:val="24"/>
          <w:shd w:val="clear" w:color="auto" w:fill="FFFFFF"/>
          <w:lang w:val="fr-FR"/>
        </w:rPr>
        <w:t xml:space="preserve"> </w:t>
      </w:r>
      <w:r w:rsidR="0064552D" w:rsidRPr="00953692">
        <w:rPr>
          <w:rFonts w:cs="Times New Roman"/>
          <w:sz w:val="24"/>
          <w:szCs w:val="24"/>
          <w:shd w:val="clear" w:color="auto" w:fill="FFFFFF"/>
          <w:lang w:val="fr-FR"/>
        </w:rPr>
        <w:t>ne doit pas être exercé au détriment d’autres droits fondamentaux de l’accusé qui ont pour objectif commun de lui assurer un procès équitable</w:t>
      </w:r>
      <w:r w:rsidR="00887E03" w:rsidRPr="00953692">
        <w:rPr>
          <w:rFonts w:cs="Times New Roman"/>
          <w:sz w:val="24"/>
          <w:szCs w:val="24"/>
          <w:shd w:val="clear" w:color="auto" w:fill="FFFFFF"/>
          <w:lang w:val="fr-FR"/>
        </w:rPr>
        <w:t> »</w:t>
      </w:r>
      <w:r w:rsidR="00414279" w:rsidRPr="00953692">
        <w:rPr>
          <w:rStyle w:val="Appelnotedebasdep"/>
          <w:rFonts w:cs="Times New Roman"/>
          <w:sz w:val="24"/>
          <w:szCs w:val="24"/>
          <w:shd w:val="clear" w:color="auto" w:fill="FFFFFF"/>
          <w:lang w:val="fr-FR"/>
        </w:rPr>
        <w:footnoteReference w:customMarkFollows="1" w:id="372"/>
        <w:t>348</w:t>
      </w:r>
      <w:r w:rsidR="0064552D" w:rsidRPr="00953692">
        <w:rPr>
          <w:rFonts w:cs="Times New Roman"/>
          <w:sz w:val="24"/>
          <w:szCs w:val="24"/>
          <w:shd w:val="clear" w:color="auto" w:fill="FFFFFF"/>
          <w:lang w:val="fr-FR"/>
        </w:rPr>
        <w:t xml:space="preserve">. </w:t>
      </w:r>
      <w:r w:rsidR="006962DD" w:rsidRPr="00953692">
        <w:rPr>
          <w:rStyle w:val="grammar"/>
          <w:rFonts w:cs="Times New Roman"/>
          <w:sz w:val="24"/>
          <w:szCs w:val="24"/>
          <w:lang w:val="fr-FR"/>
        </w:rPr>
        <w:t>À</w:t>
      </w:r>
      <w:r w:rsidR="006962DD" w:rsidRPr="00953692">
        <w:rPr>
          <w:rFonts w:cs="Times New Roman"/>
          <w:sz w:val="24"/>
          <w:szCs w:val="24"/>
          <w:shd w:val="clear" w:color="auto" w:fill="FFFFFF"/>
          <w:lang w:val="fr-FR"/>
        </w:rPr>
        <w:t xml:space="preserve"> cet effet,</w:t>
      </w:r>
      <w:r w:rsidR="006962DD" w:rsidRPr="00953692">
        <w:rPr>
          <w:rFonts w:ascii="Tahoma" w:hAnsi="Tahoma" w:cs="Tahoma"/>
          <w:sz w:val="24"/>
          <w:szCs w:val="24"/>
          <w:shd w:val="clear" w:color="auto" w:fill="FFFFFF"/>
          <w:lang w:val="fr-FR"/>
        </w:rPr>
        <w:t xml:space="preserve"> </w:t>
      </w:r>
      <w:r w:rsidR="00695411" w:rsidRPr="00953692">
        <w:rPr>
          <w:rFonts w:cs="Times New Roman"/>
          <w:sz w:val="24"/>
          <w:szCs w:val="24"/>
          <w:shd w:val="clear" w:color="auto" w:fill="FFFFFF"/>
          <w:lang w:val="fr-FR"/>
        </w:rPr>
        <w:t xml:space="preserve">l’auteure fustige donc une protection à outrance du droit d’être jugé sans retard excessif au risque de porter </w:t>
      </w:r>
      <w:r w:rsidR="0064552D" w:rsidRPr="00953692">
        <w:rPr>
          <w:rFonts w:cs="Times New Roman"/>
          <w:sz w:val="24"/>
          <w:szCs w:val="24"/>
          <w:shd w:val="clear" w:color="auto" w:fill="FFFFFF"/>
          <w:lang w:val="fr-FR"/>
        </w:rPr>
        <w:t>atteinte aux autres droits fondamentaux de l’accusé</w:t>
      </w:r>
      <w:r w:rsidR="00695411" w:rsidRPr="00953692">
        <w:rPr>
          <w:rFonts w:cs="Times New Roman"/>
          <w:sz w:val="24"/>
          <w:szCs w:val="24"/>
          <w:shd w:val="clear" w:color="auto" w:fill="FFFFFF"/>
          <w:lang w:val="fr-FR"/>
        </w:rPr>
        <w:t xml:space="preserve"> ou d’entrer en collision avec d’autres droits</w:t>
      </w:r>
      <w:r w:rsidR="00414279" w:rsidRPr="00953692">
        <w:rPr>
          <w:rStyle w:val="Appelnotedebasdep"/>
          <w:rFonts w:cs="Times New Roman"/>
          <w:sz w:val="24"/>
          <w:szCs w:val="24"/>
          <w:shd w:val="clear" w:color="auto" w:fill="FFFFFF"/>
          <w:lang w:val="fr-FR"/>
        </w:rPr>
        <w:footnoteReference w:customMarkFollows="1" w:id="373"/>
        <w:t>349</w:t>
      </w:r>
      <w:r w:rsidR="0064552D" w:rsidRPr="00953692">
        <w:rPr>
          <w:rFonts w:cs="Times New Roman"/>
          <w:sz w:val="24"/>
          <w:szCs w:val="24"/>
          <w:shd w:val="clear" w:color="auto" w:fill="FFFFFF"/>
          <w:lang w:val="fr-FR"/>
        </w:rPr>
        <w:t>.</w:t>
      </w:r>
      <w:r w:rsidR="00F97ED5" w:rsidRPr="00953692">
        <w:rPr>
          <w:rFonts w:cs="Times New Roman"/>
          <w:sz w:val="24"/>
          <w:szCs w:val="24"/>
          <w:shd w:val="clear" w:color="auto" w:fill="FFFFFF"/>
          <w:lang w:val="fr-FR"/>
        </w:rPr>
        <w:t xml:space="preserve"> Elle invite donc à la balance et à l’équilibre</w:t>
      </w:r>
      <w:r w:rsidR="00217527" w:rsidRPr="00953692">
        <w:rPr>
          <w:rFonts w:cs="Times New Roman"/>
          <w:sz w:val="24"/>
          <w:szCs w:val="24"/>
          <w:shd w:val="clear" w:color="auto" w:fill="FFFFFF"/>
          <w:lang w:val="fr-FR"/>
        </w:rPr>
        <w:t xml:space="preserve"> dans l’exercice de ce droit</w:t>
      </w:r>
      <w:r w:rsidR="00F97ED5" w:rsidRPr="00953692">
        <w:rPr>
          <w:rFonts w:cs="Times New Roman"/>
          <w:sz w:val="24"/>
          <w:szCs w:val="24"/>
          <w:shd w:val="clear" w:color="auto" w:fill="FFFFFF"/>
          <w:lang w:val="fr-FR"/>
        </w:rPr>
        <w:t>.</w:t>
      </w:r>
    </w:p>
    <w:p w14:paraId="2A88003D" w14:textId="78147720" w:rsidR="00252AE9" w:rsidRPr="00953692" w:rsidRDefault="00D04C50"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475</w:t>
      </w:r>
      <w:r w:rsidR="009342C3" w:rsidRPr="00953692">
        <w:rPr>
          <w:rFonts w:cs="Times New Roman"/>
          <w:b/>
          <w:bCs/>
          <w:sz w:val="24"/>
          <w:szCs w:val="24"/>
          <w:shd w:val="clear" w:color="auto" w:fill="FFFFFF"/>
          <w:lang w:val="fr-FR"/>
        </w:rPr>
        <w:t>.</w:t>
      </w:r>
      <w:r w:rsidR="009342C3" w:rsidRPr="00953692">
        <w:rPr>
          <w:rFonts w:cs="Times New Roman"/>
          <w:sz w:val="24"/>
          <w:szCs w:val="24"/>
          <w:shd w:val="clear" w:color="auto" w:fill="FFFFFF"/>
          <w:lang w:val="fr-FR"/>
        </w:rPr>
        <w:t xml:space="preserve"> </w:t>
      </w:r>
      <w:r w:rsidR="00D6634F" w:rsidRPr="00953692">
        <w:rPr>
          <w:rFonts w:cs="Times New Roman"/>
          <w:sz w:val="24"/>
          <w:szCs w:val="24"/>
          <w:shd w:val="clear" w:color="auto" w:fill="FFFFFF"/>
          <w:lang w:val="fr-FR"/>
        </w:rPr>
        <w:t xml:space="preserve">En effet, si cette </w:t>
      </w:r>
      <w:r w:rsidR="00217527" w:rsidRPr="00953692">
        <w:rPr>
          <w:rFonts w:eastAsia="Times New Roman" w:cs="Times New Roman"/>
          <w:sz w:val="24"/>
          <w:szCs w:val="24"/>
          <w:shd w:val="clear" w:color="auto" w:fill="FFFFFF"/>
          <w:lang w:val="fr-FR"/>
        </w:rPr>
        <w:t>Natacha</w:t>
      </w:r>
      <w:r w:rsidR="00217527" w:rsidRPr="00953692">
        <w:rPr>
          <w:rFonts w:eastAsia="Times New Roman" w:cs="Times New Roman"/>
          <w:b/>
          <w:sz w:val="24"/>
          <w:szCs w:val="24"/>
          <w:shd w:val="clear" w:color="auto" w:fill="FFFFFF"/>
          <w:lang w:val="fr-FR"/>
        </w:rPr>
        <w:t> </w:t>
      </w:r>
      <w:r w:rsidR="00217527" w:rsidRPr="00953692">
        <w:rPr>
          <w:rFonts w:eastAsia="Times New Roman" w:cs="Times New Roman"/>
          <w:sz w:val="24"/>
          <w:szCs w:val="24"/>
          <w:shd w:val="clear" w:color="auto" w:fill="FFFFFF"/>
          <w:lang w:val="fr-FR"/>
        </w:rPr>
        <w:t>Fauveau Ivanovic</w:t>
      </w:r>
      <w:r w:rsidR="00D6634F" w:rsidRPr="00953692">
        <w:rPr>
          <w:rFonts w:cs="Times New Roman"/>
          <w:sz w:val="24"/>
          <w:szCs w:val="24"/>
          <w:shd w:val="clear" w:color="auto" w:fill="FFFFFF"/>
          <w:lang w:val="fr-FR"/>
        </w:rPr>
        <w:t xml:space="preserve"> a parfaitement esquissé les rapports difficiles</w:t>
      </w:r>
      <w:r w:rsidR="00921C5D" w:rsidRPr="00953692">
        <w:rPr>
          <w:rFonts w:cs="Times New Roman"/>
          <w:sz w:val="24"/>
          <w:szCs w:val="24"/>
          <w:shd w:val="clear" w:color="auto" w:fill="FFFFFF"/>
          <w:lang w:val="fr-FR"/>
        </w:rPr>
        <w:t xml:space="preserve"> ou conflictuels</w:t>
      </w:r>
      <w:r w:rsidR="00D6634F" w:rsidRPr="00953692">
        <w:rPr>
          <w:rFonts w:cs="Times New Roman"/>
          <w:sz w:val="24"/>
          <w:szCs w:val="24"/>
          <w:shd w:val="clear" w:color="auto" w:fill="FFFFFF"/>
          <w:lang w:val="fr-FR"/>
        </w:rPr>
        <w:t xml:space="preserve"> que pourrait entretenir le délai raisonnable avec d’autres droits</w:t>
      </w:r>
      <w:r w:rsidR="00E845AB" w:rsidRPr="00953692">
        <w:rPr>
          <w:rFonts w:cs="Times New Roman"/>
          <w:sz w:val="24"/>
          <w:szCs w:val="24"/>
          <w:shd w:val="clear" w:color="auto" w:fill="FFFFFF"/>
          <w:lang w:val="fr-FR"/>
        </w:rPr>
        <w:t> ; sauf une prétention indigeste, la seconde partie de</w:t>
      </w:r>
      <w:r w:rsidR="00D6634F" w:rsidRPr="00953692">
        <w:rPr>
          <w:rFonts w:cs="Times New Roman"/>
          <w:sz w:val="24"/>
          <w:szCs w:val="24"/>
          <w:shd w:val="clear" w:color="auto" w:fill="FFFFFF"/>
          <w:lang w:val="fr-FR"/>
        </w:rPr>
        <w:t xml:space="preserve"> la présente étude aurait vraisemblablement le mérite d’élargir la portée</w:t>
      </w:r>
      <w:r w:rsidR="00F64D6C" w:rsidRPr="00953692">
        <w:rPr>
          <w:rFonts w:cs="Times New Roman"/>
          <w:sz w:val="24"/>
          <w:szCs w:val="24"/>
          <w:shd w:val="clear" w:color="auto" w:fill="FFFFFF"/>
          <w:lang w:val="fr-FR"/>
        </w:rPr>
        <w:t xml:space="preserve"> d’un tel constat incontestable. </w:t>
      </w:r>
      <w:r w:rsidR="002B3DE7" w:rsidRPr="00953692">
        <w:rPr>
          <w:rFonts w:cs="Times New Roman"/>
          <w:sz w:val="24"/>
          <w:szCs w:val="24"/>
          <w:shd w:val="clear" w:color="auto" w:fill="FFFFFF"/>
          <w:lang w:val="fr-FR"/>
        </w:rPr>
        <w:t xml:space="preserve">La plus grande difficulté de cette règle, c’est curieusement le temps dont elle est censée être régulatrice. Ce temps qui sustente </w:t>
      </w:r>
      <w:r w:rsidR="002E4B16" w:rsidRPr="00953692">
        <w:rPr>
          <w:rFonts w:cs="Times New Roman"/>
          <w:sz w:val="24"/>
          <w:szCs w:val="24"/>
          <w:shd w:val="clear" w:color="auto" w:fill="FFFFFF"/>
          <w:lang w:val="fr-FR"/>
        </w:rPr>
        <w:t xml:space="preserve">aussi </w:t>
      </w:r>
      <w:r w:rsidR="002B3DE7" w:rsidRPr="00953692">
        <w:rPr>
          <w:rFonts w:cs="Times New Roman"/>
          <w:sz w:val="24"/>
          <w:szCs w:val="24"/>
          <w:shd w:val="clear" w:color="auto" w:fill="FFFFFF"/>
          <w:lang w:val="fr-FR"/>
        </w:rPr>
        <w:t>d’autres droits de l’accusé et en donne un sens particulier</w:t>
      </w:r>
      <w:r w:rsidR="002E4B16" w:rsidRPr="00953692">
        <w:rPr>
          <w:rFonts w:cs="Times New Roman"/>
          <w:sz w:val="24"/>
          <w:szCs w:val="24"/>
          <w:shd w:val="clear" w:color="auto" w:fill="FFFFFF"/>
          <w:lang w:val="fr-FR"/>
        </w:rPr>
        <w:t>,</w:t>
      </w:r>
      <w:r w:rsidR="002B3DE7" w:rsidRPr="00953692">
        <w:rPr>
          <w:rFonts w:cs="Times New Roman"/>
          <w:sz w:val="24"/>
          <w:szCs w:val="24"/>
          <w:shd w:val="clear" w:color="auto" w:fill="FFFFFF"/>
          <w:lang w:val="fr-FR"/>
        </w:rPr>
        <w:t xml:space="preserve"> ne peut être considéré comme un objet à la disposition exclusive du délai raisonnable. </w:t>
      </w:r>
      <w:r w:rsidR="004A084B" w:rsidRPr="00953692">
        <w:rPr>
          <w:rFonts w:cs="Times New Roman"/>
          <w:sz w:val="24"/>
          <w:szCs w:val="24"/>
          <w:shd w:val="clear" w:color="auto" w:fill="FFFFFF"/>
          <w:lang w:val="fr-FR"/>
        </w:rPr>
        <w:t>Dès l’instant où les autres droits s’en inspire</w:t>
      </w:r>
      <w:r w:rsidR="00834C85" w:rsidRPr="00953692">
        <w:rPr>
          <w:rFonts w:cs="Times New Roman"/>
          <w:sz w:val="24"/>
          <w:szCs w:val="24"/>
          <w:shd w:val="clear" w:color="auto" w:fill="FFFFFF"/>
          <w:lang w:val="fr-FR"/>
        </w:rPr>
        <w:t>nt</w:t>
      </w:r>
      <w:r w:rsidR="004A084B" w:rsidRPr="00953692">
        <w:rPr>
          <w:rFonts w:cs="Times New Roman"/>
          <w:sz w:val="24"/>
          <w:szCs w:val="24"/>
          <w:shd w:val="clear" w:color="auto" w:fill="FFFFFF"/>
          <w:lang w:val="fr-FR"/>
        </w:rPr>
        <w:t xml:space="preserve"> autant que le délai raisonnable, il y a</w:t>
      </w:r>
      <w:r w:rsidR="00217527" w:rsidRPr="00953692">
        <w:rPr>
          <w:rFonts w:cs="Times New Roman"/>
          <w:sz w:val="24"/>
          <w:szCs w:val="24"/>
          <w:shd w:val="clear" w:color="auto" w:fill="FFFFFF"/>
          <w:lang w:val="fr-FR"/>
        </w:rPr>
        <w:t>urait</w:t>
      </w:r>
      <w:r w:rsidR="004A084B" w:rsidRPr="00953692">
        <w:rPr>
          <w:rFonts w:cs="Times New Roman"/>
          <w:sz w:val="24"/>
          <w:szCs w:val="24"/>
          <w:shd w:val="clear" w:color="auto" w:fill="FFFFFF"/>
          <w:lang w:val="fr-FR"/>
        </w:rPr>
        <w:t xml:space="preserve"> évidemment </w:t>
      </w:r>
      <w:r w:rsidR="00217527" w:rsidRPr="00953692">
        <w:rPr>
          <w:rFonts w:cs="Times New Roman"/>
          <w:sz w:val="24"/>
          <w:szCs w:val="24"/>
          <w:shd w:val="clear" w:color="auto" w:fill="FFFFFF"/>
          <w:lang w:val="fr-FR"/>
        </w:rPr>
        <w:t>l’ombre d’</w:t>
      </w:r>
      <w:r w:rsidR="004A084B" w:rsidRPr="00953692">
        <w:rPr>
          <w:rFonts w:cs="Times New Roman"/>
          <w:sz w:val="24"/>
          <w:szCs w:val="24"/>
          <w:shd w:val="clear" w:color="auto" w:fill="FFFFFF"/>
          <w:lang w:val="fr-FR"/>
        </w:rPr>
        <w:t>un conflit qui placerait l’accusé ou/et les organes judiciaires entre le marteau et l’enclume. Ils doivent choisir lequel des droits</w:t>
      </w:r>
      <w:r w:rsidR="00901562" w:rsidRPr="00953692">
        <w:rPr>
          <w:rFonts w:cs="Times New Roman"/>
          <w:sz w:val="24"/>
          <w:szCs w:val="24"/>
          <w:shd w:val="clear" w:color="auto" w:fill="FFFFFF"/>
          <w:lang w:val="fr-FR"/>
        </w:rPr>
        <w:t>,</w:t>
      </w:r>
      <w:r w:rsidR="004A084B" w:rsidRPr="00953692">
        <w:rPr>
          <w:rFonts w:cs="Times New Roman"/>
          <w:sz w:val="24"/>
          <w:szCs w:val="24"/>
          <w:shd w:val="clear" w:color="auto" w:fill="FFFFFF"/>
          <w:lang w:val="fr-FR"/>
        </w:rPr>
        <w:t xml:space="preserve"> veulent-ils privilégier. </w:t>
      </w:r>
      <w:r w:rsidR="0083423E" w:rsidRPr="00953692">
        <w:rPr>
          <w:rFonts w:cs="Times New Roman"/>
          <w:sz w:val="24"/>
          <w:szCs w:val="24"/>
          <w:shd w:val="clear" w:color="auto" w:fill="FFFFFF"/>
          <w:lang w:val="fr-FR"/>
        </w:rPr>
        <w:t>Ce choix n’est pas opéré dans le but de désavantage</w:t>
      </w:r>
      <w:r w:rsidR="002E4B16" w:rsidRPr="00953692">
        <w:rPr>
          <w:rFonts w:cs="Times New Roman"/>
          <w:sz w:val="24"/>
          <w:szCs w:val="24"/>
          <w:shd w:val="clear" w:color="auto" w:fill="FFFFFF"/>
          <w:lang w:val="fr-FR"/>
        </w:rPr>
        <w:t>r</w:t>
      </w:r>
      <w:r w:rsidR="0083423E" w:rsidRPr="00953692">
        <w:rPr>
          <w:rFonts w:cs="Times New Roman"/>
          <w:sz w:val="24"/>
          <w:szCs w:val="24"/>
          <w:shd w:val="clear" w:color="auto" w:fill="FFFFFF"/>
          <w:lang w:val="fr-FR"/>
        </w:rPr>
        <w:t xml:space="preserve"> </w:t>
      </w:r>
      <w:r w:rsidR="009342C3" w:rsidRPr="00953692">
        <w:rPr>
          <w:rFonts w:cs="Times New Roman"/>
          <w:sz w:val="24"/>
          <w:szCs w:val="24"/>
          <w:shd w:val="clear" w:color="auto" w:fill="FFFFFF"/>
          <w:lang w:val="fr-FR"/>
        </w:rPr>
        <w:t xml:space="preserve">tel </w:t>
      </w:r>
      <w:r w:rsidR="0083423E" w:rsidRPr="00953692">
        <w:rPr>
          <w:rFonts w:cs="Times New Roman"/>
          <w:sz w:val="24"/>
          <w:szCs w:val="24"/>
          <w:shd w:val="clear" w:color="auto" w:fill="FFFFFF"/>
          <w:lang w:val="fr-FR"/>
        </w:rPr>
        <w:t>ou</w:t>
      </w:r>
      <w:r w:rsidR="009342C3" w:rsidRPr="00953692">
        <w:rPr>
          <w:rFonts w:cs="Times New Roman"/>
          <w:sz w:val="24"/>
          <w:szCs w:val="24"/>
          <w:shd w:val="clear" w:color="auto" w:fill="FFFFFF"/>
          <w:lang w:val="fr-FR"/>
        </w:rPr>
        <w:t xml:space="preserve"> tel</w:t>
      </w:r>
      <w:r w:rsidR="0083423E" w:rsidRPr="00953692">
        <w:rPr>
          <w:rFonts w:cs="Times New Roman"/>
          <w:sz w:val="24"/>
          <w:szCs w:val="24"/>
          <w:shd w:val="clear" w:color="auto" w:fill="FFFFFF"/>
          <w:lang w:val="fr-FR"/>
        </w:rPr>
        <w:t xml:space="preserve"> autre droit, </w:t>
      </w:r>
      <w:r w:rsidR="00901562" w:rsidRPr="00953692">
        <w:rPr>
          <w:rFonts w:cs="Times New Roman"/>
          <w:sz w:val="24"/>
          <w:szCs w:val="24"/>
          <w:shd w:val="clear" w:color="auto" w:fill="FFFFFF"/>
          <w:lang w:val="fr-FR"/>
        </w:rPr>
        <w:t>tant</w:t>
      </w:r>
      <w:r w:rsidR="0083423E" w:rsidRPr="00953692">
        <w:rPr>
          <w:rFonts w:cs="Times New Roman"/>
          <w:sz w:val="24"/>
          <w:szCs w:val="24"/>
          <w:shd w:val="clear" w:color="auto" w:fill="FFFFFF"/>
          <w:lang w:val="fr-FR"/>
        </w:rPr>
        <w:t xml:space="preserve"> s’en faut, </w:t>
      </w:r>
      <w:r w:rsidR="00921C5D" w:rsidRPr="00953692">
        <w:rPr>
          <w:rFonts w:cs="Times New Roman"/>
          <w:sz w:val="24"/>
          <w:szCs w:val="24"/>
          <w:shd w:val="clear" w:color="auto" w:fill="FFFFFF"/>
          <w:lang w:val="fr-FR"/>
        </w:rPr>
        <w:t>il</w:t>
      </w:r>
      <w:r w:rsidR="0083423E" w:rsidRPr="00953692">
        <w:rPr>
          <w:rFonts w:cs="Times New Roman"/>
          <w:sz w:val="24"/>
          <w:szCs w:val="24"/>
          <w:shd w:val="clear" w:color="auto" w:fill="FFFFFF"/>
          <w:lang w:val="fr-FR"/>
        </w:rPr>
        <w:t xml:space="preserve"> </w:t>
      </w:r>
      <w:r w:rsidR="00921C5D" w:rsidRPr="00953692">
        <w:rPr>
          <w:rFonts w:cs="Times New Roman"/>
          <w:sz w:val="24"/>
          <w:szCs w:val="24"/>
          <w:shd w:val="clear" w:color="auto" w:fill="FFFFFF"/>
          <w:lang w:val="fr-FR"/>
        </w:rPr>
        <w:t>répond plutôt</w:t>
      </w:r>
      <w:r w:rsidR="0083423E" w:rsidRPr="00953692">
        <w:rPr>
          <w:rFonts w:cs="Times New Roman"/>
          <w:sz w:val="24"/>
          <w:szCs w:val="24"/>
          <w:shd w:val="clear" w:color="auto" w:fill="FFFFFF"/>
          <w:lang w:val="fr-FR"/>
        </w:rPr>
        <w:t xml:space="preserve"> au critère de l’opportunité. </w:t>
      </w:r>
      <w:r w:rsidR="00921C5D" w:rsidRPr="00953692">
        <w:rPr>
          <w:rFonts w:cs="Times New Roman"/>
          <w:sz w:val="24"/>
          <w:szCs w:val="24"/>
          <w:shd w:val="clear" w:color="auto" w:fill="FFFFFF"/>
          <w:lang w:val="fr-FR"/>
        </w:rPr>
        <w:t>Ce critère permet une forme de priorisation en fonction de l’enjeu</w:t>
      </w:r>
      <w:r w:rsidR="00217527" w:rsidRPr="00953692">
        <w:rPr>
          <w:rFonts w:cs="Times New Roman"/>
          <w:sz w:val="24"/>
          <w:szCs w:val="24"/>
          <w:shd w:val="clear" w:color="auto" w:fill="FFFFFF"/>
          <w:lang w:val="fr-FR"/>
        </w:rPr>
        <w:t xml:space="preserve"> du procès</w:t>
      </w:r>
      <w:r w:rsidR="00921C5D" w:rsidRPr="00953692">
        <w:rPr>
          <w:rFonts w:cs="Times New Roman"/>
          <w:sz w:val="24"/>
          <w:szCs w:val="24"/>
          <w:shd w:val="clear" w:color="auto" w:fill="FFFFFF"/>
          <w:lang w:val="fr-FR"/>
        </w:rPr>
        <w:t xml:space="preserve"> tel qu’il se présente </w:t>
      </w:r>
      <w:r w:rsidR="00217527" w:rsidRPr="00953692">
        <w:rPr>
          <w:rFonts w:cs="Times New Roman"/>
          <w:sz w:val="24"/>
          <w:szCs w:val="24"/>
          <w:shd w:val="clear" w:color="auto" w:fill="FFFFFF"/>
          <w:lang w:val="fr-FR"/>
        </w:rPr>
        <w:t xml:space="preserve">précisément </w:t>
      </w:r>
      <w:r w:rsidR="00921C5D" w:rsidRPr="00953692">
        <w:rPr>
          <w:rFonts w:cs="Times New Roman"/>
          <w:sz w:val="24"/>
          <w:szCs w:val="24"/>
          <w:shd w:val="clear" w:color="auto" w:fill="FFFFFF"/>
          <w:lang w:val="fr-FR"/>
        </w:rPr>
        <w:t>au moment d’opérer ce choix.</w:t>
      </w:r>
    </w:p>
    <w:p w14:paraId="7E73F6C6" w14:textId="6374A688" w:rsidR="00C73FF5" w:rsidRPr="00953692" w:rsidRDefault="00D04C50"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476</w:t>
      </w:r>
      <w:r w:rsidR="009342C3" w:rsidRPr="00953692">
        <w:rPr>
          <w:rFonts w:cs="Times New Roman"/>
          <w:b/>
          <w:bCs/>
          <w:sz w:val="24"/>
          <w:szCs w:val="24"/>
          <w:shd w:val="clear" w:color="auto" w:fill="FFFFFF"/>
          <w:lang w:val="fr-FR"/>
        </w:rPr>
        <w:t>.</w:t>
      </w:r>
      <w:r w:rsidR="009342C3" w:rsidRPr="00953692">
        <w:rPr>
          <w:rFonts w:cs="Times New Roman"/>
          <w:sz w:val="24"/>
          <w:szCs w:val="24"/>
          <w:shd w:val="clear" w:color="auto" w:fill="FFFFFF"/>
          <w:lang w:val="fr-FR"/>
        </w:rPr>
        <w:t xml:space="preserve"> </w:t>
      </w:r>
      <w:r w:rsidR="00921C5D" w:rsidRPr="00953692">
        <w:rPr>
          <w:rFonts w:cs="Times New Roman"/>
          <w:sz w:val="24"/>
          <w:szCs w:val="24"/>
          <w:shd w:val="clear" w:color="auto" w:fill="FFFFFF"/>
          <w:lang w:val="fr-FR"/>
        </w:rPr>
        <w:t xml:space="preserve">Comme nous l’avons vu, l’accusé qui demande plus de temps à la préparation de sa défense </w:t>
      </w:r>
      <w:r w:rsidR="00646DE4" w:rsidRPr="00953692">
        <w:rPr>
          <w:rFonts w:cs="Times New Roman"/>
          <w:sz w:val="24"/>
          <w:szCs w:val="24"/>
          <w:shd w:val="clear" w:color="auto" w:fill="FFFFFF"/>
          <w:lang w:val="fr-FR"/>
        </w:rPr>
        <w:t xml:space="preserve">ou qui inonde la Chambre des demandes incidentes, suivies des </w:t>
      </w:r>
      <w:r w:rsidR="00646DE4" w:rsidRPr="00953692">
        <w:rPr>
          <w:rFonts w:cs="Times New Roman"/>
          <w:sz w:val="24"/>
          <w:szCs w:val="24"/>
          <w:shd w:val="clear" w:color="auto" w:fill="FFFFFF"/>
          <w:lang w:val="fr-FR"/>
        </w:rPr>
        <w:lastRenderedPageBreak/>
        <w:t xml:space="preserve">appels interlocutoires, sera censé être moins exigeant en matière du délai raisonnable du procès. </w:t>
      </w:r>
      <w:r w:rsidR="001525B6" w:rsidRPr="00953692">
        <w:rPr>
          <w:rFonts w:cs="Times New Roman"/>
          <w:sz w:val="24"/>
          <w:szCs w:val="24"/>
          <w:shd w:val="clear" w:color="auto" w:fill="FFFFFF"/>
          <w:lang w:val="fr-FR"/>
        </w:rPr>
        <w:t>Même s</w:t>
      </w:r>
      <w:r w:rsidR="00F4159F" w:rsidRPr="00953692">
        <w:rPr>
          <w:rFonts w:cs="Times New Roman"/>
          <w:sz w:val="24"/>
          <w:szCs w:val="24"/>
          <w:shd w:val="clear" w:color="auto" w:fill="FFFFFF"/>
          <w:lang w:val="fr-FR"/>
        </w:rPr>
        <w:t>’</w:t>
      </w:r>
      <w:r w:rsidR="001525B6" w:rsidRPr="00953692">
        <w:rPr>
          <w:rFonts w:cs="Times New Roman"/>
          <w:sz w:val="24"/>
          <w:szCs w:val="24"/>
          <w:shd w:val="clear" w:color="auto" w:fill="FFFFFF"/>
          <w:lang w:val="fr-FR"/>
        </w:rPr>
        <w:t xml:space="preserve">il n’en est pas dépossédé, </w:t>
      </w:r>
      <w:r w:rsidR="00F4159F" w:rsidRPr="00953692">
        <w:rPr>
          <w:rFonts w:cs="Times New Roman"/>
          <w:sz w:val="24"/>
          <w:szCs w:val="24"/>
          <w:shd w:val="clear" w:color="auto" w:fill="FFFFFF"/>
          <w:lang w:val="fr-FR"/>
        </w:rPr>
        <w:t xml:space="preserve">la pratique montre clairement qu’une telle attitude ou stratégie prête le flanc </w:t>
      </w:r>
      <w:r w:rsidR="00341B54" w:rsidRPr="00953692">
        <w:rPr>
          <w:rFonts w:cs="Times New Roman"/>
          <w:sz w:val="24"/>
          <w:szCs w:val="24"/>
          <w:shd w:val="clear" w:color="auto" w:fill="FFFFFF"/>
          <w:lang w:val="fr-FR"/>
        </w:rPr>
        <w:t>aux récriminations</w:t>
      </w:r>
      <w:r w:rsidR="00C73FF5" w:rsidRPr="00953692">
        <w:rPr>
          <w:rFonts w:cs="Times New Roman"/>
          <w:sz w:val="24"/>
          <w:szCs w:val="24"/>
          <w:shd w:val="clear" w:color="auto" w:fill="FFFFFF"/>
          <w:lang w:val="fr-FR"/>
        </w:rPr>
        <w:t>, que</w:t>
      </w:r>
      <w:r w:rsidR="00341B54" w:rsidRPr="00953692">
        <w:rPr>
          <w:rFonts w:cs="Times New Roman"/>
          <w:sz w:val="24"/>
          <w:szCs w:val="24"/>
          <w:shd w:val="clear" w:color="auto" w:fill="FFFFFF"/>
          <w:lang w:val="fr-FR"/>
        </w:rPr>
        <w:t xml:space="preserve"> l’Accusation ou</w:t>
      </w:r>
      <w:r w:rsidR="00E740D3" w:rsidRPr="00953692">
        <w:rPr>
          <w:rFonts w:cs="Times New Roman"/>
          <w:sz w:val="24"/>
          <w:szCs w:val="24"/>
          <w:shd w:val="clear" w:color="auto" w:fill="FFFFFF"/>
          <w:lang w:val="fr-FR"/>
        </w:rPr>
        <w:t xml:space="preserve"> plus particulièrement</w:t>
      </w:r>
      <w:r w:rsidR="00341B54" w:rsidRPr="00953692">
        <w:rPr>
          <w:rFonts w:cs="Times New Roman"/>
          <w:sz w:val="24"/>
          <w:szCs w:val="24"/>
          <w:shd w:val="clear" w:color="auto" w:fill="FFFFFF"/>
          <w:lang w:val="fr-FR"/>
        </w:rPr>
        <w:t xml:space="preserve"> les juges s’en servent en outre pour justifier la durée mise en cause.</w:t>
      </w:r>
      <w:r w:rsidR="002401AD" w:rsidRPr="00953692">
        <w:rPr>
          <w:rFonts w:cs="Times New Roman"/>
          <w:sz w:val="24"/>
          <w:szCs w:val="24"/>
          <w:shd w:val="clear" w:color="auto" w:fill="FFFFFF"/>
          <w:lang w:val="fr-FR"/>
        </w:rPr>
        <w:t xml:space="preserve"> Cette attitude des juges n’est pas injustifiable, mais elle devra </w:t>
      </w:r>
      <w:r w:rsidR="00026E5E" w:rsidRPr="00953692">
        <w:rPr>
          <w:rFonts w:cs="Times New Roman"/>
          <w:sz w:val="24"/>
          <w:szCs w:val="24"/>
          <w:shd w:val="clear" w:color="auto" w:fill="FFFFFF"/>
          <w:lang w:val="fr-FR"/>
        </w:rPr>
        <w:t xml:space="preserve">correspondre à la </w:t>
      </w:r>
      <w:r w:rsidR="00F86508" w:rsidRPr="00953692">
        <w:rPr>
          <w:rFonts w:cs="Times New Roman"/>
          <w:sz w:val="24"/>
          <w:szCs w:val="24"/>
          <w:shd w:val="clear" w:color="auto" w:fill="FFFFFF"/>
          <w:lang w:val="fr-FR"/>
        </w:rPr>
        <w:t xml:space="preserve">réalité des droits de la défense, qui forment en réalité un tout. </w:t>
      </w:r>
    </w:p>
    <w:p w14:paraId="7292E10E" w14:textId="3368A4B0" w:rsidR="00921C5D" w:rsidRPr="00953692" w:rsidRDefault="00D04C50"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477</w:t>
      </w:r>
      <w:r w:rsidR="00217527" w:rsidRPr="00953692">
        <w:rPr>
          <w:rFonts w:cs="Times New Roman"/>
          <w:b/>
          <w:bCs/>
          <w:sz w:val="24"/>
          <w:szCs w:val="24"/>
          <w:shd w:val="clear" w:color="auto" w:fill="FFFFFF"/>
          <w:lang w:val="fr-FR"/>
        </w:rPr>
        <w:t>.</w:t>
      </w:r>
      <w:r w:rsidR="00217527" w:rsidRPr="00953692">
        <w:rPr>
          <w:rFonts w:cs="Times New Roman"/>
          <w:sz w:val="24"/>
          <w:szCs w:val="24"/>
          <w:shd w:val="clear" w:color="auto" w:fill="FFFFFF"/>
          <w:lang w:val="fr-FR"/>
        </w:rPr>
        <w:t xml:space="preserve"> </w:t>
      </w:r>
      <w:r w:rsidR="00F86508" w:rsidRPr="00953692">
        <w:rPr>
          <w:rFonts w:cs="Times New Roman"/>
          <w:sz w:val="24"/>
          <w:szCs w:val="24"/>
          <w:shd w:val="clear" w:color="auto" w:fill="FFFFFF"/>
          <w:lang w:val="fr-FR"/>
        </w:rPr>
        <w:t>Le déséquilibre ne peut pas être si flagrant sous prétexte qu’il appartient à l’accusé lui-même d’opérer son choix.</w:t>
      </w:r>
      <w:r w:rsidR="00E72511" w:rsidRPr="00953692">
        <w:rPr>
          <w:rFonts w:cs="Times New Roman"/>
          <w:sz w:val="24"/>
          <w:szCs w:val="24"/>
          <w:shd w:val="clear" w:color="auto" w:fill="FFFFFF"/>
          <w:lang w:val="fr-FR"/>
        </w:rPr>
        <w:t xml:space="preserve"> Les juges ont donc l’obligation de veiller à ce que tous ces droits soient respectés et en impose</w:t>
      </w:r>
      <w:r w:rsidR="00E84B23" w:rsidRPr="00953692">
        <w:rPr>
          <w:rFonts w:cs="Times New Roman"/>
          <w:sz w:val="24"/>
          <w:szCs w:val="24"/>
          <w:shd w:val="clear" w:color="auto" w:fill="FFFFFF"/>
          <w:lang w:val="fr-FR"/>
        </w:rPr>
        <w:t>nt</w:t>
      </w:r>
      <w:r w:rsidR="00E72511" w:rsidRPr="00953692">
        <w:rPr>
          <w:rFonts w:cs="Times New Roman"/>
          <w:sz w:val="24"/>
          <w:szCs w:val="24"/>
          <w:shd w:val="clear" w:color="auto" w:fill="FFFFFF"/>
          <w:lang w:val="fr-FR"/>
        </w:rPr>
        <w:t xml:space="preserve"> la respectabilité à l’accusé</w:t>
      </w:r>
      <w:r w:rsidR="00217527" w:rsidRPr="00953692">
        <w:rPr>
          <w:rFonts w:cs="Times New Roman"/>
          <w:sz w:val="24"/>
          <w:szCs w:val="24"/>
          <w:shd w:val="clear" w:color="auto" w:fill="FFFFFF"/>
          <w:lang w:val="fr-FR"/>
        </w:rPr>
        <w:t xml:space="preserve"> lui-même</w:t>
      </w:r>
      <w:r w:rsidR="00E72511" w:rsidRPr="00953692">
        <w:rPr>
          <w:rFonts w:cs="Times New Roman"/>
          <w:sz w:val="24"/>
          <w:szCs w:val="24"/>
          <w:shd w:val="clear" w:color="auto" w:fill="FFFFFF"/>
          <w:lang w:val="fr-FR"/>
        </w:rPr>
        <w:t xml:space="preserve">. </w:t>
      </w:r>
      <w:r w:rsidR="00F721C1" w:rsidRPr="00953692">
        <w:rPr>
          <w:rFonts w:cs="Times New Roman"/>
          <w:sz w:val="24"/>
          <w:szCs w:val="24"/>
          <w:shd w:val="clear" w:color="auto" w:fill="FFFFFF"/>
          <w:lang w:val="fr-FR"/>
        </w:rPr>
        <w:t xml:space="preserve">Ce qui correspondrait non seulement à l’impérativité du délai raisonnable, mais aussi </w:t>
      </w:r>
      <w:r w:rsidR="009342C3" w:rsidRPr="00953692">
        <w:rPr>
          <w:rFonts w:cs="Times New Roman"/>
          <w:sz w:val="24"/>
          <w:szCs w:val="24"/>
          <w:shd w:val="clear" w:color="auto" w:fill="FFFFFF"/>
          <w:lang w:val="fr-FR"/>
        </w:rPr>
        <w:t xml:space="preserve">et surtout </w:t>
      </w:r>
      <w:r w:rsidR="00F721C1" w:rsidRPr="00953692">
        <w:rPr>
          <w:rFonts w:cs="Times New Roman"/>
          <w:sz w:val="24"/>
          <w:szCs w:val="24"/>
          <w:shd w:val="clear" w:color="auto" w:fill="FFFFFF"/>
          <w:lang w:val="fr-FR"/>
        </w:rPr>
        <w:t xml:space="preserve">à l’obligation de conduire un procès </w:t>
      </w:r>
      <w:r w:rsidR="009342C3" w:rsidRPr="00953692">
        <w:rPr>
          <w:rFonts w:cs="Times New Roman"/>
          <w:sz w:val="24"/>
          <w:szCs w:val="24"/>
          <w:shd w:val="clear" w:color="auto" w:fill="FFFFFF"/>
          <w:lang w:val="fr-FR"/>
        </w:rPr>
        <w:t xml:space="preserve">de façon </w:t>
      </w:r>
      <w:r w:rsidR="00F721C1" w:rsidRPr="00953692">
        <w:rPr>
          <w:rFonts w:cs="Times New Roman"/>
          <w:sz w:val="24"/>
          <w:szCs w:val="24"/>
          <w:shd w:val="clear" w:color="auto" w:fill="FFFFFF"/>
          <w:lang w:val="fr-FR"/>
        </w:rPr>
        <w:t>rapide et équitable.</w:t>
      </w:r>
      <w:r w:rsidR="00EB557C" w:rsidRPr="00953692">
        <w:rPr>
          <w:rFonts w:cs="Times New Roman"/>
          <w:sz w:val="24"/>
          <w:szCs w:val="24"/>
          <w:shd w:val="clear" w:color="auto" w:fill="FFFFFF"/>
          <w:lang w:val="fr-FR"/>
        </w:rPr>
        <w:t xml:space="preserve"> Les juges sont donc appelés à désamorcer ce conflit par des mesures claires et imposables </w:t>
      </w:r>
      <w:r w:rsidR="00EB557C" w:rsidRPr="00953692">
        <w:rPr>
          <w:rFonts w:cs="Times New Roman"/>
          <w:i/>
          <w:iCs/>
          <w:sz w:val="24"/>
          <w:szCs w:val="24"/>
          <w:shd w:val="clear" w:color="auto" w:fill="FFFFFF"/>
          <w:lang w:val="fr-FR"/>
        </w:rPr>
        <w:t>erga omnes</w:t>
      </w:r>
      <w:r w:rsidR="000C616E" w:rsidRPr="00953692">
        <w:rPr>
          <w:rFonts w:cs="Times New Roman"/>
          <w:sz w:val="24"/>
          <w:szCs w:val="24"/>
          <w:shd w:val="clear" w:color="auto" w:fill="FFFFFF"/>
          <w:lang w:val="fr-FR"/>
        </w:rPr>
        <w:t>, et ce, en vertu des pouvoirs de</w:t>
      </w:r>
      <w:r w:rsidR="00217527" w:rsidRPr="00953692">
        <w:rPr>
          <w:rFonts w:cs="Times New Roman"/>
          <w:sz w:val="24"/>
          <w:szCs w:val="24"/>
          <w:shd w:val="clear" w:color="auto" w:fill="FFFFFF"/>
          <w:lang w:val="fr-FR"/>
        </w:rPr>
        <w:t xml:space="preserve"> police des débats dont ils s’en servent pour</w:t>
      </w:r>
      <w:r w:rsidR="000C616E" w:rsidRPr="00953692">
        <w:rPr>
          <w:rFonts w:cs="Times New Roman"/>
          <w:sz w:val="24"/>
          <w:szCs w:val="24"/>
          <w:shd w:val="clear" w:color="auto" w:fill="FFFFFF"/>
          <w:lang w:val="fr-FR"/>
        </w:rPr>
        <w:t xml:space="preserve"> conduire le procès</w:t>
      </w:r>
      <w:r w:rsidR="00EB557C" w:rsidRPr="00953692">
        <w:rPr>
          <w:rFonts w:cs="Times New Roman"/>
          <w:sz w:val="24"/>
          <w:szCs w:val="24"/>
          <w:shd w:val="clear" w:color="auto" w:fill="FFFFFF"/>
          <w:lang w:val="fr-FR"/>
        </w:rPr>
        <w:t>.</w:t>
      </w:r>
    </w:p>
    <w:p w14:paraId="2047DAC6" w14:textId="4414C8F2" w:rsidR="00AA031E" w:rsidRPr="00953692" w:rsidRDefault="00D04C50"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478</w:t>
      </w:r>
      <w:r w:rsidR="00235D7E" w:rsidRPr="00953692">
        <w:rPr>
          <w:rFonts w:cs="Times New Roman"/>
          <w:b/>
          <w:bCs/>
          <w:sz w:val="24"/>
          <w:szCs w:val="24"/>
          <w:shd w:val="clear" w:color="auto" w:fill="FFFFFF"/>
          <w:lang w:val="fr-FR"/>
        </w:rPr>
        <w:t>.</w:t>
      </w:r>
      <w:r w:rsidR="00235D7E" w:rsidRPr="00953692">
        <w:rPr>
          <w:rFonts w:cs="Times New Roman"/>
          <w:sz w:val="24"/>
          <w:szCs w:val="24"/>
          <w:shd w:val="clear" w:color="auto" w:fill="FFFFFF"/>
          <w:lang w:val="fr-FR"/>
        </w:rPr>
        <w:t xml:space="preserve"> </w:t>
      </w:r>
      <w:r w:rsidR="009342C3" w:rsidRPr="00953692">
        <w:rPr>
          <w:rFonts w:cs="Times New Roman"/>
          <w:sz w:val="24"/>
          <w:szCs w:val="24"/>
          <w:shd w:val="clear" w:color="auto" w:fill="FFFFFF"/>
          <w:lang w:val="fr-FR"/>
        </w:rPr>
        <w:t xml:space="preserve">Par ailleurs, le délai raisonnable n’est pas toujours aux prises avec les autres droits de l’accusé. </w:t>
      </w:r>
      <w:r w:rsidR="0022776D" w:rsidRPr="00953692">
        <w:rPr>
          <w:rFonts w:cs="Times New Roman"/>
          <w:sz w:val="24"/>
          <w:szCs w:val="24"/>
          <w:shd w:val="clear" w:color="auto" w:fill="FFFFFF"/>
          <w:lang w:val="fr-FR"/>
        </w:rPr>
        <w:t>Le fait de trouver sa substance dans le temps, qui est lui-même consubstantiel à la procédure</w:t>
      </w:r>
      <w:r w:rsidR="0070399D" w:rsidRPr="00953692">
        <w:rPr>
          <w:rFonts w:cs="Times New Roman"/>
          <w:sz w:val="24"/>
          <w:szCs w:val="24"/>
          <w:shd w:val="clear" w:color="auto" w:fill="FFFFFF"/>
          <w:lang w:val="fr-FR"/>
        </w:rPr>
        <w:t xml:space="preserve"> pénale</w:t>
      </w:r>
      <w:r w:rsidR="00414279" w:rsidRPr="00953692">
        <w:rPr>
          <w:rStyle w:val="Appelnotedebasdep"/>
          <w:rFonts w:cs="Times New Roman"/>
          <w:sz w:val="24"/>
          <w:szCs w:val="24"/>
          <w:shd w:val="clear" w:color="auto" w:fill="FFFFFF"/>
          <w:lang w:val="fr-FR"/>
        </w:rPr>
        <w:footnoteReference w:customMarkFollows="1" w:id="374"/>
        <w:t>350</w:t>
      </w:r>
      <w:r w:rsidR="0022776D" w:rsidRPr="00953692">
        <w:rPr>
          <w:rFonts w:cs="Times New Roman"/>
          <w:sz w:val="24"/>
          <w:szCs w:val="24"/>
          <w:shd w:val="clear" w:color="auto" w:fill="FFFFFF"/>
          <w:lang w:val="fr-FR"/>
        </w:rPr>
        <w:t xml:space="preserve">, </w:t>
      </w:r>
      <w:r w:rsidR="0070399D" w:rsidRPr="00953692">
        <w:rPr>
          <w:rFonts w:cs="Times New Roman"/>
          <w:sz w:val="24"/>
          <w:szCs w:val="24"/>
          <w:shd w:val="clear" w:color="auto" w:fill="FFFFFF"/>
          <w:lang w:val="fr-FR"/>
        </w:rPr>
        <w:t>lui permet aussi de trouver quelques appuis en renforcement de son applicabilité.</w:t>
      </w:r>
      <w:r w:rsidR="00235D7E" w:rsidRPr="00953692">
        <w:rPr>
          <w:rFonts w:cs="Times New Roman"/>
          <w:sz w:val="24"/>
          <w:szCs w:val="24"/>
          <w:shd w:val="clear" w:color="auto" w:fill="FFFFFF"/>
          <w:lang w:val="fr-FR"/>
        </w:rPr>
        <w:t xml:space="preserve"> On voit </w:t>
      </w:r>
      <w:r w:rsidR="00F31422" w:rsidRPr="00953692">
        <w:rPr>
          <w:rFonts w:cs="Times New Roman"/>
          <w:sz w:val="24"/>
          <w:szCs w:val="24"/>
          <w:shd w:val="clear" w:color="auto" w:fill="FFFFFF"/>
          <w:lang w:val="fr-FR"/>
        </w:rPr>
        <w:t>ainsi</w:t>
      </w:r>
      <w:r w:rsidR="00235D7E" w:rsidRPr="00953692">
        <w:rPr>
          <w:rFonts w:cs="Times New Roman"/>
          <w:sz w:val="24"/>
          <w:szCs w:val="24"/>
          <w:shd w:val="clear" w:color="auto" w:fill="FFFFFF"/>
          <w:lang w:val="fr-FR"/>
        </w:rPr>
        <w:t xml:space="preserve"> se renforcer le rôle des juges, qui veillent non seulement à éviter un éventuel conflit dans la mesure du possible, mais aussi à rendre possible la tenue d’un procès dans un délai raisonnable par l’observation scrupuleuse de certains autres droits de l’accusé. Ici, contrairement à la thèse de la conflictualité qui met en avant le choix à opérer en amont tout comme en aval </w:t>
      </w:r>
      <w:r w:rsidR="00DC58A1" w:rsidRPr="00953692">
        <w:rPr>
          <w:rFonts w:cs="Times New Roman"/>
          <w:sz w:val="24"/>
          <w:szCs w:val="24"/>
          <w:shd w:val="clear" w:color="auto" w:fill="FFFFFF"/>
          <w:lang w:val="fr-FR"/>
        </w:rPr>
        <w:t xml:space="preserve">par </w:t>
      </w:r>
      <w:r w:rsidR="00235D7E" w:rsidRPr="00953692">
        <w:rPr>
          <w:rFonts w:cs="Times New Roman"/>
          <w:sz w:val="24"/>
          <w:szCs w:val="24"/>
          <w:shd w:val="clear" w:color="auto" w:fill="FFFFFF"/>
          <w:lang w:val="fr-FR"/>
        </w:rPr>
        <w:t xml:space="preserve">l’accusé, la complémentarité </w:t>
      </w:r>
      <w:r w:rsidR="00544C21" w:rsidRPr="00953692">
        <w:rPr>
          <w:rFonts w:cs="Times New Roman"/>
          <w:sz w:val="24"/>
          <w:szCs w:val="24"/>
          <w:shd w:val="clear" w:color="auto" w:fill="FFFFFF"/>
          <w:lang w:val="fr-FR"/>
        </w:rPr>
        <w:t>charge davantage les juges à respecter ou à faire respecter les règles du procès équitable ou les droits de la personne mise en cause</w:t>
      </w:r>
      <w:r w:rsidR="007722A4" w:rsidRPr="00953692">
        <w:rPr>
          <w:rFonts w:cs="Times New Roman"/>
          <w:sz w:val="24"/>
          <w:szCs w:val="24"/>
          <w:shd w:val="clear" w:color="auto" w:fill="FFFFFF"/>
          <w:lang w:val="fr-FR"/>
        </w:rPr>
        <w:t xml:space="preserve"> qui</w:t>
      </w:r>
      <w:r w:rsidR="00DC58A1" w:rsidRPr="00953692">
        <w:rPr>
          <w:rFonts w:cs="Times New Roman"/>
          <w:sz w:val="24"/>
          <w:szCs w:val="24"/>
          <w:shd w:val="clear" w:color="auto" w:fill="FFFFFF"/>
          <w:lang w:val="fr-FR"/>
        </w:rPr>
        <w:t>,</w:t>
      </w:r>
      <w:r w:rsidR="007722A4" w:rsidRPr="00953692">
        <w:rPr>
          <w:rFonts w:cs="Times New Roman"/>
          <w:sz w:val="24"/>
          <w:szCs w:val="24"/>
          <w:shd w:val="clear" w:color="auto" w:fill="FFFFFF"/>
          <w:lang w:val="fr-FR"/>
        </w:rPr>
        <w:t xml:space="preserve"> </w:t>
      </w:r>
      <w:r w:rsidR="007722A4" w:rsidRPr="00953692">
        <w:rPr>
          <w:rFonts w:cs="Times New Roman"/>
          <w:i/>
          <w:iCs/>
          <w:sz w:val="24"/>
          <w:szCs w:val="24"/>
          <w:shd w:val="clear" w:color="auto" w:fill="FFFFFF"/>
          <w:lang w:val="fr-FR"/>
        </w:rPr>
        <w:t>ipso facto</w:t>
      </w:r>
      <w:r w:rsidR="00DC58A1" w:rsidRPr="00953692">
        <w:rPr>
          <w:rFonts w:cs="Times New Roman"/>
          <w:i/>
          <w:iCs/>
          <w:sz w:val="24"/>
          <w:szCs w:val="24"/>
          <w:shd w:val="clear" w:color="auto" w:fill="FFFFFF"/>
          <w:lang w:val="fr-FR"/>
        </w:rPr>
        <w:t>,</w:t>
      </w:r>
      <w:r w:rsidR="007722A4" w:rsidRPr="00953692">
        <w:rPr>
          <w:rFonts w:cs="Times New Roman"/>
          <w:sz w:val="24"/>
          <w:szCs w:val="24"/>
          <w:shd w:val="clear" w:color="auto" w:fill="FFFFFF"/>
          <w:lang w:val="fr-FR"/>
        </w:rPr>
        <w:t xml:space="preserve"> permettront au procès de se dérouler dans un délai raisonnable</w:t>
      </w:r>
      <w:r w:rsidR="00544C21" w:rsidRPr="00953692">
        <w:rPr>
          <w:rFonts w:cs="Times New Roman"/>
          <w:sz w:val="24"/>
          <w:szCs w:val="24"/>
          <w:shd w:val="clear" w:color="auto" w:fill="FFFFFF"/>
          <w:lang w:val="fr-FR"/>
        </w:rPr>
        <w:t>.</w:t>
      </w:r>
      <w:r w:rsidR="00F40606" w:rsidRPr="00953692">
        <w:rPr>
          <w:rFonts w:cs="Times New Roman"/>
          <w:sz w:val="24"/>
          <w:szCs w:val="24"/>
          <w:shd w:val="clear" w:color="auto" w:fill="FFFFFF"/>
          <w:lang w:val="fr-FR"/>
        </w:rPr>
        <w:t xml:space="preserve"> </w:t>
      </w:r>
      <w:r w:rsidR="00061D52" w:rsidRPr="00953692">
        <w:rPr>
          <w:rFonts w:cs="Times New Roman"/>
          <w:sz w:val="24"/>
          <w:szCs w:val="24"/>
          <w:shd w:val="clear" w:color="auto" w:fill="FFFFFF"/>
          <w:lang w:val="fr-FR"/>
        </w:rPr>
        <w:t>Les organes judiciaires ont donc l’obligation d’agir dans le temps</w:t>
      </w:r>
      <w:r w:rsidR="00414279" w:rsidRPr="00953692">
        <w:rPr>
          <w:rStyle w:val="Appelnotedebasdep"/>
          <w:rFonts w:cs="Times New Roman"/>
          <w:sz w:val="24"/>
          <w:szCs w:val="24"/>
          <w:shd w:val="clear" w:color="auto" w:fill="FFFFFF"/>
          <w:lang w:val="fr-FR"/>
        </w:rPr>
        <w:footnoteReference w:customMarkFollows="1" w:id="375"/>
        <w:t>351</w:t>
      </w:r>
      <w:r w:rsidR="00061D52" w:rsidRPr="00953692">
        <w:rPr>
          <w:rFonts w:cs="Times New Roman"/>
          <w:sz w:val="24"/>
          <w:szCs w:val="24"/>
          <w:shd w:val="clear" w:color="auto" w:fill="FFFFFF"/>
          <w:lang w:val="fr-FR"/>
        </w:rPr>
        <w:t xml:space="preserve"> dès le début de la procédure</w:t>
      </w:r>
      <w:r w:rsidR="009F430C" w:rsidRPr="00953692">
        <w:rPr>
          <w:rFonts w:cs="Times New Roman"/>
          <w:sz w:val="24"/>
          <w:szCs w:val="24"/>
          <w:shd w:val="clear" w:color="auto" w:fill="FFFFFF"/>
          <w:lang w:val="fr-FR"/>
        </w:rPr>
        <w:t>, faute de quoi, ils risquent de violer le droit de l’accusé d’</w:t>
      </w:r>
      <w:r w:rsidR="009C6546" w:rsidRPr="00953692">
        <w:rPr>
          <w:rFonts w:cs="Times New Roman"/>
          <w:sz w:val="24"/>
          <w:szCs w:val="24"/>
          <w:shd w:val="clear" w:color="auto" w:fill="FFFFFF"/>
          <w:lang w:val="fr-FR"/>
        </w:rPr>
        <w:t>être</w:t>
      </w:r>
      <w:r w:rsidR="009F430C" w:rsidRPr="00953692">
        <w:rPr>
          <w:rFonts w:cs="Times New Roman"/>
          <w:sz w:val="24"/>
          <w:szCs w:val="24"/>
          <w:shd w:val="clear" w:color="auto" w:fill="FFFFFF"/>
          <w:lang w:val="fr-FR"/>
        </w:rPr>
        <w:t xml:space="preserve"> jugé sans retard excessif.</w:t>
      </w:r>
    </w:p>
    <w:p w14:paraId="6449A8C9" w14:textId="16E57D02" w:rsidR="00736CC6" w:rsidRPr="00953692" w:rsidRDefault="00D04C50" w:rsidP="00864BBF">
      <w:pPr>
        <w:spacing w:after="0" w:line="276" w:lineRule="auto"/>
        <w:ind w:firstLine="1134"/>
        <w:jc w:val="both"/>
        <w:rPr>
          <w:rFonts w:cs="Times New Roman"/>
          <w:sz w:val="24"/>
          <w:szCs w:val="24"/>
          <w:shd w:val="clear" w:color="auto" w:fill="FFFFFF"/>
          <w:lang w:val="fr-FR"/>
        </w:rPr>
      </w:pPr>
      <w:r w:rsidRPr="00953692">
        <w:rPr>
          <w:rFonts w:cs="Times New Roman"/>
          <w:b/>
          <w:bCs/>
          <w:sz w:val="24"/>
          <w:szCs w:val="24"/>
          <w:shd w:val="clear" w:color="auto" w:fill="FFFFFF"/>
          <w:lang w:val="fr-FR"/>
        </w:rPr>
        <w:t>479</w:t>
      </w:r>
      <w:r w:rsidR="00CD705D" w:rsidRPr="00953692">
        <w:rPr>
          <w:rFonts w:cs="Times New Roman"/>
          <w:b/>
          <w:bCs/>
          <w:sz w:val="24"/>
          <w:szCs w:val="24"/>
          <w:shd w:val="clear" w:color="auto" w:fill="FFFFFF"/>
          <w:lang w:val="fr-FR"/>
        </w:rPr>
        <w:t>.</w:t>
      </w:r>
      <w:r w:rsidR="00CD705D" w:rsidRPr="00953692">
        <w:rPr>
          <w:rFonts w:cs="Times New Roman"/>
          <w:sz w:val="24"/>
          <w:szCs w:val="24"/>
          <w:shd w:val="clear" w:color="auto" w:fill="FFFFFF"/>
          <w:lang w:val="fr-FR"/>
        </w:rPr>
        <w:t xml:space="preserve"> </w:t>
      </w:r>
      <w:r w:rsidR="00F40606" w:rsidRPr="00953692">
        <w:rPr>
          <w:rFonts w:cs="Times New Roman"/>
          <w:sz w:val="24"/>
          <w:szCs w:val="24"/>
          <w:shd w:val="clear" w:color="auto" w:fill="FFFFFF"/>
          <w:lang w:val="fr-FR"/>
        </w:rPr>
        <w:t>Il découle de la pratique de ces juridictions pénales internationales que, la violation d’une ou d’une autre de ces règles ne conduit pas forcément à la violation du délai raisonnable du procès</w:t>
      </w:r>
      <w:r w:rsidR="00E300B8" w:rsidRPr="00953692">
        <w:rPr>
          <w:rFonts w:cs="Times New Roman"/>
          <w:sz w:val="24"/>
          <w:szCs w:val="24"/>
          <w:shd w:val="clear" w:color="auto" w:fill="FFFFFF"/>
          <w:lang w:val="fr-FR"/>
        </w:rPr>
        <w:t xml:space="preserve"> plus tard</w:t>
      </w:r>
      <w:r w:rsidR="00F40606" w:rsidRPr="00953692">
        <w:rPr>
          <w:rFonts w:cs="Times New Roman"/>
          <w:sz w:val="24"/>
          <w:szCs w:val="24"/>
          <w:shd w:val="clear" w:color="auto" w:fill="FFFFFF"/>
          <w:lang w:val="fr-FR"/>
        </w:rPr>
        <w:t xml:space="preserve">. Lorsque de la violation d’un seul droit en résulte un retard important inexplicable, il n’est pas exclu que les juges en retiennent </w:t>
      </w:r>
      <w:r w:rsidR="00CD705D" w:rsidRPr="00953692">
        <w:rPr>
          <w:rFonts w:cs="Times New Roman"/>
          <w:sz w:val="24"/>
          <w:szCs w:val="24"/>
          <w:shd w:val="clear" w:color="auto" w:fill="FFFFFF"/>
          <w:lang w:val="fr-FR"/>
        </w:rPr>
        <w:t xml:space="preserve">conséquemment la violation du délai raisonnable. Mais la pratique nous révèle une certaine progressivité de cette violation, débouchant </w:t>
      </w:r>
      <w:r w:rsidR="00191697" w:rsidRPr="00953692">
        <w:rPr>
          <w:rFonts w:cs="Times New Roman"/>
          <w:sz w:val="24"/>
          <w:szCs w:val="24"/>
          <w:shd w:val="clear" w:color="auto" w:fill="FFFFFF"/>
          <w:lang w:val="fr-FR"/>
        </w:rPr>
        <w:t>sur</w:t>
      </w:r>
      <w:r w:rsidR="00CD705D" w:rsidRPr="00953692">
        <w:rPr>
          <w:rFonts w:cs="Times New Roman"/>
          <w:sz w:val="24"/>
          <w:szCs w:val="24"/>
          <w:shd w:val="clear" w:color="auto" w:fill="FFFFFF"/>
          <w:lang w:val="fr-FR"/>
        </w:rPr>
        <w:t xml:space="preserve"> une accumulation ou un cumul des retards importants</w:t>
      </w:r>
      <w:r w:rsidR="00191697" w:rsidRPr="00953692">
        <w:rPr>
          <w:rFonts w:cs="Times New Roman"/>
          <w:sz w:val="24"/>
          <w:szCs w:val="24"/>
          <w:shd w:val="clear" w:color="auto" w:fill="FFFFFF"/>
          <w:lang w:val="fr-FR"/>
        </w:rPr>
        <w:t>, qui seront finalement constitutifs d’une violation du droit d’être jugé sans retard excessif</w:t>
      </w:r>
      <w:r w:rsidR="00CD705D" w:rsidRPr="00953692">
        <w:rPr>
          <w:rFonts w:cs="Times New Roman"/>
          <w:sz w:val="24"/>
          <w:szCs w:val="24"/>
          <w:shd w:val="clear" w:color="auto" w:fill="FFFFFF"/>
          <w:lang w:val="fr-FR"/>
        </w:rPr>
        <w:t xml:space="preserve">. </w:t>
      </w:r>
      <w:r w:rsidR="00DD0DDE" w:rsidRPr="00953692">
        <w:rPr>
          <w:rFonts w:cs="Times New Roman"/>
          <w:sz w:val="24"/>
          <w:szCs w:val="24"/>
          <w:shd w:val="clear" w:color="auto" w:fill="FFFFFF"/>
          <w:lang w:val="fr-FR"/>
        </w:rPr>
        <w:t xml:space="preserve">Ceci </w:t>
      </w:r>
      <w:r w:rsidR="004E3557" w:rsidRPr="00953692">
        <w:rPr>
          <w:rFonts w:cs="Times New Roman"/>
          <w:sz w:val="24"/>
          <w:szCs w:val="24"/>
          <w:shd w:val="clear" w:color="auto" w:fill="FFFFFF"/>
          <w:lang w:val="fr-FR"/>
        </w:rPr>
        <w:t>se</w:t>
      </w:r>
      <w:r w:rsidR="00DD0DDE" w:rsidRPr="00953692">
        <w:rPr>
          <w:rFonts w:cs="Times New Roman"/>
          <w:sz w:val="24"/>
          <w:szCs w:val="24"/>
          <w:shd w:val="clear" w:color="auto" w:fill="FFFFFF"/>
          <w:lang w:val="fr-FR"/>
        </w:rPr>
        <w:t xml:space="preserve"> justifi</w:t>
      </w:r>
      <w:r w:rsidR="0074212A" w:rsidRPr="00953692">
        <w:rPr>
          <w:rFonts w:cs="Times New Roman"/>
          <w:sz w:val="24"/>
          <w:szCs w:val="24"/>
          <w:shd w:val="clear" w:color="auto" w:fill="FFFFFF"/>
          <w:lang w:val="fr-FR"/>
        </w:rPr>
        <w:t>e</w:t>
      </w:r>
      <w:r w:rsidR="00DD0DDE" w:rsidRPr="00953692">
        <w:rPr>
          <w:rFonts w:cs="Times New Roman"/>
          <w:sz w:val="24"/>
          <w:szCs w:val="24"/>
          <w:shd w:val="clear" w:color="auto" w:fill="FFFFFF"/>
          <w:lang w:val="fr-FR"/>
        </w:rPr>
        <w:t xml:space="preserve"> par le fait que le délai raisonnable exige à ce que le procès dur</w:t>
      </w:r>
      <w:r w:rsidR="00DC58A1" w:rsidRPr="00953692">
        <w:rPr>
          <w:rFonts w:cs="Times New Roman"/>
          <w:sz w:val="24"/>
          <w:szCs w:val="24"/>
          <w:shd w:val="clear" w:color="auto" w:fill="FFFFFF"/>
          <w:lang w:val="fr-FR"/>
        </w:rPr>
        <w:t>e</w:t>
      </w:r>
      <w:r w:rsidR="00DD0DDE" w:rsidRPr="00953692">
        <w:rPr>
          <w:rFonts w:cs="Times New Roman"/>
          <w:sz w:val="24"/>
          <w:szCs w:val="24"/>
          <w:shd w:val="clear" w:color="auto" w:fill="FFFFFF"/>
          <w:lang w:val="fr-FR"/>
        </w:rPr>
        <w:t xml:space="preserve"> pendant un certain temps sans une avancée significative et, éventuellement, </w:t>
      </w:r>
      <w:r w:rsidR="00DD0DDE" w:rsidRPr="00953692">
        <w:rPr>
          <w:rFonts w:cs="Times New Roman"/>
          <w:sz w:val="24"/>
          <w:szCs w:val="24"/>
          <w:shd w:val="clear" w:color="auto" w:fill="FFFFFF"/>
          <w:lang w:val="fr-FR"/>
        </w:rPr>
        <w:lastRenderedPageBreak/>
        <w:t>au cours duquel certains retards</w:t>
      </w:r>
      <w:r w:rsidR="004B0ABE" w:rsidRPr="00953692">
        <w:rPr>
          <w:rFonts w:cs="Times New Roman"/>
          <w:sz w:val="24"/>
          <w:szCs w:val="24"/>
          <w:shd w:val="clear" w:color="auto" w:fill="FFFFFF"/>
          <w:lang w:val="fr-FR"/>
        </w:rPr>
        <w:t xml:space="preserve"> inexplicables ou injustifiables</w:t>
      </w:r>
      <w:r w:rsidR="00DD0DDE" w:rsidRPr="00953692">
        <w:rPr>
          <w:rFonts w:cs="Times New Roman"/>
          <w:sz w:val="24"/>
          <w:szCs w:val="24"/>
          <w:shd w:val="clear" w:color="auto" w:fill="FFFFFF"/>
          <w:lang w:val="fr-FR"/>
        </w:rPr>
        <w:t xml:space="preserve"> imputables aux organes judiciaires peuvent être relevés.</w:t>
      </w:r>
    </w:p>
    <w:p w14:paraId="6A08CE74" w14:textId="5C95D116" w:rsidR="00027CCF" w:rsidRPr="00953692" w:rsidRDefault="00D04C50" w:rsidP="00864BBF">
      <w:pPr>
        <w:spacing w:after="0" w:line="276" w:lineRule="auto"/>
        <w:ind w:firstLine="1134"/>
        <w:jc w:val="both"/>
        <w:rPr>
          <w:sz w:val="24"/>
          <w:szCs w:val="24"/>
          <w:lang w:val="fr-FR"/>
        </w:rPr>
      </w:pPr>
      <w:r w:rsidRPr="00953692">
        <w:rPr>
          <w:rFonts w:cs="Times New Roman"/>
          <w:b/>
          <w:bCs/>
          <w:sz w:val="24"/>
          <w:szCs w:val="24"/>
          <w:shd w:val="clear" w:color="auto" w:fill="FFFFFF"/>
          <w:lang w:val="fr-FR"/>
        </w:rPr>
        <w:t>480</w:t>
      </w:r>
      <w:r w:rsidR="00736CC6" w:rsidRPr="00953692">
        <w:rPr>
          <w:rFonts w:cs="Times New Roman"/>
          <w:b/>
          <w:bCs/>
          <w:sz w:val="24"/>
          <w:szCs w:val="24"/>
          <w:shd w:val="clear" w:color="auto" w:fill="FFFFFF"/>
          <w:lang w:val="fr-FR"/>
        </w:rPr>
        <w:t>.</w:t>
      </w:r>
      <w:r w:rsidR="00736CC6" w:rsidRPr="00953692">
        <w:rPr>
          <w:rFonts w:cs="Times New Roman"/>
          <w:sz w:val="24"/>
          <w:szCs w:val="24"/>
          <w:shd w:val="clear" w:color="auto" w:fill="FFFFFF"/>
          <w:lang w:val="fr-FR"/>
        </w:rPr>
        <w:t xml:space="preserve"> </w:t>
      </w:r>
      <w:r w:rsidR="004E3557" w:rsidRPr="00953692">
        <w:rPr>
          <w:rFonts w:cs="Times New Roman"/>
          <w:sz w:val="24"/>
          <w:szCs w:val="24"/>
          <w:shd w:val="clear" w:color="auto" w:fill="FFFFFF"/>
          <w:lang w:val="fr-FR"/>
        </w:rPr>
        <w:t>En</w:t>
      </w:r>
      <w:r w:rsidR="0074212A" w:rsidRPr="00953692">
        <w:rPr>
          <w:rFonts w:cs="Times New Roman"/>
          <w:sz w:val="24"/>
          <w:szCs w:val="24"/>
          <w:shd w:val="clear" w:color="auto" w:fill="FFFFFF"/>
          <w:lang w:val="fr-FR"/>
        </w:rPr>
        <w:t>fin</w:t>
      </w:r>
      <w:r w:rsidR="004E3557" w:rsidRPr="00953692">
        <w:rPr>
          <w:rFonts w:cs="Times New Roman"/>
          <w:sz w:val="24"/>
          <w:szCs w:val="24"/>
          <w:shd w:val="clear" w:color="auto" w:fill="FFFFFF"/>
          <w:lang w:val="fr-FR"/>
        </w:rPr>
        <w:t>, on en vient à la conclusion selon laquelle, lorsque les autres droits de l’accusé, dans un sens (conflictualité) ou dans un autre (complémentarité), sont respectés, la violation du délai raisonnable reste improbable. Par contre, lorsqu’ils ne sont pas respectés</w:t>
      </w:r>
      <w:r w:rsidR="0086308D" w:rsidRPr="00953692">
        <w:rPr>
          <w:rFonts w:cs="Times New Roman"/>
          <w:sz w:val="24"/>
          <w:szCs w:val="24"/>
          <w:shd w:val="clear" w:color="auto" w:fill="FFFFFF"/>
          <w:lang w:val="fr-FR"/>
        </w:rPr>
        <w:t xml:space="preserve">, les différents retards qui en résultent contribuent fortement à l’établissement d’une violation du délai raisonnable. Ceci est fondé sur l’étroitesse de rapports qui existent entre ces droits de la défense et le temps. Comme nous le fait remarquer Claire </w:t>
      </w:r>
      <w:r w:rsidR="0086308D" w:rsidRPr="00953692">
        <w:rPr>
          <w:rFonts w:cs="Times New Roman"/>
          <w:sz w:val="24"/>
          <w:szCs w:val="24"/>
          <w:lang w:val="fr-FR"/>
        </w:rPr>
        <w:t xml:space="preserve">Etrillard, </w:t>
      </w:r>
      <w:r w:rsidR="00127440" w:rsidRPr="00953692">
        <w:rPr>
          <w:rFonts w:cs="Times New Roman"/>
          <w:sz w:val="24"/>
          <w:szCs w:val="24"/>
          <w:lang w:val="fr-FR"/>
        </w:rPr>
        <w:t>« l’effectivité de ces droits</w:t>
      </w:r>
      <w:r w:rsidR="00127440" w:rsidRPr="00953692">
        <w:rPr>
          <w:rFonts w:cs="Times New Roman"/>
          <w:sz w:val="24"/>
          <w:szCs w:val="24"/>
          <w:shd w:val="clear" w:color="auto" w:fill="FFFFFF"/>
          <w:lang w:val="fr-FR"/>
        </w:rPr>
        <w:t xml:space="preserve"> </w:t>
      </w:r>
      <w:r w:rsidR="00235D7E" w:rsidRPr="00953692">
        <w:rPr>
          <w:sz w:val="24"/>
          <w:szCs w:val="24"/>
          <w:lang w:val="fr-FR"/>
        </w:rPr>
        <w:t>dépend dans une large mesure de leur aménagement dans le temps</w:t>
      </w:r>
      <w:r w:rsidR="00127440" w:rsidRPr="00953692">
        <w:rPr>
          <w:sz w:val="24"/>
          <w:szCs w:val="24"/>
          <w:lang w:val="fr-FR"/>
        </w:rPr>
        <w:t> »</w:t>
      </w:r>
      <w:r w:rsidR="00414279" w:rsidRPr="00953692">
        <w:rPr>
          <w:rStyle w:val="Appelnotedebasdep"/>
          <w:sz w:val="24"/>
          <w:szCs w:val="24"/>
          <w:lang w:val="fr-FR"/>
        </w:rPr>
        <w:footnoteReference w:customMarkFollows="1" w:id="376"/>
        <w:t>352</w:t>
      </w:r>
      <w:r w:rsidR="00235D7E" w:rsidRPr="00953692">
        <w:rPr>
          <w:sz w:val="24"/>
          <w:szCs w:val="24"/>
          <w:lang w:val="fr-FR"/>
        </w:rPr>
        <w:t>.</w:t>
      </w:r>
      <w:r w:rsidR="007A3788" w:rsidRPr="00953692">
        <w:rPr>
          <w:sz w:val="24"/>
          <w:szCs w:val="24"/>
          <w:lang w:val="fr-FR"/>
        </w:rPr>
        <w:t xml:space="preserve"> Le temps devient donc ce facteur le plus important et cet allié avec lequel il faut compter dans l’expectative de conduire un procès pénal international de façon équitable et rapide.</w:t>
      </w:r>
    </w:p>
    <w:p w14:paraId="7C98A8B0" w14:textId="77777777" w:rsidR="004B0ABE" w:rsidRPr="00953692" w:rsidRDefault="004B0ABE" w:rsidP="00864BBF">
      <w:pPr>
        <w:spacing w:after="0" w:line="276" w:lineRule="auto"/>
        <w:ind w:firstLine="1134"/>
        <w:jc w:val="both"/>
        <w:rPr>
          <w:rFonts w:cs="Times New Roman"/>
          <w:sz w:val="24"/>
          <w:szCs w:val="24"/>
          <w:shd w:val="clear" w:color="auto" w:fill="FFFFFF"/>
          <w:lang w:val="fr-FR"/>
        </w:rPr>
      </w:pPr>
    </w:p>
    <w:p w14:paraId="7C00AF8F" w14:textId="59DD5D47" w:rsidR="00A50405" w:rsidRPr="00953692" w:rsidRDefault="00A50405" w:rsidP="00864BBF">
      <w:pPr>
        <w:spacing w:before="240" w:after="0" w:line="276" w:lineRule="auto"/>
        <w:rPr>
          <w:rFonts w:cs="Times New Roman"/>
          <w:sz w:val="24"/>
          <w:szCs w:val="24"/>
          <w:shd w:val="clear" w:color="auto" w:fill="FFFFFF"/>
          <w:lang w:val="fr-FR"/>
        </w:rPr>
      </w:pPr>
    </w:p>
    <w:p w14:paraId="1C50462F" w14:textId="77777777" w:rsidR="004C772A" w:rsidRPr="00953692" w:rsidRDefault="004C772A" w:rsidP="00864BBF">
      <w:pPr>
        <w:spacing w:before="240" w:after="0" w:line="276" w:lineRule="auto"/>
        <w:rPr>
          <w:rFonts w:cs="Times New Roman"/>
          <w:b/>
          <w:bCs/>
          <w:sz w:val="24"/>
          <w:szCs w:val="24"/>
          <w:lang w:val="fr-FR"/>
        </w:rPr>
      </w:pPr>
    </w:p>
    <w:p w14:paraId="2F485CEA" w14:textId="77777777" w:rsidR="00CE5B68" w:rsidRPr="00953692" w:rsidRDefault="00CE5B68" w:rsidP="00864BBF">
      <w:pPr>
        <w:spacing w:before="240" w:after="0" w:line="276" w:lineRule="auto"/>
        <w:rPr>
          <w:rFonts w:cs="Times New Roman"/>
          <w:b/>
          <w:bCs/>
          <w:sz w:val="24"/>
          <w:szCs w:val="24"/>
          <w:lang w:val="fr-FR"/>
        </w:rPr>
      </w:pPr>
    </w:p>
    <w:p w14:paraId="47BA3841" w14:textId="77777777" w:rsidR="00CE5B68" w:rsidRPr="00953692" w:rsidRDefault="00CE5B68" w:rsidP="00864BBF">
      <w:pPr>
        <w:spacing w:before="240" w:after="0" w:line="276" w:lineRule="auto"/>
        <w:rPr>
          <w:rFonts w:cs="Times New Roman"/>
          <w:b/>
          <w:bCs/>
          <w:sz w:val="24"/>
          <w:szCs w:val="24"/>
          <w:lang w:val="fr-FR"/>
        </w:rPr>
      </w:pPr>
    </w:p>
    <w:p w14:paraId="61E35FF5" w14:textId="77777777" w:rsidR="00CE5B68" w:rsidRPr="00953692" w:rsidRDefault="00CE5B68" w:rsidP="00864BBF">
      <w:pPr>
        <w:spacing w:before="240" w:after="0" w:line="276" w:lineRule="auto"/>
        <w:rPr>
          <w:rFonts w:cs="Times New Roman"/>
          <w:b/>
          <w:bCs/>
          <w:sz w:val="24"/>
          <w:szCs w:val="24"/>
          <w:lang w:val="fr-FR"/>
        </w:rPr>
      </w:pPr>
    </w:p>
    <w:p w14:paraId="76C3F265" w14:textId="77777777" w:rsidR="004B0ABE" w:rsidRPr="00953692" w:rsidRDefault="004B0ABE" w:rsidP="00864BBF">
      <w:pPr>
        <w:spacing w:before="240" w:after="0" w:line="276" w:lineRule="auto"/>
        <w:rPr>
          <w:rFonts w:cs="Times New Roman"/>
          <w:b/>
          <w:bCs/>
          <w:sz w:val="24"/>
          <w:szCs w:val="24"/>
          <w:lang w:val="fr-FR"/>
        </w:rPr>
      </w:pPr>
    </w:p>
    <w:p w14:paraId="23540F35" w14:textId="77777777" w:rsidR="00085636" w:rsidRPr="00953692" w:rsidRDefault="00085636" w:rsidP="00864BBF">
      <w:pPr>
        <w:spacing w:before="240" w:after="0" w:line="276" w:lineRule="auto"/>
        <w:rPr>
          <w:rFonts w:cs="Times New Roman"/>
          <w:b/>
          <w:bCs/>
          <w:sz w:val="24"/>
          <w:szCs w:val="24"/>
          <w:lang w:val="fr-FR"/>
        </w:rPr>
      </w:pPr>
    </w:p>
    <w:p w14:paraId="01BF53D4" w14:textId="77777777" w:rsidR="00085636" w:rsidRPr="00953692" w:rsidRDefault="00085636" w:rsidP="00864BBF">
      <w:pPr>
        <w:spacing w:before="240" w:after="0" w:line="276" w:lineRule="auto"/>
        <w:rPr>
          <w:rFonts w:cs="Times New Roman"/>
          <w:b/>
          <w:bCs/>
          <w:sz w:val="24"/>
          <w:szCs w:val="24"/>
          <w:lang w:val="fr-FR"/>
        </w:rPr>
      </w:pPr>
    </w:p>
    <w:p w14:paraId="23035A84" w14:textId="77777777" w:rsidR="00085636" w:rsidRPr="00953692" w:rsidRDefault="00085636" w:rsidP="00864BBF">
      <w:pPr>
        <w:spacing w:before="240" w:after="0" w:line="276" w:lineRule="auto"/>
        <w:rPr>
          <w:rFonts w:cs="Times New Roman"/>
          <w:b/>
          <w:bCs/>
          <w:sz w:val="24"/>
          <w:szCs w:val="24"/>
          <w:lang w:val="fr-FR"/>
        </w:rPr>
      </w:pPr>
    </w:p>
    <w:p w14:paraId="6775ED27" w14:textId="77777777" w:rsidR="00085636" w:rsidRPr="00953692" w:rsidRDefault="00085636" w:rsidP="00864BBF">
      <w:pPr>
        <w:spacing w:before="240" w:after="0" w:line="276" w:lineRule="auto"/>
        <w:rPr>
          <w:rFonts w:cs="Times New Roman"/>
          <w:b/>
          <w:bCs/>
          <w:sz w:val="24"/>
          <w:szCs w:val="24"/>
          <w:lang w:val="fr-FR"/>
        </w:rPr>
      </w:pPr>
    </w:p>
    <w:p w14:paraId="26C4DA9B" w14:textId="77777777" w:rsidR="000E2641" w:rsidRPr="00953692" w:rsidRDefault="000E2641" w:rsidP="00D04C50">
      <w:pPr>
        <w:spacing w:before="240" w:after="0" w:line="276" w:lineRule="auto"/>
        <w:rPr>
          <w:rFonts w:cs="Times New Roman"/>
          <w:b/>
          <w:bCs/>
          <w:sz w:val="24"/>
          <w:szCs w:val="24"/>
          <w:lang w:val="fr-FR"/>
        </w:rPr>
      </w:pPr>
    </w:p>
    <w:p w14:paraId="506F3971" w14:textId="77777777" w:rsidR="00D04C50" w:rsidRPr="00953692" w:rsidRDefault="00D04C50" w:rsidP="00D04C50">
      <w:pPr>
        <w:spacing w:before="240" w:after="0" w:line="276" w:lineRule="auto"/>
        <w:rPr>
          <w:rFonts w:cs="Times New Roman"/>
          <w:b/>
          <w:bCs/>
          <w:sz w:val="24"/>
          <w:szCs w:val="24"/>
          <w:lang w:val="fr-FR"/>
        </w:rPr>
      </w:pPr>
    </w:p>
    <w:p w14:paraId="7238F849" w14:textId="77777777" w:rsidR="006A0175" w:rsidRPr="00953692" w:rsidRDefault="006A0175" w:rsidP="00D04C50">
      <w:pPr>
        <w:spacing w:before="240" w:after="0" w:line="276" w:lineRule="auto"/>
        <w:rPr>
          <w:rFonts w:cs="Times New Roman"/>
          <w:b/>
          <w:bCs/>
          <w:sz w:val="24"/>
          <w:szCs w:val="24"/>
          <w:lang w:val="fr-FR"/>
        </w:rPr>
      </w:pPr>
    </w:p>
    <w:p w14:paraId="0E99FF82" w14:textId="77777777" w:rsidR="006A0175" w:rsidRPr="00953692" w:rsidRDefault="006A0175" w:rsidP="00D04C50">
      <w:pPr>
        <w:spacing w:before="240" w:after="0" w:line="276" w:lineRule="auto"/>
        <w:rPr>
          <w:rFonts w:cs="Times New Roman"/>
          <w:b/>
          <w:bCs/>
          <w:sz w:val="24"/>
          <w:szCs w:val="24"/>
          <w:lang w:val="fr-FR"/>
        </w:rPr>
      </w:pPr>
    </w:p>
    <w:p w14:paraId="2CA91F09" w14:textId="77777777" w:rsidR="00D04C50" w:rsidRPr="00953692" w:rsidRDefault="00D04C50" w:rsidP="00D04C50">
      <w:pPr>
        <w:spacing w:before="240" w:after="0" w:line="276" w:lineRule="auto"/>
        <w:rPr>
          <w:rFonts w:cs="Times New Roman"/>
          <w:b/>
          <w:bCs/>
          <w:sz w:val="24"/>
          <w:szCs w:val="24"/>
          <w:lang w:val="fr-FR"/>
        </w:rPr>
      </w:pPr>
    </w:p>
    <w:p w14:paraId="4E4D36CD" w14:textId="52266A32" w:rsidR="00723454" w:rsidRPr="00953692" w:rsidRDefault="00723454" w:rsidP="006A0175">
      <w:pPr>
        <w:pStyle w:val="Titre3"/>
        <w:jc w:val="center"/>
        <w:rPr>
          <w:bCs/>
          <w:color w:val="auto"/>
          <w:sz w:val="24"/>
          <w:szCs w:val="24"/>
          <w:lang w:val="fr-FR"/>
        </w:rPr>
      </w:pPr>
      <w:bookmarkStart w:id="108" w:name="_Toc195179454"/>
      <w:r w:rsidRPr="00953692">
        <w:rPr>
          <w:bCs/>
          <w:color w:val="auto"/>
          <w:sz w:val="24"/>
          <w:szCs w:val="24"/>
          <w:lang w:val="fr-FR"/>
        </w:rPr>
        <w:lastRenderedPageBreak/>
        <w:t>Bibliographie</w:t>
      </w:r>
      <w:bookmarkEnd w:id="108"/>
    </w:p>
    <w:p w14:paraId="2ED4D6EC" w14:textId="1153011A" w:rsidR="00E96CAC" w:rsidRPr="00953692" w:rsidRDefault="00E96CAC" w:rsidP="00864BBF">
      <w:pPr>
        <w:pStyle w:val="Paragraphedeliste"/>
        <w:numPr>
          <w:ilvl w:val="0"/>
          <w:numId w:val="16"/>
        </w:numPr>
        <w:spacing w:before="240" w:after="0" w:line="276" w:lineRule="auto"/>
        <w:rPr>
          <w:rFonts w:cs="Times New Roman"/>
          <w:b/>
          <w:bCs/>
          <w:sz w:val="24"/>
          <w:szCs w:val="24"/>
          <w:lang w:val="fr-FR"/>
        </w:rPr>
      </w:pPr>
      <w:r w:rsidRPr="00953692">
        <w:rPr>
          <w:rFonts w:cs="Times New Roman"/>
          <w:b/>
          <w:bCs/>
          <w:sz w:val="24"/>
          <w:szCs w:val="24"/>
          <w:lang w:val="fr-FR"/>
        </w:rPr>
        <w:t>Documents officiels</w:t>
      </w:r>
    </w:p>
    <w:p w14:paraId="385DF6AC" w14:textId="77777777" w:rsidR="00DD0088" w:rsidRPr="00953692" w:rsidRDefault="00DD0088" w:rsidP="00864BBF">
      <w:pPr>
        <w:pStyle w:val="Paragraphedeliste"/>
        <w:spacing w:before="240" w:after="0" w:line="276" w:lineRule="auto"/>
        <w:ind w:left="1080"/>
        <w:rPr>
          <w:rFonts w:cs="Times New Roman"/>
          <w:b/>
          <w:bCs/>
          <w:sz w:val="24"/>
          <w:szCs w:val="24"/>
          <w:lang w:val="fr-FR"/>
        </w:rPr>
      </w:pPr>
    </w:p>
    <w:p w14:paraId="73B87986" w14:textId="6CC1DF71" w:rsidR="00C24EE7" w:rsidRPr="00953692" w:rsidRDefault="00E96CAC" w:rsidP="00864BBF">
      <w:pPr>
        <w:pStyle w:val="Paragraphedeliste"/>
        <w:numPr>
          <w:ilvl w:val="0"/>
          <w:numId w:val="1"/>
        </w:numPr>
        <w:spacing w:before="240" w:line="276" w:lineRule="auto"/>
        <w:rPr>
          <w:rFonts w:cs="Times New Roman"/>
          <w:b/>
          <w:bCs/>
          <w:sz w:val="24"/>
          <w:szCs w:val="24"/>
          <w:lang w:val="fr-FR"/>
        </w:rPr>
      </w:pPr>
      <w:r w:rsidRPr="00953692">
        <w:rPr>
          <w:rFonts w:cs="Times New Roman"/>
          <w:b/>
          <w:bCs/>
          <w:sz w:val="24"/>
          <w:szCs w:val="24"/>
          <w:lang w:val="fr-FR"/>
        </w:rPr>
        <w:t>Actes constitutifs des juridictions pénales internationales</w:t>
      </w:r>
    </w:p>
    <w:p w14:paraId="64A5D075" w14:textId="77777777" w:rsidR="00C24EE7" w:rsidRPr="00953692" w:rsidRDefault="00C24EE7" w:rsidP="00864BBF">
      <w:pPr>
        <w:pStyle w:val="Paragraphedeliste"/>
        <w:spacing w:before="240" w:line="276" w:lineRule="auto"/>
        <w:ind w:left="1069"/>
        <w:rPr>
          <w:rFonts w:cs="Times New Roman"/>
          <w:b/>
          <w:bCs/>
          <w:sz w:val="24"/>
          <w:szCs w:val="24"/>
          <w:lang w:val="fr-FR"/>
        </w:rPr>
      </w:pPr>
    </w:p>
    <w:p w14:paraId="6801876E" w14:textId="59C8E1E3" w:rsidR="00015090" w:rsidRPr="00953692" w:rsidRDefault="00281366" w:rsidP="00864BBF">
      <w:pPr>
        <w:pStyle w:val="Paragraphedeliste"/>
        <w:numPr>
          <w:ilvl w:val="0"/>
          <w:numId w:val="19"/>
        </w:numPr>
        <w:spacing w:before="240" w:line="276" w:lineRule="auto"/>
        <w:jc w:val="both"/>
        <w:rPr>
          <w:rFonts w:cs="Times New Roman"/>
          <w:sz w:val="24"/>
          <w:szCs w:val="24"/>
          <w:lang w:val="fr-FR"/>
        </w:rPr>
      </w:pPr>
      <w:r w:rsidRPr="00953692">
        <w:rPr>
          <w:rFonts w:cs="Times New Roman"/>
          <w:sz w:val="24"/>
          <w:szCs w:val="24"/>
          <w:lang w:val="fr-FR"/>
        </w:rPr>
        <w:t>Statut du Tribunal international militaire de Nuremberg. Londres, 8 août 1945. In : Recueil des traités des Nations Unies, Vol.82, pp.281-301.</w:t>
      </w:r>
    </w:p>
    <w:p w14:paraId="558B44E6" w14:textId="2C3E22FB" w:rsidR="00015090" w:rsidRPr="00953692" w:rsidRDefault="0016497F" w:rsidP="00864BBF">
      <w:pPr>
        <w:pStyle w:val="Paragraphedeliste"/>
        <w:numPr>
          <w:ilvl w:val="0"/>
          <w:numId w:val="19"/>
        </w:numPr>
        <w:spacing w:before="240" w:after="0" w:line="276" w:lineRule="auto"/>
        <w:jc w:val="both"/>
        <w:rPr>
          <w:rFonts w:cs="Times New Roman"/>
          <w:sz w:val="24"/>
          <w:szCs w:val="24"/>
          <w:lang w:val="fr-FR"/>
        </w:rPr>
      </w:pPr>
      <w:r w:rsidRPr="00953692">
        <w:rPr>
          <w:rFonts w:cs="Times New Roman"/>
          <w:sz w:val="24"/>
          <w:szCs w:val="24"/>
          <w:lang w:val="fr-FR"/>
        </w:rPr>
        <w:t xml:space="preserve">Statut du </w:t>
      </w:r>
      <w:r w:rsidR="00015090" w:rsidRPr="00953692">
        <w:rPr>
          <w:rFonts w:cs="Times New Roman"/>
          <w:sz w:val="24"/>
          <w:szCs w:val="24"/>
          <w:lang w:val="fr-FR"/>
        </w:rPr>
        <w:t xml:space="preserve">Tribunal militaire international institué par la proclamation spéciale du Commandant suprême des Forces alliées en Extrême-Orient en date du 19 janvier 1946 pour “le juste et prompt châtiment des grands criminels de guerre </w:t>
      </w:r>
      <w:r w:rsidR="00C74506" w:rsidRPr="00953692">
        <w:rPr>
          <w:rFonts w:cs="Times New Roman"/>
          <w:sz w:val="24"/>
          <w:szCs w:val="24"/>
          <w:lang w:val="fr-FR"/>
        </w:rPr>
        <w:t>d’Extrême-Orient</w:t>
      </w:r>
      <w:r w:rsidR="00015090" w:rsidRPr="00953692">
        <w:rPr>
          <w:rFonts w:cs="Times New Roman"/>
          <w:sz w:val="24"/>
          <w:szCs w:val="24"/>
          <w:lang w:val="fr-FR"/>
        </w:rPr>
        <w:t>”.</w:t>
      </w:r>
    </w:p>
    <w:p w14:paraId="6C5B47C1" w14:textId="77777777" w:rsidR="00281366" w:rsidRPr="00953692" w:rsidRDefault="00281366" w:rsidP="00864BBF">
      <w:pPr>
        <w:pStyle w:val="Paragraphedeliste"/>
        <w:numPr>
          <w:ilvl w:val="0"/>
          <w:numId w:val="19"/>
        </w:numPr>
        <w:spacing w:before="240" w:after="0" w:line="276" w:lineRule="auto"/>
        <w:jc w:val="both"/>
        <w:rPr>
          <w:rFonts w:cs="Times New Roman"/>
          <w:sz w:val="24"/>
          <w:szCs w:val="24"/>
          <w:lang w:val="fr-FR"/>
        </w:rPr>
      </w:pPr>
      <w:r w:rsidRPr="00953692">
        <w:rPr>
          <w:rFonts w:cs="Times New Roman"/>
          <w:sz w:val="24"/>
          <w:szCs w:val="24"/>
          <w:lang w:val="fr-FR"/>
        </w:rPr>
        <w:t>Statut actualisé du tribunal pénal international pour l’ex-Yougoslavie de 1993.</w:t>
      </w:r>
    </w:p>
    <w:p w14:paraId="2257916A" w14:textId="36426378" w:rsidR="00281366" w:rsidRPr="00953692" w:rsidRDefault="00281366" w:rsidP="00864BBF">
      <w:pPr>
        <w:pStyle w:val="Paragraphedeliste"/>
        <w:numPr>
          <w:ilvl w:val="0"/>
          <w:numId w:val="19"/>
        </w:numPr>
        <w:spacing w:before="240" w:after="0" w:line="276" w:lineRule="auto"/>
        <w:jc w:val="both"/>
        <w:rPr>
          <w:rFonts w:cs="Times New Roman"/>
          <w:sz w:val="24"/>
          <w:szCs w:val="24"/>
          <w:lang w:val="fr-FR"/>
        </w:rPr>
      </w:pPr>
      <w:r w:rsidRPr="00953692">
        <w:rPr>
          <w:rFonts w:cs="Times New Roman"/>
          <w:sz w:val="24"/>
          <w:szCs w:val="24"/>
          <w:lang w:val="fr-FR"/>
        </w:rPr>
        <w:t>Statut du tribunal pénal international pour le Rwanda de 1994.</w:t>
      </w:r>
    </w:p>
    <w:p w14:paraId="14724F33" w14:textId="77777777" w:rsidR="00281366" w:rsidRPr="00953692" w:rsidRDefault="00281366" w:rsidP="00864BBF">
      <w:pPr>
        <w:pStyle w:val="Paragraphedeliste"/>
        <w:numPr>
          <w:ilvl w:val="0"/>
          <w:numId w:val="19"/>
        </w:numPr>
        <w:spacing w:before="240" w:after="0" w:line="276" w:lineRule="auto"/>
        <w:jc w:val="both"/>
        <w:rPr>
          <w:rFonts w:cs="Times New Roman"/>
          <w:sz w:val="24"/>
          <w:szCs w:val="24"/>
          <w:lang w:val="fr-FR"/>
        </w:rPr>
      </w:pPr>
      <w:r w:rsidRPr="00953692">
        <w:rPr>
          <w:rFonts w:cs="Times New Roman"/>
          <w:sz w:val="24"/>
          <w:szCs w:val="24"/>
          <w:lang w:val="fr-FR"/>
        </w:rPr>
        <w:t>Statut de Rome, adopté par l’Assemblée des Etats Parties le 17 juillet 1998, UN Doc. A/CONF.183/9, 17 juillet 1998.</w:t>
      </w:r>
    </w:p>
    <w:p w14:paraId="00551A25" w14:textId="77777777" w:rsidR="00281366" w:rsidRPr="00953692" w:rsidRDefault="00281366" w:rsidP="00864BBF">
      <w:pPr>
        <w:pStyle w:val="Paragraphedeliste"/>
        <w:numPr>
          <w:ilvl w:val="0"/>
          <w:numId w:val="19"/>
        </w:numPr>
        <w:spacing w:before="240" w:after="0" w:line="276" w:lineRule="auto"/>
        <w:jc w:val="both"/>
        <w:rPr>
          <w:rFonts w:cs="Times New Roman"/>
          <w:sz w:val="24"/>
          <w:szCs w:val="24"/>
          <w:lang w:val="fr-FR"/>
        </w:rPr>
      </w:pPr>
      <w:r w:rsidRPr="00953692">
        <w:rPr>
          <w:rFonts w:cs="Times New Roman"/>
          <w:sz w:val="24"/>
          <w:szCs w:val="24"/>
          <w:lang w:val="fr-FR"/>
        </w:rPr>
        <w:t>Statut du Tribunal Spécial pour la Sierra Leone de 2002.</w:t>
      </w:r>
    </w:p>
    <w:p w14:paraId="20087B94" w14:textId="2BEEC77D" w:rsidR="00281366" w:rsidRPr="00953692" w:rsidRDefault="00281366" w:rsidP="00864BBF">
      <w:pPr>
        <w:pStyle w:val="Paragraphedeliste"/>
        <w:numPr>
          <w:ilvl w:val="0"/>
          <w:numId w:val="19"/>
        </w:numPr>
        <w:spacing w:before="240" w:after="0" w:line="276" w:lineRule="auto"/>
        <w:jc w:val="both"/>
        <w:rPr>
          <w:rFonts w:cs="Times New Roman"/>
          <w:sz w:val="24"/>
          <w:szCs w:val="24"/>
          <w:lang w:val="fr-FR"/>
        </w:rPr>
      </w:pPr>
      <w:r w:rsidRPr="00953692">
        <w:rPr>
          <w:rFonts w:cs="Times New Roman"/>
          <w:sz w:val="24"/>
          <w:szCs w:val="24"/>
          <w:lang w:val="fr-FR"/>
        </w:rPr>
        <w:t>Statut du Tribunal spécial pour le Liban, 2007.</w:t>
      </w:r>
    </w:p>
    <w:p w14:paraId="007991F8" w14:textId="77777777" w:rsidR="00281366" w:rsidRPr="00953692" w:rsidRDefault="00281366" w:rsidP="00864BBF">
      <w:pPr>
        <w:pStyle w:val="Paragraphedeliste"/>
        <w:numPr>
          <w:ilvl w:val="0"/>
          <w:numId w:val="19"/>
        </w:numPr>
        <w:spacing w:before="240" w:after="0" w:line="276" w:lineRule="auto"/>
        <w:jc w:val="both"/>
        <w:rPr>
          <w:rFonts w:cs="Times New Roman"/>
          <w:sz w:val="24"/>
          <w:szCs w:val="24"/>
          <w:lang w:val="fr-FR"/>
        </w:rPr>
      </w:pPr>
      <w:r w:rsidRPr="00953692">
        <w:rPr>
          <w:rFonts w:cs="Times New Roman"/>
          <w:sz w:val="24"/>
          <w:szCs w:val="24"/>
          <w:lang w:val="fr-FR"/>
        </w:rPr>
        <w:t>Statut des Chambres africaines extraordinaires au sein des juridictions sénégalaises pour la poursuite des crimes internationaux commis au Tchad durant la période du 7 juin 1982 au 1er décembre 1990.</w:t>
      </w:r>
    </w:p>
    <w:p w14:paraId="315A170B" w14:textId="1EB1B9C0" w:rsidR="00281366" w:rsidRPr="00953692" w:rsidRDefault="00281366" w:rsidP="00864BBF">
      <w:pPr>
        <w:pStyle w:val="Paragraphedeliste"/>
        <w:numPr>
          <w:ilvl w:val="0"/>
          <w:numId w:val="19"/>
        </w:numPr>
        <w:spacing w:before="240" w:after="0" w:line="276" w:lineRule="auto"/>
        <w:jc w:val="both"/>
        <w:rPr>
          <w:rFonts w:cs="Times New Roman"/>
          <w:sz w:val="24"/>
          <w:szCs w:val="24"/>
          <w:lang w:val="fr-FR"/>
        </w:rPr>
      </w:pPr>
      <w:r w:rsidRPr="00953692">
        <w:rPr>
          <w:rFonts w:cs="Times New Roman"/>
          <w:sz w:val="24"/>
          <w:szCs w:val="24"/>
          <w:lang w:val="fr-FR"/>
        </w:rPr>
        <w:t xml:space="preserve">Loi n°05/L-053 sur les Chambres spécialisées et les parquets spécialisés du </w:t>
      </w:r>
      <w:r w:rsidR="002B39AA" w:rsidRPr="00953692">
        <w:rPr>
          <w:rFonts w:cs="Times New Roman"/>
          <w:sz w:val="24"/>
          <w:szCs w:val="24"/>
          <w:lang w:val="fr-FR"/>
        </w:rPr>
        <w:t xml:space="preserve">Kosovo, </w:t>
      </w:r>
      <w:r w:rsidRPr="00953692">
        <w:rPr>
          <w:rFonts w:cs="Times New Roman"/>
          <w:sz w:val="24"/>
          <w:szCs w:val="24"/>
          <w:lang w:val="fr-FR"/>
        </w:rPr>
        <w:t>3 Aout 2015.</w:t>
      </w:r>
    </w:p>
    <w:p w14:paraId="669C234B" w14:textId="61FEE74E" w:rsidR="0016497F" w:rsidRPr="00953692" w:rsidRDefault="0016497F" w:rsidP="00864BBF">
      <w:pPr>
        <w:pStyle w:val="Paragraphedeliste"/>
        <w:numPr>
          <w:ilvl w:val="0"/>
          <w:numId w:val="19"/>
        </w:numPr>
        <w:spacing w:before="240" w:after="0" w:line="276" w:lineRule="auto"/>
        <w:jc w:val="both"/>
        <w:rPr>
          <w:rFonts w:cs="Times New Roman"/>
          <w:sz w:val="24"/>
          <w:szCs w:val="24"/>
          <w:lang w:val="fr-FR"/>
        </w:rPr>
      </w:pPr>
      <w:r w:rsidRPr="00953692">
        <w:rPr>
          <w:rFonts w:cs="Times New Roman"/>
          <w:sz w:val="24"/>
          <w:szCs w:val="24"/>
          <w:lang w:val="fr-FR"/>
        </w:rPr>
        <w:t>Règlement n° 2000/30 portant règles transitoires de procédure pénale, UNTAET/REG/2000/30, 25 sept. 2000.</w:t>
      </w:r>
    </w:p>
    <w:p w14:paraId="0AFC9938" w14:textId="2CE14DF8" w:rsidR="0016497F" w:rsidRPr="00953692" w:rsidRDefault="0016497F" w:rsidP="00864BBF">
      <w:pPr>
        <w:pStyle w:val="Paragraphedeliste"/>
        <w:numPr>
          <w:ilvl w:val="0"/>
          <w:numId w:val="19"/>
        </w:numPr>
        <w:spacing w:before="240" w:after="0" w:line="276" w:lineRule="auto"/>
        <w:jc w:val="both"/>
        <w:rPr>
          <w:rFonts w:cs="Times New Roman"/>
          <w:sz w:val="24"/>
          <w:szCs w:val="24"/>
          <w:lang w:val="fr-FR"/>
        </w:rPr>
      </w:pPr>
      <w:r w:rsidRPr="00953692">
        <w:rPr>
          <w:rFonts w:cs="Times New Roman"/>
          <w:sz w:val="24"/>
          <w:szCs w:val="24"/>
          <w:lang w:val="fr-FR"/>
        </w:rPr>
        <w:t>Règlement de procédure et de preuve de la CPI,</w:t>
      </w:r>
      <w:r w:rsidRPr="00953692">
        <w:rPr>
          <w:sz w:val="24"/>
          <w:szCs w:val="24"/>
          <w:lang w:val="fr-FR"/>
        </w:rPr>
        <w:t xml:space="preserve"> </w:t>
      </w:r>
      <w:r w:rsidR="00C24EE7" w:rsidRPr="00953692">
        <w:rPr>
          <w:sz w:val="24"/>
          <w:szCs w:val="24"/>
          <w:lang w:val="fr-FR"/>
        </w:rPr>
        <w:t xml:space="preserve">Documents officiels de l’Assemblée des États Parties au Statut de Rome de la Cour pénale internationale, première session, New York, 3 -10 septembre 2002 (ICC-ASP/1/3 et Corr.1), deuxième partie. </w:t>
      </w:r>
      <w:r w:rsidR="00C24EE7" w:rsidRPr="00953692">
        <w:rPr>
          <w:sz w:val="24"/>
          <w:szCs w:val="24"/>
        </w:rPr>
        <w:t>A.</w:t>
      </w:r>
    </w:p>
    <w:p w14:paraId="6FFA2755" w14:textId="2712FAEF" w:rsidR="00C24EE7" w:rsidRPr="00953692" w:rsidRDefault="0016497F" w:rsidP="00864BBF">
      <w:pPr>
        <w:pStyle w:val="Paragraphedeliste"/>
        <w:numPr>
          <w:ilvl w:val="0"/>
          <w:numId w:val="19"/>
        </w:numPr>
        <w:spacing w:before="240" w:after="0" w:line="276" w:lineRule="auto"/>
        <w:jc w:val="both"/>
        <w:rPr>
          <w:rFonts w:cs="Times New Roman"/>
          <w:sz w:val="24"/>
          <w:szCs w:val="24"/>
          <w:lang w:val="fr-FR"/>
        </w:rPr>
      </w:pPr>
      <w:r w:rsidRPr="00953692">
        <w:rPr>
          <w:rFonts w:cs="Times New Roman"/>
          <w:sz w:val="24"/>
          <w:szCs w:val="24"/>
          <w:lang w:val="fr-FR"/>
        </w:rPr>
        <w:t>Règlement intérieur des Chambres extraordinaires au sein des tribunaux cambodgiens (rev.9), 16 janvier 2015.</w:t>
      </w:r>
    </w:p>
    <w:p w14:paraId="75131CD5" w14:textId="222E94BC" w:rsidR="00C24EE7" w:rsidRPr="00953692" w:rsidRDefault="00C24EE7" w:rsidP="00864BBF">
      <w:pPr>
        <w:pStyle w:val="Notedebasdepage"/>
        <w:numPr>
          <w:ilvl w:val="0"/>
          <w:numId w:val="19"/>
        </w:numPr>
        <w:spacing w:line="276" w:lineRule="auto"/>
        <w:jc w:val="both"/>
        <w:rPr>
          <w:rFonts w:cs="Times New Roman"/>
          <w:sz w:val="24"/>
          <w:szCs w:val="24"/>
          <w:lang w:val="fr-FR"/>
        </w:rPr>
      </w:pPr>
      <w:r w:rsidRPr="00953692">
        <w:rPr>
          <w:rFonts w:cs="Times New Roman"/>
          <w:sz w:val="24"/>
          <w:szCs w:val="24"/>
          <w:lang w:val="fr-FR"/>
        </w:rPr>
        <w:t>Règlement intérieur des Chambres extraordinaires au sein des tribunaux cambodgiens (Rev.9) révisé le 16 janvier 2015.</w:t>
      </w:r>
    </w:p>
    <w:p w14:paraId="2A51A97E" w14:textId="382B6D76" w:rsidR="00C24EE7" w:rsidRPr="00953692" w:rsidRDefault="00C24EE7" w:rsidP="00864BBF">
      <w:pPr>
        <w:pStyle w:val="Notedebasdepage"/>
        <w:numPr>
          <w:ilvl w:val="0"/>
          <w:numId w:val="19"/>
        </w:numPr>
        <w:spacing w:line="276" w:lineRule="auto"/>
        <w:jc w:val="both"/>
        <w:rPr>
          <w:rFonts w:cs="Times New Roman"/>
          <w:sz w:val="24"/>
          <w:szCs w:val="24"/>
          <w:lang w:val="en-US"/>
        </w:rPr>
      </w:pPr>
      <w:r w:rsidRPr="00953692">
        <w:rPr>
          <w:rFonts w:cs="Times New Roman"/>
          <w:sz w:val="24"/>
          <w:szCs w:val="24"/>
          <w:lang w:val="en-US"/>
        </w:rPr>
        <w:t>Rules of procedure and evidence before the Kosovo specialist Chambers (adopted on 17 March 2017, revised on 29 May 2017, amended on 29 and 30 April 2020) KSC-BD-03/Rev3/2020/2 of 130.</w:t>
      </w:r>
    </w:p>
    <w:p w14:paraId="7AD28A67" w14:textId="08AFDAFA" w:rsidR="00C24EE7" w:rsidRPr="00953692" w:rsidRDefault="00281366" w:rsidP="00864BBF">
      <w:pPr>
        <w:pStyle w:val="Paragraphedeliste"/>
        <w:numPr>
          <w:ilvl w:val="0"/>
          <w:numId w:val="19"/>
        </w:numPr>
        <w:spacing w:after="0" w:line="276" w:lineRule="auto"/>
        <w:jc w:val="both"/>
        <w:rPr>
          <w:rFonts w:cs="Times New Roman"/>
          <w:sz w:val="24"/>
          <w:szCs w:val="24"/>
          <w:lang w:val="fr-FR"/>
        </w:rPr>
      </w:pPr>
      <w:r w:rsidRPr="00953692">
        <w:rPr>
          <w:rFonts w:cs="Times New Roman"/>
          <w:sz w:val="24"/>
          <w:szCs w:val="24"/>
          <w:lang w:val="fr-FR"/>
        </w:rPr>
        <w:t>Loi N° 18.010 du 02 juillet 2018, portant Règlement de procédure et de preuve devant la Cour Pénale Spéciale de la République Centrafricaine In JORCA/ES N°05, 58</w:t>
      </w:r>
      <w:r w:rsidRPr="00953692">
        <w:rPr>
          <w:rFonts w:cs="Times New Roman"/>
          <w:sz w:val="24"/>
          <w:szCs w:val="24"/>
          <w:vertAlign w:val="superscript"/>
          <w:lang w:val="fr-FR"/>
        </w:rPr>
        <w:t>ème</w:t>
      </w:r>
      <w:r w:rsidRPr="00953692">
        <w:rPr>
          <w:rFonts w:cs="Times New Roman"/>
          <w:sz w:val="24"/>
          <w:szCs w:val="24"/>
          <w:lang w:val="fr-FR"/>
        </w:rPr>
        <w:t xml:space="preserve"> année, 01 aout 2018.</w:t>
      </w:r>
    </w:p>
    <w:p w14:paraId="57D216FF" w14:textId="5CD0DDF3" w:rsidR="002B39AA" w:rsidRPr="00953692" w:rsidRDefault="00C24EE7" w:rsidP="00864BBF">
      <w:pPr>
        <w:pStyle w:val="Notedebasdepage"/>
        <w:numPr>
          <w:ilvl w:val="0"/>
          <w:numId w:val="19"/>
        </w:numPr>
        <w:spacing w:line="276" w:lineRule="auto"/>
        <w:jc w:val="both"/>
        <w:rPr>
          <w:rFonts w:cs="Times New Roman"/>
          <w:sz w:val="24"/>
          <w:szCs w:val="24"/>
          <w:lang w:val="fr-FR"/>
        </w:rPr>
      </w:pPr>
      <w:r w:rsidRPr="00953692">
        <w:rPr>
          <w:rFonts w:cs="Times New Roman"/>
          <w:sz w:val="24"/>
          <w:szCs w:val="24"/>
          <w:lang w:val="fr-FR"/>
        </w:rPr>
        <w:t xml:space="preserve">CPI, BdP, Principes directeurs de l’accord relatif à l’aveu de culpabilité, Octobre 2020. </w:t>
      </w:r>
    </w:p>
    <w:p w14:paraId="14C9FD02" w14:textId="3ECF5B01" w:rsidR="002B39AA" w:rsidRPr="00953692" w:rsidRDefault="006B62A8" w:rsidP="00864BBF">
      <w:pPr>
        <w:pStyle w:val="Notedebasdepage"/>
        <w:numPr>
          <w:ilvl w:val="0"/>
          <w:numId w:val="19"/>
        </w:numPr>
        <w:spacing w:line="276" w:lineRule="auto"/>
        <w:jc w:val="both"/>
        <w:rPr>
          <w:rFonts w:cs="Times New Roman"/>
          <w:sz w:val="24"/>
          <w:szCs w:val="24"/>
          <w:lang w:val="fr-FR"/>
        </w:rPr>
      </w:pPr>
      <w:r w:rsidRPr="00953692">
        <w:rPr>
          <w:rFonts w:cs="Times New Roman"/>
          <w:sz w:val="24"/>
          <w:szCs w:val="24"/>
          <w:lang w:val="fr-FR"/>
        </w:rPr>
        <w:lastRenderedPageBreak/>
        <w:t>CPI, Guide pratique de procédure pour les Chambres, Cinquième édition, Adopté à la suite de la retraite des juges de 2021.</w:t>
      </w:r>
    </w:p>
    <w:p w14:paraId="49CC5E19" w14:textId="39F58111" w:rsidR="00E96CAC" w:rsidRPr="00953692" w:rsidRDefault="00E96CAC" w:rsidP="00864BBF">
      <w:pPr>
        <w:pStyle w:val="Paragraphedeliste"/>
        <w:numPr>
          <w:ilvl w:val="0"/>
          <w:numId w:val="1"/>
        </w:numPr>
        <w:spacing w:before="240" w:after="0" w:line="276" w:lineRule="auto"/>
        <w:rPr>
          <w:rFonts w:cs="Times New Roman"/>
          <w:b/>
          <w:bCs/>
          <w:sz w:val="24"/>
          <w:szCs w:val="24"/>
          <w:lang w:val="fr-FR"/>
        </w:rPr>
      </w:pPr>
      <w:r w:rsidRPr="00953692">
        <w:rPr>
          <w:rFonts w:cs="Times New Roman"/>
          <w:b/>
          <w:bCs/>
          <w:sz w:val="24"/>
          <w:szCs w:val="24"/>
          <w:lang w:val="fr-FR"/>
        </w:rPr>
        <w:t>Principaux textes juridiques internationaux et régionaux</w:t>
      </w:r>
    </w:p>
    <w:p w14:paraId="4CFFBBF8" w14:textId="77777777" w:rsidR="00953A78" w:rsidRPr="00953692" w:rsidRDefault="00953A78" w:rsidP="00864BBF">
      <w:pPr>
        <w:pStyle w:val="Notedebasdepage"/>
        <w:spacing w:line="276" w:lineRule="auto"/>
        <w:jc w:val="both"/>
        <w:rPr>
          <w:rFonts w:cs="Times New Roman"/>
          <w:sz w:val="24"/>
          <w:szCs w:val="24"/>
          <w:lang w:val="fr-FR"/>
        </w:rPr>
      </w:pPr>
    </w:p>
    <w:p w14:paraId="01EE2DC3" w14:textId="21049F76" w:rsidR="009048D7" w:rsidRPr="00953692" w:rsidRDefault="00953A78" w:rsidP="00864BBF">
      <w:pPr>
        <w:pStyle w:val="Notedebasdepage"/>
        <w:numPr>
          <w:ilvl w:val="0"/>
          <w:numId w:val="20"/>
        </w:numPr>
        <w:spacing w:line="276" w:lineRule="auto"/>
        <w:jc w:val="both"/>
        <w:rPr>
          <w:rFonts w:cs="Times New Roman"/>
          <w:sz w:val="24"/>
          <w:szCs w:val="24"/>
          <w:lang w:val="fr-FR"/>
        </w:rPr>
      </w:pPr>
      <w:r w:rsidRPr="00953692">
        <w:rPr>
          <w:rFonts w:cs="Times New Roman"/>
          <w:sz w:val="24"/>
          <w:szCs w:val="24"/>
          <w:lang w:val="fr-FR"/>
        </w:rPr>
        <w:t>D</w:t>
      </w:r>
      <w:r w:rsidR="009048D7" w:rsidRPr="00953692">
        <w:rPr>
          <w:rFonts w:cs="Times New Roman"/>
          <w:sz w:val="24"/>
          <w:szCs w:val="24"/>
          <w:lang w:val="fr-FR"/>
        </w:rPr>
        <w:t>éclaration universelle des droits de l’homme de 1948.</w:t>
      </w:r>
    </w:p>
    <w:p w14:paraId="6AA92979" w14:textId="3128B681" w:rsidR="00C94AE5" w:rsidRPr="00953692" w:rsidRDefault="00C94AE5" w:rsidP="00864BBF">
      <w:pPr>
        <w:pStyle w:val="Paragraphedeliste"/>
        <w:numPr>
          <w:ilvl w:val="0"/>
          <w:numId w:val="20"/>
        </w:numPr>
        <w:spacing w:after="0" w:line="276" w:lineRule="auto"/>
        <w:jc w:val="both"/>
        <w:rPr>
          <w:rFonts w:cs="Times New Roman"/>
          <w:sz w:val="24"/>
          <w:szCs w:val="24"/>
          <w:lang w:val="fr-FR"/>
        </w:rPr>
      </w:pPr>
      <w:r w:rsidRPr="00953692">
        <w:rPr>
          <w:rFonts w:cs="Times New Roman"/>
          <w:sz w:val="24"/>
          <w:szCs w:val="24"/>
          <w:lang w:val="fr-FR"/>
        </w:rPr>
        <w:t>Pacte international relatif aux droits civils et politiques du 19 décembre 1966 In : Recueil des Traités, Vol. 999, 1976, 187-301.</w:t>
      </w:r>
    </w:p>
    <w:p w14:paraId="1A65486A" w14:textId="76A8FEEA" w:rsidR="00C94AE5" w:rsidRPr="00953692" w:rsidRDefault="00C94AE5" w:rsidP="00864BBF">
      <w:pPr>
        <w:pStyle w:val="Paragraphedeliste"/>
        <w:numPr>
          <w:ilvl w:val="0"/>
          <w:numId w:val="20"/>
        </w:numPr>
        <w:spacing w:before="240" w:after="0" w:line="276" w:lineRule="auto"/>
        <w:jc w:val="both"/>
        <w:rPr>
          <w:rFonts w:cs="Times New Roman"/>
          <w:sz w:val="24"/>
          <w:szCs w:val="24"/>
          <w:lang w:val="fr-FR"/>
        </w:rPr>
      </w:pPr>
      <w:r w:rsidRPr="00953692">
        <w:rPr>
          <w:rFonts w:cs="Times New Roman"/>
          <w:sz w:val="24"/>
          <w:szCs w:val="24"/>
          <w:lang w:val="fr-FR"/>
        </w:rPr>
        <w:t>Convention relative aux droits de l'enfant, adoptée et ouverte à la signature, ratification et adhésion par l'Assemblée générale dans sa résolution 44/25 du 20 novembre 1989.</w:t>
      </w:r>
    </w:p>
    <w:p w14:paraId="70742650" w14:textId="1107FE2C" w:rsidR="00953A78" w:rsidRPr="00953692" w:rsidRDefault="00C94AE5" w:rsidP="00864BBF">
      <w:pPr>
        <w:pStyle w:val="Paragraphedeliste"/>
        <w:numPr>
          <w:ilvl w:val="0"/>
          <w:numId w:val="20"/>
        </w:numPr>
        <w:spacing w:before="240" w:after="0" w:line="276" w:lineRule="auto"/>
        <w:jc w:val="both"/>
        <w:rPr>
          <w:rFonts w:cs="Times New Roman"/>
          <w:sz w:val="24"/>
          <w:szCs w:val="24"/>
          <w:lang w:val="fr-FR"/>
        </w:rPr>
      </w:pPr>
      <w:r w:rsidRPr="00953692">
        <w:rPr>
          <w:rFonts w:cs="Times New Roman"/>
          <w:sz w:val="24"/>
          <w:szCs w:val="24"/>
          <w:lang w:val="fr-FR"/>
        </w:rPr>
        <w:t>Déclaration et Programme d’action de Vienne Adoptés par la Conférence mondiale sur les droits de l’homme le 25 juin 1993.</w:t>
      </w:r>
    </w:p>
    <w:p w14:paraId="2CB2BEFA" w14:textId="215CEC39" w:rsidR="00953A78" w:rsidRPr="00953692" w:rsidRDefault="002B39AA" w:rsidP="00864BBF">
      <w:pPr>
        <w:pStyle w:val="Notedebasdepage"/>
        <w:numPr>
          <w:ilvl w:val="0"/>
          <w:numId w:val="20"/>
        </w:numPr>
        <w:spacing w:line="276" w:lineRule="auto"/>
        <w:jc w:val="both"/>
        <w:rPr>
          <w:rFonts w:cs="Times New Roman"/>
          <w:sz w:val="24"/>
          <w:szCs w:val="24"/>
          <w:lang w:val="fr-FR"/>
        </w:rPr>
      </w:pPr>
      <w:r w:rsidRPr="00953692">
        <w:rPr>
          <w:rFonts w:cs="Times New Roman"/>
          <w:sz w:val="24"/>
          <w:szCs w:val="24"/>
          <w:lang w:val="fr-FR"/>
        </w:rPr>
        <w:t>Convention relative aux droits de l'enfant, adoptée et ouverte à la signature, ratification et adhésion par l'Assemblée générale dans sa résolution 44/25 du 20 novembre 1989.</w:t>
      </w:r>
    </w:p>
    <w:p w14:paraId="76ABBE6B" w14:textId="3536D361" w:rsidR="00953A78" w:rsidRPr="00953692" w:rsidRDefault="002B39AA" w:rsidP="00864BBF">
      <w:pPr>
        <w:pStyle w:val="Notedebasdepage"/>
        <w:numPr>
          <w:ilvl w:val="0"/>
          <w:numId w:val="20"/>
        </w:numPr>
        <w:spacing w:line="276" w:lineRule="auto"/>
        <w:jc w:val="both"/>
        <w:rPr>
          <w:rStyle w:val="Appelnotedebasdep"/>
          <w:rFonts w:cs="Times New Roman"/>
          <w:sz w:val="24"/>
          <w:szCs w:val="24"/>
          <w:vertAlign w:val="baseline"/>
          <w:lang w:val="fr-FR"/>
        </w:rPr>
      </w:pPr>
      <w:r w:rsidRPr="00953692">
        <w:rPr>
          <w:rFonts w:cs="Times New Roman"/>
          <w:sz w:val="24"/>
          <w:szCs w:val="24"/>
          <w:lang w:val="fr-FR"/>
        </w:rPr>
        <w:t xml:space="preserve">Convention de sauvegarde des droits de l’homme et des libertés fondamentales Rome, 4.XI.1950. </w:t>
      </w:r>
    </w:p>
    <w:p w14:paraId="0613CAFE" w14:textId="0E9DEBC0" w:rsidR="00953A78" w:rsidRPr="00953692" w:rsidRDefault="002B39AA" w:rsidP="00864BBF">
      <w:pPr>
        <w:pStyle w:val="Notedebasdepage"/>
        <w:numPr>
          <w:ilvl w:val="0"/>
          <w:numId w:val="20"/>
        </w:numPr>
        <w:spacing w:line="276" w:lineRule="auto"/>
        <w:jc w:val="both"/>
        <w:rPr>
          <w:rStyle w:val="Appelnotedebasdep"/>
          <w:rFonts w:cs="Times New Roman"/>
          <w:sz w:val="24"/>
          <w:szCs w:val="24"/>
          <w:vertAlign w:val="baseline"/>
          <w:lang w:val="fr-FR"/>
        </w:rPr>
      </w:pPr>
      <w:r w:rsidRPr="00953692">
        <w:rPr>
          <w:rFonts w:cs="Times New Roman"/>
          <w:sz w:val="24"/>
          <w:szCs w:val="24"/>
          <w:lang w:val="fr-FR"/>
        </w:rPr>
        <w:t>Convention américaine relative aux droits de l'homme, San José, Costa Rica, le 22 novembre 1969.</w:t>
      </w:r>
    </w:p>
    <w:p w14:paraId="05C9847C" w14:textId="0066E2B4" w:rsidR="002B39AA" w:rsidRPr="00953692" w:rsidRDefault="002B39AA" w:rsidP="00864BBF">
      <w:pPr>
        <w:pStyle w:val="Notedebasdepage"/>
        <w:numPr>
          <w:ilvl w:val="0"/>
          <w:numId w:val="20"/>
        </w:numPr>
        <w:spacing w:line="276" w:lineRule="auto"/>
        <w:jc w:val="both"/>
        <w:rPr>
          <w:rFonts w:cs="Times New Roman"/>
          <w:sz w:val="24"/>
          <w:szCs w:val="24"/>
          <w:lang w:val="fr-FR"/>
        </w:rPr>
      </w:pPr>
      <w:r w:rsidRPr="00953692">
        <w:rPr>
          <w:rFonts w:cs="Times New Roman"/>
          <w:sz w:val="24"/>
          <w:szCs w:val="24"/>
          <w:shd w:val="clear" w:color="auto" w:fill="FFFFFF"/>
          <w:lang w:val="fr-FR"/>
        </w:rPr>
        <w:t>Charte Africaine des Droits de l'Homme et des Peuples, OAU Doc. CAB/LEG/67/3 rev. 5, 21 I.L.M. 58 (1982), 27 juin 1981, </w:t>
      </w:r>
      <w:r w:rsidRPr="00953692">
        <w:rPr>
          <w:rFonts w:cs="Times New Roman"/>
          <w:i/>
          <w:iCs/>
          <w:sz w:val="24"/>
          <w:szCs w:val="24"/>
          <w:shd w:val="clear" w:color="auto" w:fill="FFFFFF"/>
          <w:lang w:val="fr-FR"/>
        </w:rPr>
        <w:t>entré en vigueur</w:t>
      </w:r>
      <w:r w:rsidRPr="00953692">
        <w:rPr>
          <w:rFonts w:cs="Times New Roman"/>
          <w:sz w:val="24"/>
          <w:szCs w:val="24"/>
          <w:shd w:val="clear" w:color="auto" w:fill="FFFFFF"/>
          <w:lang w:val="fr-FR"/>
        </w:rPr>
        <w:t> 21 octobre 1986.</w:t>
      </w:r>
    </w:p>
    <w:p w14:paraId="0E837DDA" w14:textId="4FC9AC3C" w:rsidR="00C94AE5" w:rsidRPr="00953692" w:rsidRDefault="00E96CAC" w:rsidP="00864BBF">
      <w:pPr>
        <w:pStyle w:val="Paragraphedeliste"/>
        <w:numPr>
          <w:ilvl w:val="0"/>
          <w:numId w:val="1"/>
        </w:numPr>
        <w:spacing w:before="240" w:line="276" w:lineRule="auto"/>
        <w:rPr>
          <w:rFonts w:cs="Times New Roman"/>
          <w:b/>
          <w:bCs/>
          <w:sz w:val="24"/>
          <w:szCs w:val="24"/>
          <w:lang w:val="fr-FR"/>
        </w:rPr>
      </w:pPr>
      <w:r w:rsidRPr="00953692">
        <w:rPr>
          <w:rFonts w:cs="Times New Roman"/>
          <w:b/>
          <w:bCs/>
          <w:sz w:val="24"/>
          <w:szCs w:val="24"/>
          <w:lang w:val="fr-FR"/>
        </w:rPr>
        <w:t>Résolutions et rapports</w:t>
      </w:r>
    </w:p>
    <w:p w14:paraId="6CB7B75E" w14:textId="658F7DE1" w:rsidR="00490B92" w:rsidRPr="00953692" w:rsidRDefault="00C94AE5" w:rsidP="00864BBF">
      <w:pPr>
        <w:pStyle w:val="Notedebasdepage"/>
        <w:numPr>
          <w:ilvl w:val="0"/>
          <w:numId w:val="21"/>
        </w:numPr>
        <w:spacing w:line="276" w:lineRule="auto"/>
        <w:jc w:val="both"/>
        <w:rPr>
          <w:rFonts w:eastAsia="Calibri" w:cs="Times New Roman"/>
          <w:sz w:val="24"/>
          <w:szCs w:val="24"/>
          <w:lang w:val="fr-FR"/>
        </w:rPr>
      </w:pPr>
      <w:r w:rsidRPr="00953692">
        <w:rPr>
          <w:rFonts w:eastAsia="Times New Roman" w:cs="Times New Roman"/>
          <w:sz w:val="24"/>
          <w:szCs w:val="24"/>
          <w:lang w:val="fr-FR"/>
        </w:rPr>
        <w:t>Rapport d’experts : Mesures à la disposition de la Cour pénale internationale pour réduire la longueur des procédures :</w:t>
      </w:r>
      <w:hyperlink r:id="rId8" w:history="1">
        <w:r w:rsidRPr="00953692">
          <w:rPr>
            <w:rFonts w:eastAsia="Calibri" w:cs="Times New Roman"/>
            <w:sz w:val="24"/>
            <w:szCs w:val="24"/>
            <w:lang w:val="fr-FR"/>
          </w:rPr>
          <w:t>https://www.icc-cpi.int/NR/rdonlyres/20BB4494-70F9-4698-8E30</w:t>
        </w:r>
      </w:hyperlink>
      <w:r w:rsidRPr="00953692">
        <w:rPr>
          <w:rFonts w:eastAsia="Calibri" w:cs="Times New Roman"/>
          <w:sz w:val="24"/>
          <w:szCs w:val="24"/>
          <w:lang w:val="fr-FR"/>
        </w:rPr>
        <w:t>/ 907F631453ED/281985/longeur_procedures.pdf</w:t>
      </w:r>
    </w:p>
    <w:p w14:paraId="7D2242F5" w14:textId="3C547921" w:rsidR="00490B92" w:rsidRPr="00953692" w:rsidRDefault="00490B92" w:rsidP="00864BBF">
      <w:pPr>
        <w:pStyle w:val="Notedebasdepage"/>
        <w:numPr>
          <w:ilvl w:val="0"/>
          <w:numId w:val="21"/>
        </w:numPr>
        <w:spacing w:line="276" w:lineRule="auto"/>
        <w:jc w:val="both"/>
        <w:rPr>
          <w:rFonts w:cs="Times New Roman"/>
          <w:sz w:val="24"/>
          <w:szCs w:val="24"/>
          <w:lang w:val="fr-FR"/>
        </w:rPr>
      </w:pPr>
      <w:r w:rsidRPr="00953692">
        <w:rPr>
          <w:rFonts w:cs="Times New Roman"/>
          <w:sz w:val="24"/>
          <w:szCs w:val="24"/>
          <w:lang w:val="fr-FR"/>
        </w:rPr>
        <w:t>Nations unies, Rapport du Comité préparatoire pour la création d'une cour criminelle internationale, Volume I, Travaux du Comité préparatoire en mars-avril et août 1996, 13 septembre 1996, Assemblée générale, Documents officiels, Cinquante et unième session, Supplément No 22, A/51/22.</w:t>
      </w:r>
    </w:p>
    <w:p w14:paraId="10C2CE69" w14:textId="5D540FED" w:rsidR="00A5337A" w:rsidRPr="00953692" w:rsidRDefault="00870D0E" w:rsidP="00864BBF">
      <w:pPr>
        <w:pStyle w:val="Paragraphedeliste"/>
        <w:numPr>
          <w:ilvl w:val="0"/>
          <w:numId w:val="21"/>
        </w:numPr>
        <w:spacing w:line="276" w:lineRule="auto"/>
        <w:jc w:val="both"/>
        <w:rPr>
          <w:rFonts w:cs="Times New Roman"/>
          <w:sz w:val="24"/>
          <w:szCs w:val="24"/>
          <w:lang w:val="fr-FR"/>
        </w:rPr>
      </w:pPr>
      <w:r w:rsidRPr="00953692">
        <w:rPr>
          <w:rFonts w:cs="Times New Roman"/>
          <w:sz w:val="24"/>
          <w:szCs w:val="24"/>
          <w:lang w:val="fr-FR"/>
        </w:rPr>
        <w:t>Deuxième rapport de la Cour sur l’élaboration d’indicateurs de résultats pour la Cour pénale internationale, 11 novembre 2016.</w:t>
      </w:r>
    </w:p>
    <w:p w14:paraId="7CF3E829" w14:textId="77777777" w:rsidR="00A5337A" w:rsidRPr="00953692" w:rsidRDefault="00A5337A" w:rsidP="00864BBF">
      <w:pPr>
        <w:pStyle w:val="Paragraphedeliste"/>
        <w:spacing w:line="276" w:lineRule="auto"/>
        <w:jc w:val="both"/>
        <w:rPr>
          <w:rFonts w:cs="Times New Roman"/>
          <w:sz w:val="24"/>
          <w:szCs w:val="24"/>
          <w:lang w:val="fr-FR"/>
        </w:rPr>
      </w:pPr>
    </w:p>
    <w:p w14:paraId="75558782" w14:textId="1852EB21" w:rsidR="00E96CAC" w:rsidRPr="00953692" w:rsidRDefault="00E96CAC" w:rsidP="00864BBF">
      <w:pPr>
        <w:pStyle w:val="Paragraphedeliste"/>
        <w:numPr>
          <w:ilvl w:val="0"/>
          <w:numId w:val="16"/>
        </w:numPr>
        <w:spacing w:before="240" w:line="276" w:lineRule="auto"/>
        <w:rPr>
          <w:rFonts w:cs="Times New Roman"/>
          <w:b/>
          <w:bCs/>
          <w:sz w:val="24"/>
          <w:szCs w:val="24"/>
          <w:lang w:val="fr-FR"/>
        </w:rPr>
      </w:pPr>
      <w:r w:rsidRPr="00953692">
        <w:rPr>
          <w:rFonts w:cs="Times New Roman"/>
          <w:b/>
          <w:bCs/>
          <w:sz w:val="24"/>
          <w:szCs w:val="24"/>
          <w:lang w:val="fr-FR"/>
        </w:rPr>
        <w:t>Jurisprudence</w:t>
      </w:r>
    </w:p>
    <w:p w14:paraId="401314A6" w14:textId="77777777" w:rsidR="00A5337A" w:rsidRPr="00953692" w:rsidRDefault="00A5337A" w:rsidP="00864BBF">
      <w:pPr>
        <w:pStyle w:val="Paragraphedeliste"/>
        <w:spacing w:before="240" w:line="276" w:lineRule="auto"/>
        <w:ind w:left="1080"/>
        <w:rPr>
          <w:rFonts w:cs="Times New Roman"/>
          <w:b/>
          <w:bCs/>
          <w:sz w:val="24"/>
          <w:szCs w:val="24"/>
          <w:lang w:val="fr-FR"/>
        </w:rPr>
      </w:pPr>
    </w:p>
    <w:p w14:paraId="1352ACC9" w14:textId="480EC4DD" w:rsidR="00490B92" w:rsidRPr="00953692" w:rsidRDefault="00E96CAC" w:rsidP="00864BBF">
      <w:pPr>
        <w:pStyle w:val="Paragraphedeliste"/>
        <w:numPr>
          <w:ilvl w:val="0"/>
          <w:numId w:val="17"/>
        </w:numPr>
        <w:spacing w:before="240" w:after="0" w:line="276" w:lineRule="auto"/>
        <w:rPr>
          <w:rFonts w:cs="Times New Roman"/>
          <w:b/>
          <w:bCs/>
          <w:sz w:val="24"/>
          <w:szCs w:val="24"/>
          <w:lang w:val="fr-FR"/>
        </w:rPr>
      </w:pPr>
      <w:r w:rsidRPr="00953692">
        <w:rPr>
          <w:rFonts w:cs="Times New Roman"/>
          <w:b/>
          <w:bCs/>
          <w:sz w:val="24"/>
          <w:szCs w:val="24"/>
          <w:lang w:val="fr-FR"/>
        </w:rPr>
        <w:t>TPIY</w:t>
      </w:r>
    </w:p>
    <w:p w14:paraId="79A335DD" w14:textId="77777777" w:rsidR="00DD0088" w:rsidRPr="00953692" w:rsidRDefault="00DD0088" w:rsidP="00864BBF">
      <w:pPr>
        <w:pStyle w:val="Paragraphedeliste"/>
        <w:spacing w:before="240" w:after="0" w:line="276" w:lineRule="auto"/>
        <w:ind w:left="1069"/>
        <w:rPr>
          <w:rFonts w:cs="Times New Roman"/>
          <w:b/>
          <w:bCs/>
          <w:sz w:val="24"/>
          <w:szCs w:val="24"/>
          <w:lang w:val="fr-FR"/>
        </w:rPr>
      </w:pPr>
    </w:p>
    <w:p w14:paraId="06D749C4" w14:textId="60A72919" w:rsidR="00A5337A" w:rsidRPr="00953692" w:rsidRDefault="00490B92" w:rsidP="00864BBF">
      <w:pPr>
        <w:pStyle w:val="Paragraphedeliste"/>
        <w:numPr>
          <w:ilvl w:val="0"/>
          <w:numId w:val="22"/>
        </w:numPr>
        <w:spacing w:before="240" w:after="0" w:line="276" w:lineRule="auto"/>
        <w:rPr>
          <w:rStyle w:val="Appelnotedebasdep"/>
          <w:rFonts w:cs="Times New Roman"/>
          <w:sz w:val="24"/>
          <w:szCs w:val="24"/>
          <w:vertAlign w:val="baseline"/>
          <w:lang w:val="fr-FR"/>
        </w:rPr>
      </w:pPr>
      <w:r w:rsidRPr="00953692">
        <w:rPr>
          <w:rFonts w:cs="Times New Roman"/>
          <w:sz w:val="24"/>
          <w:szCs w:val="24"/>
          <w:lang w:val="fr-FR"/>
        </w:rPr>
        <w:lastRenderedPageBreak/>
        <w:t>TPIY, Chambre d’Appel, Le Procureur c. Drazen Erdemovic, Arrêt, 7 octobre 1997, Opinion individuelle et dissidente de M. le Juge Cassese.</w:t>
      </w:r>
    </w:p>
    <w:p w14:paraId="11034332" w14:textId="654C6EEC" w:rsidR="00A5337A" w:rsidRPr="00953692" w:rsidRDefault="00490B92" w:rsidP="00864BBF">
      <w:pPr>
        <w:pStyle w:val="Notedebasdepage"/>
        <w:numPr>
          <w:ilvl w:val="0"/>
          <w:numId w:val="22"/>
        </w:numPr>
        <w:spacing w:line="276" w:lineRule="auto"/>
        <w:jc w:val="both"/>
        <w:rPr>
          <w:rStyle w:val="Appelnotedebasdep"/>
          <w:rFonts w:cs="Times New Roman"/>
          <w:sz w:val="24"/>
          <w:szCs w:val="24"/>
          <w:vertAlign w:val="baseline"/>
          <w:lang w:val="fr-FR"/>
        </w:rPr>
      </w:pPr>
      <w:r w:rsidRPr="00953692">
        <w:rPr>
          <w:rFonts w:cs="Times New Roman"/>
          <w:sz w:val="24"/>
          <w:szCs w:val="24"/>
          <w:lang w:val="fr-FR"/>
        </w:rPr>
        <w:t>TPIY, Chambre de première instance, Le Procureur c. Stevan Todorović, Jugement portant condamnation, 31 juillet 2001, n° IT-95-911-S.</w:t>
      </w:r>
    </w:p>
    <w:p w14:paraId="0FB99D28" w14:textId="7BFE2ACA" w:rsidR="00A5337A" w:rsidRPr="00953692" w:rsidRDefault="00490B92" w:rsidP="00864BBF">
      <w:pPr>
        <w:pStyle w:val="Notedebasdepage"/>
        <w:numPr>
          <w:ilvl w:val="0"/>
          <w:numId w:val="22"/>
        </w:numPr>
        <w:spacing w:line="276" w:lineRule="auto"/>
        <w:jc w:val="both"/>
        <w:rPr>
          <w:rStyle w:val="Appelnotedebasdep"/>
          <w:rFonts w:cs="Times New Roman"/>
          <w:sz w:val="24"/>
          <w:szCs w:val="24"/>
          <w:vertAlign w:val="baseline"/>
          <w:lang w:val="fr-FR"/>
        </w:rPr>
      </w:pPr>
      <w:r w:rsidRPr="00953692">
        <w:rPr>
          <w:rFonts w:cs="Times New Roman"/>
          <w:sz w:val="24"/>
          <w:szCs w:val="24"/>
          <w:lang w:val="fr-FR"/>
        </w:rPr>
        <w:t xml:space="preserve">TPIY, Chambre de première instance I, Le Procureur c. Dražen Erdemović, 29 novembre 1996, IT-96-22-T. </w:t>
      </w:r>
    </w:p>
    <w:p w14:paraId="1904BF5C" w14:textId="47812060" w:rsidR="00A5337A" w:rsidRPr="00953692" w:rsidRDefault="00490B92" w:rsidP="00864BBF">
      <w:pPr>
        <w:pStyle w:val="Notedebasdepage"/>
        <w:numPr>
          <w:ilvl w:val="0"/>
          <w:numId w:val="22"/>
        </w:numPr>
        <w:spacing w:line="276" w:lineRule="auto"/>
        <w:jc w:val="both"/>
        <w:rPr>
          <w:rStyle w:val="Appelnotedebasdep"/>
          <w:rFonts w:cs="Times New Roman"/>
          <w:sz w:val="24"/>
          <w:szCs w:val="24"/>
          <w:vertAlign w:val="baseline"/>
          <w:lang w:val="fr-FR"/>
        </w:rPr>
      </w:pPr>
      <w:r w:rsidRPr="00953692">
        <w:rPr>
          <w:rFonts w:cs="Times New Roman"/>
          <w:sz w:val="24"/>
          <w:szCs w:val="24"/>
          <w:lang w:val="fr-FR"/>
        </w:rPr>
        <w:t>TPIY, Chambre d’Appel, Le Procureur c. Dražen Erdemović, 7 octobre 1997, IT-96-22-A.</w:t>
      </w:r>
    </w:p>
    <w:p w14:paraId="0EDE6445" w14:textId="007631DC" w:rsidR="00A5337A" w:rsidRPr="00953692" w:rsidRDefault="00490B92" w:rsidP="00864BBF">
      <w:pPr>
        <w:pStyle w:val="Notedebasdepage"/>
        <w:numPr>
          <w:ilvl w:val="0"/>
          <w:numId w:val="22"/>
        </w:numPr>
        <w:spacing w:line="276" w:lineRule="auto"/>
        <w:jc w:val="both"/>
        <w:rPr>
          <w:rStyle w:val="Appelnotedebasdep"/>
          <w:rFonts w:cs="Times New Roman"/>
          <w:sz w:val="24"/>
          <w:szCs w:val="24"/>
          <w:vertAlign w:val="baseline"/>
          <w:lang w:val="fr-FR"/>
        </w:rPr>
      </w:pPr>
      <w:r w:rsidRPr="00953692">
        <w:rPr>
          <w:rFonts w:cs="Times New Roman"/>
          <w:sz w:val="24"/>
          <w:szCs w:val="24"/>
          <w:lang w:val="fr-FR"/>
        </w:rPr>
        <w:t>TPIY, Chambre de première instance I, Le Procureur c. Dražen Erdemović, 5 mars 1998, IT-96-22-Tbis.</w:t>
      </w:r>
    </w:p>
    <w:p w14:paraId="4E345236" w14:textId="2E1F3D3B" w:rsidR="00A5337A" w:rsidRPr="00953692" w:rsidRDefault="00490B92" w:rsidP="00864BBF">
      <w:pPr>
        <w:pStyle w:val="Notedebasdepage"/>
        <w:numPr>
          <w:ilvl w:val="0"/>
          <w:numId w:val="22"/>
        </w:numPr>
        <w:spacing w:line="276" w:lineRule="auto"/>
        <w:jc w:val="both"/>
        <w:rPr>
          <w:rStyle w:val="Appelnotedebasdep"/>
          <w:rFonts w:cs="Times New Roman"/>
          <w:sz w:val="24"/>
          <w:szCs w:val="24"/>
          <w:vertAlign w:val="baseline"/>
          <w:lang w:val="fr-FR"/>
        </w:rPr>
      </w:pPr>
      <w:r w:rsidRPr="00953692">
        <w:rPr>
          <w:rFonts w:cs="Times New Roman"/>
          <w:sz w:val="24"/>
          <w:szCs w:val="24"/>
          <w:lang w:val="fr-FR"/>
        </w:rPr>
        <w:t>TPIY, Chambre de première instance II, Le Procureur c. Milan Simić, 17 octobre 2002, IT-95-9/2-S.</w:t>
      </w:r>
    </w:p>
    <w:p w14:paraId="2A353116" w14:textId="36FA0B49" w:rsidR="00490B92" w:rsidRPr="00953692" w:rsidRDefault="00490B92" w:rsidP="00864BBF">
      <w:pPr>
        <w:pStyle w:val="Paragraphedeliste"/>
        <w:numPr>
          <w:ilvl w:val="0"/>
          <w:numId w:val="22"/>
        </w:numPr>
        <w:spacing w:after="0" w:line="276" w:lineRule="auto"/>
        <w:jc w:val="both"/>
        <w:rPr>
          <w:rFonts w:cs="Times New Roman"/>
          <w:sz w:val="24"/>
          <w:szCs w:val="24"/>
          <w:lang w:val="fr-FR"/>
        </w:rPr>
      </w:pPr>
      <w:r w:rsidRPr="00953692">
        <w:rPr>
          <w:rFonts w:cs="Times New Roman"/>
          <w:sz w:val="24"/>
          <w:szCs w:val="24"/>
          <w:lang w:val="fr-FR"/>
        </w:rPr>
        <w:t xml:space="preserve">TPIY, Chambre de première instance II, Le Procureur c. </w:t>
      </w:r>
      <w:r w:rsidRPr="00953692">
        <w:rPr>
          <w:rFonts w:cs="Times New Roman"/>
          <w:i/>
          <w:iCs/>
          <w:sz w:val="24"/>
          <w:szCs w:val="24"/>
          <w:lang w:val="fr-FR"/>
        </w:rPr>
        <w:t>Dragan Nikolić</w:t>
      </w:r>
      <w:r w:rsidRPr="00953692">
        <w:rPr>
          <w:rFonts w:cs="Times New Roman"/>
          <w:sz w:val="24"/>
          <w:szCs w:val="24"/>
          <w:lang w:val="fr-FR"/>
        </w:rPr>
        <w:t>, Jugement portant condamnation, 18 décembre 2003, IT-94-2-S.</w:t>
      </w:r>
    </w:p>
    <w:p w14:paraId="6C944419" w14:textId="1FFC56A5" w:rsidR="00A5337A" w:rsidRPr="00953692" w:rsidRDefault="00490B92" w:rsidP="00864BBF">
      <w:pPr>
        <w:pStyle w:val="Notedebasdepage"/>
        <w:numPr>
          <w:ilvl w:val="0"/>
          <w:numId w:val="22"/>
        </w:numPr>
        <w:spacing w:line="276" w:lineRule="auto"/>
        <w:jc w:val="both"/>
        <w:rPr>
          <w:rStyle w:val="Appelnotedebasdep"/>
          <w:rFonts w:cs="Times New Roman"/>
          <w:sz w:val="24"/>
          <w:szCs w:val="24"/>
          <w:vertAlign w:val="baseline"/>
          <w:lang w:val="fr-FR"/>
        </w:rPr>
      </w:pPr>
      <w:r w:rsidRPr="00953692">
        <w:rPr>
          <w:rFonts w:cs="Times New Roman"/>
          <w:sz w:val="24"/>
          <w:szCs w:val="24"/>
          <w:lang w:val="fr-FR"/>
        </w:rPr>
        <w:t xml:space="preserve">TPIY, Chambre d’appel, Le Procureur c. </w:t>
      </w:r>
      <w:r w:rsidRPr="00953692">
        <w:rPr>
          <w:rFonts w:cs="Times New Roman"/>
          <w:i/>
          <w:iCs/>
          <w:sz w:val="24"/>
          <w:szCs w:val="24"/>
          <w:lang w:val="fr-FR"/>
        </w:rPr>
        <w:t>Dragan Nikolić</w:t>
      </w:r>
      <w:r w:rsidRPr="00953692">
        <w:rPr>
          <w:rFonts w:cs="Times New Roman"/>
          <w:sz w:val="24"/>
          <w:szCs w:val="24"/>
          <w:lang w:val="fr-FR"/>
        </w:rPr>
        <w:t>, Arrêt relatif à la sentence, 4 février 2005, IT-94-2-A.</w:t>
      </w:r>
    </w:p>
    <w:p w14:paraId="00E34A77" w14:textId="036F7B06" w:rsidR="00870D0E" w:rsidRPr="00953692" w:rsidRDefault="00187C2C" w:rsidP="00864BBF">
      <w:pPr>
        <w:pStyle w:val="Notedebasdepage"/>
        <w:numPr>
          <w:ilvl w:val="0"/>
          <w:numId w:val="22"/>
        </w:numPr>
        <w:spacing w:line="276" w:lineRule="auto"/>
        <w:jc w:val="both"/>
        <w:rPr>
          <w:rFonts w:cs="Times New Roman"/>
          <w:sz w:val="24"/>
          <w:szCs w:val="24"/>
          <w:lang w:val="fr-FR"/>
        </w:rPr>
      </w:pPr>
      <w:r w:rsidRPr="00953692">
        <w:rPr>
          <w:rFonts w:cs="Times New Roman"/>
          <w:sz w:val="24"/>
          <w:szCs w:val="24"/>
          <w:lang w:val="fr-FR"/>
        </w:rPr>
        <w:t>TPIY, Chambre de première instance, Le Procureur c. Vojislav Seselj, Décision relative à la requête de l'accusé aux fins de mettre un terme à son procès, Affaire n° : IT-03-67-T, 29 septembre 2011.</w:t>
      </w:r>
    </w:p>
    <w:p w14:paraId="582DD04D" w14:textId="1DDFCC45" w:rsidR="00870D0E" w:rsidRPr="00953692" w:rsidRDefault="00870D0E" w:rsidP="00864BBF">
      <w:pPr>
        <w:pStyle w:val="Notedebasdepage"/>
        <w:numPr>
          <w:ilvl w:val="0"/>
          <w:numId w:val="22"/>
        </w:numPr>
        <w:spacing w:line="276" w:lineRule="auto"/>
        <w:jc w:val="both"/>
        <w:rPr>
          <w:rFonts w:cs="Times New Roman"/>
          <w:sz w:val="24"/>
          <w:szCs w:val="24"/>
          <w:lang w:val="fr-FR"/>
        </w:rPr>
      </w:pPr>
      <w:r w:rsidRPr="00953692">
        <w:rPr>
          <w:rFonts w:cs="Times New Roman"/>
          <w:sz w:val="24"/>
          <w:szCs w:val="24"/>
          <w:lang w:val="fr-FR"/>
        </w:rPr>
        <w:t>TPIY, Chambre de première instance, le Procureur c. Darko Mrda, Jugement, 31 mars 2004, IT-02-59-S.</w:t>
      </w:r>
    </w:p>
    <w:p w14:paraId="549D920E" w14:textId="14176525" w:rsidR="00870D0E" w:rsidRPr="00953692" w:rsidRDefault="00870D0E" w:rsidP="00864BBF">
      <w:pPr>
        <w:pStyle w:val="Notedebasdepage"/>
        <w:numPr>
          <w:ilvl w:val="0"/>
          <w:numId w:val="22"/>
        </w:numPr>
        <w:spacing w:line="276" w:lineRule="auto"/>
        <w:rPr>
          <w:rFonts w:cs="Times New Roman"/>
          <w:sz w:val="24"/>
          <w:szCs w:val="24"/>
          <w:lang w:val="en-US"/>
        </w:rPr>
      </w:pPr>
      <w:r w:rsidRPr="00953692">
        <w:rPr>
          <w:rFonts w:cs="Times New Roman"/>
          <w:sz w:val="24"/>
          <w:szCs w:val="24"/>
          <w:lang w:val="en-US"/>
        </w:rPr>
        <w:t>TPIY, Le Procureur c. Radovan Karadzic, Affaire No IT-95-5/18-AR73.4, original en anglais intitulé «Decision on Karadzic's appeal of the Trial Chamber’s decision on alleged Holhrooke agreement », public, 12 octobre 2009 (&lt;&lt; Décision Karadzié»),</w:t>
      </w:r>
    </w:p>
    <w:p w14:paraId="4266473D" w14:textId="51D86B0B" w:rsidR="00870D0E" w:rsidRPr="00953692" w:rsidRDefault="00870D0E" w:rsidP="00864BBF">
      <w:pPr>
        <w:pStyle w:val="Notedebasdepage"/>
        <w:numPr>
          <w:ilvl w:val="0"/>
          <w:numId w:val="22"/>
        </w:numPr>
        <w:spacing w:line="276" w:lineRule="auto"/>
        <w:jc w:val="both"/>
        <w:rPr>
          <w:rFonts w:cs="Times New Roman"/>
          <w:sz w:val="24"/>
          <w:szCs w:val="24"/>
          <w:lang w:val="fr-FR"/>
        </w:rPr>
      </w:pPr>
      <w:r w:rsidRPr="00953692">
        <w:rPr>
          <w:rFonts w:cs="Times New Roman"/>
          <w:sz w:val="24"/>
          <w:szCs w:val="24"/>
          <w:lang w:val="fr-FR"/>
        </w:rPr>
        <w:t>TPIY, Chambre de première instance, Le Procureur c/ Sefer Halilovic, Décision relative á la demande de la défense aux fins du report de la conférence préalable au procès, 4 juillet 2003, IT-01-48-PT.</w:t>
      </w:r>
    </w:p>
    <w:p w14:paraId="4AF0833B" w14:textId="1B2A490F" w:rsidR="00870D0E" w:rsidRPr="00953692" w:rsidRDefault="00870D0E" w:rsidP="00864BBF">
      <w:pPr>
        <w:pStyle w:val="Notedebasdepage"/>
        <w:numPr>
          <w:ilvl w:val="0"/>
          <w:numId w:val="22"/>
        </w:numPr>
        <w:spacing w:line="276" w:lineRule="auto"/>
        <w:jc w:val="both"/>
        <w:rPr>
          <w:rFonts w:cs="Times New Roman"/>
          <w:sz w:val="24"/>
          <w:szCs w:val="24"/>
          <w:lang w:val="fr-FR"/>
        </w:rPr>
      </w:pPr>
      <w:r w:rsidRPr="00953692">
        <w:rPr>
          <w:rFonts w:cs="Times New Roman"/>
          <w:sz w:val="24"/>
          <w:szCs w:val="24"/>
          <w:lang w:val="fr-FR"/>
        </w:rPr>
        <w:t>TPIY, Chambre de première instance I, le procureur c/ ante Gotovina, Ivan Čermak, Mladen Markač, décision relative aux requêtes des conseils d’Ivan Čermak et de Mladen Markač aux fins de certification de l’appel envisagé contre la décision rendue par la chambre de première instance le 21 avril 2010 autorisant l’accusation à rouvrir la présentation de ses moyens, 10 mai 2010, IT-06-90-T.</w:t>
      </w:r>
    </w:p>
    <w:p w14:paraId="7A826F89" w14:textId="7D8AA0B2" w:rsidR="00A5337A" w:rsidRPr="00953692" w:rsidRDefault="00870D0E" w:rsidP="00864BBF">
      <w:pPr>
        <w:pStyle w:val="Notedebasdepage"/>
        <w:numPr>
          <w:ilvl w:val="0"/>
          <w:numId w:val="22"/>
        </w:numPr>
        <w:spacing w:line="276" w:lineRule="auto"/>
        <w:jc w:val="both"/>
        <w:rPr>
          <w:rFonts w:cs="Times New Roman"/>
          <w:sz w:val="24"/>
          <w:szCs w:val="24"/>
          <w:lang w:val="fr-FR"/>
        </w:rPr>
      </w:pPr>
      <w:r w:rsidRPr="00953692">
        <w:rPr>
          <w:rFonts w:cs="Times New Roman"/>
          <w:sz w:val="24"/>
          <w:szCs w:val="24"/>
          <w:lang w:val="fr-FR"/>
        </w:rPr>
        <w:t>TPIY, Chambre de première instance I, Le Procureur c/ Vojislav Seselj, Décision relative à la commission d’office d’un Conseil, 21 août 2006, IT-03-67-PT.</w:t>
      </w:r>
    </w:p>
    <w:p w14:paraId="31CF9A6D" w14:textId="578A5E28" w:rsidR="00A5337A" w:rsidRPr="00953692" w:rsidRDefault="00870D0E" w:rsidP="00864BBF">
      <w:pPr>
        <w:pStyle w:val="Notedebasdepage"/>
        <w:numPr>
          <w:ilvl w:val="0"/>
          <w:numId w:val="22"/>
        </w:numPr>
        <w:spacing w:line="276" w:lineRule="auto"/>
        <w:jc w:val="both"/>
        <w:rPr>
          <w:rFonts w:cs="Times New Roman"/>
          <w:sz w:val="24"/>
          <w:szCs w:val="24"/>
          <w:lang w:val="fr-FR"/>
        </w:rPr>
      </w:pPr>
      <w:r w:rsidRPr="00953692">
        <w:rPr>
          <w:rFonts w:cs="Times New Roman"/>
          <w:sz w:val="24"/>
          <w:szCs w:val="24"/>
          <w:lang w:val="fr-FR"/>
        </w:rPr>
        <w:t>TPIY, Chambre d’Appel, Le Procureur c/ Vojislav Seselj, Décision relative a. l'appel interjeté contre la Décision (no 2) de la Chambre de première instance portant commission d’office d’un Conseil, 8 décembre 2006 IT-03-67-AR73.4.</w:t>
      </w:r>
    </w:p>
    <w:p w14:paraId="7CBDC8C5" w14:textId="777EB7CE" w:rsidR="00870D0E" w:rsidRPr="00953692" w:rsidRDefault="00870D0E" w:rsidP="00864BBF">
      <w:pPr>
        <w:pStyle w:val="Notedebasdepage"/>
        <w:numPr>
          <w:ilvl w:val="0"/>
          <w:numId w:val="22"/>
        </w:numPr>
        <w:spacing w:line="276" w:lineRule="auto"/>
        <w:jc w:val="both"/>
        <w:rPr>
          <w:rFonts w:cs="Times New Roman"/>
          <w:sz w:val="24"/>
          <w:szCs w:val="24"/>
          <w:lang w:val="fr-FR"/>
        </w:rPr>
      </w:pPr>
      <w:r w:rsidRPr="00953692">
        <w:rPr>
          <w:rFonts w:cs="Times New Roman"/>
          <w:sz w:val="24"/>
          <w:szCs w:val="24"/>
          <w:lang w:val="fr-FR"/>
        </w:rPr>
        <w:lastRenderedPageBreak/>
        <w:t>TPIY, Chambre de première instance I, Le Procureur c/ Vojislav Seselj, Ordonnance relative à la commission d’office d’un conseil, d’appoint et à l’ouverture différée du procès, 25 octobre 2006, IT-03-67-PT.</w:t>
      </w:r>
    </w:p>
    <w:p w14:paraId="57B27F84" w14:textId="3216570F" w:rsidR="009048D7" w:rsidRPr="00953692" w:rsidRDefault="00870D0E" w:rsidP="00864BBF">
      <w:pPr>
        <w:pStyle w:val="Notedebasdepage"/>
        <w:numPr>
          <w:ilvl w:val="0"/>
          <w:numId w:val="22"/>
        </w:numPr>
        <w:spacing w:line="276" w:lineRule="auto"/>
        <w:jc w:val="both"/>
        <w:rPr>
          <w:rFonts w:cs="Times New Roman"/>
          <w:sz w:val="24"/>
          <w:szCs w:val="24"/>
          <w:lang w:val="fr-FR"/>
        </w:rPr>
      </w:pPr>
      <w:r w:rsidRPr="00953692">
        <w:rPr>
          <w:rFonts w:cs="Times New Roman"/>
          <w:sz w:val="24"/>
          <w:szCs w:val="24"/>
          <w:lang w:val="fr-FR"/>
        </w:rPr>
        <w:t>TPIY, Chambre de première instance, Procureur c. Sefer Halilovic, Décision sur la requête du procureur demandant l'autorisation de modifier l'acte d'accusation, 17 décembre 2004, IT-01-48-PT.</w:t>
      </w:r>
    </w:p>
    <w:p w14:paraId="4625B6F5" w14:textId="5B206167" w:rsidR="009048D7" w:rsidRPr="00953692" w:rsidRDefault="009048D7" w:rsidP="00864BBF">
      <w:pPr>
        <w:pStyle w:val="Notedebasdepage"/>
        <w:numPr>
          <w:ilvl w:val="0"/>
          <w:numId w:val="22"/>
        </w:numPr>
        <w:spacing w:line="276" w:lineRule="auto"/>
        <w:jc w:val="both"/>
        <w:rPr>
          <w:rFonts w:cs="Times New Roman"/>
          <w:sz w:val="24"/>
          <w:szCs w:val="24"/>
          <w:lang w:val="en-US"/>
        </w:rPr>
      </w:pPr>
      <w:r w:rsidRPr="00953692">
        <w:rPr>
          <w:rFonts w:cs="Times New Roman"/>
          <w:sz w:val="24"/>
          <w:szCs w:val="24"/>
          <w:lang w:val="en-US"/>
        </w:rPr>
        <w:t xml:space="preserve">TPIY, The Appeals Chamber, Prosecutor v. Zejnil Delalic, Zdravko Mucic (aka “PAVO”), Hazim Delic and Esad Landžo (aka “ZENGA”), Judgement, 20 February 2001, IT-96-21-A. </w:t>
      </w:r>
    </w:p>
    <w:p w14:paraId="2FE8AE8B" w14:textId="016D3C0D" w:rsidR="009048D7" w:rsidRPr="00953692" w:rsidRDefault="009048D7" w:rsidP="00864BBF">
      <w:pPr>
        <w:pStyle w:val="Notedebasdepage"/>
        <w:numPr>
          <w:ilvl w:val="0"/>
          <w:numId w:val="22"/>
        </w:numPr>
        <w:spacing w:line="276" w:lineRule="auto"/>
        <w:jc w:val="both"/>
        <w:rPr>
          <w:rFonts w:cs="Times New Roman"/>
          <w:sz w:val="24"/>
          <w:szCs w:val="24"/>
          <w:lang w:val="fr-FR"/>
        </w:rPr>
      </w:pPr>
      <w:r w:rsidRPr="00953692">
        <w:rPr>
          <w:rFonts w:cs="Times New Roman"/>
          <w:sz w:val="24"/>
          <w:szCs w:val="24"/>
          <w:lang w:val="fr-FR"/>
        </w:rPr>
        <w:t>TPIY, Chambre de première instance I, Le procureur c/ ante Gotovina, Ivan Čermak, Mladen Markač, Décision du 10 mai 2010, IT-06-90-T.</w:t>
      </w:r>
    </w:p>
    <w:p w14:paraId="0C7CE6A9" w14:textId="57705818" w:rsidR="009048D7" w:rsidRPr="00953692" w:rsidRDefault="009048D7" w:rsidP="00864BBF">
      <w:pPr>
        <w:pStyle w:val="Notedebasdepage"/>
        <w:numPr>
          <w:ilvl w:val="0"/>
          <w:numId w:val="22"/>
        </w:numPr>
        <w:spacing w:line="276" w:lineRule="auto"/>
        <w:jc w:val="both"/>
        <w:rPr>
          <w:rFonts w:cs="Times New Roman"/>
          <w:sz w:val="24"/>
          <w:szCs w:val="24"/>
          <w:lang w:val="fr-FR"/>
        </w:rPr>
      </w:pPr>
      <w:r w:rsidRPr="00953692">
        <w:rPr>
          <w:rFonts w:cs="Times New Roman"/>
          <w:sz w:val="24"/>
          <w:szCs w:val="24"/>
          <w:lang w:val="fr-FR"/>
        </w:rPr>
        <w:t>TPIY, La Chambre de Première Instance III, Le Procureur c/ Vojislav Seselj, Décision relative à la requête de l'accusé aux fins de mettre un terme à son procès, 29 septembre 2011, IT-03-67-T.</w:t>
      </w:r>
    </w:p>
    <w:p w14:paraId="07761DF9" w14:textId="424BBF72" w:rsidR="00490B92" w:rsidRPr="00953692" w:rsidRDefault="00015090" w:rsidP="00864BBF">
      <w:pPr>
        <w:pStyle w:val="Notedebasdepage"/>
        <w:numPr>
          <w:ilvl w:val="0"/>
          <w:numId w:val="22"/>
        </w:numPr>
        <w:spacing w:line="276" w:lineRule="auto"/>
        <w:jc w:val="both"/>
        <w:rPr>
          <w:rFonts w:cs="Times New Roman"/>
          <w:sz w:val="24"/>
          <w:szCs w:val="24"/>
          <w:lang w:val="fr-FR"/>
        </w:rPr>
      </w:pPr>
      <w:r w:rsidRPr="00953692">
        <w:rPr>
          <w:rFonts w:cs="Times New Roman"/>
          <w:sz w:val="24"/>
          <w:szCs w:val="24"/>
          <w:lang w:val="fr-FR"/>
        </w:rPr>
        <w:t>TPIY, Chambre d’appel, Le Procureur c/ Vidoje Blagojević et Dragan Jokić, Arrêt, 9 mai 2007, IT-02-60-A.</w:t>
      </w:r>
    </w:p>
    <w:p w14:paraId="3628FB47" w14:textId="16B2344B" w:rsidR="005A5B45" w:rsidRPr="00953692" w:rsidRDefault="00E96CAC" w:rsidP="00864BBF">
      <w:pPr>
        <w:pStyle w:val="Paragraphedeliste"/>
        <w:numPr>
          <w:ilvl w:val="0"/>
          <w:numId w:val="17"/>
        </w:numPr>
        <w:spacing w:before="240" w:after="0" w:line="276" w:lineRule="auto"/>
        <w:rPr>
          <w:rFonts w:cs="Times New Roman"/>
          <w:b/>
          <w:bCs/>
          <w:sz w:val="24"/>
          <w:szCs w:val="24"/>
          <w:lang w:val="fr-FR"/>
        </w:rPr>
      </w:pPr>
      <w:r w:rsidRPr="00953692">
        <w:rPr>
          <w:rFonts w:cs="Times New Roman"/>
          <w:b/>
          <w:bCs/>
          <w:sz w:val="24"/>
          <w:szCs w:val="24"/>
          <w:lang w:val="fr-FR"/>
        </w:rPr>
        <w:t>TPIR</w:t>
      </w:r>
    </w:p>
    <w:p w14:paraId="4D8CEECC" w14:textId="77777777" w:rsidR="005A5B45" w:rsidRPr="00953692" w:rsidRDefault="005A5B45" w:rsidP="00864BBF">
      <w:pPr>
        <w:pStyle w:val="Paragraphedeliste"/>
        <w:spacing w:before="240" w:after="0" w:line="276" w:lineRule="auto"/>
        <w:ind w:left="1069"/>
        <w:rPr>
          <w:rFonts w:cs="Times New Roman"/>
          <w:b/>
          <w:bCs/>
          <w:sz w:val="24"/>
          <w:szCs w:val="24"/>
          <w:lang w:val="fr-FR"/>
        </w:rPr>
      </w:pPr>
    </w:p>
    <w:p w14:paraId="362C9114" w14:textId="07961B78" w:rsidR="00832969" w:rsidRPr="00953692" w:rsidRDefault="002B39AA" w:rsidP="00864BBF">
      <w:pPr>
        <w:pStyle w:val="Paragraphedeliste"/>
        <w:numPr>
          <w:ilvl w:val="0"/>
          <w:numId w:val="23"/>
        </w:numPr>
        <w:spacing w:before="240" w:after="0" w:line="276" w:lineRule="auto"/>
        <w:rPr>
          <w:rStyle w:val="Appelnotedebasdep"/>
          <w:rFonts w:eastAsia="Times New Roman" w:cs="Times New Roman"/>
          <w:sz w:val="24"/>
          <w:szCs w:val="24"/>
          <w:vertAlign w:val="baseline"/>
          <w:lang w:val="fr-FR"/>
        </w:rPr>
      </w:pPr>
      <w:r w:rsidRPr="00953692">
        <w:rPr>
          <w:rFonts w:eastAsia="Times New Roman" w:cs="Times New Roman"/>
          <w:sz w:val="24"/>
          <w:szCs w:val="24"/>
          <w:lang w:val="fr-FR"/>
        </w:rPr>
        <w:t>TPIR, Chambre d’appel, Procureur c. Jean-Bosco Barayagwiza, Décision du 3 Novembre 1999,</w:t>
      </w:r>
    </w:p>
    <w:p w14:paraId="131AA0FE" w14:textId="6A12341C" w:rsidR="00832969" w:rsidRPr="00953692" w:rsidRDefault="006B62A8" w:rsidP="00864BBF">
      <w:pPr>
        <w:pStyle w:val="Notedebasdepage"/>
        <w:numPr>
          <w:ilvl w:val="0"/>
          <w:numId w:val="23"/>
        </w:numPr>
        <w:spacing w:line="276" w:lineRule="auto"/>
        <w:jc w:val="both"/>
        <w:rPr>
          <w:rFonts w:cs="Times New Roman"/>
          <w:sz w:val="24"/>
          <w:szCs w:val="24"/>
          <w:lang w:val="fr-FR"/>
        </w:rPr>
      </w:pPr>
      <w:r w:rsidRPr="00953692">
        <w:rPr>
          <w:rFonts w:eastAsia="Times New Roman" w:cs="Times New Roman"/>
          <w:sz w:val="24"/>
          <w:szCs w:val="24"/>
          <w:lang w:val="fr-FR"/>
        </w:rPr>
        <w:t xml:space="preserve">TPIR, Chambre de première instance II, Procureur c. </w:t>
      </w:r>
      <w:r w:rsidRPr="00953692">
        <w:rPr>
          <w:rFonts w:cs="Times New Roman"/>
          <w:sz w:val="24"/>
          <w:szCs w:val="24"/>
          <w:lang w:val="fr-FR"/>
        </w:rPr>
        <w:t>Joseph Kanyabashi, Aff. ICTR-96-15-1, Décision relative à la requête en extrême urgence habeas corpus et arrêt des procédures, 20, mai, 2000.</w:t>
      </w:r>
    </w:p>
    <w:p w14:paraId="02EFED5D" w14:textId="6F7153FF" w:rsidR="00832969" w:rsidRPr="00953692" w:rsidRDefault="006B62A8" w:rsidP="00864BBF">
      <w:pPr>
        <w:pStyle w:val="Notedebasdepage"/>
        <w:numPr>
          <w:ilvl w:val="0"/>
          <w:numId w:val="23"/>
        </w:numPr>
        <w:spacing w:line="276" w:lineRule="auto"/>
        <w:jc w:val="both"/>
        <w:rPr>
          <w:rStyle w:val="Appelnotedebasdep"/>
          <w:rFonts w:cs="Times New Roman"/>
          <w:sz w:val="24"/>
          <w:szCs w:val="24"/>
          <w:vertAlign w:val="baseline"/>
          <w:lang w:val="fr-FR"/>
        </w:rPr>
      </w:pPr>
      <w:r w:rsidRPr="00953692">
        <w:rPr>
          <w:rFonts w:cs="Times New Roman"/>
          <w:sz w:val="24"/>
          <w:szCs w:val="24"/>
          <w:lang w:val="fr-FR"/>
        </w:rPr>
        <w:t>Le Procureur c. Pauline Nyiramasuhuko et Arsène Shalom Ntahobali, affaire no ICTR-97-21-T, Décision relative à la requête de la Défense en exclusion de preuve et remise des biens saisis, 12 octobre 2000 (traduction anglaise de l’original français déposée le même jour) (« décision du 12 octobre 2000 »).</w:t>
      </w:r>
    </w:p>
    <w:p w14:paraId="294CA0EE" w14:textId="587FFE50" w:rsidR="00832969" w:rsidRPr="00953692" w:rsidRDefault="006B62A8" w:rsidP="00864BBF">
      <w:pPr>
        <w:pStyle w:val="Notedebasdepage"/>
        <w:numPr>
          <w:ilvl w:val="0"/>
          <w:numId w:val="23"/>
        </w:numPr>
        <w:spacing w:line="276" w:lineRule="auto"/>
        <w:jc w:val="both"/>
        <w:rPr>
          <w:rStyle w:val="Appelnotedebasdep"/>
          <w:rFonts w:cs="Times New Roman"/>
          <w:sz w:val="24"/>
          <w:szCs w:val="24"/>
          <w:vertAlign w:val="baseline"/>
          <w:lang w:val="fr-FR"/>
        </w:rPr>
      </w:pPr>
      <w:r w:rsidRPr="00953692">
        <w:rPr>
          <w:rFonts w:cs="Times New Roman"/>
          <w:sz w:val="24"/>
          <w:szCs w:val="24"/>
          <w:lang w:val="fr-FR"/>
        </w:rPr>
        <w:t>TPIR, Chambre de première instance, Procureur c. Edouard Karemera et Matthieu Ngirumpatse, Jugement portant condamnation, 2 Février 2012, N° ICTR-G8-44-T.</w:t>
      </w:r>
    </w:p>
    <w:p w14:paraId="17C198C3" w14:textId="15D1A93E" w:rsidR="006B62A8" w:rsidRPr="00953692" w:rsidRDefault="006B62A8" w:rsidP="00864BBF">
      <w:pPr>
        <w:pStyle w:val="Notedebasdepage"/>
        <w:numPr>
          <w:ilvl w:val="0"/>
          <w:numId w:val="23"/>
        </w:numPr>
        <w:spacing w:line="276" w:lineRule="auto"/>
        <w:jc w:val="both"/>
        <w:rPr>
          <w:rFonts w:cs="Times New Roman"/>
          <w:sz w:val="24"/>
          <w:szCs w:val="24"/>
          <w:lang w:val="fr-FR"/>
        </w:rPr>
      </w:pPr>
      <w:r w:rsidRPr="00953692">
        <w:rPr>
          <w:rFonts w:cs="Times New Roman"/>
          <w:sz w:val="24"/>
          <w:szCs w:val="24"/>
          <w:lang w:val="fr-FR"/>
        </w:rPr>
        <w:t>TPIR, Chambre d’Appel, Le Procureur c. Pauline Nyiramasuhuko et consorts, Arrêt, 14 décembre 2015, n° ICTR- 98-42-A.</w:t>
      </w:r>
    </w:p>
    <w:p w14:paraId="5E3F3EDE" w14:textId="12685161" w:rsidR="00832969" w:rsidRPr="00953692" w:rsidRDefault="006B62A8" w:rsidP="00864BBF">
      <w:pPr>
        <w:pStyle w:val="Notedebasdepage"/>
        <w:numPr>
          <w:ilvl w:val="0"/>
          <w:numId w:val="23"/>
        </w:numPr>
        <w:spacing w:line="276" w:lineRule="auto"/>
        <w:jc w:val="both"/>
        <w:rPr>
          <w:rFonts w:cs="Times New Roman"/>
          <w:sz w:val="24"/>
          <w:szCs w:val="24"/>
          <w:lang w:val="fr-FR"/>
        </w:rPr>
      </w:pPr>
      <w:r w:rsidRPr="00953692">
        <w:rPr>
          <w:rFonts w:cs="Times New Roman"/>
          <w:sz w:val="24"/>
          <w:szCs w:val="24"/>
          <w:lang w:val="fr-FR"/>
        </w:rPr>
        <w:t>TPIR, Chambre de première instance I, Le Procureur c. Théoneste Bagosora et consorts, Jugement portant condamnation, 18 décembre 2008, (ICTR-98-41-T).</w:t>
      </w:r>
    </w:p>
    <w:p w14:paraId="55756DA4" w14:textId="41FECC38" w:rsidR="006B62A8" w:rsidRPr="00953692" w:rsidRDefault="006B62A8" w:rsidP="00864BBF">
      <w:pPr>
        <w:pStyle w:val="Notedebasdepage"/>
        <w:numPr>
          <w:ilvl w:val="0"/>
          <w:numId w:val="23"/>
        </w:numPr>
        <w:spacing w:line="276" w:lineRule="auto"/>
        <w:jc w:val="both"/>
        <w:rPr>
          <w:rFonts w:cs="Times New Roman"/>
          <w:sz w:val="24"/>
          <w:szCs w:val="24"/>
          <w:lang w:val="fr-FR"/>
        </w:rPr>
      </w:pPr>
      <w:r w:rsidRPr="00953692">
        <w:rPr>
          <w:rFonts w:cs="Times New Roman"/>
          <w:sz w:val="24"/>
          <w:szCs w:val="24"/>
          <w:lang w:val="fr-FR"/>
        </w:rPr>
        <w:t>TPIR, Chambre de première instance III, Le procureur c. Jean-Baptiste GATETE, Jugement portant condamnation, 31 mars 2011, ICTR-2000-61-T.</w:t>
      </w:r>
    </w:p>
    <w:p w14:paraId="290E6AC8" w14:textId="0C2A6C83" w:rsidR="00490B92" w:rsidRPr="00953692" w:rsidRDefault="006B62A8" w:rsidP="00864BBF">
      <w:pPr>
        <w:pStyle w:val="Notedebasdepage"/>
        <w:numPr>
          <w:ilvl w:val="0"/>
          <w:numId w:val="23"/>
        </w:numPr>
        <w:spacing w:line="276" w:lineRule="auto"/>
        <w:rPr>
          <w:rFonts w:cs="Times New Roman"/>
          <w:sz w:val="24"/>
          <w:szCs w:val="24"/>
          <w:lang w:val="fr-FR"/>
        </w:rPr>
      </w:pPr>
      <w:r w:rsidRPr="00953692">
        <w:rPr>
          <w:rFonts w:cs="Times New Roman"/>
          <w:sz w:val="24"/>
          <w:szCs w:val="24"/>
          <w:lang w:val="fr-FR"/>
        </w:rPr>
        <w:t>TPIR, Chambre d’Appel, Tharcisse Renzaho c. Le Procureur, Arrêt, 1</w:t>
      </w:r>
      <w:r w:rsidRPr="00953692">
        <w:rPr>
          <w:rFonts w:cs="Times New Roman"/>
          <w:sz w:val="24"/>
          <w:szCs w:val="24"/>
          <w:vertAlign w:val="superscript"/>
          <w:lang w:val="fr-FR"/>
        </w:rPr>
        <w:t>er</w:t>
      </w:r>
      <w:r w:rsidRPr="00953692">
        <w:rPr>
          <w:rFonts w:cs="Times New Roman"/>
          <w:sz w:val="24"/>
          <w:szCs w:val="24"/>
          <w:lang w:val="fr-FR"/>
        </w:rPr>
        <w:t xml:space="preserve"> avril 2011, ICTR-97-31-A.</w:t>
      </w:r>
    </w:p>
    <w:p w14:paraId="372C8FF8" w14:textId="1DC1F18F" w:rsidR="00832969" w:rsidRPr="00953692" w:rsidRDefault="00490B92" w:rsidP="00864BBF">
      <w:pPr>
        <w:pStyle w:val="Paragraphedeliste"/>
        <w:numPr>
          <w:ilvl w:val="0"/>
          <w:numId w:val="23"/>
        </w:numPr>
        <w:spacing w:after="0" w:line="276" w:lineRule="auto"/>
        <w:jc w:val="both"/>
        <w:rPr>
          <w:rStyle w:val="Appelnotedebasdep"/>
          <w:rFonts w:cs="Times New Roman"/>
          <w:sz w:val="24"/>
          <w:szCs w:val="24"/>
          <w:vertAlign w:val="baseline"/>
          <w:lang w:val="fr-FR"/>
        </w:rPr>
      </w:pPr>
      <w:r w:rsidRPr="00953692">
        <w:rPr>
          <w:rFonts w:cs="Times New Roman"/>
          <w:sz w:val="24"/>
          <w:szCs w:val="24"/>
          <w:lang w:val="fr-FR"/>
        </w:rPr>
        <w:lastRenderedPageBreak/>
        <w:t xml:space="preserve">TPIR, Chambre de première instance, Le Procureur c. Jean Kambanda, Jugement portant condamnation, 4 septembre 1998, : ICTR 97-23-S. </w:t>
      </w:r>
    </w:p>
    <w:p w14:paraId="2B6FADE6" w14:textId="7654651F" w:rsidR="00832969" w:rsidRPr="00953692" w:rsidRDefault="00490B92" w:rsidP="00864BBF">
      <w:pPr>
        <w:pStyle w:val="Notedebasdepage"/>
        <w:numPr>
          <w:ilvl w:val="0"/>
          <w:numId w:val="23"/>
        </w:numPr>
        <w:spacing w:line="276" w:lineRule="auto"/>
        <w:jc w:val="both"/>
        <w:rPr>
          <w:rStyle w:val="Appelnotedebasdep"/>
          <w:rFonts w:cs="Times New Roman"/>
          <w:sz w:val="24"/>
          <w:szCs w:val="24"/>
          <w:vertAlign w:val="baseline"/>
          <w:lang w:val="fr-FR"/>
        </w:rPr>
      </w:pPr>
      <w:r w:rsidRPr="00953692">
        <w:rPr>
          <w:rFonts w:cs="Times New Roman"/>
          <w:sz w:val="24"/>
          <w:szCs w:val="24"/>
          <w:lang w:val="fr-FR"/>
        </w:rPr>
        <w:t>TPIR, Chambre de première instance III, Le Procureur c. GAA, 4 décembre 2007, ICTR-07-90-R77-I.</w:t>
      </w:r>
    </w:p>
    <w:p w14:paraId="0F0477F4" w14:textId="318C0E21" w:rsidR="00832969" w:rsidRPr="00953692" w:rsidRDefault="00490B92" w:rsidP="00864BBF">
      <w:pPr>
        <w:pStyle w:val="Paragraphedeliste"/>
        <w:numPr>
          <w:ilvl w:val="0"/>
          <w:numId w:val="23"/>
        </w:numPr>
        <w:spacing w:after="0" w:line="276" w:lineRule="auto"/>
        <w:jc w:val="both"/>
        <w:rPr>
          <w:rStyle w:val="Appelnotedebasdep"/>
          <w:rFonts w:cs="Times New Roman"/>
          <w:sz w:val="24"/>
          <w:szCs w:val="24"/>
          <w:vertAlign w:val="baseline"/>
          <w:lang w:val="fr-FR"/>
        </w:rPr>
      </w:pPr>
      <w:r w:rsidRPr="00953692">
        <w:rPr>
          <w:rFonts w:cs="Times New Roman"/>
          <w:sz w:val="24"/>
          <w:szCs w:val="24"/>
          <w:lang w:val="fr-FR"/>
        </w:rPr>
        <w:t xml:space="preserve">TPIR, Chambre de première instance, Le Procureur c. Omar Serushago, Jugement portant condamnation, 5 février 1999, : ICTR-98-39-S. </w:t>
      </w:r>
    </w:p>
    <w:p w14:paraId="65854797" w14:textId="1CFF32E1" w:rsidR="00187C2C" w:rsidRPr="00953692" w:rsidRDefault="00187C2C" w:rsidP="00864BBF">
      <w:pPr>
        <w:pStyle w:val="Notedebasdepage"/>
        <w:numPr>
          <w:ilvl w:val="0"/>
          <w:numId w:val="23"/>
        </w:numPr>
        <w:spacing w:line="276" w:lineRule="auto"/>
        <w:jc w:val="both"/>
        <w:rPr>
          <w:rFonts w:cs="Times New Roman"/>
          <w:sz w:val="24"/>
          <w:szCs w:val="24"/>
          <w:lang w:val="fr-FR"/>
        </w:rPr>
      </w:pPr>
      <w:r w:rsidRPr="00953692">
        <w:rPr>
          <w:rFonts w:cs="Times New Roman"/>
          <w:sz w:val="24"/>
          <w:szCs w:val="24"/>
          <w:lang w:val="fr-FR"/>
        </w:rPr>
        <w:t>TPIR, Chambre de première instance III, Le Procureur c. Jean-Baptiste Gatete, Jugement portant condamnation, 31 mars 2011, ICTR-2000-61-T.</w:t>
      </w:r>
    </w:p>
    <w:p w14:paraId="29245AC0" w14:textId="3CC4C6F4" w:rsidR="00832969" w:rsidRPr="00953692" w:rsidRDefault="00187C2C" w:rsidP="00864BBF">
      <w:pPr>
        <w:pStyle w:val="Notedebasdepage"/>
        <w:numPr>
          <w:ilvl w:val="0"/>
          <w:numId w:val="23"/>
        </w:numPr>
        <w:spacing w:line="276" w:lineRule="auto"/>
        <w:jc w:val="both"/>
        <w:rPr>
          <w:rFonts w:cs="Times New Roman"/>
          <w:sz w:val="24"/>
          <w:szCs w:val="24"/>
          <w:lang w:val="fr-FR"/>
        </w:rPr>
      </w:pPr>
      <w:r w:rsidRPr="00953692">
        <w:rPr>
          <w:rFonts w:cs="Times New Roman"/>
          <w:sz w:val="24"/>
          <w:szCs w:val="24"/>
          <w:lang w:val="fr-FR"/>
        </w:rPr>
        <w:t>TPIR, Chambre de première instance, Le Procureur c. Edouard Karemera et Matthieu Ngirumpatse, Jugement portant condamnation, 12 février 2012, ICTR-98 -44-T.</w:t>
      </w:r>
    </w:p>
    <w:p w14:paraId="48607428" w14:textId="3D38962A" w:rsidR="00870D0E" w:rsidRPr="00953692" w:rsidRDefault="005A5B45" w:rsidP="00864BBF">
      <w:pPr>
        <w:pStyle w:val="Notedebasdepage"/>
        <w:numPr>
          <w:ilvl w:val="0"/>
          <w:numId w:val="23"/>
        </w:numPr>
        <w:spacing w:line="276" w:lineRule="auto"/>
        <w:jc w:val="both"/>
        <w:rPr>
          <w:rFonts w:cs="Times New Roman"/>
          <w:sz w:val="24"/>
          <w:szCs w:val="24"/>
          <w:lang w:val="fr-FR"/>
        </w:rPr>
      </w:pPr>
      <w:r w:rsidRPr="00953692">
        <w:rPr>
          <w:rFonts w:cs="Times New Roman"/>
          <w:sz w:val="24"/>
          <w:szCs w:val="24"/>
          <w:lang w:val="fr-FR"/>
        </w:rPr>
        <w:t xml:space="preserve">TPIR, </w:t>
      </w:r>
      <w:r w:rsidR="00187C2C" w:rsidRPr="00953692">
        <w:rPr>
          <w:rFonts w:cs="Times New Roman"/>
          <w:sz w:val="24"/>
          <w:szCs w:val="24"/>
          <w:lang w:val="fr-FR"/>
        </w:rPr>
        <w:t>Le Procureur c. Edouard Karemera, Matthieu Ngirumpatse et Joseph Nzirorera, affaire n° ICTR-98-44- AR73.14, Decision on Mathieu Ngirumpatse's Appealfrom the Trial Chamber Decision of l7 September2008 (Chambre d'appel), 30 janvier 2009.</w:t>
      </w:r>
    </w:p>
    <w:p w14:paraId="10769EE9" w14:textId="55859612" w:rsidR="00187C2C" w:rsidRPr="00953692" w:rsidRDefault="00187C2C" w:rsidP="00864BBF">
      <w:pPr>
        <w:pStyle w:val="Notedebasdepage"/>
        <w:numPr>
          <w:ilvl w:val="0"/>
          <w:numId w:val="23"/>
        </w:numPr>
        <w:spacing w:line="276" w:lineRule="auto"/>
        <w:jc w:val="both"/>
        <w:rPr>
          <w:rFonts w:cs="Times New Roman"/>
          <w:sz w:val="24"/>
          <w:szCs w:val="24"/>
          <w:lang w:val="fr-FR"/>
        </w:rPr>
      </w:pPr>
      <w:r w:rsidRPr="00953692">
        <w:rPr>
          <w:rFonts w:cs="Times New Roman"/>
          <w:sz w:val="24"/>
          <w:szCs w:val="24"/>
          <w:lang w:val="fr-FR"/>
        </w:rPr>
        <w:t>TPIR, Chambre d’appel, Ferdinand Nahimana Jean-Bosco Barayagwiza Hassan Ngeze (Appelants) c. Le Procureur (Intimé) Arrêt, 28 novembre 2007 Affaire n° ICTR-99-52-A.</w:t>
      </w:r>
    </w:p>
    <w:p w14:paraId="560B3922" w14:textId="28E30EF8" w:rsidR="00870D0E" w:rsidRPr="00953692" w:rsidRDefault="00723013" w:rsidP="00864BBF">
      <w:pPr>
        <w:pStyle w:val="Paragraphedeliste"/>
        <w:numPr>
          <w:ilvl w:val="0"/>
          <w:numId w:val="23"/>
        </w:numPr>
        <w:spacing w:after="0" w:line="276" w:lineRule="auto"/>
        <w:rPr>
          <w:rFonts w:cs="Times New Roman"/>
          <w:sz w:val="24"/>
          <w:szCs w:val="24"/>
          <w:lang w:val="fr-FR"/>
        </w:rPr>
      </w:pPr>
      <w:r w:rsidRPr="00953692">
        <w:rPr>
          <w:rFonts w:cs="Times New Roman"/>
          <w:sz w:val="24"/>
          <w:szCs w:val="24"/>
          <w:lang w:val="fr-FR"/>
        </w:rPr>
        <w:t>TPIR, Chambre d’Appel, Augustin Ngirabatware c. Le Procureur, affaire no ICTR-99-54-A, « Decision on Augustin Ngirabatware’s Appeal of Decisions Denying Motions to Vary Trial Date », 12 mai 2009 (« décision Ngirabatware du 12 mai 2009 »).</w:t>
      </w:r>
    </w:p>
    <w:p w14:paraId="0EFFB724" w14:textId="30C6694B" w:rsidR="00870D0E" w:rsidRPr="00953692" w:rsidRDefault="00870D0E" w:rsidP="00864BBF">
      <w:pPr>
        <w:pStyle w:val="Notedebasdepage"/>
        <w:numPr>
          <w:ilvl w:val="0"/>
          <w:numId w:val="23"/>
        </w:numPr>
        <w:spacing w:before="240" w:line="276" w:lineRule="auto"/>
        <w:jc w:val="both"/>
        <w:rPr>
          <w:rFonts w:cs="Times New Roman"/>
          <w:sz w:val="24"/>
          <w:szCs w:val="24"/>
          <w:lang w:val="fr-FR"/>
        </w:rPr>
      </w:pPr>
      <w:r w:rsidRPr="00953692">
        <w:rPr>
          <w:rFonts w:cs="Times New Roman"/>
          <w:sz w:val="24"/>
          <w:szCs w:val="24"/>
          <w:lang w:val="fr-FR"/>
        </w:rPr>
        <w:t>TPIR, Chambre d’appel, Jean-Baptiste Gatete c. Le Procureur, Arrêt, 9 octobre 2012, (ICTR-00-61-A).</w:t>
      </w:r>
    </w:p>
    <w:p w14:paraId="45E13589" w14:textId="6D773CAE" w:rsidR="00870D0E" w:rsidRPr="00953692" w:rsidRDefault="00870D0E" w:rsidP="00864BBF">
      <w:pPr>
        <w:pStyle w:val="Notedebasdepage"/>
        <w:numPr>
          <w:ilvl w:val="0"/>
          <w:numId w:val="23"/>
        </w:numPr>
        <w:spacing w:line="276" w:lineRule="auto"/>
        <w:jc w:val="both"/>
        <w:rPr>
          <w:rFonts w:cs="Times New Roman"/>
          <w:sz w:val="24"/>
          <w:szCs w:val="24"/>
          <w:lang w:val="fr-FR"/>
        </w:rPr>
      </w:pPr>
      <w:r w:rsidRPr="00953692">
        <w:rPr>
          <w:rFonts w:cs="Times New Roman"/>
          <w:sz w:val="24"/>
          <w:szCs w:val="24"/>
          <w:lang w:val="fr-FR"/>
        </w:rPr>
        <w:t>TPIR, Chambre D'appel, Ephrem Setako c. Le Procureur, Arrêt, 28 septembre 2011, ICTR-04-81-A.</w:t>
      </w:r>
    </w:p>
    <w:p w14:paraId="52887163" w14:textId="25EA8F1E" w:rsidR="009048D7" w:rsidRPr="00953692" w:rsidRDefault="00870D0E" w:rsidP="00864BBF">
      <w:pPr>
        <w:pStyle w:val="Notedebasdepage"/>
        <w:numPr>
          <w:ilvl w:val="0"/>
          <w:numId w:val="23"/>
        </w:numPr>
        <w:spacing w:line="276" w:lineRule="auto"/>
        <w:jc w:val="both"/>
        <w:rPr>
          <w:rFonts w:cs="Times New Roman"/>
          <w:sz w:val="24"/>
          <w:szCs w:val="24"/>
          <w:lang w:val="fr-FR"/>
        </w:rPr>
      </w:pPr>
      <w:r w:rsidRPr="00953692">
        <w:rPr>
          <w:rFonts w:cs="Times New Roman"/>
          <w:sz w:val="24"/>
          <w:szCs w:val="24"/>
          <w:lang w:val="fr-FR"/>
        </w:rPr>
        <w:t>TPIR, Chambre de première instance II, Le Procureur c. Pauline Nyiramasuhuko et consorts, Jugement portant condamnation, 24 juin 2011, ICTR-9E-42-T.</w:t>
      </w:r>
    </w:p>
    <w:p w14:paraId="370AAC72" w14:textId="328CAEB4" w:rsidR="009048D7" w:rsidRPr="00953692" w:rsidRDefault="009048D7" w:rsidP="00864BBF">
      <w:pPr>
        <w:pStyle w:val="Paragraphedeliste"/>
        <w:numPr>
          <w:ilvl w:val="0"/>
          <w:numId w:val="23"/>
        </w:numPr>
        <w:shd w:val="clear" w:color="auto" w:fill="FFFFFF"/>
        <w:spacing w:after="0" w:line="276" w:lineRule="auto"/>
        <w:jc w:val="both"/>
        <w:rPr>
          <w:rFonts w:cs="Times New Roman"/>
          <w:sz w:val="24"/>
          <w:szCs w:val="24"/>
          <w:lang w:val="fr-FR"/>
        </w:rPr>
      </w:pPr>
      <w:r w:rsidRPr="00953692">
        <w:rPr>
          <w:rFonts w:cs="Times New Roman"/>
          <w:sz w:val="24"/>
          <w:szCs w:val="24"/>
          <w:lang w:val="fr-FR"/>
        </w:rPr>
        <w:t xml:space="preserve">TPIR, </w:t>
      </w:r>
      <w:r w:rsidRPr="00953692">
        <w:rPr>
          <w:rFonts w:eastAsia="Times New Roman" w:cs="Times New Roman"/>
          <w:sz w:val="24"/>
          <w:szCs w:val="24"/>
          <w:lang w:val="fr-FR" w:eastAsia="ru-RU"/>
        </w:rPr>
        <w:t xml:space="preserve">le Procureur c. Sylvain Nsabimana et Alphonse Nteziryayo, Décision relative à la requête urgente du procureur tendant à faire enjoindre à la défense de se conformer à la décision rendue par la chambre de première instance le 17 AOÛT 2006, (affaire n° ICTR-97-29-T), </w:t>
      </w:r>
      <w:r w:rsidRPr="00953692">
        <w:rPr>
          <w:rFonts w:cs="Times New Roman"/>
          <w:sz w:val="24"/>
          <w:szCs w:val="24"/>
          <w:shd w:val="clear" w:color="auto" w:fill="FFFFFF"/>
          <w:lang w:val="fr-FR"/>
        </w:rPr>
        <w:t>5 septembre 2006.</w:t>
      </w:r>
    </w:p>
    <w:p w14:paraId="0B8F00A4" w14:textId="10331118" w:rsidR="009048D7" w:rsidRPr="00953692" w:rsidRDefault="009048D7" w:rsidP="00864BBF">
      <w:pPr>
        <w:pStyle w:val="Notedebasdepage"/>
        <w:numPr>
          <w:ilvl w:val="0"/>
          <w:numId w:val="23"/>
        </w:numPr>
        <w:spacing w:line="276" w:lineRule="auto"/>
        <w:jc w:val="both"/>
        <w:rPr>
          <w:rFonts w:cs="Times New Roman"/>
          <w:sz w:val="24"/>
          <w:szCs w:val="24"/>
          <w:lang w:val="fr-FR"/>
        </w:rPr>
      </w:pPr>
      <w:r w:rsidRPr="00953692">
        <w:rPr>
          <w:rFonts w:cs="Times New Roman"/>
          <w:sz w:val="24"/>
          <w:szCs w:val="24"/>
          <w:lang w:val="fr-FR"/>
        </w:rPr>
        <w:t>TPIR, Chambre de première instance II, Le Procureur c. Arsène Shalom Ntahobali, Décision relative à la requête de Ntahobali en certification d'appel de la décision du 9 décembre 2008 concernant le témoin à charge QCB, 14 janvier 2009, Affaire n° ICTR-97-21-T Jonction d'instances n° ICTR-98-42-T.</w:t>
      </w:r>
    </w:p>
    <w:p w14:paraId="7C4F731A" w14:textId="76F1288D" w:rsidR="00870D0E" w:rsidRPr="00953692" w:rsidRDefault="009048D7" w:rsidP="00864BBF">
      <w:pPr>
        <w:pStyle w:val="Notedebasdepage"/>
        <w:numPr>
          <w:ilvl w:val="0"/>
          <w:numId w:val="23"/>
        </w:numPr>
        <w:spacing w:line="276" w:lineRule="auto"/>
        <w:jc w:val="both"/>
        <w:rPr>
          <w:rFonts w:cs="Times New Roman"/>
          <w:sz w:val="24"/>
          <w:szCs w:val="24"/>
          <w:lang w:val="en-US"/>
        </w:rPr>
      </w:pPr>
      <w:r w:rsidRPr="00953692">
        <w:rPr>
          <w:rFonts w:cs="Times New Roman"/>
          <w:sz w:val="24"/>
          <w:szCs w:val="24"/>
          <w:lang w:val="en-US"/>
        </w:rPr>
        <w:t xml:space="preserve">The Prosecutor v. Arsène Shalom Ntahobali, Decision on Ntahobali’s motion for certification to appeal the 20 November 2008 Decision </w:t>
      </w:r>
      <w:r w:rsidRPr="00953692">
        <w:rPr>
          <w:rFonts w:cs="Times New Roman"/>
          <w:sz w:val="24"/>
          <w:szCs w:val="24"/>
          <w:lang w:val="en-US"/>
        </w:rPr>
        <w:lastRenderedPageBreak/>
        <w:t>concerning the recall of prosecution witness QCB, 9 December 2008, ICTR-97-2 1 -T Joint Case No. ICTR-98-42-T.</w:t>
      </w:r>
    </w:p>
    <w:p w14:paraId="58C4D7C9" w14:textId="59819B32" w:rsidR="00E96CAC" w:rsidRPr="00953692" w:rsidRDefault="00E96CAC" w:rsidP="00864BBF">
      <w:pPr>
        <w:pStyle w:val="Paragraphedeliste"/>
        <w:numPr>
          <w:ilvl w:val="0"/>
          <w:numId w:val="17"/>
        </w:numPr>
        <w:spacing w:before="240" w:after="0" w:line="276" w:lineRule="auto"/>
        <w:rPr>
          <w:rFonts w:cs="Times New Roman"/>
          <w:b/>
          <w:bCs/>
          <w:sz w:val="24"/>
          <w:szCs w:val="24"/>
          <w:lang w:val="fr-FR"/>
        </w:rPr>
      </w:pPr>
      <w:r w:rsidRPr="00953692">
        <w:rPr>
          <w:rFonts w:cs="Times New Roman"/>
          <w:b/>
          <w:bCs/>
          <w:sz w:val="24"/>
          <w:szCs w:val="24"/>
          <w:lang w:val="fr-FR"/>
        </w:rPr>
        <w:t>CPI</w:t>
      </w:r>
    </w:p>
    <w:p w14:paraId="5C2BAF9E" w14:textId="77777777" w:rsidR="00771151" w:rsidRPr="00953692" w:rsidRDefault="00771151" w:rsidP="00864BBF">
      <w:pPr>
        <w:pStyle w:val="Paragraphedeliste"/>
        <w:spacing w:before="240" w:after="0" w:line="276" w:lineRule="auto"/>
        <w:ind w:left="1069"/>
        <w:rPr>
          <w:rFonts w:cs="Times New Roman"/>
          <w:b/>
          <w:bCs/>
          <w:sz w:val="24"/>
          <w:szCs w:val="24"/>
          <w:lang w:val="fr-FR"/>
        </w:rPr>
      </w:pPr>
    </w:p>
    <w:p w14:paraId="1014C917" w14:textId="247EE2AC" w:rsidR="00771151" w:rsidRPr="00953692" w:rsidRDefault="006B62A8" w:rsidP="00864BBF">
      <w:pPr>
        <w:pStyle w:val="Paragraphedeliste"/>
        <w:numPr>
          <w:ilvl w:val="0"/>
          <w:numId w:val="24"/>
        </w:numPr>
        <w:spacing w:before="240" w:after="0" w:line="276" w:lineRule="auto"/>
        <w:jc w:val="both"/>
        <w:rPr>
          <w:rFonts w:cs="Times New Roman"/>
          <w:sz w:val="24"/>
          <w:szCs w:val="24"/>
          <w:lang w:val="fr-FR"/>
        </w:rPr>
      </w:pPr>
      <w:r w:rsidRPr="00953692">
        <w:rPr>
          <w:rFonts w:cs="Times New Roman"/>
          <w:sz w:val="24"/>
          <w:szCs w:val="24"/>
          <w:lang w:val="fr-FR"/>
        </w:rPr>
        <w:t>CPI, Le Procureur c. Thomas Lubanga Dyilo, Arrêt relatif à l’appel interjeté par Thomas Lubanga Dyilo contre la décision de la Chambre préliminaire I intitulée «Décision sur la demande de mise en liberté provisoire de Thomas Lubanga Dyilo », 13 février 2007, ICC-01/04-01/06.</w:t>
      </w:r>
    </w:p>
    <w:p w14:paraId="43033315" w14:textId="366493D5" w:rsidR="006B62A8" w:rsidRPr="00953692" w:rsidRDefault="006B62A8" w:rsidP="00864BBF">
      <w:pPr>
        <w:pStyle w:val="Notedebasdepage"/>
        <w:numPr>
          <w:ilvl w:val="0"/>
          <w:numId w:val="24"/>
        </w:numPr>
        <w:spacing w:line="276" w:lineRule="auto"/>
        <w:jc w:val="both"/>
        <w:rPr>
          <w:rFonts w:cs="Times New Roman"/>
          <w:sz w:val="24"/>
          <w:szCs w:val="24"/>
          <w:lang w:val="fr-FR"/>
        </w:rPr>
      </w:pPr>
      <w:r w:rsidRPr="00953692">
        <w:rPr>
          <w:rFonts w:cs="Times New Roman"/>
          <w:sz w:val="24"/>
          <w:szCs w:val="24"/>
          <w:lang w:val="fr-FR"/>
        </w:rPr>
        <w:t>CPI, La Chambre préliminaire I, Le Procureur c. Thomas Lubanga Dyilo, Décision sur la confirmation des charges, 29 janvier 2007, ICC-01/04-01/06.</w:t>
      </w:r>
    </w:p>
    <w:p w14:paraId="3210C1E8" w14:textId="0A1DCD17" w:rsidR="00E87BBF" w:rsidRPr="00953692" w:rsidRDefault="006B62A8" w:rsidP="00864BBF">
      <w:pPr>
        <w:pStyle w:val="Notedebasdepage"/>
        <w:numPr>
          <w:ilvl w:val="0"/>
          <w:numId w:val="24"/>
        </w:numPr>
        <w:spacing w:line="276" w:lineRule="auto"/>
        <w:jc w:val="both"/>
        <w:rPr>
          <w:rFonts w:cs="Times New Roman"/>
          <w:sz w:val="24"/>
          <w:szCs w:val="24"/>
          <w:lang w:val="fr-FR"/>
        </w:rPr>
      </w:pPr>
      <w:r w:rsidRPr="00953692">
        <w:rPr>
          <w:rFonts w:cs="Times New Roman"/>
          <w:sz w:val="24"/>
          <w:szCs w:val="24"/>
          <w:lang w:val="fr-FR"/>
        </w:rPr>
        <w:t>CPI, La Chambre préliminaire I, Le Procureur c. Laurent Gbagbo, Décision relative à la confirmation des charges portées contre Laurent Gbagbo, 12 juin 2014, ICC-02/11-01/11, §. 3-9. Voir ICC-02/11-01/11-432-tFRA.</w:t>
      </w:r>
    </w:p>
    <w:p w14:paraId="5AAA2C82" w14:textId="47566C32" w:rsidR="00E87BBF" w:rsidRPr="00953692" w:rsidRDefault="006B62A8" w:rsidP="00864BBF">
      <w:pPr>
        <w:pStyle w:val="Notedebasdepage"/>
        <w:numPr>
          <w:ilvl w:val="0"/>
          <w:numId w:val="24"/>
        </w:numPr>
        <w:spacing w:line="276" w:lineRule="auto"/>
        <w:jc w:val="both"/>
        <w:rPr>
          <w:rFonts w:cs="Times New Roman"/>
          <w:sz w:val="24"/>
          <w:szCs w:val="24"/>
          <w:lang w:val="fr-FR"/>
        </w:rPr>
      </w:pPr>
      <w:r w:rsidRPr="00953692">
        <w:rPr>
          <w:rFonts w:cs="Times New Roman"/>
          <w:sz w:val="24"/>
          <w:szCs w:val="24"/>
          <w:lang w:val="fr-FR"/>
        </w:rPr>
        <w:t>CPI, La Chambre préliminaire II, Le Procureur c. Jean‐Pierre Bemba Gombo, Décision rendue en application des alinéas a) et b) de l’article 61‐7 du Statut de Rome, relativement aux charges portées par le Procureur à l’encontre de Jean‐Pierre Bemba Gombo, 15 juin 2009, ICC‐01/05‐01/08, par. 4 et 15. Voir Chambre préliminaire III, ICC‐01/05‐01/08‐388‐tFRA.</w:t>
      </w:r>
    </w:p>
    <w:p w14:paraId="7D8D4815" w14:textId="7D9E791A" w:rsidR="00E87BBF" w:rsidRPr="00953692" w:rsidRDefault="006B62A8" w:rsidP="00864BBF">
      <w:pPr>
        <w:pStyle w:val="Notedebasdepage"/>
        <w:numPr>
          <w:ilvl w:val="0"/>
          <w:numId w:val="24"/>
        </w:numPr>
        <w:spacing w:line="276" w:lineRule="auto"/>
        <w:jc w:val="both"/>
        <w:rPr>
          <w:rFonts w:cs="Times New Roman"/>
          <w:sz w:val="24"/>
          <w:szCs w:val="24"/>
          <w:lang w:val="fr-FR"/>
        </w:rPr>
      </w:pPr>
      <w:r w:rsidRPr="00953692">
        <w:rPr>
          <w:rFonts w:cs="Times New Roman"/>
          <w:sz w:val="24"/>
          <w:szCs w:val="24"/>
          <w:lang w:val="fr-FR"/>
        </w:rPr>
        <w:t>CPI, La Chambre préliminaire I, Le Procureur c. Laurent Gbagbo, Décision portant ajournement de l’audience de confirmation des charges conformément à l’article 61-7-c-i du Statut, 3 juin 2013, ICC-02/11-01/11.</w:t>
      </w:r>
    </w:p>
    <w:p w14:paraId="5C3D77D8" w14:textId="4BDF9450" w:rsidR="00E87BBF" w:rsidRPr="00953692" w:rsidRDefault="00370B8E" w:rsidP="00864BBF">
      <w:pPr>
        <w:pStyle w:val="Notedebasdepage"/>
        <w:numPr>
          <w:ilvl w:val="0"/>
          <w:numId w:val="24"/>
        </w:numPr>
        <w:spacing w:line="276" w:lineRule="auto"/>
        <w:jc w:val="both"/>
        <w:rPr>
          <w:rFonts w:cs="Times New Roman"/>
          <w:sz w:val="24"/>
          <w:szCs w:val="24"/>
          <w:lang w:val="en-US"/>
        </w:rPr>
      </w:pPr>
      <w:r w:rsidRPr="00953692">
        <w:rPr>
          <w:rFonts w:cs="Times New Roman"/>
          <w:sz w:val="24"/>
          <w:szCs w:val="24"/>
          <w:lang w:val="en-US"/>
        </w:rPr>
        <w:t>Chambre d’appel, Judgment on the appeal of the Prosecutor against the decision of Pre-Trial Chamber I of 16 December 2011 entitled “Decision on the confirmation of charges”, 30 mai 2012, ICC-01/04-01/10-514 (OA 4).</w:t>
      </w:r>
    </w:p>
    <w:p w14:paraId="111F7EC8" w14:textId="64606D30" w:rsidR="00E87BBF" w:rsidRPr="00953692" w:rsidRDefault="00370B8E" w:rsidP="00864BBF">
      <w:pPr>
        <w:pStyle w:val="Notedebasdepage"/>
        <w:numPr>
          <w:ilvl w:val="0"/>
          <w:numId w:val="24"/>
        </w:numPr>
        <w:spacing w:line="276" w:lineRule="auto"/>
        <w:jc w:val="both"/>
        <w:rPr>
          <w:rFonts w:cs="Times New Roman"/>
          <w:sz w:val="24"/>
          <w:szCs w:val="24"/>
          <w:lang w:val="fr-FR"/>
        </w:rPr>
      </w:pPr>
      <w:r w:rsidRPr="00953692">
        <w:rPr>
          <w:rFonts w:cs="Times New Roman"/>
          <w:sz w:val="24"/>
          <w:szCs w:val="24"/>
          <w:lang w:val="fr-FR"/>
        </w:rPr>
        <w:t xml:space="preserve">CPI, La Chambre préliminaire I, Le Procureur c. Thomas Lubanga Dyilo, Décision sur la demande de mise en liberté provisoire de Thomas Lubanga Dyilo, 18 octobre 2006, ICC-01/04-01/06. </w:t>
      </w:r>
    </w:p>
    <w:p w14:paraId="444967B7" w14:textId="2DAF50EA" w:rsidR="00E87BBF" w:rsidRPr="00953692" w:rsidRDefault="00490B92" w:rsidP="00864BBF">
      <w:pPr>
        <w:pStyle w:val="Notedebasdepage"/>
        <w:numPr>
          <w:ilvl w:val="0"/>
          <w:numId w:val="24"/>
        </w:numPr>
        <w:spacing w:line="276" w:lineRule="auto"/>
        <w:jc w:val="both"/>
        <w:rPr>
          <w:rFonts w:cs="Times New Roman"/>
          <w:sz w:val="24"/>
          <w:szCs w:val="24"/>
          <w:lang w:val="fr-FR"/>
        </w:rPr>
      </w:pPr>
      <w:r w:rsidRPr="00953692">
        <w:rPr>
          <w:rFonts w:cs="Times New Roman"/>
          <w:sz w:val="24"/>
          <w:szCs w:val="24"/>
          <w:lang w:val="fr-FR"/>
        </w:rPr>
        <w:t>CPI, Ch. Pr. VIII, Le Procureur c. Ahmad Al Faqi Al Mahdi, Jugement portant condamnation, 27 septembre 2016, (ICC-01/12-01/15).</w:t>
      </w:r>
    </w:p>
    <w:p w14:paraId="1DA8C3CC" w14:textId="441797FE" w:rsidR="00187C2C" w:rsidRPr="00953692" w:rsidRDefault="00490B92" w:rsidP="00864BBF">
      <w:pPr>
        <w:pStyle w:val="Notedebasdepage"/>
        <w:numPr>
          <w:ilvl w:val="0"/>
          <w:numId w:val="24"/>
        </w:numPr>
        <w:spacing w:line="276" w:lineRule="auto"/>
        <w:jc w:val="both"/>
        <w:rPr>
          <w:rFonts w:cs="Times New Roman"/>
          <w:sz w:val="24"/>
          <w:szCs w:val="24"/>
          <w:lang w:val="fr-FR"/>
        </w:rPr>
      </w:pPr>
      <w:r w:rsidRPr="00953692">
        <w:rPr>
          <w:rFonts w:cs="Times New Roman"/>
          <w:sz w:val="24"/>
          <w:szCs w:val="24"/>
          <w:lang w:val="fr-FR"/>
        </w:rPr>
        <w:t>CPI, Chambre de première instance VIII Procureur c. Ahmad Al Faqi Al Mahdi, Jugement portant condamnation, 27 septembre 2016, ICC-01/12-01/15-171-Tfra.</w:t>
      </w:r>
    </w:p>
    <w:p w14:paraId="2634B23F" w14:textId="142EFD26" w:rsidR="00187C2C" w:rsidRPr="00953692" w:rsidRDefault="00187C2C" w:rsidP="00864BBF">
      <w:pPr>
        <w:pStyle w:val="Notedebasdepage"/>
        <w:numPr>
          <w:ilvl w:val="0"/>
          <w:numId w:val="24"/>
        </w:numPr>
        <w:spacing w:line="276" w:lineRule="auto"/>
        <w:jc w:val="both"/>
        <w:rPr>
          <w:rFonts w:cs="Times New Roman"/>
          <w:sz w:val="24"/>
          <w:szCs w:val="24"/>
          <w:lang w:val="fr-FR"/>
        </w:rPr>
      </w:pPr>
      <w:r w:rsidRPr="00953692">
        <w:rPr>
          <w:rFonts w:cs="Times New Roman"/>
          <w:sz w:val="24"/>
          <w:szCs w:val="24"/>
          <w:lang w:val="fr-FR"/>
        </w:rPr>
        <w:t>CPI, Chambre Préliminaire I, Le Procureur c. Jean-Pierre Bemba Gombo, Décision sur la demande d'indemnisation et de dommages-intérêts de M. Bemba, 18 mai 2020, ICC-01/05-01/08 par. 29 vi)</w:t>
      </w:r>
    </w:p>
    <w:p w14:paraId="0FEEA1C4" w14:textId="3797369A" w:rsidR="00870D0E" w:rsidRPr="00953692" w:rsidRDefault="00187C2C" w:rsidP="00864BBF">
      <w:pPr>
        <w:pStyle w:val="Notedebasdepage"/>
        <w:numPr>
          <w:ilvl w:val="0"/>
          <w:numId w:val="24"/>
        </w:numPr>
        <w:spacing w:line="276" w:lineRule="auto"/>
        <w:jc w:val="both"/>
        <w:rPr>
          <w:rFonts w:eastAsia="Times New Roman" w:cs="Times New Roman"/>
          <w:sz w:val="24"/>
          <w:szCs w:val="24"/>
          <w:lang w:val="fr-FR"/>
        </w:rPr>
      </w:pPr>
      <w:r w:rsidRPr="00953692">
        <w:rPr>
          <w:rFonts w:eastAsia="Calibri" w:cs="Times New Roman"/>
          <w:sz w:val="24"/>
          <w:szCs w:val="24"/>
          <w:lang w:val="fr-FR"/>
        </w:rPr>
        <w:t xml:space="preserve">CPI, </w:t>
      </w:r>
      <w:r w:rsidRPr="00953692">
        <w:rPr>
          <w:rFonts w:eastAsia="Times New Roman" w:cs="Times New Roman"/>
          <w:sz w:val="24"/>
          <w:szCs w:val="24"/>
          <w:lang w:val="fr-FR"/>
        </w:rPr>
        <w:t xml:space="preserve">Situation en République centrafricaine, Rapport de l’Accusation à la suite de la décision de la Chambre préliminaire III du 30 novembre 2006 sollicitant des informations sur l’état d’avancement de l’examen </w:t>
      </w:r>
      <w:r w:rsidRPr="00953692">
        <w:rPr>
          <w:rFonts w:eastAsia="Times New Roman" w:cs="Times New Roman"/>
          <w:sz w:val="24"/>
          <w:szCs w:val="24"/>
          <w:lang w:val="fr-FR"/>
        </w:rPr>
        <w:lastRenderedPageBreak/>
        <w:t>préliminaire de la situation en République centrafricaine, ICC-01/05-7-tFRA, 15 décembre 2006.</w:t>
      </w:r>
    </w:p>
    <w:p w14:paraId="0E0C41A5" w14:textId="665C28B9" w:rsidR="00870D0E" w:rsidRPr="00953692" w:rsidRDefault="00870D0E" w:rsidP="00864BBF">
      <w:pPr>
        <w:pStyle w:val="Notedebasdepage"/>
        <w:numPr>
          <w:ilvl w:val="0"/>
          <w:numId w:val="24"/>
        </w:numPr>
        <w:spacing w:line="276" w:lineRule="auto"/>
        <w:jc w:val="both"/>
        <w:rPr>
          <w:rStyle w:val="Appelnotedebasdep"/>
          <w:rFonts w:cs="Times New Roman"/>
          <w:sz w:val="24"/>
          <w:szCs w:val="24"/>
          <w:vertAlign w:val="baseline"/>
          <w:lang w:val="fr-FR"/>
        </w:rPr>
      </w:pPr>
      <w:r w:rsidRPr="00953692">
        <w:rPr>
          <w:rFonts w:cs="Times New Roman"/>
          <w:sz w:val="24"/>
          <w:szCs w:val="24"/>
          <w:lang w:val="fr-FR"/>
        </w:rPr>
        <w:t>CPI, Chambre préliminaire I, Le Procureur contre Laurent Gbagbo, Réponse du Représentant légal commun des victimes à la « Demande d'autorisation d'interjeter appel de la « décision d'ajournement de l'audience de confirmation des charges conformément à l'article 67-7-c-i du Statut » (ICC-02/11-01/11-432-tFRA) du 3 juin 2013 » déposée par la Défense le 25 juin 2013, N° : ICC-02/11-01/11 du 1er juillet 2013.</w:t>
      </w:r>
    </w:p>
    <w:p w14:paraId="049E7B9C" w14:textId="00F450AD" w:rsidR="00870D0E" w:rsidRPr="00953692" w:rsidRDefault="00870D0E" w:rsidP="00864BBF">
      <w:pPr>
        <w:pStyle w:val="Notedebasdepage"/>
        <w:numPr>
          <w:ilvl w:val="0"/>
          <w:numId w:val="24"/>
        </w:numPr>
        <w:spacing w:line="276" w:lineRule="auto"/>
        <w:jc w:val="both"/>
        <w:rPr>
          <w:rFonts w:cs="Times New Roman"/>
          <w:sz w:val="24"/>
          <w:szCs w:val="24"/>
          <w:lang w:val="fr-FR"/>
        </w:rPr>
      </w:pPr>
      <w:r w:rsidRPr="00953692">
        <w:rPr>
          <w:rFonts w:cs="Times New Roman"/>
          <w:sz w:val="24"/>
          <w:szCs w:val="24"/>
          <w:lang w:val="fr-FR"/>
        </w:rPr>
        <w:t>CPI, Chambre d’appel, Le Procureur c. Germain Katanga et Mathieu Ngudjolo Chui, Arrêt relatif à l’appel interjeté par Germain Katanga contre la Décision relative aux modalités de participation des victimes au stade des débats sur le fond, rendue le 22 janvier 2010 par la Chambre de première instance II, ICC-01/04-01/07, 16 juillet 2010.</w:t>
      </w:r>
    </w:p>
    <w:p w14:paraId="6D9135D8" w14:textId="5EF49265" w:rsidR="009048D7" w:rsidRPr="00953692" w:rsidRDefault="00870D0E" w:rsidP="00864BBF">
      <w:pPr>
        <w:pStyle w:val="Notedebasdepage"/>
        <w:numPr>
          <w:ilvl w:val="0"/>
          <w:numId w:val="24"/>
        </w:numPr>
        <w:spacing w:line="276" w:lineRule="auto"/>
        <w:jc w:val="both"/>
        <w:rPr>
          <w:rFonts w:cs="Times New Roman"/>
          <w:sz w:val="24"/>
          <w:szCs w:val="24"/>
          <w:lang w:val="fr-FR"/>
        </w:rPr>
      </w:pPr>
      <w:r w:rsidRPr="00953692">
        <w:rPr>
          <w:rFonts w:cs="Times New Roman"/>
          <w:sz w:val="24"/>
          <w:szCs w:val="24"/>
          <w:lang w:val="fr-FR"/>
        </w:rPr>
        <w:t>CPI, Chambre de première instance I, Le Procureur c. Thomas Lubanga, Décision relative à la requête urgente du Procureur aux fins de modification du délai de communication de l’identité de l’intermédiaire 143 ou de suspension de l’instance dans l’attente de consultations plus approfondies avec l’Unité d’aide aux victimes et aux témoins, 8 juillet 2010, ICC-01/04-01/06-2517-Conf-tFRA.</w:t>
      </w:r>
    </w:p>
    <w:p w14:paraId="7061764A" w14:textId="5E8148D7" w:rsidR="00187C2C" w:rsidRPr="00953692" w:rsidRDefault="00771151" w:rsidP="00864BBF">
      <w:pPr>
        <w:pStyle w:val="Notedebasdepage"/>
        <w:numPr>
          <w:ilvl w:val="0"/>
          <w:numId w:val="24"/>
        </w:numPr>
        <w:spacing w:line="276" w:lineRule="auto"/>
        <w:jc w:val="both"/>
        <w:rPr>
          <w:rFonts w:cs="Times New Roman"/>
          <w:sz w:val="24"/>
          <w:szCs w:val="24"/>
          <w:lang w:val="en-US"/>
        </w:rPr>
      </w:pPr>
      <w:r w:rsidRPr="00953692">
        <w:rPr>
          <w:rFonts w:cs="Times New Roman"/>
          <w:sz w:val="24"/>
          <w:szCs w:val="24"/>
          <w:lang w:val="en-US"/>
        </w:rPr>
        <w:t>CPI</w:t>
      </w:r>
      <w:r w:rsidR="009048D7" w:rsidRPr="00953692">
        <w:rPr>
          <w:rFonts w:cs="Times New Roman"/>
          <w:sz w:val="24"/>
          <w:szCs w:val="24"/>
          <w:lang w:val="en-US"/>
        </w:rPr>
        <w:t>, The Appeals Chamber, The Prosecutor v. Thomas Lubanga Dyilo, Judgment on the Appeal of Mr. Thomas Lubanga Dyilo against the Decision on the Defence Challenge to the Jurisdiction of the Court pursuant to article 19 (2) (a) of the Statute of 3 October 2006, 14 December 2006, ICC-01/04-01/06 (OA4).</w:t>
      </w:r>
    </w:p>
    <w:p w14:paraId="4FE14F18" w14:textId="7DFE0DB0" w:rsidR="00E96CAC" w:rsidRPr="00953692" w:rsidRDefault="00E96CAC" w:rsidP="00864BBF">
      <w:pPr>
        <w:pStyle w:val="Paragraphedeliste"/>
        <w:numPr>
          <w:ilvl w:val="0"/>
          <w:numId w:val="17"/>
        </w:numPr>
        <w:spacing w:before="240" w:after="0" w:line="276" w:lineRule="auto"/>
        <w:rPr>
          <w:rFonts w:cs="Times New Roman"/>
          <w:b/>
          <w:bCs/>
          <w:sz w:val="24"/>
          <w:szCs w:val="24"/>
          <w:lang w:val="fr-FR"/>
        </w:rPr>
      </w:pPr>
      <w:r w:rsidRPr="00953692">
        <w:rPr>
          <w:rFonts w:cs="Times New Roman"/>
          <w:b/>
          <w:bCs/>
          <w:sz w:val="24"/>
          <w:szCs w:val="24"/>
          <w:lang w:val="fr-FR"/>
        </w:rPr>
        <w:t>CETC</w:t>
      </w:r>
    </w:p>
    <w:p w14:paraId="16600BCE" w14:textId="77777777" w:rsidR="00771151" w:rsidRPr="00953692" w:rsidRDefault="00771151" w:rsidP="00864BBF">
      <w:pPr>
        <w:pStyle w:val="Paragraphedeliste"/>
        <w:spacing w:before="240" w:after="0" w:line="276" w:lineRule="auto"/>
        <w:ind w:left="1069"/>
        <w:rPr>
          <w:rFonts w:cs="Times New Roman"/>
          <w:b/>
          <w:bCs/>
          <w:sz w:val="24"/>
          <w:szCs w:val="24"/>
          <w:lang w:val="fr-FR"/>
        </w:rPr>
      </w:pPr>
    </w:p>
    <w:p w14:paraId="226B1A44" w14:textId="470CB494" w:rsidR="00E96CAC" w:rsidRPr="00953692" w:rsidRDefault="00490B92" w:rsidP="00864BBF">
      <w:pPr>
        <w:pStyle w:val="Paragraphedeliste"/>
        <w:numPr>
          <w:ilvl w:val="0"/>
          <w:numId w:val="25"/>
        </w:numPr>
        <w:spacing w:before="240" w:after="0" w:line="276" w:lineRule="auto"/>
        <w:rPr>
          <w:rFonts w:cs="Times New Roman"/>
          <w:sz w:val="24"/>
          <w:szCs w:val="24"/>
          <w:lang w:val="fr-FR"/>
        </w:rPr>
      </w:pPr>
      <w:r w:rsidRPr="00953692">
        <w:rPr>
          <w:rFonts w:cs="Times New Roman"/>
          <w:sz w:val="24"/>
          <w:szCs w:val="24"/>
          <w:lang w:val="fr-FR"/>
        </w:rPr>
        <w:t>CETC, Chambre de première instance, Co-procureurs c. Kaing Guek Eav alias Duch, Jugement, 26 juillet 2010, Dossier n°001/18-07-2007/ECCC/TC, par. 46-49.</w:t>
      </w:r>
    </w:p>
    <w:p w14:paraId="4D786FBA" w14:textId="77777777" w:rsidR="00771151" w:rsidRPr="00953692" w:rsidRDefault="00771151" w:rsidP="00864BBF">
      <w:pPr>
        <w:pStyle w:val="Paragraphedeliste"/>
        <w:spacing w:before="240" w:after="0" w:line="276" w:lineRule="auto"/>
        <w:rPr>
          <w:rFonts w:cs="Times New Roman"/>
          <w:sz w:val="24"/>
          <w:szCs w:val="24"/>
          <w:lang w:val="fr-FR"/>
        </w:rPr>
      </w:pPr>
    </w:p>
    <w:p w14:paraId="398347D8" w14:textId="232476A2" w:rsidR="00E96CAC" w:rsidRPr="00953692" w:rsidRDefault="00E96CAC" w:rsidP="00864BBF">
      <w:pPr>
        <w:pStyle w:val="Paragraphedeliste"/>
        <w:numPr>
          <w:ilvl w:val="0"/>
          <w:numId w:val="17"/>
        </w:numPr>
        <w:spacing w:before="240" w:after="0" w:line="276" w:lineRule="auto"/>
        <w:rPr>
          <w:rFonts w:cs="Times New Roman"/>
          <w:b/>
          <w:bCs/>
          <w:sz w:val="24"/>
          <w:szCs w:val="24"/>
          <w:lang w:val="fr-FR"/>
        </w:rPr>
      </w:pPr>
      <w:r w:rsidRPr="00953692">
        <w:rPr>
          <w:rFonts w:cs="Times New Roman"/>
          <w:b/>
          <w:bCs/>
          <w:sz w:val="24"/>
          <w:szCs w:val="24"/>
          <w:lang w:val="fr-FR"/>
        </w:rPr>
        <w:t>TSL</w:t>
      </w:r>
    </w:p>
    <w:p w14:paraId="48E7DC26" w14:textId="77777777" w:rsidR="00771151" w:rsidRPr="00953692" w:rsidRDefault="00771151" w:rsidP="00864BBF">
      <w:pPr>
        <w:pStyle w:val="Paragraphedeliste"/>
        <w:spacing w:before="240" w:after="0" w:line="276" w:lineRule="auto"/>
        <w:ind w:left="1069"/>
        <w:rPr>
          <w:rFonts w:cs="Times New Roman"/>
          <w:b/>
          <w:bCs/>
          <w:sz w:val="24"/>
          <w:szCs w:val="24"/>
          <w:lang w:val="fr-FR"/>
        </w:rPr>
      </w:pPr>
    </w:p>
    <w:p w14:paraId="08E04AC2" w14:textId="01F57999" w:rsidR="00E91F7C" w:rsidRPr="00953692" w:rsidRDefault="00E91F7C" w:rsidP="00864BBF">
      <w:pPr>
        <w:pStyle w:val="Paragraphedeliste"/>
        <w:numPr>
          <w:ilvl w:val="0"/>
          <w:numId w:val="26"/>
        </w:numPr>
        <w:spacing w:before="240" w:after="0" w:line="276" w:lineRule="auto"/>
        <w:rPr>
          <w:rFonts w:cs="Times New Roman"/>
          <w:sz w:val="24"/>
          <w:szCs w:val="24"/>
          <w:lang w:val="fr-FR"/>
        </w:rPr>
      </w:pPr>
      <w:r w:rsidRPr="00953692">
        <w:rPr>
          <w:rFonts w:cs="Times New Roman"/>
          <w:sz w:val="24"/>
          <w:szCs w:val="24"/>
          <w:lang w:val="fr-FR"/>
        </w:rPr>
        <w:t>TSL, Juge de la mise en état, Le Procureur c. Salim Jamil Ayyash, Ordonnance de fixant provisoirement la date d’ouverture du procès, STL-18-10/PT/PTJ, 25 février 2014.</w:t>
      </w:r>
    </w:p>
    <w:p w14:paraId="41468340" w14:textId="77777777" w:rsidR="00771151" w:rsidRPr="00953692" w:rsidRDefault="00771151" w:rsidP="00864BBF">
      <w:pPr>
        <w:pStyle w:val="Paragraphedeliste"/>
        <w:spacing w:before="240" w:after="0" w:line="276" w:lineRule="auto"/>
        <w:rPr>
          <w:rFonts w:cs="Times New Roman"/>
          <w:sz w:val="24"/>
          <w:szCs w:val="24"/>
          <w:lang w:val="fr-FR"/>
        </w:rPr>
      </w:pPr>
    </w:p>
    <w:p w14:paraId="08F569FB" w14:textId="68CE6D0C" w:rsidR="00E96CAC" w:rsidRPr="00953692" w:rsidRDefault="00E96CAC" w:rsidP="00864BBF">
      <w:pPr>
        <w:pStyle w:val="Paragraphedeliste"/>
        <w:numPr>
          <w:ilvl w:val="0"/>
          <w:numId w:val="17"/>
        </w:numPr>
        <w:spacing w:before="240" w:after="0" w:line="276" w:lineRule="auto"/>
        <w:rPr>
          <w:rFonts w:cs="Times New Roman"/>
          <w:b/>
          <w:bCs/>
          <w:sz w:val="24"/>
          <w:szCs w:val="24"/>
          <w:lang w:val="fr-FR"/>
        </w:rPr>
      </w:pPr>
      <w:r w:rsidRPr="00953692">
        <w:rPr>
          <w:rFonts w:cs="Times New Roman"/>
          <w:b/>
          <w:bCs/>
          <w:sz w:val="24"/>
          <w:szCs w:val="24"/>
          <w:lang w:val="fr-FR"/>
        </w:rPr>
        <w:t>CEDH</w:t>
      </w:r>
    </w:p>
    <w:p w14:paraId="523A58D3" w14:textId="77777777" w:rsidR="00D419A5" w:rsidRPr="00953692" w:rsidRDefault="00D419A5" w:rsidP="00864BBF">
      <w:pPr>
        <w:pStyle w:val="Paragraphedeliste"/>
        <w:spacing w:before="240" w:after="0" w:line="276" w:lineRule="auto"/>
        <w:ind w:left="1069"/>
        <w:rPr>
          <w:rFonts w:cs="Times New Roman"/>
          <w:b/>
          <w:bCs/>
          <w:sz w:val="24"/>
          <w:szCs w:val="24"/>
          <w:lang w:val="fr-FR"/>
        </w:rPr>
      </w:pPr>
    </w:p>
    <w:p w14:paraId="6DEFB22E" w14:textId="72A8F339" w:rsidR="002B39AA" w:rsidRPr="00953692" w:rsidRDefault="00D419A5" w:rsidP="00864BBF">
      <w:pPr>
        <w:pStyle w:val="Paragraphedeliste"/>
        <w:numPr>
          <w:ilvl w:val="0"/>
          <w:numId w:val="27"/>
        </w:numPr>
        <w:spacing w:before="240" w:after="0" w:line="276" w:lineRule="auto"/>
        <w:rPr>
          <w:rFonts w:cs="Times New Roman"/>
          <w:sz w:val="24"/>
          <w:szCs w:val="24"/>
          <w:lang w:val="fr-FR"/>
        </w:rPr>
      </w:pPr>
      <w:r w:rsidRPr="00953692">
        <w:rPr>
          <w:rFonts w:cs="Times New Roman"/>
          <w:sz w:val="24"/>
          <w:szCs w:val="24"/>
          <w:lang w:val="fr-FR"/>
        </w:rPr>
        <w:t xml:space="preserve">CEDH, </w:t>
      </w:r>
      <w:r w:rsidR="002B39AA" w:rsidRPr="00953692">
        <w:rPr>
          <w:rFonts w:cs="Times New Roman"/>
          <w:sz w:val="24"/>
          <w:szCs w:val="24"/>
          <w:lang w:val="fr-FR"/>
        </w:rPr>
        <w:t>Pélissier et Sassi c. France [GC], 1999</w:t>
      </w:r>
      <w:r w:rsidRPr="00953692">
        <w:rPr>
          <w:rFonts w:cs="Times New Roman"/>
          <w:sz w:val="24"/>
          <w:szCs w:val="24"/>
          <w:lang w:val="fr-FR"/>
        </w:rPr>
        <w:t>.</w:t>
      </w:r>
    </w:p>
    <w:p w14:paraId="46B3F557" w14:textId="0E3546FB" w:rsidR="00D419A5" w:rsidRPr="00953692" w:rsidRDefault="00D419A5" w:rsidP="00864BBF">
      <w:pPr>
        <w:pStyle w:val="Paragraphedeliste"/>
        <w:numPr>
          <w:ilvl w:val="0"/>
          <w:numId w:val="27"/>
        </w:numPr>
        <w:spacing w:before="240" w:after="0" w:line="276" w:lineRule="auto"/>
        <w:rPr>
          <w:rStyle w:val="Appelnotedebasdep"/>
          <w:rFonts w:cs="Times New Roman"/>
          <w:sz w:val="24"/>
          <w:szCs w:val="24"/>
          <w:vertAlign w:val="baseline"/>
          <w:lang w:val="fr-FR"/>
        </w:rPr>
      </w:pPr>
      <w:r w:rsidRPr="00953692">
        <w:rPr>
          <w:rFonts w:cs="Times New Roman"/>
          <w:sz w:val="24"/>
          <w:szCs w:val="24"/>
          <w:lang w:val="fr-FR"/>
        </w:rPr>
        <w:t xml:space="preserve">CEDH, </w:t>
      </w:r>
      <w:r w:rsidR="002B39AA" w:rsidRPr="00953692">
        <w:rPr>
          <w:rFonts w:cs="Times New Roman"/>
          <w:sz w:val="24"/>
          <w:szCs w:val="24"/>
          <w:lang w:val="fr-FR"/>
        </w:rPr>
        <w:t>Dallos c. Hongrie, 2001.</w:t>
      </w:r>
    </w:p>
    <w:p w14:paraId="0FD3A785" w14:textId="77777777" w:rsidR="00D419A5" w:rsidRPr="00953692" w:rsidRDefault="00187C2C" w:rsidP="00864BBF">
      <w:pPr>
        <w:pStyle w:val="Notedebasdepage"/>
        <w:numPr>
          <w:ilvl w:val="0"/>
          <w:numId w:val="27"/>
        </w:numPr>
        <w:spacing w:line="276" w:lineRule="auto"/>
        <w:jc w:val="both"/>
        <w:rPr>
          <w:rFonts w:cs="Times New Roman"/>
          <w:sz w:val="24"/>
          <w:szCs w:val="24"/>
          <w:lang w:val="fr-FR"/>
        </w:rPr>
      </w:pPr>
      <w:bookmarkStart w:id="109" w:name="_Hlk122569449"/>
      <w:r w:rsidRPr="00953692">
        <w:rPr>
          <w:rFonts w:cs="Times New Roman"/>
          <w:sz w:val="24"/>
          <w:szCs w:val="24"/>
          <w:lang w:val="fr-FR"/>
        </w:rPr>
        <w:t xml:space="preserve">CEDH, </w:t>
      </w:r>
      <w:bookmarkEnd w:id="109"/>
      <w:r w:rsidRPr="00953692">
        <w:rPr>
          <w:rFonts w:cs="Times New Roman"/>
          <w:sz w:val="24"/>
          <w:szCs w:val="24"/>
          <w:lang w:val="fr-FR"/>
        </w:rPr>
        <w:t xml:space="preserve">Girolami c. Italie, 19 fév. 1991. </w:t>
      </w:r>
    </w:p>
    <w:p w14:paraId="77BBE41F" w14:textId="0D60BDD9" w:rsidR="00D419A5" w:rsidRPr="00953692" w:rsidRDefault="00D419A5" w:rsidP="00864BBF">
      <w:pPr>
        <w:pStyle w:val="Notedebasdepage"/>
        <w:numPr>
          <w:ilvl w:val="0"/>
          <w:numId w:val="27"/>
        </w:numPr>
        <w:spacing w:line="276" w:lineRule="auto"/>
        <w:jc w:val="both"/>
        <w:rPr>
          <w:rFonts w:cs="Times New Roman"/>
          <w:sz w:val="24"/>
          <w:szCs w:val="24"/>
          <w:lang w:val="fr-FR"/>
        </w:rPr>
      </w:pPr>
      <w:r w:rsidRPr="00953692">
        <w:rPr>
          <w:rFonts w:cs="Times New Roman"/>
          <w:sz w:val="24"/>
          <w:szCs w:val="24"/>
          <w:lang w:val="fr-FR"/>
        </w:rPr>
        <w:lastRenderedPageBreak/>
        <w:t xml:space="preserve">CEDH, </w:t>
      </w:r>
      <w:r w:rsidR="00187C2C" w:rsidRPr="00953692">
        <w:rPr>
          <w:rFonts w:cs="Times New Roman"/>
          <w:sz w:val="24"/>
          <w:szCs w:val="24"/>
          <w:lang w:val="fr-FR"/>
        </w:rPr>
        <w:t>Lechner et Hess c. Autriche, 23 avril 1987</w:t>
      </w:r>
      <w:r w:rsidRPr="00953692">
        <w:rPr>
          <w:rFonts w:cs="Times New Roman"/>
          <w:sz w:val="24"/>
          <w:szCs w:val="24"/>
          <w:lang w:val="fr-FR"/>
        </w:rPr>
        <w:t>.</w:t>
      </w:r>
      <w:r w:rsidR="00187C2C" w:rsidRPr="00953692">
        <w:rPr>
          <w:rFonts w:cs="Times New Roman"/>
          <w:sz w:val="24"/>
          <w:szCs w:val="24"/>
          <w:lang w:val="fr-FR"/>
        </w:rPr>
        <w:t xml:space="preserve"> </w:t>
      </w:r>
    </w:p>
    <w:p w14:paraId="28E63D9D" w14:textId="7326185B" w:rsidR="00187C2C" w:rsidRPr="00953692" w:rsidRDefault="00D419A5" w:rsidP="00864BBF">
      <w:pPr>
        <w:pStyle w:val="Notedebasdepage"/>
        <w:numPr>
          <w:ilvl w:val="0"/>
          <w:numId w:val="27"/>
        </w:numPr>
        <w:spacing w:line="276" w:lineRule="auto"/>
        <w:jc w:val="both"/>
        <w:rPr>
          <w:rFonts w:eastAsia="Times New Roman" w:cs="Times New Roman"/>
          <w:sz w:val="24"/>
          <w:szCs w:val="24"/>
          <w:shd w:val="clear" w:color="auto" w:fill="FFFFFF"/>
          <w:lang w:val="fr-FR"/>
        </w:rPr>
      </w:pPr>
      <w:r w:rsidRPr="00953692">
        <w:rPr>
          <w:rFonts w:cs="Times New Roman"/>
          <w:sz w:val="24"/>
          <w:szCs w:val="24"/>
          <w:lang w:val="fr-FR"/>
        </w:rPr>
        <w:t xml:space="preserve">CEDH, </w:t>
      </w:r>
      <w:r w:rsidR="00187C2C" w:rsidRPr="00953692">
        <w:rPr>
          <w:rFonts w:cs="Times New Roman"/>
          <w:sz w:val="24"/>
          <w:szCs w:val="24"/>
          <w:lang w:val="fr-FR"/>
        </w:rPr>
        <w:t>Arena, Cormio, Idrocalce S.R.L., Gana c. Italie, 27 fév. 1992</w:t>
      </w:r>
      <w:r w:rsidR="00187C2C" w:rsidRPr="00953692">
        <w:rPr>
          <w:rFonts w:eastAsia="Times New Roman" w:cs="Times New Roman"/>
          <w:sz w:val="24"/>
          <w:szCs w:val="24"/>
          <w:lang w:val="fr-FR"/>
        </w:rPr>
        <w:t>.</w:t>
      </w:r>
      <w:r w:rsidR="00187C2C" w:rsidRPr="00953692">
        <w:rPr>
          <w:rFonts w:eastAsia="Times New Roman" w:cs="Times New Roman"/>
          <w:sz w:val="24"/>
          <w:szCs w:val="24"/>
          <w:shd w:val="clear" w:color="auto" w:fill="FFFFFF"/>
          <w:lang w:val="fr-FR"/>
        </w:rPr>
        <w:t xml:space="preserve"> </w:t>
      </w:r>
    </w:p>
    <w:p w14:paraId="7226AC0F" w14:textId="6E14590C" w:rsidR="00187C2C" w:rsidRPr="00953692" w:rsidRDefault="00187C2C" w:rsidP="00864BBF">
      <w:pPr>
        <w:pStyle w:val="Notedebasdepage"/>
        <w:numPr>
          <w:ilvl w:val="0"/>
          <w:numId w:val="27"/>
        </w:numPr>
        <w:spacing w:line="276" w:lineRule="auto"/>
        <w:jc w:val="both"/>
        <w:rPr>
          <w:rFonts w:eastAsia="Times New Roman" w:cs="Times New Roman"/>
          <w:sz w:val="24"/>
          <w:szCs w:val="24"/>
          <w:lang w:val="fr-FR"/>
        </w:rPr>
      </w:pPr>
      <w:r w:rsidRPr="00953692">
        <w:rPr>
          <w:rFonts w:eastAsia="Times New Roman" w:cs="Times New Roman"/>
          <w:sz w:val="24"/>
          <w:szCs w:val="24"/>
          <w:lang w:val="fr-FR"/>
        </w:rPr>
        <w:t>CEDH, Vayiç c. Turquie, nº 18078/02, 20 juin 2006.</w:t>
      </w:r>
    </w:p>
    <w:p w14:paraId="4A1BD0D6" w14:textId="27086C9F" w:rsidR="00E96CAC" w:rsidRPr="00953692" w:rsidRDefault="00C42A33" w:rsidP="00864BBF">
      <w:pPr>
        <w:pStyle w:val="Paragraphedeliste"/>
        <w:numPr>
          <w:ilvl w:val="0"/>
          <w:numId w:val="16"/>
        </w:numPr>
        <w:spacing w:before="240" w:after="0" w:line="276" w:lineRule="auto"/>
        <w:rPr>
          <w:rFonts w:cs="Times New Roman"/>
          <w:b/>
          <w:bCs/>
          <w:sz w:val="24"/>
          <w:szCs w:val="24"/>
          <w:lang w:val="fr-FR"/>
        </w:rPr>
      </w:pPr>
      <w:r w:rsidRPr="00953692">
        <w:rPr>
          <w:rFonts w:cs="Times New Roman"/>
          <w:b/>
          <w:bCs/>
          <w:sz w:val="24"/>
          <w:szCs w:val="24"/>
          <w:lang w:val="fr-FR"/>
        </w:rPr>
        <w:t>Doctrine</w:t>
      </w:r>
    </w:p>
    <w:p w14:paraId="5382C139" w14:textId="78146FA1" w:rsidR="00C94AE5" w:rsidRPr="00953692" w:rsidRDefault="00C42A33" w:rsidP="00864BBF">
      <w:pPr>
        <w:pStyle w:val="Paragraphedeliste"/>
        <w:numPr>
          <w:ilvl w:val="0"/>
          <w:numId w:val="18"/>
        </w:numPr>
        <w:spacing w:before="240" w:after="0" w:line="276" w:lineRule="auto"/>
        <w:rPr>
          <w:rFonts w:cs="Times New Roman"/>
          <w:b/>
          <w:bCs/>
          <w:sz w:val="24"/>
          <w:szCs w:val="24"/>
          <w:lang w:val="fr-FR"/>
        </w:rPr>
      </w:pPr>
      <w:r w:rsidRPr="00953692">
        <w:rPr>
          <w:rFonts w:cs="Times New Roman"/>
          <w:b/>
          <w:bCs/>
          <w:sz w:val="24"/>
          <w:szCs w:val="24"/>
          <w:lang w:val="fr-FR"/>
        </w:rPr>
        <w:t>Ouvrages généraux</w:t>
      </w:r>
    </w:p>
    <w:p w14:paraId="430B75F0" w14:textId="77777777" w:rsidR="00BA1D03" w:rsidRPr="00953692" w:rsidRDefault="00BA1D03" w:rsidP="00864BBF">
      <w:pPr>
        <w:pStyle w:val="Paragraphedeliste"/>
        <w:spacing w:before="240" w:after="0" w:line="276" w:lineRule="auto"/>
        <w:ind w:left="1069"/>
        <w:rPr>
          <w:rFonts w:cs="Times New Roman"/>
          <w:b/>
          <w:bCs/>
          <w:sz w:val="24"/>
          <w:szCs w:val="24"/>
          <w:lang w:val="fr-FR"/>
        </w:rPr>
      </w:pPr>
    </w:p>
    <w:p w14:paraId="13A5C316" w14:textId="4BDCE0DB" w:rsidR="00BA1D03" w:rsidRPr="00953692" w:rsidRDefault="00BA1D03" w:rsidP="00864BBF">
      <w:pPr>
        <w:pStyle w:val="Paragraphedeliste"/>
        <w:numPr>
          <w:ilvl w:val="0"/>
          <w:numId w:val="30"/>
        </w:numPr>
        <w:spacing w:before="240" w:after="0" w:line="276" w:lineRule="auto"/>
        <w:jc w:val="both"/>
        <w:rPr>
          <w:rFonts w:cs="Times New Roman"/>
          <w:sz w:val="24"/>
          <w:szCs w:val="24"/>
          <w:lang w:val="fr-FR"/>
        </w:rPr>
      </w:pPr>
      <w:r w:rsidRPr="00953692">
        <w:rPr>
          <w:rFonts w:cs="Times New Roman"/>
          <w:sz w:val="24"/>
          <w:szCs w:val="24"/>
          <w:lang w:val="fr-FR"/>
        </w:rPr>
        <w:t>Bruno de Loynes de Fumichon, « Introduction au droit compare », in Journal de Droit Comparé Du Pacifique Collection 'Ex Professo' Volume II (2013), 278p. Law : www.victoria.ac.nz/law/nzacl/publications.aspx</w:t>
      </w:r>
    </w:p>
    <w:p w14:paraId="6F0F068C" w14:textId="633216E9" w:rsidR="00980509" w:rsidRPr="00953692" w:rsidRDefault="00C94AE5" w:rsidP="00864BBF">
      <w:pPr>
        <w:pStyle w:val="Paragraphedeliste"/>
        <w:numPr>
          <w:ilvl w:val="0"/>
          <w:numId w:val="30"/>
        </w:numPr>
        <w:spacing w:before="240" w:after="0" w:line="276" w:lineRule="auto"/>
        <w:jc w:val="both"/>
        <w:rPr>
          <w:rFonts w:cs="Times New Roman"/>
          <w:sz w:val="24"/>
          <w:szCs w:val="24"/>
          <w:lang w:val="fr-FR"/>
        </w:rPr>
      </w:pPr>
      <w:r w:rsidRPr="00953692">
        <w:rPr>
          <w:rFonts w:cs="Times New Roman"/>
          <w:sz w:val="24"/>
          <w:szCs w:val="24"/>
          <w:lang w:val="fr-FR"/>
        </w:rPr>
        <w:t>Cornu, G</w:t>
      </w:r>
      <w:r w:rsidR="009F5160" w:rsidRPr="00953692">
        <w:rPr>
          <w:rFonts w:cs="Times New Roman"/>
          <w:sz w:val="24"/>
          <w:szCs w:val="24"/>
          <w:lang w:val="fr-FR"/>
        </w:rPr>
        <w:t>erard</w:t>
      </w:r>
      <w:r w:rsidRPr="00953692">
        <w:rPr>
          <w:rFonts w:cs="Times New Roman"/>
          <w:sz w:val="24"/>
          <w:szCs w:val="24"/>
          <w:lang w:val="fr-FR"/>
        </w:rPr>
        <w:t>. Vocabulaire juridique, PUF, Paris, 2005</w:t>
      </w:r>
      <w:r w:rsidR="00EC3C90" w:rsidRPr="00953692">
        <w:rPr>
          <w:rFonts w:cs="Times New Roman"/>
          <w:sz w:val="24"/>
          <w:szCs w:val="24"/>
          <w:lang w:val="fr-FR"/>
        </w:rPr>
        <w:t>, 1136p</w:t>
      </w:r>
      <w:r w:rsidRPr="00953692">
        <w:rPr>
          <w:rFonts w:cs="Times New Roman"/>
          <w:sz w:val="24"/>
          <w:szCs w:val="24"/>
          <w:lang w:val="fr-FR"/>
        </w:rPr>
        <w:t>.</w:t>
      </w:r>
    </w:p>
    <w:p w14:paraId="04E782ED" w14:textId="5AF8ADC5" w:rsidR="002B39AA" w:rsidRPr="00953692" w:rsidRDefault="00C86011" w:rsidP="00864BBF">
      <w:pPr>
        <w:pStyle w:val="Notedebasdepage"/>
        <w:numPr>
          <w:ilvl w:val="0"/>
          <w:numId w:val="30"/>
        </w:numPr>
        <w:spacing w:line="276" w:lineRule="auto"/>
        <w:jc w:val="both"/>
        <w:rPr>
          <w:rFonts w:cs="Times New Roman"/>
          <w:sz w:val="24"/>
          <w:szCs w:val="24"/>
          <w:lang w:val="fr-FR"/>
        </w:rPr>
      </w:pPr>
      <w:r w:rsidRPr="00953692">
        <w:rPr>
          <w:rFonts w:cs="Times New Roman"/>
          <w:sz w:val="24"/>
          <w:szCs w:val="24"/>
          <w:lang w:val="fr-FR"/>
        </w:rPr>
        <w:t xml:space="preserve">Couchez, </w:t>
      </w:r>
      <w:r w:rsidR="00EC3C90" w:rsidRPr="00953692">
        <w:rPr>
          <w:rFonts w:cs="Times New Roman"/>
          <w:sz w:val="24"/>
          <w:szCs w:val="24"/>
          <w:lang w:val="fr-FR"/>
        </w:rPr>
        <w:t>Gérard</w:t>
      </w:r>
      <w:r w:rsidRPr="00953692">
        <w:rPr>
          <w:rFonts w:cs="Times New Roman"/>
          <w:sz w:val="24"/>
          <w:szCs w:val="24"/>
          <w:lang w:val="fr-FR"/>
        </w:rPr>
        <w:t xml:space="preserve"> et Lagarde, </w:t>
      </w:r>
      <w:r w:rsidR="00EC3C90" w:rsidRPr="00953692">
        <w:rPr>
          <w:rFonts w:cs="Times New Roman"/>
          <w:sz w:val="24"/>
          <w:szCs w:val="24"/>
          <w:lang w:val="fr-FR"/>
        </w:rPr>
        <w:t>Xavier</w:t>
      </w:r>
      <w:r w:rsidRPr="00953692">
        <w:rPr>
          <w:rFonts w:cs="Times New Roman"/>
          <w:sz w:val="24"/>
          <w:szCs w:val="24"/>
          <w:lang w:val="fr-FR"/>
        </w:rPr>
        <w:t xml:space="preserve">. </w:t>
      </w:r>
      <w:r w:rsidRPr="00953692">
        <w:rPr>
          <w:rFonts w:cs="Times New Roman"/>
          <w:i/>
          <w:iCs/>
          <w:sz w:val="24"/>
          <w:szCs w:val="24"/>
          <w:lang w:val="fr-FR"/>
        </w:rPr>
        <w:t xml:space="preserve">Procédure civile, </w:t>
      </w:r>
      <w:r w:rsidRPr="00953692">
        <w:rPr>
          <w:rFonts w:cs="Times New Roman"/>
          <w:sz w:val="24"/>
          <w:szCs w:val="24"/>
          <w:lang w:val="fr-FR"/>
        </w:rPr>
        <w:t>16</w:t>
      </w:r>
      <w:r w:rsidRPr="00953692">
        <w:rPr>
          <w:rFonts w:cs="Times New Roman"/>
          <w:sz w:val="24"/>
          <w:szCs w:val="24"/>
          <w:vertAlign w:val="superscript"/>
          <w:lang w:val="fr-FR"/>
        </w:rPr>
        <w:t>ème</w:t>
      </w:r>
      <w:r w:rsidRPr="00953692">
        <w:rPr>
          <w:rFonts w:cs="Times New Roman"/>
          <w:sz w:val="24"/>
          <w:szCs w:val="24"/>
          <w:lang w:val="fr-FR"/>
        </w:rPr>
        <w:t xml:space="preserve"> éd., Sirey, 2011, n° 322</w:t>
      </w:r>
      <w:r w:rsidR="00EC3C90" w:rsidRPr="00953692">
        <w:rPr>
          <w:rFonts w:cs="Times New Roman"/>
          <w:sz w:val="24"/>
          <w:szCs w:val="24"/>
          <w:lang w:val="fr-FR"/>
        </w:rPr>
        <w:t>, 541p</w:t>
      </w:r>
      <w:r w:rsidRPr="00953692">
        <w:rPr>
          <w:rFonts w:cs="Times New Roman"/>
          <w:sz w:val="24"/>
          <w:szCs w:val="24"/>
          <w:lang w:val="fr-FR"/>
        </w:rPr>
        <w:t>.</w:t>
      </w:r>
    </w:p>
    <w:p w14:paraId="566B3DB8" w14:textId="3D2EAFBC" w:rsidR="002F5DFD" w:rsidRPr="00953692" w:rsidRDefault="00C94AE5" w:rsidP="00864BBF">
      <w:pPr>
        <w:pStyle w:val="Paragraphedeliste"/>
        <w:numPr>
          <w:ilvl w:val="0"/>
          <w:numId w:val="30"/>
        </w:numPr>
        <w:spacing w:after="0" w:line="276" w:lineRule="auto"/>
        <w:jc w:val="both"/>
        <w:rPr>
          <w:rFonts w:cs="Times New Roman"/>
          <w:sz w:val="24"/>
          <w:szCs w:val="24"/>
          <w:lang w:val="fr-FR"/>
        </w:rPr>
      </w:pPr>
      <w:r w:rsidRPr="00953692">
        <w:rPr>
          <w:rFonts w:cs="Times New Roman"/>
          <w:sz w:val="24"/>
          <w:szCs w:val="24"/>
          <w:lang w:val="fr-FR"/>
        </w:rPr>
        <w:t>Foulquié, P</w:t>
      </w:r>
      <w:r w:rsidR="002F5DFD" w:rsidRPr="00953692">
        <w:rPr>
          <w:rFonts w:cs="Times New Roman"/>
          <w:sz w:val="24"/>
          <w:szCs w:val="24"/>
          <w:lang w:val="fr-FR"/>
        </w:rPr>
        <w:t>aul</w:t>
      </w:r>
      <w:r w:rsidRPr="00953692">
        <w:rPr>
          <w:rFonts w:cs="Times New Roman"/>
          <w:sz w:val="24"/>
          <w:szCs w:val="24"/>
          <w:lang w:val="fr-FR"/>
        </w:rPr>
        <w:t xml:space="preserve">. Dictionnaire de la langue philosophique, PUF, Paris, 1992, </w:t>
      </w:r>
      <w:r w:rsidR="002F5DFD" w:rsidRPr="00953692">
        <w:rPr>
          <w:rFonts w:cs="Times New Roman"/>
          <w:sz w:val="24"/>
          <w:szCs w:val="24"/>
          <w:lang w:val="fr-FR"/>
        </w:rPr>
        <w:t>776</w:t>
      </w:r>
      <w:r w:rsidRPr="00953692">
        <w:rPr>
          <w:rFonts w:cs="Times New Roman"/>
          <w:sz w:val="24"/>
          <w:szCs w:val="24"/>
          <w:lang w:val="fr-FR"/>
        </w:rPr>
        <w:t>p.</w:t>
      </w:r>
    </w:p>
    <w:p w14:paraId="0AF6B667" w14:textId="19C0AE04" w:rsidR="006B62A8" w:rsidRPr="00953692" w:rsidRDefault="00C94AE5" w:rsidP="00864BBF">
      <w:pPr>
        <w:pStyle w:val="Notedebasdepage"/>
        <w:numPr>
          <w:ilvl w:val="0"/>
          <w:numId w:val="30"/>
        </w:numPr>
        <w:spacing w:line="276" w:lineRule="auto"/>
        <w:jc w:val="both"/>
        <w:rPr>
          <w:rFonts w:cs="Times New Roman"/>
          <w:sz w:val="24"/>
          <w:szCs w:val="24"/>
          <w:lang w:val="fr-FR"/>
        </w:rPr>
      </w:pPr>
      <w:r w:rsidRPr="00953692">
        <w:rPr>
          <w:rFonts w:cs="Times New Roman"/>
          <w:sz w:val="24"/>
          <w:szCs w:val="24"/>
          <w:lang w:val="fr-FR"/>
        </w:rPr>
        <w:t>Guichard S</w:t>
      </w:r>
      <w:r w:rsidR="002F5DFD" w:rsidRPr="00953692">
        <w:rPr>
          <w:rFonts w:cs="Times New Roman"/>
          <w:sz w:val="24"/>
          <w:szCs w:val="24"/>
          <w:lang w:val="fr-FR"/>
        </w:rPr>
        <w:t>erge et Thierry Debard</w:t>
      </w:r>
      <w:r w:rsidRPr="00953692">
        <w:rPr>
          <w:rFonts w:cs="Times New Roman"/>
          <w:sz w:val="24"/>
          <w:szCs w:val="24"/>
          <w:lang w:val="fr-FR"/>
        </w:rPr>
        <w:t xml:space="preserve">. </w:t>
      </w:r>
      <w:r w:rsidRPr="00953692">
        <w:rPr>
          <w:rFonts w:cs="Times New Roman"/>
          <w:i/>
          <w:sz w:val="24"/>
          <w:szCs w:val="24"/>
          <w:lang w:val="fr-FR"/>
        </w:rPr>
        <w:t>Lexique des termes juridiques</w:t>
      </w:r>
      <w:r w:rsidRPr="00953692">
        <w:rPr>
          <w:rFonts w:cs="Times New Roman"/>
          <w:sz w:val="24"/>
          <w:szCs w:val="24"/>
          <w:lang w:val="fr-FR"/>
        </w:rPr>
        <w:t>, 25</w:t>
      </w:r>
      <w:r w:rsidRPr="00953692">
        <w:rPr>
          <w:rFonts w:cs="Times New Roman"/>
          <w:sz w:val="24"/>
          <w:szCs w:val="24"/>
          <w:vertAlign w:val="superscript"/>
          <w:lang w:val="fr-FR"/>
        </w:rPr>
        <w:t>ème</w:t>
      </w:r>
      <w:r w:rsidRPr="00953692">
        <w:rPr>
          <w:rFonts w:cs="Times New Roman"/>
          <w:sz w:val="24"/>
          <w:szCs w:val="24"/>
          <w:lang w:val="fr-FR"/>
        </w:rPr>
        <w:t xml:space="preserve"> éd., Dalloz, Paris, 2017/2018</w:t>
      </w:r>
      <w:r w:rsidR="007B0BF3" w:rsidRPr="00953692">
        <w:rPr>
          <w:rFonts w:cs="Times New Roman"/>
          <w:sz w:val="24"/>
          <w:szCs w:val="24"/>
          <w:lang w:val="fr-FR"/>
        </w:rPr>
        <w:t>, 1200p</w:t>
      </w:r>
      <w:r w:rsidRPr="00953692">
        <w:rPr>
          <w:rFonts w:cs="Times New Roman"/>
          <w:sz w:val="24"/>
          <w:szCs w:val="24"/>
          <w:lang w:val="fr-FR"/>
        </w:rPr>
        <w:t>.</w:t>
      </w:r>
    </w:p>
    <w:p w14:paraId="59C18B51" w14:textId="6AE4A5C4" w:rsidR="00490B92" w:rsidRPr="00953692" w:rsidRDefault="00490B92" w:rsidP="00864BBF">
      <w:pPr>
        <w:pStyle w:val="Notedebasdepage"/>
        <w:numPr>
          <w:ilvl w:val="0"/>
          <w:numId w:val="30"/>
        </w:numPr>
        <w:spacing w:line="276" w:lineRule="auto"/>
        <w:jc w:val="both"/>
        <w:rPr>
          <w:rFonts w:cs="Times New Roman"/>
          <w:sz w:val="24"/>
          <w:szCs w:val="24"/>
          <w:lang w:val="fr-FR"/>
        </w:rPr>
      </w:pPr>
      <w:r w:rsidRPr="00953692">
        <w:rPr>
          <w:rFonts w:cs="Times New Roman"/>
          <w:sz w:val="24"/>
          <w:szCs w:val="24"/>
          <w:lang w:val="fr-FR"/>
        </w:rPr>
        <w:t>Guide sur l’article 6 de la Convention européenne des droits de l’homme, Droit à un procès équitable (volet pénal), Conseil de l’Europe/Cour européenne des droits de l’homme, 2022,</w:t>
      </w:r>
      <w:r w:rsidR="007B0BF3" w:rsidRPr="00953692">
        <w:rPr>
          <w:rFonts w:cs="Times New Roman"/>
          <w:sz w:val="24"/>
          <w:szCs w:val="24"/>
          <w:lang w:val="fr-FR"/>
        </w:rPr>
        <w:t xml:space="preserve"> 132p</w:t>
      </w:r>
      <w:r w:rsidRPr="00953692">
        <w:rPr>
          <w:rFonts w:cs="Times New Roman"/>
          <w:sz w:val="24"/>
          <w:szCs w:val="24"/>
          <w:lang w:val="fr-FR"/>
        </w:rPr>
        <w:t>.</w:t>
      </w:r>
    </w:p>
    <w:p w14:paraId="69C24DFB" w14:textId="574BE286" w:rsidR="00C86011" w:rsidRPr="00953692" w:rsidRDefault="00C86011" w:rsidP="00864BBF">
      <w:pPr>
        <w:pStyle w:val="Paragraphedeliste"/>
        <w:numPr>
          <w:ilvl w:val="0"/>
          <w:numId w:val="30"/>
        </w:numPr>
        <w:spacing w:after="0" w:line="276" w:lineRule="auto"/>
        <w:jc w:val="both"/>
        <w:rPr>
          <w:rStyle w:val="Appelnotedebasdep"/>
          <w:rFonts w:eastAsia="Calibri" w:cs="Times New Roman"/>
          <w:sz w:val="24"/>
          <w:szCs w:val="24"/>
          <w:vertAlign w:val="baseline"/>
          <w:lang w:val="fr-FR"/>
        </w:rPr>
      </w:pPr>
      <w:r w:rsidRPr="00953692">
        <w:rPr>
          <w:rFonts w:eastAsia="Times New Roman" w:cs="Times New Roman"/>
          <w:sz w:val="24"/>
          <w:szCs w:val="24"/>
          <w:lang w:val="fr-FR"/>
        </w:rPr>
        <w:t>Hélie, F</w:t>
      </w:r>
      <w:r w:rsidR="00BA1D03" w:rsidRPr="00953692">
        <w:rPr>
          <w:rFonts w:eastAsia="Times New Roman" w:cs="Times New Roman"/>
          <w:sz w:val="24"/>
          <w:szCs w:val="24"/>
          <w:lang w:val="fr-FR"/>
        </w:rPr>
        <w:t>austin</w:t>
      </w:r>
      <w:r w:rsidRPr="00953692">
        <w:rPr>
          <w:rFonts w:eastAsia="Times New Roman" w:cs="Times New Roman"/>
          <w:sz w:val="24"/>
          <w:szCs w:val="24"/>
          <w:lang w:val="fr-FR"/>
        </w:rPr>
        <w:t xml:space="preserve">. </w:t>
      </w:r>
      <w:r w:rsidRPr="00953692">
        <w:rPr>
          <w:rFonts w:eastAsia="Times New Roman" w:cs="Times New Roman"/>
          <w:i/>
          <w:sz w:val="24"/>
          <w:szCs w:val="24"/>
          <w:lang w:val="fr-FR"/>
        </w:rPr>
        <w:t>Traité de l’instruction criminelle ou théorie du code d’instruction criminelle</w:t>
      </w:r>
      <w:r w:rsidRPr="00953692">
        <w:rPr>
          <w:rFonts w:eastAsia="Times New Roman" w:cs="Times New Roman"/>
          <w:sz w:val="24"/>
          <w:szCs w:val="24"/>
          <w:lang w:val="fr-FR"/>
        </w:rPr>
        <w:t>, T.I, Bruxelles, Bruylant, 1863.</w:t>
      </w:r>
    </w:p>
    <w:p w14:paraId="6E510FDA" w14:textId="750153D2" w:rsidR="00C86011" w:rsidRPr="00953692" w:rsidRDefault="00C86011" w:rsidP="00864BBF">
      <w:pPr>
        <w:pStyle w:val="Notedebasdepage"/>
        <w:numPr>
          <w:ilvl w:val="0"/>
          <w:numId w:val="30"/>
        </w:numPr>
        <w:spacing w:line="276" w:lineRule="auto"/>
        <w:jc w:val="both"/>
        <w:rPr>
          <w:rFonts w:cs="Times New Roman"/>
          <w:sz w:val="24"/>
          <w:szCs w:val="24"/>
          <w:lang w:val="fr-FR"/>
        </w:rPr>
      </w:pPr>
      <w:r w:rsidRPr="00953692">
        <w:rPr>
          <w:rFonts w:cs="Times New Roman"/>
          <w:sz w:val="24"/>
          <w:szCs w:val="24"/>
          <w:lang w:val="fr-FR"/>
        </w:rPr>
        <w:t>Luzolo Bambi Lessa Emmanuel J</w:t>
      </w:r>
      <w:r w:rsidR="007B0BF3" w:rsidRPr="00953692">
        <w:rPr>
          <w:rFonts w:cs="Times New Roman"/>
          <w:sz w:val="24"/>
          <w:szCs w:val="24"/>
          <w:lang w:val="fr-FR"/>
        </w:rPr>
        <w:t>anvier</w:t>
      </w:r>
      <w:r w:rsidRPr="00953692">
        <w:rPr>
          <w:rFonts w:cs="Times New Roman"/>
          <w:sz w:val="24"/>
          <w:szCs w:val="24"/>
          <w:lang w:val="fr-FR"/>
        </w:rPr>
        <w:t xml:space="preserve"> et Bayona Ba Meya Nicolas A</w:t>
      </w:r>
      <w:r w:rsidR="007B0BF3" w:rsidRPr="00953692">
        <w:rPr>
          <w:rFonts w:cs="Times New Roman"/>
          <w:sz w:val="24"/>
          <w:szCs w:val="24"/>
          <w:lang w:val="fr-FR"/>
        </w:rPr>
        <w:t>bel</w:t>
      </w:r>
      <w:r w:rsidRPr="00953692">
        <w:rPr>
          <w:rFonts w:cs="Times New Roman"/>
          <w:sz w:val="24"/>
          <w:szCs w:val="24"/>
          <w:lang w:val="fr-FR"/>
        </w:rPr>
        <w:t xml:space="preserve">. </w:t>
      </w:r>
      <w:r w:rsidRPr="00953692">
        <w:rPr>
          <w:rFonts w:cs="Times New Roman"/>
          <w:i/>
          <w:iCs/>
          <w:sz w:val="24"/>
          <w:szCs w:val="24"/>
          <w:lang w:val="fr-FR"/>
        </w:rPr>
        <w:t>Manuel de procédure pénale</w:t>
      </w:r>
      <w:r w:rsidRPr="00953692">
        <w:rPr>
          <w:rFonts w:cs="Times New Roman"/>
          <w:sz w:val="24"/>
          <w:szCs w:val="24"/>
          <w:lang w:val="fr-FR"/>
        </w:rPr>
        <w:t xml:space="preserve">, PUC, 2011, </w:t>
      </w:r>
      <w:r w:rsidR="007B0BF3" w:rsidRPr="00953692">
        <w:rPr>
          <w:rFonts w:cs="Times New Roman"/>
          <w:sz w:val="24"/>
          <w:szCs w:val="24"/>
          <w:lang w:val="fr-FR"/>
        </w:rPr>
        <w:t>812</w:t>
      </w:r>
      <w:r w:rsidRPr="00953692">
        <w:rPr>
          <w:rFonts w:cs="Times New Roman"/>
          <w:sz w:val="24"/>
          <w:szCs w:val="24"/>
          <w:lang w:val="fr-FR"/>
        </w:rPr>
        <w:t>p.</w:t>
      </w:r>
    </w:p>
    <w:p w14:paraId="33B948CE" w14:textId="76616D35" w:rsidR="00C86011" w:rsidRPr="00953692" w:rsidRDefault="00187C2C" w:rsidP="00864BBF">
      <w:pPr>
        <w:pStyle w:val="Notedebasdepage"/>
        <w:numPr>
          <w:ilvl w:val="0"/>
          <w:numId w:val="30"/>
        </w:numPr>
        <w:spacing w:line="276" w:lineRule="auto"/>
        <w:jc w:val="both"/>
        <w:rPr>
          <w:rFonts w:cs="Times New Roman"/>
          <w:sz w:val="24"/>
          <w:szCs w:val="24"/>
          <w:lang w:val="fr-FR"/>
        </w:rPr>
      </w:pPr>
      <w:r w:rsidRPr="00953692">
        <w:rPr>
          <w:rFonts w:cs="Times New Roman"/>
          <w:sz w:val="24"/>
          <w:szCs w:val="24"/>
          <w:lang w:val="fr-FR"/>
        </w:rPr>
        <w:t>Ost, F</w:t>
      </w:r>
      <w:r w:rsidR="007B0BF3" w:rsidRPr="00953692">
        <w:rPr>
          <w:rFonts w:cs="Times New Roman"/>
          <w:sz w:val="24"/>
          <w:szCs w:val="24"/>
          <w:lang w:val="fr-FR"/>
        </w:rPr>
        <w:t>rançois</w:t>
      </w:r>
      <w:r w:rsidRPr="00953692">
        <w:rPr>
          <w:rFonts w:cs="Times New Roman"/>
          <w:sz w:val="24"/>
          <w:szCs w:val="24"/>
          <w:lang w:val="fr-FR"/>
        </w:rPr>
        <w:t>. « Conclusions générales », Le temps, la justice et le droit, Textes réunis par S. Gaboriau et H. Pauliat, Limoges, Pulim, 2004</w:t>
      </w:r>
      <w:r w:rsidR="007B0BF3" w:rsidRPr="00953692">
        <w:rPr>
          <w:rFonts w:cs="Times New Roman"/>
          <w:sz w:val="24"/>
          <w:szCs w:val="24"/>
          <w:lang w:val="fr-FR"/>
        </w:rPr>
        <w:t>, 374p</w:t>
      </w:r>
      <w:r w:rsidRPr="00953692">
        <w:rPr>
          <w:rFonts w:cs="Times New Roman"/>
          <w:sz w:val="24"/>
          <w:szCs w:val="24"/>
          <w:lang w:val="fr-FR"/>
        </w:rPr>
        <w:t>.</w:t>
      </w:r>
    </w:p>
    <w:p w14:paraId="16CBF515" w14:textId="425E9443" w:rsidR="00C86011" w:rsidRPr="00953692" w:rsidRDefault="00C86011" w:rsidP="00864BBF">
      <w:pPr>
        <w:pStyle w:val="Notedebasdepage"/>
        <w:numPr>
          <w:ilvl w:val="0"/>
          <w:numId w:val="30"/>
        </w:numPr>
        <w:spacing w:line="276" w:lineRule="auto"/>
        <w:jc w:val="both"/>
        <w:rPr>
          <w:rFonts w:cs="Times New Roman"/>
          <w:sz w:val="24"/>
          <w:szCs w:val="24"/>
          <w:lang w:val="fr-FR"/>
        </w:rPr>
      </w:pPr>
      <w:r w:rsidRPr="00953692">
        <w:rPr>
          <w:rFonts w:cs="Times New Roman"/>
          <w:sz w:val="24"/>
          <w:szCs w:val="24"/>
          <w:lang w:val="fr-FR"/>
        </w:rPr>
        <w:t>Picotte, J</w:t>
      </w:r>
      <w:r w:rsidR="00BA1D03" w:rsidRPr="00953692">
        <w:rPr>
          <w:rFonts w:cs="Times New Roman"/>
          <w:sz w:val="24"/>
          <w:szCs w:val="24"/>
          <w:lang w:val="fr-FR"/>
        </w:rPr>
        <w:t>acques</w:t>
      </w:r>
      <w:r w:rsidRPr="00953692">
        <w:rPr>
          <w:rFonts w:cs="Times New Roman"/>
          <w:sz w:val="24"/>
          <w:szCs w:val="24"/>
          <w:lang w:val="fr-FR"/>
        </w:rPr>
        <w:t>. Juridictionnaire recueil des difficultés et des ressources du français juridique, CTTJ, Faculté de droit, Université de Moncton, 2018</w:t>
      </w:r>
      <w:r w:rsidR="00BA1D03" w:rsidRPr="00953692">
        <w:rPr>
          <w:rFonts w:cs="Times New Roman"/>
          <w:sz w:val="24"/>
          <w:szCs w:val="24"/>
          <w:lang w:val="fr-FR"/>
        </w:rPr>
        <w:t>, 2583p.</w:t>
      </w:r>
    </w:p>
    <w:p w14:paraId="2D46CEB1" w14:textId="121290E4" w:rsidR="006B62A8" w:rsidRPr="00953692" w:rsidRDefault="00C86011" w:rsidP="00864BBF">
      <w:pPr>
        <w:pStyle w:val="Notedebasdepage"/>
        <w:numPr>
          <w:ilvl w:val="0"/>
          <w:numId w:val="30"/>
        </w:numPr>
        <w:spacing w:line="276" w:lineRule="auto"/>
        <w:jc w:val="both"/>
        <w:rPr>
          <w:rFonts w:cs="Times New Roman"/>
          <w:sz w:val="24"/>
          <w:szCs w:val="24"/>
          <w:lang w:val="fr-FR"/>
        </w:rPr>
      </w:pPr>
      <w:r w:rsidRPr="00953692">
        <w:rPr>
          <w:rFonts w:cs="Times New Roman"/>
          <w:sz w:val="24"/>
          <w:szCs w:val="24"/>
          <w:lang w:val="fr-FR"/>
        </w:rPr>
        <w:t xml:space="preserve">Recueil Juridique des Standards Internationaux Relatifs à un Procès Equitable, OSCE/ODIHR, 2013, </w:t>
      </w:r>
      <w:r w:rsidR="00BA1D03" w:rsidRPr="00953692">
        <w:rPr>
          <w:rFonts w:cs="Times New Roman"/>
          <w:sz w:val="24"/>
          <w:szCs w:val="24"/>
          <w:lang w:val="fr-FR"/>
        </w:rPr>
        <w:t>247</w:t>
      </w:r>
      <w:r w:rsidRPr="00953692">
        <w:rPr>
          <w:rFonts w:cs="Times New Roman"/>
          <w:sz w:val="24"/>
          <w:szCs w:val="24"/>
          <w:lang w:val="fr-FR"/>
        </w:rPr>
        <w:t>p.</w:t>
      </w:r>
    </w:p>
    <w:p w14:paraId="1153829B" w14:textId="2CEF8FD6" w:rsidR="00C42A33" w:rsidRPr="00953692" w:rsidRDefault="00C42A33" w:rsidP="00864BBF">
      <w:pPr>
        <w:pStyle w:val="Paragraphedeliste"/>
        <w:numPr>
          <w:ilvl w:val="0"/>
          <w:numId w:val="18"/>
        </w:numPr>
        <w:spacing w:before="240" w:after="0" w:line="276" w:lineRule="auto"/>
        <w:rPr>
          <w:rFonts w:cs="Times New Roman"/>
          <w:b/>
          <w:bCs/>
          <w:sz w:val="24"/>
          <w:szCs w:val="24"/>
          <w:lang w:val="fr-FR"/>
        </w:rPr>
      </w:pPr>
      <w:r w:rsidRPr="00953692">
        <w:rPr>
          <w:rFonts w:cs="Times New Roman"/>
          <w:b/>
          <w:bCs/>
          <w:sz w:val="24"/>
          <w:szCs w:val="24"/>
          <w:lang w:val="fr-FR"/>
        </w:rPr>
        <w:t>Ouvrages spéciaux</w:t>
      </w:r>
    </w:p>
    <w:p w14:paraId="7D6DD18A" w14:textId="77777777" w:rsidR="00EC3C90" w:rsidRPr="00953692" w:rsidRDefault="00EC3C90" w:rsidP="00864BBF">
      <w:pPr>
        <w:pStyle w:val="Paragraphedeliste"/>
        <w:spacing w:before="240" w:after="0" w:line="276" w:lineRule="auto"/>
        <w:ind w:left="1069"/>
        <w:rPr>
          <w:rFonts w:cs="Times New Roman"/>
          <w:b/>
          <w:bCs/>
          <w:sz w:val="24"/>
          <w:szCs w:val="24"/>
          <w:lang w:val="fr-FR"/>
        </w:rPr>
      </w:pPr>
    </w:p>
    <w:p w14:paraId="3A3A5F19" w14:textId="6900FDD2" w:rsidR="00EC3C90" w:rsidRPr="00953692" w:rsidRDefault="00980509" w:rsidP="00864BBF">
      <w:pPr>
        <w:pStyle w:val="Paragraphedeliste"/>
        <w:numPr>
          <w:ilvl w:val="0"/>
          <w:numId w:val="29"/>
        </w:numPr>
        <w:spacing w:after="0" w:line="276" w:lineRule="auto"/>
        <w:jc w:val="both"/>
        <w:rPr>
          <w:rFonts w:cs="Times New Roman"/>
          <w:sz w:val="24"/>
          <w:szCs w:val="24"/>
          <w:lang w:val="fr-FR"/>
        </w:rPr>
      </w:pPr>
      <w:r w:rsidRPr="00953692">
        <w:rPr>
          <w:rFonts w:cs="Times New Roman"/>
          <w:sz w:val="24"/>
          <w:szCs w:val="24"/>
          <w:lang w:val="fr-FR"/>
        </w:rPr>
        <w:t>Beccaria, C</w:t>
      </w:r>
      <w:r w:rsidR="009F5160" w:rsidRPr="00953692">
        <w:rPr>
          <w:rFonts w:cs="Times New Roman"/>
          <w:sz w:val="24"/>
          <w:szCs w:val="24"/>
          <w:lang w:val="fr-FR"/>
        </w:rPr>
        <w:t>esare</w:t>
      </w:r>
      <w:r w:rsidRPr="00953692">
        <w:rPr>
          <w:rFonts w:cs="Times New Roman"/>
          <w:sz w:val="24"/>
          <w:szCs w:val="24"/>
          <w:lang w:val="fr-FR"/>
        </w:rPr>
        <w:t>. Des délits et des peines, (1764), GF Flammarion, 1991</w:t>
      </w:r>
      <w:r w:rsidR="009F5160" w:rsidRPr="00953692">
        <w:rPr>
          <w:rFonts w:cs="Times New Roman"/>
          <w:sz w:val="24"/>
          <w:szCs w:val="24"/>
          <w:lang w:val="fr-FR"/>
        </w:rPr>
        <w:t>, 192p.</w:t>
      </w:r>
    </w:p>
    <w:p w14:paraId="1D983B62" w14:textId="66A1C055" w:rsidR="00980509" w:rsidRPr="00953692" w:rsidRDefault="00980509" w:rsidP="00864BBF">
      <w:pPr>
        <w:pStyle w:val="Notedebasdepage"/>
        <w:numPr>
          <w:ilvl w:val="0"/>
          <w:numId w:val="29"/>
        </w:numPr>
        <w:spacing w:line="276" w:lineRule="auto"/>
        <w:jc w:val="both"/>
        <w:rPr>
          <w:rFonts w:cs="Times New Roman"/>
          <w:sz w:val="24"/>
          <w:szCs w:val="24"/>
          <w:lang w:val="fr-FR"/>
        </w:rPr>
      </w:pPr>
      <w:r w:rsidRPr="00953692">
        <w:rPr>
          <w:rFonts w:cs="Times New Roman"/>
          <w:sz w:val="24"/>
          <w:szCs w:val="24"/>
          <w:lang w:val="fr-FR"/>
        </w:rPr>
        <w:t>Edel, F</w:t>
      </w:r>
      <w:r w:rsidR="009F5160" w:rsidRPr="00953692">
        <w:rPr>
          <w:rFonts w:cs="Times New Roman"/>
          <w:sz w:val="24"/>
          <w:szCs w:val="24"/>
          <w:lang w:val="fr-FR"/>
        </w:rPr>
        <w:t>rédéric</w:t>
      </w:r>
      <w:r w:rsidRPr="00953692">
        <w:rPr>
          <w:rFonts w:cs="Times New Roman"/>
          <w:sz w:val="24"/>
          <w:szCs w:val="24"/>
          <w:lang w:val="fr-FR"/>
        </w:rPr>
        <w:t xml:space="preserve">. </w:t>
      </w:r>
      <w:r w:rsidRPr="00953692">
        <w:rPr>
          <w:rFonts w:cs="Times New Roman"/>
          <w:i/>
          <w:iCs/>
          <w:sz w:val="24"/>
          <w:szCs w:val="24"/>
          <w:lang w:val="fr-FR"/>
        </w:rPr>
        <w:t>La durée des procédures civiles et pénales dans la jurisprudence de la Cour européenne des Droits de l’Homme</w:t>
      </w:r>
      <w:r w:rsidRPr="00953692">
        <w:rPr>
          <w:rFonts w:cs="Times New Roman"/>
          <w:sz w:val="24"/>
          <w:szCs w:val="24"/>
          <w:lang w:val="fr-FR"/>
        </w:rPr>
        <w:t>, Editions du Conseil de l’Europe, 2</w:t>
      </w:r>
      <w:r w:rsidRPr="00953692">
        <w:rPr>
          <w:rFonts w:cs="Times New Roman"/>
          <w:sz w:val="24"/>
          <w:szCs w:val="24"/>
          <w:vertAlign w:val="superscript"/>
          <w:lang w:val="fr-FR"/>
        </w:rPr>
        <w:t>ème</w:t>
      </w:r>
      <w:r w:rsidRPr="00953692">
        <w:rPr>
          <w:rFonts w:cs="Times New Roman"/>
          <w:sz w:val="24"/>
          <w:szCs w:val="24"/>
          <w:lang w:val="fr-FR"/>
        </w:rPr>
        <w:t xml:space="preserve"> éd., 2007</w:t>
      </w:r>
      <w:r w:rsidR="00AD160B" w:rsidRPr="00953692">
        <w:rPr>
          <w:rFonts w:cs="Times New Roman"/>
          <w:sz w:val="24"/>
          <w:szCs w:val="24"/>
          <w:lang w:val="fr-FR"/>
        </w:rPr>
        <w:t>, 101p.</w:t>
      </w:r>
    </w:p>
    <w:p w14:paraId="3EF5DCF4" w14:textId="4F0AA67C" w:rsidR="002B39AA" w:rsidRPr="00953692" w:rsidRDefault="002B39AA" w:rsidP="00864BBF">
      <w:pPr>
        <w:pStyle w:val="Paragraphedeliste"/>
        <w:numPr>
          <w:ilvl w:val="0"/>
          <w:numId w:val="29"/>
        </w:numPr>
        <w:spacing w:after="0" w:line="276" w:lineRule="auto"/>
        <w:jc w:val="both"/>
        <w:rPr>
          <w:rFonts w:cs="Times New Roman"/>
          <w:sz w:val="24"/>
          <w:szCs w:val="24"/>
          <w:lang w:val="fr-FR"/>
        </w:rPr>
      </w:pPr>
      <w:r w:rsidRPr="00953692">
        <w:rPr>
          <w:rFonts w:cs="Times New Roman"/>
          <w:sz w:val="24"/>
          <w:szCs w:val="24"/>
          <w:lang w:val="fr-FR"/>
        </w:rPr>
        <w:t>Etrillard, C</w:t>
      </w:r>
      <w:r w:rsidR="00AD160B" w:rsidRPr="00953692">
        <w:rPr>
          <w:rFonts w:cs="Times New Roman"/>
          <w:sz w:val="24"/>
          <w:szCs w:val="24"/>
          <w:lang w:val="fr-FR"/>
        </w:rPr>
        <w:t>laire</w:t>
      </w:r>
      <w:r w:rsidRPr="00953692">
        <w:rPr>
          <w:rFonts w:cs="Times New Roman"/>
          <w:sz w:val="24"/>
          <w:szCs w:val="24"/>
          <w:lang w:val="fr-FR"/>
        </w:rPr>
        <w:t xml:space="preserve">. Le temps dans l’investigation pénale, éd., </w:t>
      </w:r>
      <w:r w:rsidR="00AD160B" w:rsidRPr="00953692">
        <w:rPr>
          <w:rFonts w:cs="Times New Roman"/>
          <w:sz w:val="24"/>
          <w:szCs w:val="24"/>
          <w:lang w:val="fr-FR"/>
        </w:rPr>
        <w:t>L’Harmattan</w:t>
      </w:r>
      <w:r w:rsidRPr="00953692">
        <w:rPr>
          <w:rFonts w:cs="Times New Roman"/>
          <w:sz w:val="24"/>
          <w:szCs w:val="24"/>
          <w:lang w:val="fr-FR"/>
        </w:rPr>
        <w:t>, paris, 2004</w:t>
      </w:r>
      <w:r w:rsidR="00AD160B" w:rsidRPr="00953692">
        <w:rPr>
          <w:rFonts w:cs="Times New Roman"/>
          <w:sz w:val="24"/>
          <w:szCs w:val="24"/>
          <w:lang w:val="fr-FR"/>
        </w:rPr>
        <w:t>, 392p.</w:t>
      </w:r>
    </w:p>
    <w:p w14:paraId="67D44C59" w14:textId="7127BCEA" w:rsidR="00490B92" w:rsidRPr="00953692" w:rsidRDefault="00C94AE5" w:rsidP="00864BBF">
      <w:pPr>
        <w:pStyle w:val="Paragraphedeliste"/>
        <w:numPr>
          <w:ilvl w:val="0"/>
          <w:numId w:val="29"/>
        </w:numPr>
        <w:spacing w:before="240" w:after="0" w:line="276" w:lineRule="auto"/>
        <w:jc w:val="both"/>
        <w:rPr>
          <w:rFonts w:cs="Times New Roman"/>
          <w:sz w:val="24"/>
          <w:szCs w:val="24"/>
          <w:lang w:val="fr-FR"/>
        </w:rPr>
      </w:pPr>
      <w:r w:rsidRPr="00953692">
        <w:rPr>
          <w:rFonts w:cs="Times New Roman"/>
          <w:sz w:val="24"/>
          <w:szCs w:val="24"/>
          <w:lang w:val="fr-FR"/>
        </w:rPr>
        <w:lastRenderedPageBreak/>
        <w:t xml:space="preserve">Kuty, </w:t>
      </w:r>
      <w:r w:rsidR="00AD160B" w:rsidRPr="00953692">
        <w:rPr>
          <w:rFonts w:cs="Times New Roman"/>
          <w:sz w:val="24"/>
          <w:szCs w:val="24"/>
          <w:lang w:val="fr-FR"/>
        </w:rPr>
        <w:t>Franklin</w:t>
      </w:r>
      <w:r w:rsidRPr="00953692">
        <w:rPr>
          <w:rFonts w:cs="Times New Roman"/>
          <w:sz w:val="24"/>
          <w:szCs w:val="24"/>
          <w:lang w:val="fr-FR"/>
        </w:rPr>
        <w:t>. Justice pénale et procès équitable, délai raisonnable, présomption d’innocence et autres droits spécifiques du prévenu, Volume 2, Larciers, Bruxelles, 2006</w:t>
      </w:r>
      <w:r w:rsidR="00AD160B" w:rsidRPr="00953692">
        <w:rPr>
          <w:rFonts w:cs="Times New Roman"/>
          <w:sz w:val="24"/>
          <w:szCs w:val="24"/>
          <w:lang w:val="fr-FR"/>
        </w:rPr>
        <w:t>, 635p.</w:t>
      </w:r>
    </w:p>
    <w:p w14:paraId="349A8DCB" w14:textId="429BF751" w:rsidR="00187C2C" w:rsidRPr="00953692" w:rsidRDefault="00370B8E" w:rsidP="00864BBF">
      <w:pPr>
        <w:pStyle w:val="Notedebasdepage"/>
        <w:numPr>
          <w:ilvl w:val="0"/>
          <w:numId w:val="29"/>
        </w:numPr>
        <w:spacing w:line="276" w:lineRule="auto"/>
        <w:jc w:val="both"/>
        <w:rPr>
          <w:rFonts w:cs="Times New Roman"/>
          <w:sz w:val="24"/>
          <w:szCs w:val="24"/>
          <w:lang w:val="fr-FR"/>
        </w:rPr>
      </w:pPr>
      <w:r w:rsidRPr="00953692">
        <w:rPr>
          <w:rFonts w:cs="Times New Roman"/>
          <w:sz w:val="24"/>
          <w:szCs w:val="24"/>
          <w:lang w:val="fr-FR"/>
        </w:rPr>
        <w:t xml:space="preserve">Marie Nicolas, </w:t>
      </w:r>
      <w:r w:rsidRPr="00953692">
        <w:rPr>
          <w:rFonts w:cs="Times New Roman"/>
          <w:i/>
          <w:iCs/>
          <w:sz w:val="24"/>
          <w:szCs w:val="24"/>
          <w:lang w:val="fr-FR"/>
        </w:rPr>
        <w:t>Le droit au délai raisonnable devant les juridictions pénales internationales</w:t>
      </w:r>
      <w:r w:rsidRPr="00953692">
        <w:rPr>
          <w:rFonts w:cs="Times New Roman"/>
          <w:sz w:val="24"/>
          <w:szCs w:val="24"/>
          <w:lang w:val="fr-FR"/>
        </w:rPr>
        <w:t>, 1</w:t>
      </w:r>
      <w:r w:rsidRPr="00953692">
        <w:rPr>
          <w:rFonts w:cs="Times New Roman"/>
          <w:sz w:val="24"/>
          <w:szCs w:val="24"/>
          <w:vertAlign w:val="superscript"/>
          <w:lang w:val="fr-FR"/>
        </w:rPr>
        <w:t>ère</w:t>
      </w:r>
      <w:r w:rsidRPr="00953692">
        <w:rPr>
          <w:rFonts w:cs="Times New Roman"/>
          <w:sz w:val="24"/>
          <w:szCs w:val="24"/>
          <w:lang w:val="fr-FR"/>
        </w:rPr>
        <w:t xml:space="preserve"> éd., Peter Lang, Frankfurt, 2012</w:t>
      </w:r>
      <w:r w:rsidR="00AD160B" w:rsidRPr="00953692">
        <w:rPr>
          <w:rFonts w:cs="Times New Roman"/>
          <w:sz w:val="24"/>
          <w:szCs w:val="24"/>
          <w:lang w:val="fr-FR"/>
        </w:rPr>
        <w:t>, 188p</w:t>
      </w:r>
      <w:r w:rsidRPr="00953692">
        <w:rPr>
          <w:rFonts w:cs="Times New Roman"/>
          <w:sz w:val="24"/>
          <w:szCs w:val="24"/>
          <w:lang w:val="fr-FR"/>
        </w:rPr>
        <w:t>.</w:t>
      </w:r>
    </w:p>
    <w:p w14:paraId="6D925F78" w14:textId="77777777" w:rsidR="00D2168B" w:rsidRPr="00953692" w:rsidRDefault="006B62A8" w:rsidP="00864BBF">
      <w:pPr>
        <w:pStyle w:val="Paragraphedeliste"/>
        <w:numPr>
          <w:ilvl w:val="0"/>
          <w:numId w:val="29"/>
        </w:numPr>
        <w:spacing w:after="0" w:line="276" w:lineRule="auto"/>
        <w:jc w:val="both"/>
        <w:rPr>
          <w:rFonts w:cs="Times New Roman"/>
          <w:b/>
          <w:bCs/>
          <w:sz w:val="24"/>
          <w:szCs w:val="24"/>
          <w:lang w:val="en-US"/>
        </w:rPr>
      </w:pPr>
      <w:r w:rsidRPr="00953692">
        <w:rPr>
          <w:rFonts w:cs="Times New Roman"/>
          <w:sz w:val="24"/>
          <w:szCs w:val="24"/>
          <w:lang w:val="en-US"/>
        </w:rPr>
        <w:t xml:space="preserve">Sluiter </w:t>
      </w:r>
      <w:r w:rsidR="00AD160B" w:rsidRPr="00953692">
        <w:rPr>
          <w:rFonts w:cs="Times New Roman"/>
          <w:sz w:val="24"/>
          <w:szCs w:val="24"/>
          <w:lang w:val="en-US"/>
        </w:rPr>
        <w:t>Göran</w:t>
      </w:r>
      <w:r w:rsidR="00EC3C90" w:rsidRPr="00953692">
        <w:rPr>
          <w:rFonts w:cs="Times New Roman"/>
          <w:sz w:val="24"/>
          <w:szCs w:val="24"/>
          <w:lang w:val="en-US"/>
        </w:rPr>
        <w:t>,</w:t>
      </w:r>
      <w:r w:rsidRPr="00953692">
        <w:rPr>
          <w:rFonts w:cs="Times New Roman"/>
          <w:sz w:val="24"/>
          <w:szCs w:val="24"/>
          <w:lang w:val="en-US"/>
        </w:rPr>
        <w:t xml:space="preserve"> </w:t>
      </w:r>
      <w:r w:rsidR="00EC3C90" w:rsidRPr="00953692">
        <w:rPr>
          <w:rFonts w:cs="Times New Roman"/>
          <w:sz w:val="24"/>
          <w:szCs w:val="24"/>
          <w:lang w:val="en-US"/>
        </w:rPr>
        <w:t>Håkan Friman, Suzannah Linton, Sergey Vasiliev, and Salvatore Zappalà.</w:t>
      </w:r>
      <w:r w:rsidRPr="00953692">
        <w:rPr>
          <w:rFonts w:cs="Times New Roman"/>
          <w:sz w:val="24"/>
          <w:szCs w:val="24"/>
          <w:lang w:val="en-US"/>
        </w:rPr>
        <w:t xml:space="preserve"> </w:t>
      </w:r>
      <w:r w:rsidRPr="00953692">
        <w:rPr>
          <w:rFonts w:cs="Times New Roman"/>
          <w:i/>
          <w:sz w:val="24"/>
          <w:szCs w:val="24"/>
          <w:lang w:val="en-US"/>
        </w:rPr>
        <w:t>International Criminal Procedure: Principles and Rules</w:t>
      </w:r>
      <w:r w:rsidRPr="00953692">
        <w:rPr>
          <w:rFonts w:cs="Times New Roman"/>
          <w:sz w:val="24"/>
          <w:szCs w:val="24"/>
          <w:lang w:val="en-US"/>
        </w:rPr>
        <w:t>, Oxford, OUP, 2013</w:t>
      </w:r>
      <w:r w:rsidR="00EC3C90" w:rsidRPr="00953692">
        <w:rPr>
          <w:rFonts w:cs="Times New Roman"/>
          <w:sz w:val="24"/>
          <w:szCs w:val="24"/>
          <w:lang w:val="en-US"/>
        </w:rPr>
        <w:t>, 1728p</w:t>
      </w:r>
      <w:r w:rsidRPr="00953692">
        <w:rPr>
          <w:rFonts w:cs="Times New Roman"/>
          <w:sz w:val="24"/>
          <w:szCs w:val="24"/>
          <w:lang w:val="en-US"/>
        </w:rPr>
        <w:t>.</w:t>
      </w:r>
    </w:p>
    <w:p w14:paraId="38FAF90E" w14:textId="77777777" w:rsidR="00D2168B" w:rsidRPr="00953692" w:rsidRDefault="00D2168B" w:rsidP="00864BBF">
      <w:pPr>
        <w:pStyle w:val="Paragraphedeliste"/>
        <w:spacing w:after="0" w:line="276" w:lineRule="auto"/>
        <w:ind w:left="1069"/>
        <w:jc w:val="both"/>
        <w:rPr>
          <w:rFonts w:cs="Times New Roman"/>
          <w:b/>
          <w:bCs/>
          <w:sz w:val="24"/>
          <w:szCs w:val="24"/>
          <w:lang w:val="en-US"/>
        </w:rPr>
      </w:pPr>
    </w:p>
    <w:p w14:paraId="72B25DC3" w14:textId="0395127D" w:rsidR="00D2168B" w:rsidRPr="00953692" w:rsidRDefault="00D2168B" w:rsidP="00864BBF">
      <w:pPr>
        <w:pStyle w:val="Paragraphedeliste"/>
        <w:spacing w:after="0" w:line="276" w:lineRule="auto"/>
        <w:ind w:left="1069"/>
        <w:jc w:val="both"/>
        <w:rPr>
          <w:rFonts w:cs="Times New Roman"/>
          <w:b/>
          <w:bCs/>
          <w:sz w:val="24"/>
          <w:szCs w:val="24"/>
          <w:lang w:val="en-US"/>
        </w:rPr>
      </w:pPr>
      <w:r w:rsidRPr="00953692">
        <w:rPr>
          <w:rFonts w:cs="Times New Roman"/>
          <w:b/>
          <w:bCs/>
          <w:sz w:val="24"/>
          <w:szCs w:val="24"/>
          <w:lang w:val="en-US"/>
        </w:rPr>
        <w:t>C.</w:t>
      </w:r>
      <w:r w:rsidRPr="00953692">
        <w:rPr>
          <w:rFonts w:cs="Times New Roman"/>
          <w:b/>
          <w:bCs/>
          <w:sz w:val="24"/>
          <w:szCs w:val="24"/>
          <w:lang w:val="en-US"/>
        </w:rPr>
        <w:tab/>
        <w:t>Thèses et monographies</w:t>
      </w:r>
    </w:p>
    <w:p w14:paraId="5D3BD591" w14:textId="77777777" w:rsidR="00D2168B" w:rsidRPr="00953692" w:rsidRDefault="00D2168B" w:rsidP="00864BBF">
      <w:pPr>
        <w:pStyle w:val="Paragraphedeliste"/>
        <w:spacing w:after="0" w:line="276" w:lineRule="auto"/>
        <w:ind w:left="1069"/>
        <w:jc w:val="both"/>
        <w:rPr>
          <w:rFonts w:cs="Times New Roman"/>
          <w:b/>
          <w:bCs/>
          <w:sz w:val="24"/>
          <w:szCs w:val="24"/>
          <w:lang w:val="en-US"/>
        </w:rPr>
      </w:pPr>
    </w:p>
    <w:p w14:paraId="612461CD" w14:textId="2762EF8A" w:rsidR="009F5160" w:rsidRPr="00953692" w:rsidRDefault="009F5160" w:rsidP="00864BBF">
      <w:pPr>
        <w:pStyle w:val="Paragraphedeliste"/>
        <w:numPr>
          <w:ilvl w:val="0"/>
          <w:numId w:val="28"/>
        </w:numPr>
        <w:spacing w:after="0" w:line="276" w:lineRule="auto"/>
        <w:jc w:val="both"/>
        <w:rPr>
          <w:rFonts w:cs="Times New Roman"/>
          <w:b/>
          <w:bCs/>
          <w:sz w:val="24"/>
          <w:szCs w:val="24"/>
          <w:lang w:val="en-US"/>
        </w:rPr>
      </w:pPr>
      <w:r w:rsidRPr="00953692">
        <w:rPr>
          <w:rFonts w:cs="Times New Roman"/>
          <w:sz w:val="24"/>
          <w:szCs w:val="24"/>
          <w:lang w:val="fr-FR"/>
        </w:rPr>
        <w:t>La Rosa, Anne-Marie. Juridictions pénales internationales : La procédure et la preuve. Genève : Graduate Institute Publications, 2003.</w:t>
      </w:r>
    </w:p>
    <w:p w14:paraId="00DC71D0" w14:textId="35DB32D1" w:rsidR="005065C9" w:rsidRPr="00953692" w:rsidRDefault="005065C9" w:rsidP="00864BBF">
      <w:pPr>
        <w:pStyle w:val="Paragraphedeliste"/>
        <w:numPr>
          <w:ilvl w:val="0"/>
          <w:numId w:val="28"/>
        </w:numPr>
        <w:spacing w:before="240" w:after="0" w:line="276" w:lineRule="auto"/>
        <w:rPr>
          <w:rFonts w:cs="Times New Roman"/>
          <w:sz w:val="24"/>
          <w:szCs w:val="24"/>
          <w:lang w:val="fr-FR"/>
        </w:rPr>
      </w:pPr>
      <w:r w:rsidRPr="00953692">
        <w:rPr>
          <w:rFonts w:eastAsia="Times New Roman" w:cs="Times New Roman"/>
          <w:sz w:val="24"/>
          <w:szCs w:val="24"/>
          <w:lang w:val="fr-FR"/>
        </w:rPr>
        <w:t xml:space="preserve">Mihman, Alexis. </w:t>
      </w:r>
      <w:r w:rsidRPr="00953692">
        <w:rPr>
          <w:rFonts w:eastAsia="Times New Roman" w:cs="Times New Roman"/>
          <w:i/>
          <w:iCs/>
          <w:sz w:val="24"/>
          <w:szCs w:val="24"/>
          <w:lang w:val="fr-FR"/>
        </w:rPr>
        <w:t>Contribution à l'étude du temps dans procédure pénale : Pour une approche unitaire du temps de la réponse pénale</w:t>
      </w:r>
      <w:r w:rsidRPr="00953692">
        <w:rPr>
          <w:rFonts w:eastAsia="Times New Roman" w:cs="Times New Roman"/>
          <w:sz w:val="24"/>
          <w:szCs w:val="24"/>
          <w:lang w:val="fr-FR"/>
        </w:rPr>
        <w:t>, Thèse de Doctorat, Université Paris-Sud 11, 2007, 572p.</w:t>
      </w:r>
    </w:p>
    <w:p w14:paraId="2DC9F33E" w14:textId="5F0A9D7B" w:rsidR="00C86011" w:rsidRPr="00953692" w:rsidRDefault="006B62A8" w:rsidP="00864BBF">
      <w:pPr>
        <w:pStyle w:val="Paragraphedeliste"/>
        <w:numPr>
          <w:ilvl w:val="0"/>
          <w:numId w:val="28"/>
        </w:numPr>
        <w:spacing w:before="240" w:after="0" w:line="276" w:lineRule="auto"/>
        <w:rPr>
          <w:rFonts w:cs="Times New Roman"/>
          <w:sz w:val="24"/>
          <w:szCs w:val="24"/>
          <w:lang w:val="fr-FR"/>
        </w:rPr>
      </w:pPr>
      <w:r w:rsidRPr="00953692">
        <w:rPr>
          <w:rFonts w:cs="Times New Roman"/>
          <w:sz w:val="24"/>
          <w:szCs w:val="24"/>
          <w:lang w:val="fr-FR"/>
        </w:rPr>
        <w:t>Tasoki Manzele J</w:t>
      </w:r>
      <w:r w:rsidR="009F5160" w:rsidRPr="00953692">
        <w:rPr>
          <w:rFonts w:cs="Times New Roman"/>
          <w:sz w:val="24"/>
          <w:szCs w:val="24"/>
          <w:lang w:val="fr-FR"/>
        </w:rPr>
        <w:t>osé</w:t>
      </w:r>
      <w:r w:rsidRPr="00953692">
        <w:rPr>
          <w:rFonts w:cs="Times New Roman"/>
          <w:sz w:val="24"/>
          <w:szCs w:val="24"/>
          <w:lang w:val="fr-FR"/>
        </w:rPr>
        <w:t xml:space="preserve">. </w:t>
      </w:r>
      <w:r w:rsidRPr="00953692">
        <w:rPr>
          <w:rFonts w:cs="Times New Roman"/>
          <w:i/>
          <w:sz w:val="24"/>
          <w:szCs w:val="24"/>
          <w:lang w:val="fr-FR"/>
        </w:rPr>
        <w:t>L'enquête des juridictions pénales internationales</w:t>
      </w:r>
      <w:r w:rsidRPr="00953692">
        <w:rPr>
          <w:rFonts w:cs="Times New Roman"/>
          <w:sz w:val="24"/>
          <w:szCs w:val="24"/>
          <w:lang w:val="fr-FR"/>
        </w:rPr>
        <w:t>, Université Paris 1 Panthéon-Sorbonne, Thèse, Paris, 2011</w:t>
      </w:r>
      <w:r w:rsidR="009F5160" w:rsidRPr="00953692">
        <w:rPr>
          <w:rFonts w:cs="Times New Roman"/>
          <w:sz w:val="24"/>
          <w:szCs w:val="24"/>
          <w:lang w:val="fr-FR"/>
        </w:rPr>
        <w:t>.</w:t>
      </w:r>
    </w:p>
    <w:p w14:paraId="10FF484B" w14:textId="340D2682" w:rsidR="00C86011" w:rsidRPr="00953692" w:rsidRDefault="00C86011" w:rsidP="00864BBF">
      <w:pPr>
        <w:pStyle w:val="Notedebasdepage"/>
        <w:numPr>
          <w:ilvl w:val="0"/>
          <w:numId w:val="28"/>
        </w:numPr>
        <w:spacing w:line="276" w:lineRule="auto"/>
        <w:jc w:val="both"/>
        <w:rPr>
          <w:rFonts w:cs="Times New Roman"/>
          <w:sz w:val="24"/>
          <w:szCs w:val="24"/>
          <w:lang w:val="fr-FR"/>
        </w:rPr>
      </w:pPr>
      <w:r w:rsidRPr="00953692">
        <w:rPr>
          <w:rFonts w:cs="Times New Roman"/>
          <w:sz w:val="24"/>
          <w:szCs w:val="24"/>
          <w:lang w:val="fr-FR"/>
        </w:rPr>
        <w:t>Tasoki Manzele J</w:t>
      </w:r>
      <w:r w:rsidR="009F5160" w:rsidRPr="00953692">
        <w:rPr>
          <w:rFonts w:cs="Times New Roman"/>
          <w:sz w:val="24"/>
          <w:szCs w:val="24"/>
          <w:lang w:val="fr-FR"/>
        </w:rPr>
        <w:t>osé-</w:t>
      </w:r>
      <w:r w:rsidRPr="00953692">
        <w:rPr>
          <w:rFonts w:cs="Times New Roman"/>
          <w:sz w:val="24"/>
          <w:szCs w:val="24"/>
          <w:lang w:val="fr-FR"/>
        </w:rPr>
        <w:t>M</w:t>
      </w:r>
      <w:r w:rsidR="009F5160" w:rsidRPr="00953692">
        <w:rPr>
          <w:rFonts w:cs="Times New Roman"/>
          <w:sz w:val="24"/>
          <w:szCs w:val="24"/>
          <w:lang w:val="fr-FR"/>
        </w:rPr>
        <w:t>arie</w:t>
      </w:r>
      <w:r w:rsidRPr="00953692">
        <w:rPr>
          <w:rFonts w:cs="Times New Roman"/>
          <w:sz w:val="24"/>
          <w:szCs w:val="24"/>
          <w:lang w:val="fr-FR"/>
        </w:rPr>
        <w:t>. Cours de procédure pénale, inédit., Faculté de Droit de l’Unikin, 2013-2014.</w:t>
      </w:r>
    </w:p>
    <w:p w14:paraId="097F7DF8" w14:textId="77F2E247" w:rsidR="00C86011" w:rsidRPr="00953692" w:rsidRDefault="00C94AE5" w:rsidP="00864BBF">
      <w:pPr>
        <w:pStyle w:val="Notedebasdepage"/>
        <w:numPr>
          <w:ilvl w:val="0"/>
          <w:numId w:val="28"/>
        </w:numPr>
        <w:spacing w:line="276" w:lineRule="auto"/>
        <w:jc w:val="both"/>
        <w:rPr>
          <w:rFonts w:eastAsia="Times New Roman" w:cs="Times New Roman"/>
          <w:sz w:val="24"/>
          <w:szCs w:val="24"/>
          <w:lang w:val="fr-FR"/>
        </w:rPr>
      </w:pPr>
      <w:r w:rsidRPr="00953692">
        <w:rPr>
          <w:rFonts w:eastAsia="Times New Roman" w:cs="Times New Roman"/>
          <w:sz w:val="24"/>
          <w:szCs w:val="24"/>
          <w:lang w:val="fr-FR"/>
        </w:rPr>
        <w:t>Wane B</w:t>
      </w:r>
      <w:r w:rsidR="009F5160" w:rsidRPr="00953692">
        <w:rPr>
          <w:rFonts w:eastAsia="Times New Roman" w:cs="Times New Roman"/>
          <w:sz w:val="24"/>
          <w:szCs w:val="24"/>
          <w:lang w:val="fr-FR"/>
        </w:rPr>
        <w:t xml:space="preserve">ameme </w:t>
      </w:r>
      <w:r w:rsidRPr="00953692">
        <w:rPr>
          <w:rFonts w:eastAsia="Times New Roman" w:cs="Times New Roman"/>
          <w:sz w:val="24"/>
          <w:szCs w:val="24"/>
          <w:lang w:val="fr-FR"/>
        </w:rPr>
        <w:t>B</w:t>
      </w:r>
      <w:r w:rsidR="009F5160" w:rsidRPr="00953692">
        <w:rPr>
          <w:rFonts w:eastAsia="Times New Roman" w:cs="Times New Roman"/>
          <w:sz w:val="24"/>
          <w:szCs w:val="24"/>
          <w:lang w:val="fr-FR"/>
        </w:rPr>
        <w:t>ienvenu</w:t>
      </w:r>
      <w:r w:rsidRPr="00953692">
        <w:rPr>
          <w:rFonts w:eastAsia="Times New Roman" w:cs="Times New Roman"/>
          <w:sz w:val="24"/>
          <w:szCs w:val="24"/>
          <w:lang w:val="fr-FR"/>
        </w:rPr>
        <w:t xml:space="preserve">, </w:t>
      </w:r>
      <w:r w:rsidRPr="00953692">
        <w:rPr>
          <w:rFonts w:eastAsia="Times New Roman" w:cs="Times New Roman"/>
          <w:i/>
          <w:sz w:val="24"/>
          <w:szCs w:val="24"/>
          <w:lang w:val="fr-FR"/>
        </w:rPr>
        <w:t>Cours de procédure pénale</w:t>
      </w:r>
      <w:r w:rsidRPr="00953692">
        <w:rPr>
          <w:rFonts w:eastAsia="Times New Roman" w:cs="Times New Roman"/>
          <w:sz w:val="24"/>
          <w:szCs w:val="24"/>
          <w:lang w:val="fr-FR"/>
        </w:rPr>
        <w:t>, inédit, Kinshasa, 2020.</w:t>
      </w:r>
    </w:p>
    <w:p w14:paraId="366C831A" w14:textId="34DCD9DB" w:rsidR="002B39AA" w:rsidRPr="00953692" w:rsidRDefault="00C42A33" w:rsidP="00864BBF">
      <w:pPr>
        <w:pStyle w:val="Paragraphedeliste"/>
        <w:numPr>
          <w:ilvl w:val="0"/>
          <w:numId w:val="18"/>
        </w:numPr>
        <w:spacing w:before="240" w:after="0" w:line="276" w:lineRule="auto"/>
        <w:rPr>
          <w:rFonts w:cs="Times New Roman"/>
          <w:b/>
          <w:bCs/>
          <w:sz w:val="24"/>
          <w:szCs w:val="24"/>
          <w:lang w:val="fr-FR"/>
        </w:rPr>
      </w:pPr>
      <w:r w:rsidRPr="00953692">
        <w:rPr>
          <w:rFonts w:cs="Times New Roman"/>
          <w:b/>
          <w:bCs/>
          <w:sz w:val="24"/>
          <w:szCs w:val="24"/>
          <w:lang w:val="fr-FR"/>
        </w:rPr>
        <w:t>Articles et chroniques</w:t>
      </w:r>
    </w:p>
    <w:p w14:paraId="1D090CEC" w14:textId="77777777" w:rsidR="00490B92" w:rsidRPr="00953692" w:rsidRDefault="00490B92" w:rsidP="00864BBF">
      <w:pPr>
        <w:pStyle w:val="Notedebasdepage"/>
        <w:spacing w:line="276" w:lineRule="auto"/>
        <w:jc w:val="both"/>
        <w:rPr>
          <w:rStyle w:val="uppercase"/>
          <w:rFonts w:cs="Times New Roman"/>
          <w:sz w:val="24"/>
          <w:szCs w:val="24"/>
          <w:shd w:val="clear" w:color="auto" w:fill="FFFFFF"/>
          <w:lang w:val="fr-FR"/>
        </w:rPr>
      </w:pPr>
    </w:p>
    <w:p w14:paraId="18140EDB" w14:textId="5A71DDA9" w:rsidR="00370B8E" w:rsidRPr="00953692" w:rsidRDefault="002B39AA" w:rsidP="00864BBF">
      <w:pPr>
        <w:pStyle w:val="Notedebasdepage"/>
        <w:numPr>
          <w:ilvl w:val="0"/>
          <w:numId w:val="31"/>
        </w:numPr>
        <w:spacing w:line="276" w:lineRule="auto"/>
        <w:jc w:val="both"/>
        <w:rPr>
          <w:rFonts w:cs="Times New Roman"/>
          <w:sz w:val="24"/>
          <w:szCs w:val="24"/>
          <w:lang w:val="fr-FR"/>
        </w:rPr>
      </w:pPr>
      <w:r w:rsidRPr="00953692">
        <w:rPr>
          <w:rStyle w:val="uppercase"/>
          <w:rFonts w:cs="Times New Roman"/>
          <w:sz w:val="24"/>
          <w:szCs w:val="24"/>
          <w:shd w:val="clear" w:color="auto" w:fill="FFFFFF"/>
          <w:lang w:val="fr-FR"/>
        </w:rPr>
        <w:t>Andriantsimbazovina</w:t>
      </w:r>
      <w:r w:rsidRPr="00953692">
        <w:rPr>
          <w:rFonts w:cs="Times New Roman"/>
          <w:sz w:val="24"/>
          <w:szCs w:val="24"/>
          <w:shd w:val="clear" w:color="auto" w:fill="FFFFFF"/>
          <w:lang w:val="fr-FR"/>
        </w:rPr>
        <w:t xml:space="preserve">, </w:t>
      </w:r>
      <w:r w:rsidR="00BA1D03" w:rsidRPr="00953692">
        <w:rPr>
          <w:rFonts w:cs="Times New Roman"/>
          <w:sz w:val="24"/>
          <w:szCs w:val="24"/>
          <w:shd w:val="clear" w:color="auto" w:fill="FFFFFF"/>
          <w:lang w:val="fr-FR"/>
        </w:rPr>
        <w:t>Joël</w:t>
      </w:r>
      <w:r w:rsidRPr="00953692">
        <w:rPr>
          <w:rFonts w:cs="Times New Roman"/>
          <w:sz w:val="24"/>
          <w:szCs w:val="24"/>
          <w:shd w:val="clear" w:color="auto" w:fill="FFFFFF"/>
          <w:lang w:val="fr-FR"/>
        </w:rPr>
        <w:t>. « Le droit à la liberté et à la sûreté dans la jurisprudence de la Cour européenne des droits de l’homme », </w:t>
      </w:r>
      <w:r w:rsidRPr="00953692">
        <w:rPr>
          <w:rFonts w:cs="Times New Roman"/>
          <w:i/>
          <w:iCs/>
          <w:sz w:val="24"/>
          <w:szCs w:val="24"/>
          <w:shd w:val="clear" w:color="auto" w:fill="FFFFFF"/>
          <w:lang w:val="fr-FR"/>
        </w:rPr>
        <w:t>Titre VII</w:t>
      </w:r>
      <w:r w:rsidRPr="00953692">
        <w:rPr>
          <w:rFonts w:cs="Times New Roman"/>
          <w:sz w:val="24"/>
          <w:szCs w:val="24"/>
          <w:shd w:val="clear" w:color="auto" w:fill="FFFFFF"/>
          <w:lang w:val="fr-FR"/>
        </w:rPr>
        <w:t>, vol. 7, no. 2, 2021, pp. 32-41.</w:t>
      </w:r>
    </w:p>
    <w:p w14:paraId="7D606F01" w14:textId="6D06A799" w:rsidR="002B39AA" w:rsidRPr="00953692" w:rsidRDefault="00370B8E" w:rsidP="00864BBF">
      <w:pPr>
        <w:pStyle w:val="Notedebasdepage"/>
        <w:numPr>
          <w:ilvl w:val="0"/>
          <w:numId w:val="31"/>
        </w:numPr>
        <w:spacing w:line="276" w:lineRule="auto"/>
        <w:jc w:val="both"/>
        <w:rPr>
          <w:rFonts w:cs="Times New Roman"/>
          <w:sz w:val="24"/>
          <w:szCs w:val="24"/>
          <w:shd w:val="clear" w:color="auto" w:fill="FFFFFF"/>
          <w:lang w:val="fr-FR"/>
        </w:rPr>
      </w:pPr>
      <w:r w:rsidRPr="00953692">
        <w:rPr>
          <w:rFonts w:eastAsia="Times New Roman" w:cs="Times New Roman"/>
          <w:kern w:val="36"/>
          <w:sz w:val="24"/>
          <w:szCs w:val="24"/>
          <w:lang w:val="fr-FR" w:eastAsia="ru-RU"/>
        </w:rPr>
        <w:t>Barret, C</w:t>
      </w:r>
      <w:r w:rsidR="00BA1D03" w:rsidRPr="00953692">
        <w:rPr>
          <w:rFonts w:eastAsia="Times New Roman" w:cs="Times New Roman"/>
          <w:kern w:val="36"/>
          <w:sz w:val="24"/>
          <w:szCs w:val="24"/>
          <w:lang w:val="fr-FR" w:eastAsia="ru-RU"/>
        </w:rPr>
        <w:t>hristophe</w:t>
      </w:r>
      <w:r w:rsidRPr="00953692">
        <w:rPr>
          <w:rFonts w:eastAsia="Times New Roman" w:cs="Times New Roman"/>
          <w:kern w:val="36"/>
          <w:sz w:val="24"/>
          <w:szCs w:val="24"/>
          <w:lang w:val="fr-FR" w:eastAsia="ru-RU"/>
        </w:rPr>
        <w:t xml:space="preserve">. L’aveu, reine des preuves ? L’aveu dans la procédure pénale </w:t>
      </w:r>
      <w:r w:rsidRPr="00953692">
        <w:rPr>
          <w:rFonts w:eastAsia="Times New Roman" w:cs="Times New Roman"/>
          <w:i/>
          <w:iCs/>
          <w:kern w:val="36"/>
          <w:sz w:val="24"/>
          <w:szCs w:val="24"/>
          <w:lang w:val="fr-FR" w:eastAsia="ru-RU"/>
        </w:rPr>
        <w:t>In</w:t>
      </w:r>
      <w:r w:rsidRPr="00953692">
        <w:rPr>
          <w:rFonts w:eastAsia="Times New Roman" w:cs="Times New Roman"/>
          <w:sz w:val="24"/>
          <w:szCs w:val="24"/>
          <w:lang w:val="fr-FR" w:eastAsia="ru-RU"/>
        </w:rPr>
        <w:t xml:space="preserve"> </w:t>
      </w:r>
      <w:hyperlink r:id="rId9" w:tooltip="Go to Annales Médico-psychologiques, revue psychiatrique on ScienceDirect" w:history="1">
        <w:r w:rsidRPr="00953692">
          <w:rPr>
            <w:rFonts w:eastAsia="Times New Roman" w:cs="Times New Roman"/>
            <w:sz w:val="24"/>
            <w:szCs w:val="24"/>
            <w:lang w:val="fr-FR" w:eastAsia="ru-RU"/>
          </w:rPr>
          <w:t>Annales Médico-psychologiques, revue psychiatrique</w:t>
        </w:r>
      </w:hyperlink>
      <w:r w:rsidRPr="00953692">
        <w:rPr>
          <w:rFonts w:eastAsia="Times New Roman" w:cs="Times New Roman"/>
          <w:sz w:val="24"/>
          <w:szCs w:val="24"/>
          <w:lang w:val="fr-FR" w:eastAsia="ru-RU"/>
        </w:rPr>
        <w:t xml:space="preserve">, </w:t>
      </w:r>
      <w:hyperlink r:id="rId10" w:tooltip="Go to table of contents for this volume/issue" w:history="1">
        <w:r w:rsidRPr="00953692">
          <w:rPr>
            <w:rFonts w:eastAsia="Times New Roman" w:cs="Times New Roman"/>
            <w:sz w:val="24"/>
            <w:szCs w:val="24"/>
            <w:lang w:val="fr-FR" w:eastAsia="ru-RU"/>
          </w:rPr>
          <w:t>Volume 171, Issue 7</w:t>
        </w:r>
      </w:hyperlink>
      <w:r w:rsidRPr="00953692">
        <w:rPr>
          <w:rFonts w:eastAsia="Times New Roman" w:cs="Times New Roman"/>
          <w:sz w:val="24"/>
          <w:szCs w:val="24"/>
          <w:lang w:val="fr-FR" w:eastAsia="ru-RU"/>
        </w:rPr>
        <w:t>, August 2013, Pages 464-467</w:t>
      </w:r>
    </w:p>
    <w:p w14:paraId="5F674C10" w14:textId="0636BC3D" w:rsidR="00980509" w:rsidRPr="00953692" w:rsidRDefault="00C94AE5" w:rsidP="00864BBF">
      <w:pPr>
        <w:pStyle w:val="Paragraphedeliste"/>
        <w:numPr>
          <w:ilvl w:val="0"/>
          <w:numId w:val="31"/>
        </w:numPr>
        <w:spacing w:after="0" w:line="276" w:lineRule="auto"/>
        <w:jc w:val="both"/>
        <w:rPr>
          <w:rFonts w:cs="Times New Roman"/>
          <w:sz w:val="24"/>
          <w:szCs w:val="24"/>
          <w:lang w:val="fr-FR"/>
        </w:rPr>
      </w:pPr>
      <w:r w:rsidRPr="00953692">
        <w:rPr>
          <w:rFonts w:cs="Times New Roman"/>
          <w:sz w:val="24"/>
          <w:szCs w:val="24"/>
          <w:lang w:val="fr-FR"/>
        </w:rPr>
        <w:t>Bar Haim, R. Une vision du droit pénal international : « L'humanisme judiciaire ». Régulation du droit pénal international par la codification des garanties internationales d'équité du procès pénal. In: Revue Québécoise de droit international, hors-série octobre 2010. Association internationale des avocats de la défense (AIAD) pp. 341-396.</w:t>
      </w:r>
    </w:p>
    <w:p w14:paraId="05ABA670" w14:textId="6D74CCC5" w:rsidR="00980509" w:rsidRPr="00953692" w:rsidRDefault="00980509" w:rsidP="00864BBF">
      <w:pPr>
        <w:pStyle w:val="Notedebasdepage"/>
        <w:numPr>
          <w:ilvl w:val="0"/>
          <w:numId w:val="31"/>
        </w:numPr>
        <w:spacing w:line="276" w:lineRule="auto"/>
        <w:jc w:val="both"/>
        <w:rPr>
          <w:rFonts w:cs="Times New Roman"/>
          <w:sz w:val="24"/>
          <w:szCs w:val="24"/>
          <w:lang w:val="fr-FR"/>
        </w:rPr>
      </w:pPr>
      <w:bookmarkStart w:id="110" w:name="_GoBack"/>
      <w:r w:rsidRPr="00953692">
        <w:rPr>
          <w:rFonts w:cs="Times New Roman"/>
          <w:sz w:val="24"/>
          <w:szCs w:val="24"/>
          <w:lang w:val="fr-FR"/>
        </w:rPr>
        <w:t xml:space="preserve">De Lamy, </w:t>
      </w:r>
      <w:r w:rsidR="00941D36" w:rsidRPr="00953692">
        <w:rPr>
          <w:rFonts w:cs="Times New Roman"/>
          <w:sz w:val="24"/>
          <w:szCs w:val="24"/>
          <w:lang w:val="fr-FR"/>
        </w:rPr>
        <w:t>Bertrand</w:t>
      </w:r>
      <w:r w:rsidRPr="00953692">
        <w:rPr>
          <w:rFonts w:cs="Times New Roman"/>
          <w:sz w:val="24"/>
          <w:szCs w:val="24"/>
          <w:lang w:val="fr-FR"/>
        </w:rPr>
        <w:t xml:space="preserve">.  (2009). Dérives et évolution du principe de la légalité </w:t>
      </w:r>
      <w:bookmarkEnd w:id="110"/>
      <w:r w:rsidRPr="00953692">
        <w:rPr>
          <w:rFonts w:cs="Times New Roman"/>
          <w:sz w:val="24"/>
          <w:szCs w:val="24"/>
          <w:lang w:val="fr-FR"/>
        </w:rPr>
        <w:t>en droit pénal français : contribution à l’étude des sources du droit pénal français. Les Cahiers de droit, 50(3-4).</w:t>
      </w:r>
    </w:p>
    <w:p w14:paraId="04D11B76" w14:textId="377C9B76" w:rsidR="002F5DFD" w:rsidRPr="00953692" w:rsidRDefault="00EC3C90" w:rsidP="00864BBF">
      <w:pPr>
        <w:pStyle w:val="Paragraphedeliste"/>
        <w:numPr>
          <w:ilvl w:val="0"/>
          <w:numId w:val="31"/>
        </w:numPr>
        <w:spacing w:after="0" w:line="276" w:lineRule="auto"/>
        <w:jc w:val="both"/>
        <w:rPr>
          <w:rFonts w:cs="Times New Roman"/>
          <w:sz w:val="24"/>
          <w:szCs w:val="24"/>
          <w:lang w:val="fr-FR"/>
        </w:rPr>
      </w:pPr>
      <w:r w:rsidRPr="00953692">
        <w:rPr>
          <w:rFonts w:cs="Times New Roman"/>
          <w:sz w:val="24"/>
          <w:szCs w:val="24"/>
          <w:lang w:val="fr-FR"/>
        </w:rPr>
        <w:t xml:space="preserve">Doyon, </w:t>
      </w:r>
      <w:r w:rsidR="00941D36" w:rsidRPr="00953692">
        <w:rPr>
          <w:rFonts w:cs="Times New Roman"/>
          <w:sz w:val="24"/>
          <w:szCs w:val="24"/>
          <w:lang w:val="fr-FR"/>
        </w:rPr>
        <w:t>Jean-Michel</w:t>
      </w:r>
      <w:r w:rsidRPr="00953692">
        <w:rPr>
          <w:rFonts w:cs="Times New Roman"/>
          <w:sz w:val="24"/>
          <w:szCs w:val="24"/>
          <w:lang w:val="fr-FR"/>
        </w:rPr>
        <w:t xml:space="preserve">. « Droit, Loi et Équité », </w:t>
      </w:r>
      <w:r w:rsidRPr="00953692">
        <w:rPr>
          <w:rFonts w:cs="Times New Roman"/>
          <w:i/>
          <w:sz w:val="24"/>
          <w:szCs w:val="24"/>
          <w:lang w:val="fr-FR"/>
        </w:rPr>
        <w:t>in Revue générale de droit</w:t>
      </w:r>
      <w:r w:rsidRPr="00953692">
        <w:rPr>
          <w:rFonts w:cs="Times New Roman"/>
          <w:sz w:val="24"/>
          <w:szCs w:val="24"/>
          <w:lang w:val="fr-FR"/>
        </w:rPr>
        <w:t>, 1995, 26 (2), 325–337.</w:t>
      </w:r>
    </w:p>
    <w:p w14:paraId="62B1FC46" w14:textId="24E73CDD" w:rsidR="00980509" w:rsidRPr="00953692" w:rsidRDefault="002F5DFD" w:rsidP="00864BBF">
      <w:pPr>
        <w:pStyle w:val="Notedebasdepage"/>
        <w:numPr>
          <w:ilvl w:val="0"/>
          <w:numId w:val="31"/>
        </w:numPr>
        <w:spacing w:line="276" w:lineRule="auto"/>
        <w:jc w:val="both"/>
        <w:rPr>
          <w:rFonts w:eastAsia="Times New Roman" w:cs="Times New Roman"/>
          <w:sz w:val="24"/>
          <w:szCs w:val="24"/>
          <w:shd w:val="clear" w:color="auto" w:fill="FFFFFF"/>
          <w:lang w:val="fr-FR"/>
        </w:rPr>
      </w:pPr>
      <w:r w:rsidRPr="00953692">
        <w:rPr>
          <w:rFonts w:eastAsia="Times New Roman" w:cs="Times New Roman"/>
          <w:sz w:val="24"/>
          <w:szCs w:val="24"/>
          <w:shd w:val="clear" w:color="auto" w:fill="FFFFFF"/>
          <w:lang w:val="fr-FR"/>
        </w:rPr>
        <w:t>Dupont, S</w:t>
      </w:r>
      <w:r w:rsidR="00941D36" w:rsidRPr="00953692">
        <w:rPr>
          <w:rFonts w:eastAsia="Times New Roman" w:cs="Times New Roman"/>
          <w:sz w:val="24"/>
          <w:szCs w:val="24"/>
          <w:shd w:val="clear" w:color="auto" w:fill="FFFFFF"/>
          <w:lang w:val="fr-FR"/>
        </w:rPr>
        <w:t>arah</w:t>
      </w:r>
      <w:r w:rsidRPr="00953692">
        <w:rPr>
          <w:rFonts w:eastAsia="Times New Roman" w:cs="Times New Roman"/>
          <w:sz w:val="24"/>
          <w:szCs w:val="24"/>
          <w:shd w:val="clear" w:color="auto" w:fill="FFFFFF"/>
          <w:lang w:val="fr-FR"/>
        </w:rPr>
        <w:t>. « Le plaider coupable dans les systèmes anglo-saxon et romano-germanique », </w:t>
      </w:r>
      <w:r w:rsidRPr="00953692">
        <w:rPr>
          <w:rFonts w:eastAsia="Times New Roman" w:cs="Times New Roman"/>
          <w:i/>
          <w:iCs/>
          <w:sz w:val="24"/>
          <w:szCs w:val="24"/>
          <w:shd w:val="clear" w:color="auto" w:fill="FFFFFF"/>
          <w:lang w:val="fr-FR"/>
        </w:rPr>
        <w:t>Les Cahiers de la Justice</w:t>
      </w:r>
      <w:r w:rsidRPr="00953692">
        <w:rPr>
          <w:rFonts w:eastAsia="Times New Roman" w:cs="Times New Roman"/>
          <w:sz w:val="24"/>
          <w:szCs w:val="24"/>
          <w:shd w:val="clear" w:color="auto" w:fill="FFFFFF"/>
          <w:lang w:val="fr-FR"/>
        </w:rPr>
        <w:t>, 2015/1 (N° 1), p. 75-85.</w:t>
      </w:r>
    </w:p>
    <w:p w14:paraId="1A90F9CC" w14:textId="0E662A71" w:rsidR="00980509" w:rsidRPr="00953692" w:rsidRDefault="00980509" w:rsidP="00864BBF">
      <w:pPr>
        <w:pStyle w:val="Notedebasdepage"/>
        <w:numPr>
          <w:ilvl w:val="0"/>
          <w:numId w:val="31"/>
        </w:numPr>
        <w:spacing w:line="276" w:lineRule="auto"/>
        <w:jc w:val="both"/>
        <w:rPr>
          <w:rFonts w:eastAsia="Times New Roman" w:cs="Times New Roman"/>
          <w:sz w:val="24"/>
          <w:szCs w:val="24"/>
          <w:lang w:val="fr-FR"/>
        </w:rPr>
      </w:pPr>
      <w:r w:rsidRPr="00953692">
        <w:rPr>
          <w:rFonts w:eastAsia="Times New Roman" w:cs="Times New Roman"/>
          <w:sz w:val="24"/>
          <w:szCs w:val="24"/>
          <w:lang w:val="fr-FR"/>
        </w:rPr>
        <w:lastRenderedPageBreak/>
        <w:t xml:space="preserve">Fauveau Ivanovic </w:t>
      </w:r>
      <w:r w:rsidR="00941D36" w:rsidRPr="00953692">
        <w:rPr>
          <w:rFonts w:eastAsia="Times New Roman" w:cs="Times New Roman"/>
          <w:sz w:val="24"/>
          <w:szCs w:val="24"/>
          <w:lang w:val="fr-FR"/>
        </w:rPr>
        <w:t>Natacha</w:t>
      </w:r>
      <w:r w:rsidRPr="00953692">
        <w:rPr>
          <w:rFonts w:eastAsia="Times New Roman" w:cs="Times New Roman"/>
          <w:sz w:val="24"/>
          <w:szCs w:val="24"/>
          <w:lang w:val="fr-FR"/>
        </w:rPr>
        <w:t>. La durée des procès internationaux et le droit au procès équitable. In: Revue Québécoise de droit international, hors-série octobre 2010. Association internationale des avocats de la défense (AIAD).</w:t>
      </w:r>
    </w:p>
    <w:p w14:paraId="1AEE3B9E" w14:textId="41B18907" w:rsidR="00980509" w:rsidRPr="00953692" w:rsidRDefault="00980509" w:rsidP="00864BBF">
      <w:pPr>
        <w:pStyle w:val="Notedebasdepage"/>
        <w:numPr>
          <w:ilvl w:val="0"/>
          <w:numId w:val="31"/>
        </w:numPr>
        <w:spacing w:line="276" w:lineRule="auto"/>
        <w:jc w:val="both"/>
        <w:rPr>
          <w:rFonts w:eastAsia="Times New Roman" w:cs="Times New Roman"/>
          <w:sz w:val="24"/>
          <w:szCs w:val="24"/>
          <w:shd w:val="clear" w:color="auto" w:fill="FFFFFF"/>
          <w:lang w:val="fr-FR"/>
        </w:rPr>
      </w:pPr>
      <w:r w:rsidRPr="00953692">
        <w:rPr>
          <w:rFonts w:eastAsia="Times New Roman" w:cs="Times New Roman"/>
          <w:sz w:val="24"/>
          <w:szCs w:val="24"/>
          <w:shd w:val="clear" w:color="auto" w:fill="FFFFFF"/>
          <w:lang w:val="fr-FR"/>
        </w:rPr>
        <w:t xml:space="preserve">Fauveau Ivanovic, </w:t>
      </w:r>
      <w:r w:rsidR="00941D36" w:rsidRPr="00953692">
        <w:rPr>
          <w:rFonts w:eastAsia="Times New Roman" w:cs="Times New Roman"/>
          <w:sz w:val="24"/>
          <w:szCs w:val="24"/>
          <w:shd w:val="clear" w:color="auto" w:fill="FFFFFF"/>
          <w:lang w:val="fr-FR"/>
        </w:rPr>
        <w:t>Natacha</w:t>
      </w:r>
      <w:r w:rsidRPr="00953692">
        <w:rPr>
          <w:rFonts w:eastAsia="Times New Roman" w:cs="Times New Roman"/>
          <w:sz w:val="24"/>
          <w:szCs w:val="24"/>
          <w:shd w:val="clear" w:color="auto" w:fill="FFFFFF"/>
          <w:lang w:val="fr-FR"/>
        </w:rPr>
        <w:t>.</w:t>
      </w:r>
      <w:r w:rsidRPr="00953692">
        <w:rPr>
          <w:rFonts w:eastAsia="Times New Roman" w:cs="Times New Roman"/>
          <w:b/>
          <w:sz w:val="24"/>
          <w:szCs w:val="24"/>
          <w:shd w:val="clear" w:color="auto" w:fill="FFFFFF"/>
          <w:lang w:val="fr-FR"/>
        </w:rPr>
        <w:t> </w:t>
      </w:r>
      <w:r w:rsidRPr="00953692">
        <w:rPr>
          <w:rFonts w:eastAsia="Times New Roman" w:cs="Times New Roman"/>
          <w:sz w:val="24"/>
          <w:szCs w:val="24"/>
          <w:shd w:val="clear" w:color="auto" w:fill="FFFFFF"/>
          <w:lang w:val="fr-FR"/>
        </w:rPr>
        <w:t xml:space="preserve"> « Quelle réalité pour les droits de la défense au sein de la Cour pénale internationale ? », </w:t>
      </w:r>
      <w:r w:rsidRPr="00953692">
        <w:rPr>
          <w:rFonts w:eastAsia="Times New Roman" w:cs="Times New Roman"/>
          <w:i/>
          <w:sz w:val="24"/>
          <w:szCs w:val="24"/>
          <w:shd w:val="clear" w:color="auto" w:fill="FFFFFF"/>
          <w:lang w:val="fr-FR"/>
        </w:rPr>
        <w:t xml:space="preserve">in </w:t>
      </w:r>
      <w:r w:rsidRPr="00953692">
        <w:rPr>
          <w:rFonts w:eastAsia="Times New Roman" w:cs="Times New Roman"/>
          <w:bCs/>
          <w:iCs/>
          <w:spacing w:val="10"/>
          <w:sz w:val="24"/>
          <w:szCs w:val="24"/>
          <w:shd w:val="clear" w:color="auto" w:fill="FFFFFF"/>
          <w:lang w:val="fr-FR"/>
        </w:rPr>
        <w:t>La Revue des droits de l’homme</w:t>
      </w:r>
      <w:r w:rsidRPr="00953692">
        <w:rPr>
          <w:rFonts w:eastAsia="Times New Roman" w:cs="Times New Roman"/>
          <w:sz w:val="24"/>
          <w:szCs w:val="24"/>
          <w:shd w:val="clear" w:color="auto" w:fill="FFFFFF"/>
          <w:lang w:val="fr-FR"/>
        </w:rPr>
        <w:t xml:space="preserve"> [Online], 5 | 2014, Online since 27 May 2014, connection on 13 February 2020. </w:t>
      </w:r>
    </w:p>
    <w:p w14:paraId="662BECE9" w14:textId="4A6F67FF" w:rsidR="00980509" w:rsidRPr="00953692" w:rsidRDefault="00980509" w:rsidP="00864BBF">
      <w:pPr>
        <w:pStyle w:val="Notedebasdepage"/>
        <w:numPr>
          <w:ilvl w:val="0"/>
          <w:numId w:val="31"/>
        </w:numPr>
        <w:spacing w:line="276" w:lineRule="auto"/>
        <w:jc w:val="both"/>
        <w:rPr>
          <w:rFonts w:eastAsia="Calibri" w:cs="Times New Roman"/>
          <w:sz w:val="24"/>
          <w:szCs w:val="24"/>
          <w:lang w:val="fr-FR"/>
        </w:rPr>
      </w:pPr>
      <w:r w:rsidRPr="00953692">
        <w:rPr>
          <w:rFonts w:eastAsia="Calibri" w:cs="Times New Roman"/>
          <w:sz w:val="24"/>
          <w:szCs w:val="24"/>
          <w:lang w:val="fr-FR"/>
        </w:rPr>
        <w:t>Flamme, J</w:t>
      </w:r>
      <w:r w:rsidR="00941D36" w:rsidRPr="00953692">
        <w:rPr>
          <w:rFonts w:eastAsia="Calibri" w:cs="Times New Roman"/>
          <w:sz w:val="24"/>
          <w:szCs w:val="24"/>
          <w:lang w:val="fr-FR"/>
        </w:rPr>
        <w:t>ean</w:t>
      </w:r>
      <w:r w:rsidRPr="00953692">
        <w:rPr>
          <w:rFonts w:eastAsia="Calibri" w:cs="Times New Roman"/>
          <w:sz w:val="24"/>
          <w:szCs w:val="24"/>
          <w:lang w:val="fr-FR"/>
        </w:rPr>
        <w:t>. L'affaire Lubanga au stade préliminaire devant la Cour pénale internationale : Une primeur historique, également pour les droits de l'homme et les droits de la défense ? In : Revue Québécoise de droit international, hors-série octobre 2010. Association internationale des avocats de la défense (AIAD) pp. 148.</w:t>
      </w:r>
    </w:p>
    <w:p w14:paraId="5ED5D4CD" w14:textId="76B49D5B" w:rsidR="00C86011" w:rsidRPr="00953692" w:rsidRDefault="002F5DFD" w:rsidP="00864BBF">
      <w:pPr>
        <w:pStyle w:val="Notedebasdepage"/>
        <w:numPr>
          <w:ilvl w:val="0"/>
          <w:numId w:val="31"/>
        </w:numPr>
        <w:spacing w:line="276" w:lineRule="auto"/>
        <w:jc w:val="both"/>
        <w:rPr>
          <w:rFonts w:cs="Times New Roman"/>
          <w:sz w:val="24"/>
          <w:szCs w:val="24"/>
          <w:lang w:val="fr-FR"/>
        </w:rPr>
      </w:pPr>
      <w:r w:rsidRPr="00953692">
        <w:rPr>
          <w:rFonts w:cs="Times New Roman"/>
          <w:sz w:val="24"/>
          <w:szCs w:val="24"/>
          <w:lang w:val="fr-FR"/>
        </w:rPr>
        <w:t>Gassin, R</w:t>
      </w:r>
      <w:r w:rsidR="00941D36" w:rsidRPr="00953692">
        <w:rPr>
          <w:rFonts w:cs="Times New Roman"/>
          <w:sz w:val="24"/>
          <w:szCs w:val="24"/>
          <w:lang w:val="fr-FR"/>
        </w:rPr>
        <w:t>aymond</w:t>
      </w:r>
      <w:r w:rsidRPr="00953692">
        <w:rPr>
          <w:rFonts w:cs="Times New Roman"/>
          <w:sz w:val="24"/>
          <w:szCs w:val="24"/>
          <w:lang w:val="fr-FR"/>
        </w:rPr>
        <w:t>. « Le principe de la légalité et la procédure pénale », Revue pénitentiaire et de droit pénal 2001.2.300.</w:t>
      </w:r>
    </w:p>
    <w:p w14:paraId="68AB66A9" w14:textId="559C8D48" w:rsidR="00980509" w:rsidRPr="00953692" w:rsidRDefault="00C86011" w:rsidP="00864BBF">
      <w:pPr>
        <w:pStyle w:val="Notedebasdepage"/>
        <w:numPr>
          <w:ilvl w:val="0"/>
          <w:numId w:val="31"/>
        </w:numPr>
        <w:spacing w:line="276" w:lineRule="auto"/>
        <w:jc w:val="both"/>
        <w:rPr>
          <w:rFonts w:cs="Times New Roman"/>
          <w:sz w:val="24"/>
          <w:szCs w:val="24"/>
          <w:lang w:val="fr-FR"/>
        </w:rPr>
      </w:pPr>
      <w:r w:rsidRPr="00953692">
        <w:rPr>
          <w:rFonts w:cs="Times New Roman"/>
          <w:sz w:val="24"/>
          <w:szCs w:val="24"/>
          <w:lang w:val="fr-FR"/>
        </w:rPr>
        <w:t>Le Bot, O</w:t>
      </w:r>
      <w:r w:rsidR="00941D36" w:rsidRPr="00953692">
        <w:rPr>
          <w:rFonts w:cs="Times New Roman"/>
          <w:sz w:val="24"/>
          <w:szCs w:val="24"/>
          <w:lang w:val="fr-FR"/>
        </w:rPr>
        <w:t>livier</w:t>
      </w:r>
      <w:r w:rsidRPr="00953692">
        <w:rPr>
          <w:rFonts w:cs="Times New Roman"/>
          <w:sz w:val="24"/>
          <w:szCs w:val="24"/>
          <w:lang w:val="fr-FR"/>
        </w:rPr>
        <w:t xml:space="preserve">. </w:t>
      </w:r>
      <w:r w:rsidR="00941D36" w:rsidRPr="00953692">
        <w:rPr>
          <w:rFonts w:cs="Times New Roman"/>
          <w:sz w:val="24"/>
          <w:szCs w:val="24"/>
          <w:lang w:val="fr-FR"/>
        </w:rPr>
        <w:t>Le</w:t>
      </w:r>
      <w:r w:rsidRPr="00953692">
        <w:rPr>
          <w:rFonts w:cs="Times New Roman"/>
          <w:sz w:val="24"/>
          <w:szCs w:val="24"/>
          <w:lang w:val="fr-FR"/>
        </w:rPr>
        <w:t xml:space="preserve"> droit au recours comme garantie des droits fondamentaux : L’article 8 de la déclaration universelle des droits de l’homme, in CRDF n° 7, 2009, p. 107-116.</w:t>
      </w:r>
    </w:p>
    <w:p w14:paraId="39F6B6F3" w14:textId="5520CD9C" w:rsidR="00980509" w:rsidRPr="00953692" w:rsidRDefault="00980509" w:rsidP="00864BBF">
      <w:pPr>
        <w:pStyle w:val="Notedebasdepage"/>
        <w:numPr>
          <w:ilvl w:val="0"/>
          <w:numId w:val="31"/>
        </w:numPr>
        <w:spacing w:line="276" w:lineRule="auto"/>
        <w:jc w:val="both"/>
        <w:rPr>
          <w:rFonts w:cs="Times New Roman"/>
          <w:sz w:val="24"/>
          <w:szCs w:val="24"/>
          <w:lang w:val="fr-FR"/>
        </w:rPr>
      </w:pPr>
      <w:r w:rsidRPr="00953692">
        <w:rPr>
          <w:rFonts w:cs="Times New Roman"/>
          <w:sz w:val="24"/>
          <w:szCs w:val="24"/>
          <w:lang w:val="fr-FR"/>
        </w:rPr>
        <w:t>Marie Nicolas, « Le verdict de Tombouctou : Le prix des remords », La Revue des droits de l’homme [En ligne], Actualités Droits-Libertés, mis en ligne le 21 novembre 2016, consulté le 01 mai 2019. URL : http://journals.openedition.org/revdh/2661 ; DOI : 10.4000/revdh.2661</w:t>
      </w:r>
    </w:p>
    <w:p w14:paraId="02369FC3" w14:textId="58E0CC81" w:rsidR="00370B8E" w:rsidRPr="00953692" w:rsidRDefault="00370B8E" w:rsidP="00864BBF">
      <w:pPr>
        <w:pStyle w:val="Notedebasdepage"/>
        <w:numPr>
          <w:ilvl w:val="0"/>
          <w:numId w:val="31"/>
        </w:numPr>
        <w:spacing w:line="276" w:lineRule="auto"/>
        <w:jc w:val="both"/>
        <w:rPr>
          <w:rFonts w:cs="Times New Roman"/>
          <w:sz w:val="24"/>
          <w:szCs w:val="24"/>
          <w:lang w:val="fr-FR"/>
        </w:rPr>
      </w:pPr>
      <w:r w:rsidRPr="00953692">
        <w:rPr>
          <w:rFonts w:cs="Times New Roman"/>
          <w:sz w:val="24"/>
          <w:szCs w:val="24"/>
          <w:lang w:val="fr-FR"/>
        </w:rPr>
        <w:t xml:space="preserve">Ozan Mert </w:t>
      </w:r>
      <w:r w:rsidR="00941D36" w:rsidRPr="00953692">
        <w:rPr>
          <w:rFonts w:cs="Times New Roman"/>
          <w:sz w:val="24"/>
          <w:szCs w:val="24"/>
          <w:lang w:val="fr-FR"/>
        </w:rPr>
        <w:t>Imrek</w:t>
      </w:r>
      <w:r w:rsidRPr="00953692">
        <w:rPr>
          <w:rFonts w:cs="Times New Roman"/>
          <w:sz w:val="24"/>
          <w:szCs w:val="24"/>
          <w:lang w:val="fr-FR"/>
        </w:rPr>
        <w:t xml:space="preserve">, Quand l'accusé devant la CPI plaide coupable : Le jugement portant condamnation d'Ahmad Al Mahdi du 27 septembre 2016 à l'aune de la Common law et du droit romano-germanique, Voir sur le cite : </w:t>
      </w:r>
      <w:hyperlink r:id="rId11" w:history="1">
        <w:r w:rsidRPr="00953692">
          <w:rPr>
            <w:rStyle w:val="Lienhypertexte"/>
            <w:rFonts w:cs="Times New Roman"/>
            <w:color w:val="auto"/>
            <w:sz w:val="24"/>
            <w:szCs w:val="24"/>
            <w:u w:val="none"/>
            <w:lang w:val="fr-FR"/>
          </w:rPr>
          <w:t>https://blogs.parisnanterre.fr/article/quand-laccuse-devant-la-cpi-plaide-coupable-le-jugement-portant-condamnation-dahmad-al-mahdi</w:t>
        </w:r>
      </w:hyperlink>
      <w:r w:rsidRPr="00953692">
        <w:rPr>
          <w:rFonts w:cs="Times New Roman"/>
          <w:sz w:val="24"/>
          <w:szCs w:val="24"/>
          <w:lang w:val="fr-FR"/>
        </w:rPr>
        <w:t xml:space="preserve"> (consulté, le 20/11/2022).</w:t>
      </w:r>
    </w:p>
    <w:p w14:paraId="23F5E28C" w14:textId="55925D7D" w:rsidR="00370B8E" w:rsidRPr="00953692" w:rsidRDefault="00370B8E" w:rsidP="00864BBF">
      <w:pPr>
        <w:pStyle w:val="Notedebasdepage"/>
        <w:numPr>
          <w:ilvl w:val="0"/>
          <w:numId w:val="31"/>
        </w:numPr>
        <w:spacing w:line="276" w:lineRule="auto"/>
        <w:jc w:val="both"/>
        <w:rPr>
          <w:rFonts w:cs="Times New Roman"/>
          <w:sz w:val="24"/>
          <w:szCs w:val="24"/>
          <w:lang w:val="fr-FR"/>
        </w:rPr>
      </w:pPr>
      <w:r w:rsidRPr="00953692">
        <w:rPr>
          <w:rFonts w:cs="Times New Roman"/>
          <w:sz w:val="24"/>
          <w:szCs w:val="24"/>
          <w:lang w:val="fr-FR"/>
        </w:rPr>
        <w:t>Pradel, J</w:t>
      </w:r>
      <w:r w:rsidR="00941D36" w:rsidRPr="00953692">
        <w:rPr>
          <w:rFonts w:cs="Times New Roman"/>
          <w:sz w:val="24"/>
          <w:szCs w:val="24"/>
          <w:lang w:val="fr-FR"/>
        </w:rPr>
        <w:t>ean</w:t>
      </w:r>
      <w:r w:rsidRPr="00953692">
        <w:rPr>
          <w:rFonts w:cs="Times New Roman"/>
          <w:sz w:val="24"/>
          <w:szCs w:val="24"/>
          <w:lang w:val="fr-FR"/>
        </w:rPr>
        <w:t>. Le plaider coupable, confrontation des droits américain, italien et français. In : Revue internationale de droit comparé. Vol. 57 N°2,2005. pp. 473.</w:t>
      </w:r>
    </w:p>
    <w:p w14:paraId="001729D0" w14:textId="09A53663" w:rsidR="00980509" w:rsidRPr="00953692" w:rsidRDefault="00980509" w:rsidP="00864BBF">
      <w:pPr>
        <w:pStyle w:val="Paragraphedeliste"/>
        <w:numPr>
          <w:ilvl w:val="0"/>
          <w:numId w:val="31"/>
        </w:numPr>
        <w:spacing w:after="0" w:line="276" w:lineRule="auto"/>
        <w:jc w:val="both"/>
        <w:rPr>
          <w:rFonts w:cs="Times New Roman"/>
          <w:sz w:val="24"/>
          <w:szCs w:val="24"/>
          <w:lang w:val="fr-FR"/>
        </w:rPr>
      </w:pPr>
      <w:r w:rsidRPr="00953692">
        <w:rPr>
          <w:rFonts w:cs="Times New Roman"/>
          <w:sz w:val="24"/>
          <w:szCs w:val="24"/>
          <w:lang w:val="fr-FR"/>
        </w:rPr>
        <w:t>Pradel, J</w:t>
      </w:r>
      <w:r w:rsidR="00941D36" w:rsidRPr="00953692">
        <w:rPr>
          <w:rFonts w:cs="Times New Roman"/>
          <w:sz w:val="24"/>
          <w:szCs w:val="24"/>
          <w:lang w:val="fr-FR"/>
        </w:rPr>
        <w:t>ean</w:t>
      </w:r>
      <w:r w:rsidRPr="00953692">
        <w:rPr>
          <w:rFonts w:cs="Times New Roman"/>
          <w:sz w:val="24"/>
          <w:szCs w:val="24"/>
          <w:lang w:val="fr-FR"/>
        </w:rPr>
        <w:t>. « La notion de procès équitable en droit pénal européen », in Revue générale de droit, 1996, 27 (4), 505–523.</w:t>
      </w:r>
    </w:p>
    <w:p w14:paraId="415E305B" w14:textId="78EF93D2" w:rsidR="00980509" w:rsidRPr="00953692" w:rsidRDefault="00980509" w:rsidP="00864BBF">
      <w:pPr>
        <w:pStyle w:val="Notedebasdepage"/>
        <w:numPr>
          <w:ilvl w:val="0"/>
          <w:numId w:val="31"/>
        </w:numPr>
        <w:spacing w:line="276" w:lineRule="auto"/>
        <w:jc w:val="both"/>
        <w:rPr>
          <w:rStyle w:val="uppercase"/>
          <w:rFonts w:eastAsia="Times New Roman" w:cs="Times New Roman"/>
          <w:sz w:val="24"/>
          <w:szCs w:val="24"/>
          <w:lang w:val="fr-FR"/>
        </w:rPr>
      </w:pPr>
      <w:r w:rsidRPr="00953692">
        <w:rPr>
          <w:rFonts w:eastAsia="Times New Roman" w:cs="Times New Roman"/>
          <w:sz w:val="24"/>
          <w:szCs w:val="24"/>
          <w:lang w:val="fr-FR"/>
        </w:rPr>
        <w:t>Tulkens, F</w:t>
      </w:r>
      <w:r w:rsidR="00941D36" w:rsidRPr="00953692">
        <w:rPr>
          <w:rFonts w:eastAsia="Times New Roman" w:cs="Times New Roman"/>
          <w:sz w:val="24"/>
          <w:szCs w:val="24"/>
          <w:lang w:val="fr-FR"/>
        </w:rPr>
        <w:t>rançoise</w:t>
      </w:r>
      <w:r w:rsidRPr="00953692">
        <w:rPr>
          <w:rFonts w:eastAsia="Times New Roman" w:cs="Times New Roman"/>
          <w:sz w:val="24"/>
          <w:szCs w:val="24"/>
          <w:lang w:val="fr-FR"/>
        </w:rPr>
        <w:t xml:space="preserve">. « Le droit d’être jugé dans un délai raisonnable : les maux et les remèdes », </w:t>
      </w:r>
      <w:r w:rsidRPr="00953692">
        <w:rPr>
          <w:rFonts w:eastAsia="Times New Roman" w:cs="Times New Roman"/>
          <w:i/>
          <w:sz w:val="24"/>
          <w:szCs w:val="24"/>
          <w:lang w:val="fr-FR"/>
        </w:rPr>
        <w:t>In</w:t>
      </w:r>
      <w:r w:rsidRPr="00953692">
        <w:rPr>
          <w:rFonts w:eastAsia="Times New Roman" w:cs="Times New Roman"/>
          <w:sz w:val="24"/>
          <w:szCs w:val="24"/>
          <w:lang w:val="fr-FR"/>
        </w:rPr>
        <w:t xml:space="preserve"> Remèdes à la durée excessive des procédures : Une nouvelle approche des obligations des Etats-membres du Conseil de l’Europe, Strasbourg, 2006.</w:t>
      </w:r>
    </w:p>
    <w:p w14:paraId="2AB72AB8" w14:textId="6861FBC1" w:rsidR="00145822" w:rsidRPr="00953692" w:rsidRDefault="00370B8E" w:rsidP="00864BBF">
      <w:pPr>
        <w:pStyle w:val="Paragraphedeliste"/>
        <w:numPr>
          <w:ilvl w:val="0"/>
          <w:numId w:val="31"/>
        </w:numPr>
        <w:spacing w:after="0" w:line="276" w:lineRule="auto"/>
        <w:jc w:val="both"/>
        <w:rPr>
          <w:rFonts w:cs="Times New Roman"/>
          <w:sz w:val="24"/>
          <w:szCs w:val="24"/>
          <w:shd w:val="clear" w:color="auto" w:fill="FFFFFF"/>
          <w:lang w:val="fr-FR"/>
        </w:rPr>
      </w:pPr>
      <w:r w:rsidRPr="00953692">
        <w:rPr>
          <w:rStyle w:val="uppercase"/>
          <w:rFonts w:cs="Times New Roman"/>
          <w:sz w:val="24"/>
          <w:szCs w:val="24"/>
          <w:shd w:val="clear" w:color="auto" w:fill="FFFFFF"/>
          <w:lang w:val="fr-FR"/>
        </w:rPr>
        <w:t>Viaut</w:t>
      </w:r>
      <w:r w:rsidRPr="00953692">
        <w:rPr>
          <w:rFonts w:cs="Times New Roman"/>
          <w:sz w:val="24"/>
          <w:szCs w:val="24"/>
          <w:shd w:val="clear" w:color="auto" w:fill="FFFFFF"/>
          <w:lang w:val="fr-FR"/>
        </w:rPr>
        <w:t>, L</w:t>
      </w:r>
      <w:r w:rsidR="00941D36" w:rsidRPr="00953692">
        <w:rPr>
          <w:rFonts w:cs="Times New Roman"/>
          <w:sz w:val="24"/>
          <w:szCs w:val="24"/>
          <w:shd w:val="clear" w:color="auto" w:fill="FFFFFF"/>
          <w:lang w:val="fr-FR"/>
        </w:rPr>
        <w:t>aura</w:t>
      </w:r>
      <w:r w:rsidRPr="00953692">
        <w:rPr>
          <w:rFonts w:cs="Times New Roman"/>
          <w:sz w:val="24"/>
          <w:szCs w:val="24"/>
          <w:shd w:val="clear" w:color="auto" w:fill="FFFFFF"/>
          <w:lang w:val="fr-FR"/>
        </w:rPr>
        <w:t>. « L'aveu dans la procédure pénale », </w:t>
      </w:r>
      <w:r w:rsidRPr="00953692">
        <w:rPr>
          <w:rFonts w:cs="Times New Roman"/>
          <w:i/>
          <w:iCs/>
          <w:sz w:val="24"/>
          <w:szCs w:val="24"/>
          <w:shd w:val="clear" w:color="auto" w:fill="FFFFFF"/>
          <w:lang w:val="fr-FR"/>
        </w:rPr>
        <w:t>Les Cahiers de la Justice</w:t>
      </w:r>
      <w:r w:rsidRPr="00953692">
        <w:rPr>
          <w:rFonts w:cs="Times New Roman"/>
          <w:sz w:val="24"/>
          <w:szCs w:val="24"/>
          <w:shd w:val="clear" w:color="auto" w:fill="FFFFFF"/>
          <w:lang w:val="fr-FR"/>
        </w:rPr>
        <w:t>, vol. 1, no. 1, 2021, pp. 151-160.</w:t>
      </w:r>
    </w:p>
    <w:p w14:paraId="237D1195"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0D525794"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2AF6762C"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4C2052AC" w14:textId="77777777" w:rsidR="00DF6B77" w:rsidRPr="00953692" w:rsidRDefault="00DF6B77" w:rsidP="00DF6B77">
      <w:pPr>
        <w:spacing w:after="0" w:line="276" w:lineRule="auto"/>
        <w:jc w:val="both"/>
        <w:rPr>
          <w:rFonts w:cs="Times New Roman"/>
          <w:sz w:val="24"/>
          <w:szCs w:val="24"/>
          <w:shd w:val="clear" w:color="auto" w:fill="FFFFFF"/>
          <w:lang w:val="fr-FR"/>
        </w:rPr>
      </w:pPr>
    </w:p>
    <w:sdt>
      <w:sdtPr>
        <w:rPr>
          <w:rFonts w:ascii="Times New Roman" w:eastAsiaTheme="minorHAnsi" w:hAnsi="Times New Roman" w:cs="Times New Roman"/>
          <w:b/>
          <w:color w:val="auto"/>
          <w:sz w:val="24"/>
          <w:szCs w:val="22"/>
          <w:lang w:val="ru-RU" w:eastAsia="en-US"/>
        </w:rPr>
        <w:id w:val="-363365519"/>
        <w:docPartObj>
          <w:docPartGallery w:val="Table of Contents"/>
          <w:docPartUnique/>
        </w:docPartObj>
      </w:sdtPr>
      <w:sdtEndPr>
        <w:rPr>
          <w:b w:val="0"/>
          <w:bCs/>
          <w:szCs w:val="24"/>
        </w:rPr>
      </w:sdtEndPr>
      <w:sdtContent>
        <w:p w14:paraId="4B617271" w14:textId="77E01333" w:rsidR="00DF6B77" w:rsidRPr="00953692" w:rsidRDefault="00DF6B77" w:rsidP="00DF6B77">
          <w:pPr>
            <w:pStyle w:val="En-ttedetabledesmatires"/>
            <w:jc w:val="center"/>
            <w:rPr>
              <w:rFonts w:ascii="Times New Roman" w:hAnsi="Times New Roman" w:cs="Times New Roman"/>
              <w:b/>
              <w:color w:val="auto"/>
              <w:sz w:val="24"/>
            </w:rPr>
          </w:pPr>
          <w:r w:rsidRPr="00953692">
            <w:rPr>
              <w:rFonts w:ascii="Times New Roman" w:hAnsi="Times New Roman" w:cs="Times New Roman"/>
              <w:b/>
              <w:color w:val="auto"/>
              <w:sz w:val="24"/>
            </w:rPr>
            <w:t>Table des matières</w:t>
          </w:r>
        </w:p>
        <w:p w14:paraId="71B95010" w14:textId="77777777" w:rsidR="00DF6B77" w:rsidRPr="00953692" w:rsidRDefault="00DF6B77" w:rsidP="00DF6B77">
          <w:pPr>
            <w:pStyle w:val="TM1"/>
            <w:tabs>
              <w:tab w:val="right" w:leader="dot" w:pos="8494"/>
            </w:tabs>
            <w:jc w:val="both"/>
            <w:rPr>
              <w:rFonts w:ascii="Times New Roman" w:eastAsiaTheme="minorEastAsia" w:hAnsi="Times New Roman"/>
              <w:b w:val="0"/>
              <w:noProof/>
              <w:color w:val="auto"/>
              <w:sz w:val="24"/>
              <w:szCs w:val="24"/>
              <w:lang w:val="fr-FR" w:eastAsia="fr-FR"/>
            </w:rPr>
          </w:pPr>
          <w:r w:rsidRPr="00953692">
            <w:rPr>
              <w:rFonts w:ascii="Times New Roman" w:hAnsi="Times New Roman"/>
              <w:b w:val="0"/>
              <w:bCs/>
              <w:color w:val="auto"/>
              <w:sz w:val="24"/>
              <w:szCs w:val="24"/>
            </w:rPr>
            <w:fldChar w:fldCharType="begin"/>
          </w:r>
          <w:r w:rsidRPr="00953692">
            <w:rPr>
              <w:rFonts w:ascii="Times New Roman" w:hAnsi="Times New Roman"/>
              <w:b w:val="0"/>
              <w:bCs/>
              <w:color w:val="auto"/>
              <w:sz w:val="24"/>
              <w:szCs w:val="24"/>
            </w:rPr>
            <w:instrText xml:space="preserve"> TOC \o "1-3" \h \z \u </w:instrText>
          </w:r>
          <w:r w:rsidRPr="00953692">
            <w:rPr>
              <w:rFonts w:ascii="Times New Roman" w:hAnsi="Times New Roman"/>
              <w:b w:val="0"/>
              <w:bCs/>
              <w:color w:val="auto"/>
              <w:sz w:val="24"/>
              <w:szCs w:val="24"/>
            </w:rPr>
            <w:fldChar w:fldCharType="separate"/>
          </w:r>
          <w:hyperlink w:anchor="_Toc195179401" w:history="1">
            <w:r w:rsidRPr="00953692">
              <w:rPr>
                <w:rStyle w:val="Lienhypertexte"/>
                <w:rFonts w:ascii="Times New Roman" w:hAnsi="Times New Roman"/>
                <w:b w:val="0"/>
                <w:bCs/>
                <w:noProof/>
                <w:color w:val="auto"/>
                <w:sz w:val="24"/>
                <w:szCs w:val="24"/>
                <w:u w:val="none"/>
                <w:lang w:val="fr-FR"/>
              </w:rPr>
              <w:t>Introduction</w:t>
            </w:r>
            <w:r w:rsidRPr="00953692">
              <w:rPr>
                <w:rFonts w:ascii="Times New Roman" w:hAnsi="Times New Roman"/>
                <w:b w:val="0"/>
                <w:noProof/>
                <w:webHidden/>
                <w:color w:val="auto"/>
                <w:sz w:val="24"/>
                <w:szCs w:val="24"/>
              </w:rPr>
              <w:tab/>
            </w:r>
            <w:r w:rsidRPr="00953692">
              <w:rPr>
                <w:rFonts w:ascii="Times New Roman" w:hAnsi="Times New Roman"/>
                <w:b w:val="0"/>
                <w:noProof/>
                <w:webHidden/>
                <w:color w:val="auto"/>
                <w:sz w:val="24"/>
                <w:szCs w:val="24"/>
              </w:rPr>
              <w:fldChar w:fldCharType="begin"/>
            </w:r>
            <w:r w:rsidRPr="00953692">
              <w:rPr>
                <w:rFonts w:ascii="Times New Roman" w:hAnsi="Times New Roman"/>
                <w:b w:val="0"/>
                <w:noProof/>
                <w:webHidden/>
                <w:color w:val="auto"/>
                <w:sz w:val="24"/>
                <w:szCs w:val="24"/>
              </w:rPr>
              <w:instrText xml:space="preserve"> PAGEREF _Toc195179401 \h </w:instrText>
            </w:r>
            <w:r w:rsidRPr="00953692">
              <w:rPr>
                <w:rFonts w:ascii="Times New Roman" w:hAnsi="Times New Roman"/>
                <w:b w:val="0"/>
                <w:noProof/>
                <w:webHidden/>
                <w:color w:val="auto"/>
                <w:sz w:val="24"/>
                <w:szCs w:val="24"/>
              </w:rPr>
            </w:r>
            <w:r w:rsidRPr="00953692">
              <w:rPr>
                <w:rFonts w:ascii="Times New Roman" w:hAnsi="Times New Roman"/>
                <w:b w:val="0"/>
                <w:noProof/>
                <w:webHidden/>
                <w:color w:val="auto"/>
                <w:sz w:val="24"/>
                <w:szCs w:val="24"/>
              </w:rPr>
              <w:fldChar w:fldCharType="separate"/>
            </w:r>
            <w:r w:rsidRPr="00953692">
              <w:rPr>
                <w:rFonts w:ascii="Times New Roman" w:hAnsi="Times New Roman"/>
                <w:b w:val="0"/>
                <w:noProof/>
                <w:webHidden/>
                <w:color w:val="auto"/>
                <w:sz w:val="24"/>
                <w:szCs w:val="24"/>
              </w:rPr>
              <w:t>2</w:t>
            </w:r>
            <w:r w:rsidRPr="00953692">
              <w:rPr>
                <w:rFonts w:ascii="Times New Roman" w:hAnsi="Times New Roman"/>
                <w:b w:val="0"/>
                <w:noProof/>
                <w:webHidden/>
                <w:color w:val="auto"/>
                <w:sz w:val="24"/>
                <w:szCs w:val="24"/>
              </w:rPr>
              <w:fldChar w:fldCharType="end"/>
            </w:r>
          </w:hyperlink>
        </w:p>
        <w:p w14:paraId="6D4170FE" w14:textId="650802E5" w:rsidR="00DF6B77" w:rsidRPr="00953692" w:rsidRDefault="00922FFA" w:rsidP="00A5361F">
          <w:pPr>
            <w:tabs>
              <w:tab w:val="right" w:leader="dot" w:pos="9344"/>
            </w:tabs>
            <w:spacing w:after="100" w:line="276" w:lineRule="auto"/>
            <w:jc w:val="both"/>
            <w:rPr>
              <w:rFonts w:eastAsia="Calibri" w:cs="Times New Roman"/>
              <w:b/>
              <w:bCs/>
              <w:noProof/>
              <w:sz w:val="24"/>
              <w:szCs w:val="24"/>
              <w:lang w:val="fr-FR"/>
            </w:rPr>
          </w:pPr>
          <w:hyperlink w:anchor="_Toc195179402" w:history="1">
            <w:r w:rsidR="00DF6B77" w:rsidRPr="00953692">
              <w:rPr>
                <w:rStyle w:val="Lienhypertexte"/>
                <w:bCs/>
                <w:noProof/>
                <w:color w:val="auto"/>
                <w:sz w:val="24"/>
                <w:szCs w:val="24"/>
                <w:u w:val="none"/>
                <w:shd w:val="clear" w:color="auto" w:fill="FFFFFF"/>
                <w:lang w:val="fr-FR"/>
              </w:rPr>
              <w:t>P</w:t>
            </w:r>
            <w:r w:rsidR="00A5361F" w:rsidRPr="00953692">
              <w:rPr>
                <w:rStyle w:val="Lienhypertexte"/>
                <w:bCs/>
                <w:noProof/>
                <w:color w:val="auto"/>
                <w:sz w:val="24"/>
                <w:szCs w:val="24"/>
                <w:u w:val="none"/>
                <w:shd w:val="clear" w:color="auto" w:fill="FFFFFF"/>
                <w:lang w:val="fr-FR"/>
              </w:rPr>
              <w:t>remière partie :</w:t>
            </w:r>
            <w:r w:rsidR="00A5361F" w:rsidRPr="00953692">
              <w:rPr>
                <w:rFonts w:eastAsia="Calibri" w:cs="Times New Roman"/>
                <w:b/>
                <w:bCs/>
                <w:noProof/>
                <w:sz w:val="24"/>
                <w:szCs w:val="24"/>
                <w:lang w:val="fr-FR"/>
              </w:rPr>
              <w:t xml:space="preserve"> </w:t>
            </w:r>
            <w:r w:rsidR="00A5361F" w:rsidRPr="00953692">
              <w:rPr>
                <w:rFonts w:eastAsia="Calibri" w:cs="Times New Roman"/>
                <w:noProof/>
                <w:sz w:val="24"/>
                <w:szCs w:val="24"/>
                <w:lang w:val="fr-FR"/>
              </w:rPr>
              <w:t>Des rapports de complémentarité : le délai raisonnable apriori renforcé</w:t>
            </w:r>
            <w:r w:rsidR="00DF6B77" w:rsidRPr="00953692">
              <w:rPr>
                <w:noProof/>
                <w:webHidden/>
                <w:sz w:val="24"/>
                <w:szCs w:val="24"/>
              </w:rPr>
              <w:tab/>
            </w:r>
            <w:r w:rsidR="00DF6B77" w:rsidRPr="00953692">
              <w:rPr>
                <w:b/>
                <w:noProof/>
                <w:webHidden/>
                <w:sz w:val="24"/>
                <w:szCs w:val="24"/>
              </w:rPr>
              <w:fldChar w:fldCharType="begin"/>
            </w:r>
            <w:r w:rsidR="00DF6B77" w:rsidRPr="00953692">
              <w:rPr>
                <w:noProof/>
                <w:webHidden/>
                <w:sz w:val="24"/>
                <w:szCs w:val="24"/>
              </w:rPr>
              <w:instrText xml:space="preserve"> PAGEREF _Toc195179402 \h </w:instrText>
            </w:r>
            <w:r w:rsidR="00DF6B77" w:rsidRPr="00953692">
              <w:rPr>
                <w:b/>
                <w:noProof/>
                <w:webHidden/>
                <w:sz w:val="24"/>
                <w:szCs w:val="24"/>
              </w:rPr>
            </w:r>
            <w:r w:rsidR="00DF6B77" w:rsidRPr="00953692">
              <w:rPr>
                <w:b/>
                <w:noProof/>
                <w:webHidden/>
                <w:sz w:val="24"/>
                <w:szCs w:val="24"/>
              </w:rPr>
              <w:fldChar w:fldCharType="separate"/>
            </w:r>
            <w:r w:rsidR="00DF6B77" w:rsidRPr="00953692">
              <w:rPr>
                <w:noProof/>
                <w:webHidden/>
                <w:sz w:val="24"/>
                <w:szCs w:val="24"/>
              </w:rPr>
              <w:t>10</w:t>
            </w:r>
            <w:r w:rsidR="00DF6B77" w:rsidRPr="00953692">
              <w:rPr>
                <w:b/>
                <w:noProof/>
                <w:webHidden/>
                <w:sz w:val="24"/>
                <w:szCs w:val="24"/>
              </w:rPr>
              <w:fldChar w:fldCharType="end"/>
            </w:r>
          </w:hyperlink>
        </w:p>
        <w:p w14:paraId="0298B1CB" w14:textId="19545D92" w:rsidR="00DF6B77" w:rsidRPr="00953692" w:rsidRDefault="00922FFA" w:rsidP="00DF6B77">
          <w:pPr>
            <w:pStyle w:val="TM1"/>
            <w:tabs>
              <w:tab w:val="right" w:leader="dot" w:pos="8494"/>
            </w:tabs>
            <w:jc w:val="both"/>
            <w:rPr>
              <w:rFonts w:ascii="Times New Roman" w:eastAsiaTheme="minorEastAsia" w:hAnsi="Times New Roman"/>
              <w:b w:val="0"/>
              <w:noProof/>
              <w:color w:val="auto"/>
              <w:sz w:val="24"/>
              <w:szCs w:val="24"/>
              <w:lang w:val="fr-FR" w:eastAsia="fr-FR"/>
            </w:rPr>
          </w:pPr>
          <w:hyperlink w:anchor="_Toc195179403" w:history="1">
            <w:r w:rsidR="00A5361F" w:rsidRPr="00953692">
              <w:rPr>
                <w:rStyle w:val="Lienhypertexte"/>
                <w:rFonts w:ascii="Times New Roman" w:hAnsi="Times New Roman"/>
                <w:b w:val="0"/>
                <w:bCs/>
                <w:noProof/>
                <w:color w:val="auto"/>
                <w:sz w:val="24"/>
                <w:szCs w:val="24"/>
                <w:u w:val="none"/>
                <w:shd w:val="clear" w:color="auto" w:fill="FFFFFF"/>
                <w:lang w:val="fr-FR"/>
              </w:rPr>
              <w:t>Chapitre I</w:t>
            </w:r>
            <w:r w:rsidR="00DF6B77" w:rsidRPr="00953692">
              <w:rPr>
                <w:rStyle w:val="Lienhypertexte"/>
                <w:rFonts w:ascii="Times New Roman" w:hAnsi="Times New Roman"/>
                <w:b w:val="0"/>
                <w:bCs/>
                <w:noProof/>
                <w:color w:val="auto"/>
                <w:sz w:val="24"/>
                <w:szCs w:val="24"/>
                <w:u w:val="none"/>
                <w:shd w:val="clear" w:color="auto" w:fill="FFFFFF"/>
                <w:lang w:val="fr-FR"/>
              </w:rPr>
              <w:t xml:space="preserve"> :</w:t>
            </w:r>
            <w:r w:rsidR="00A5361F" w:rsidRPr="00953692">
              <w:rPr>
                <w:rStyle w:val="Lienhypertexte"/>
                <w:rFonts w:ascii="Times New Roman" w:hAnsi="Times New Roman"/>
                <w:b w:val="0"/>
                <w:bCs/>
                <w:noProof/>
                <w:color w:val="auto"/>
                <w:sz w:val="24"/>
                <w:szCs w:val="24"/>
                <w:u w:val="none"/>
                <w:shd w:val="clear" w:color="auto" w:fill="FFFFFF"/>
                <w:lang w:val="fr-FR"/>
              </w:rPr>
              <w:t xml:space="preserve"> </w:t>
            </w:r>
            <w:r w:rsidR="00A5361F" w:rsidRPr="00953692">
              <w:rPr>
                <w:rFonts w:eastAsia="Calibri"/>
                <w:b w:val="0"/>
                <w:noProof/>
                <w:color w:val="auto"/>
                <w:sz w:val="24"/>
                <w:szCs w:val="24"/>
                <w:lang w:val="fr-FR"/>
              </w:rPr>
              <w:t>Des droits indérogeables de la personne mise en cause concourant à l’applicabilité du délai raisonnable : obligations incombant aux organes judiciaires d’agir dans le délai</w:t>
            </w:r>
            <w:r w:rsidR="00DF6B77" w:rsidRPr="00953692">
              <w:rPr>
                <w:rFonts w:ascii="Times New Roman" w:hAnsi="Times New Roman"/>
                <w:b w:val="0"/>
                <w:noProof/>
                <w:webHidden/>
                <w:color w:val="auto"/>
                <w:sz w:val="24"/>
                <w:szCs w:val="24"/>
              </w:rPr>
              <w:tab/>
            </w:r>
            <w:r w:rsidR="00DF6B77" w:rsidRPr="00953692">
              <w:rPr>
                <w:rFonts w:ascii="Times New Roman" w:hAnsi="Times New Roman"/>
                <w:b w:val="0"/>
                <w:noProof/>
                <w:webHidden/>
                <w:color w:val="auto"/>
                <w:sz w:val="24"/>
                <w:szCs w:val="24"/>
              </w:rPr>
              <w:fldChar w:fldCharType="begin"/>
            </w:r>
            <w:r w:rsidR="00DF6B77" w:rsidRPr="00953692">
              <w:rPr>
                <w:rFonts w:ascii="Times New Roman" w:hAnsi="Times New Roman"/>
                <w:b w:val="0"/>
                <w:noProof/>
                <w:webHidden/>
                <w:color w:val="auto"/>
                <w:sz w:val="24"/>
                <w:szCs w:val="24"/>
              </w:rPr>
              <w:instrText xml:space="preserve"> PAGEREF _Toc195179403 \h </w:instrText>
            </w:r>
            <w:r w:rsidR="00DF6B77" w:rsidRPr="00953692">
              <w:rPr>
                <w:rFonts w:ascii="Times New Roman" w:hAnsi="Times New Roman"/>
                <w:b w:val="0"/>
                <w:noProof/>
                <w:webHidden/>
                <w:color w:val="auto"/>
                <w:sz w:val="24"/>
                <w:szCs w:val="24"/>
              </w:rPr>
            </w:r>
            <w:r w:rsidR="00DF6B77" w:rsidRPr="00953692">
              <w:rPr>
                <w:rFonts w:ascii="Times New Roman" w:hAnsi="Times New Roman"/>
                <w:b w:val="0"/>
                <w:noProof/>
                <w:webHidden/>
                <w:color w:val="auto"/>
                <w:sz w:val="24"/>
                <w:szCs w:val="24"/>
              </w:rPr>
              <w:fldChar w:fldCharType="separate"/>
            </w:r>
            <w:r w:rsidR="00DF6B77" w:rsidRPr="00953692">
              <w:rPr>
                <w:rFonts w:ascii="Times New Roman" w:hAnsi="Times New Roman"/>
                <w:b w:val="0"/>
                <w:noProof/>
                <w:webHidden/>
                <w:color w:val="auto"/>
                <w:sz w:val="24"/>
                <w:szCs w:val="24"/>
              </w:rPr>
              <w:t>1</w:t>
            </w:r>
            <w:r w:rsidR="00A5361F" w:rsidRPr="00953692">
              <w:rPr>
                <w:rFonts w:ascii="Times New Roman" w:hAnsi="Times New Roman"/>
                <w:b w:val="0"/>
                <w:noProof/>
                <w:webHidden/>
                <w:color w:val="auto"/>
                <w:sz w:val="24"/>
                <w:szCs w:val="24"/>
                <w:lang w:val="fr-FR"/>
              </w:rPr>
              <w:t>2</w:t>
            </w:r>
            <w:r w:rsidR="00DF6B77" w:rsidRPr="00953692">
              <w:rPr>
                <w:rFonts w:ascii="Times New Roman" w:hAnsi="Times New Roman"/>
                <w:b w:val="0"/>
                <w:noProof/>
                <w:webHidden/>
                <w:color w:val="auto"/>
                <w:sz w:val="24"/>
                <w:szCs w:val="24"/>
              </w:rPr>
              <w:fldChar w:fldCharType="end"/>
            </w:r>
          </w:hyperlink>
        </w:p>
        <w:p w14:paraId="36E9736A" w14:textId="77777777" w:rsidR="00DF6B77" w:rsidRDefault="00922FFA" w:rsidP="00DF6B77">
          <w:pPr>
            <w:pStyle w:val="TM2"/>
            <w:tabs>
              <w:tab w:val="right" w:leader="dot" w:pos="8494"/>
            </w:tabs>
            <w:jc w:val="both"/>
            <w:rPr>
              <w:rFonts w:ascii="Times New Roman" w:hAnsi="Times New Roman"/>
              <w:noProof/>
              <w:color w:val="auto"/>
              <w:sz w:val="24"/>
              <w:szCs w:val="24"/>
              <w:lang w:val="fr-FR"/>
            </w:rPr>
          </w:pPr>
          <w:hyperlink w:anchor="_Toc195179404" w:history="1">
            <w:r w:rsidR="00DF6B77" w:rsidRPr="00953692">
              <w:rPr>
                <w:rStyle w:val="Lienhypertexte"/>
                <w:rFonts w:ascii="Times New Roman" w:hAnsi="Times New Roman"/>
                <w:bCs/>
                <w:noProof/>
                <w:color w:val="auto"/>
                <w:sz w:val="24"/>
                <w:szCs w:val="24"/>
                <w:u w:val="none"/>
                <w:shd w:val="clear" w:color="auto" w:fill="FFFFFF"/>
                <w:lang w:val="fr-FR"/>
              </w:rPr>
              <w:t>Section 01. Le droit d’être informé dans le plus court délai, un premier pas vers un</w:t>
            </w:r>
            <w:r w:rsidR="00DF6B77" w:rsidRPr="00953692">
              <w:rPr>
                <w:rStyle w:val="Lienhypertexte"/>
                <w:rFonts w:ascii="Times New Roman" w:hAnsi="Times New Roman"/>
                <w:bCs/>
                <w:noProof/>
                <w:color w:val="auto"/>
                <w:sz w:val="24"/>
                <w:szCs w:val="24"/>
                <w:u w:val="none"/>
                <w:lang w:val="fr-FR"/>
              </w:rPr>
              <w:t xml:space="preserve"> </w:t>
            </w:r>
            <w:r w:rsidR="00DF6B77" w:rsidRPr="00953692">
              <w:rPr>
                <w:rStyle w:val="Lienhypertexte"/>
                <w:rFonts w:ascii="Times New Roman" w:hAnsi="Times New Roman"/>
                <w:bCs/>
                <w:noProof/>
                <w:color w:val="auto"/>
                <w:sz w:val="24"/>
                <w:szCs w:val="24"/>
                <w:u w:val="none"/>
                <w:shd w:val="clear" w:color="auto" w:fill="FFFFFF"/>
                <w:lang w:val="fr-FR"/>
              </w:rPr>
              <w:t>procès pénal international dans un délai raisonnable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_Toc195179404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12</w:t>
            </w:r>
            <w:r w:rsidR="00DF6B77" w:rsidRPr="00953692">
              <w:rPr>
                <w:rFonts w:ascii="Times New Roman" w:hAnsi="Times New Roman"/>
                <w:noProof/>
                <w:webHidden/>
                <w:color w:val="auto"/>
                <w:sz w:val="24"/>
                <w:szCs w:val="24"/>
              </w:rPr>
              <w:fldChar w:fldCharType="end"/>
            </w:r>
          </w:hyperlink>
        </w:p>
        <w:p w14:paraId="461413E7" w14:textId="6A61396A" w:rsidR="005F099F" w:rsidRPr="005F099F" w:rsidRDefault="00922FFA" w:rsidP="005F099F">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12" w:history="1">
            <w:r w:rsidR="005F099F" w:rsidRPr="00953692">
              <w:rPr>
                <w:rStyle w:val="Lienhypertexte"/>
                <w:rFonts w:ascii="Times New Roman" w:hAnsi="Times New Roman"/>
                <w:i/>
                <w:iCs/>
                <w:noProof/>
                <w:color w:val="auto"/>
                <w:sz w:val="24"/>
                <w:szCs w:val="24"/>
                <w:u w:val="none"/>
                <w:lang w:val="fr-FR"/>
              </w:rPr>
              <w:t>§</w:t>
            </w:r>
            <w:r w:rsidR="005F099F">
              <w:rPr>
                <w:rStyle w:val="Lienhypertexte"/>
                <w:rFonts w:ascii="Times New Roman" w:hAnsi="Times New Roman"/>
                <w:i/>
                <w:iCs/>
                <w:noProof/>
                <w:color w:val="auto"/>
                <w:sz w:val="24"/>
                <w:szCs w:val="24"/>
                <w:u w:val="none"/>
                <w:lang w:val="fr-FR"/>
              </w:rPr>
              <w:t>1</w:t>
            </w:r>
            <w:r w:rsidR="005F099F" w:rsidRPr="00953692">
              <w:rPr>
                <w:rStyle w:val="Lienhypertexte"/>
                <w:rFonts w:ascii="Times New Roman" w:hAnsi="Times New Roman"/>
                <w:i/>
                <w:iCs/>
                <w:noProof/>
                <w:color w:val="auto"/>
                <w:sz w:val="24"/>
                <w:szCs w:val="24"/>
                <w:u w:val="none"/>
                <w:lang w:val="fr-FR"/>
              </w:rPr>
              <w:t xml:space="preserve">. </w:t>
            </w:r>
            <w:r w:rsidR="005F099F">
              <w:rPr>
                <w:rStyle w:val="Lienhypertexte"/>
                <w:rFonts w:ascii="Times New Roman" w:hAnsi="Times New Roman"/>
                <w:i/>
                <w:iCs/>
                <w:noProof/>
                <w:color w:val="auto"/>
                <w:sz w:val="24"/>
                <w:szCs w:val="24"/>
                <w:u w:val="none"/>
                <w:lang w:val="fr-FR"/>
              </w:rPr>
              <w:t>Considérations générales</w:t>
            </w:r>
            <w:r w:rsidR="005F099F" w:rsidRPr="00953692">
              <w:rPr>
                <w:rFonts w:ascii="Times New Roman" w:hAnsi="Times New Roman"/>
                <w:noProof/>
                <w:webHidden/>
                <w:color w:val="auto"/>
                <w:sz w:val="24"/>
                <w:szCs w:val="24"/>
              </w:rPr>
              <w:tab/>
            </w:r>
            <w:r w:rsidR="005F099F" w:rsidRPr="00953692">
              <w:rPr>
                <w:rFonts w:ascii="Times New Roman" w:hAnsi="Times New Roman"/>
                <w:noProof/>
                <w:webHidden/>
                <w:color w:val="auto"/>
                <w:sz w:val="24"/>
                <w:szCs w:val="24"/>
              </w:rPr>
              <w:fldChar w:fldCharType="begin"/>
            </w:r>
            <w:r w:rsidR="005F099F" w:rsidRPr="00953692">
              <w:rPr>
                <w:rFonts w:ascii="Times New Roman" w:hAnsi="Times New Roman"/>
                <w:noProof/>
                <w:webHidden/>
                <w:color w:val="auto"/>
                <w:sz w:val="24"/>
                <w:szCs w:val="24"/>
              </w:rPr>
              <w:instrText xml:space="preserve"> PAGEREF _Toc195179412 \h </w:instrText>
            </w:r>
            <w:r w:rsidR="005F099F" w:rsidRPr="00953692">
              <w:rPr>
                <w:rFonts w:ascii="Times New Roman" w:hAnsi="Times New Roman"/>
                <w:noProof/>
                <w:webHidden/>
                <w:color w:val="auto"/>
                <w:sz w:val="24"/>
                <w:szCs w:val="24"/>
              </w:rPr>
            </w:r>
            <w:r w:rsidR="005F099F" w:rsidRPr="00953692">
              <w:rPr>
                <w:rFonts w:ascii="Times New Roman" w:hAnsi="Times New Roman"/>
                <w:noProof/>
                <w:webHidden/>
                <w:color w:val="auto"/>
                <w:sz w:val="24"/>
                <w:szCs w:val="24"/>
              </w:rPr>
              <w:fldChar w:fldCharType="separate"/>
            </w:r>
            <w:r w:rsidR="005F099F">
              <w:rPr>
                <w:rFonts w:ascii="Times New Roman" w:hAnsi="Times New Roman"/>
                <w:noProof/>
                <w:webHidden/>
                <w:color w:val="auto"/>
                <w:sz w:val="24"/>
                <w:szCs w:val="24"/>
                <w:lang w:val="fr-FR"/>
              </w:rPr>
              <w:t>13</w:t>
            </w:r>
            <w:r w:rsidR="005F099F" w:rsidRPr="00953692">
              <w:rPr>
                <w:rFonts w:ascii="Times New Roman" w:hAnsi="Times New Roman"/>
                <w:noProof/>
                <w:webHidden/>
                <w:color w:val="auto"/>
                <w:sz w:val="24"/>
                <w:szCs w:val="24"/>
              </w:rPr>
              <w:fldChar w:fldCharType="end"/>
            </w:r>
          </w:hyperlink>
        </w:p>
        <w:p w14:paraId="34FD8BF8"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05" w:history="1">
            <w:r w:rsidR="00DF6B77" w:rsidRPr="00953692">
              <w:rPr>
                <w:rStyle w:val="Lienhypertexte"/>
                <w:rFonts w:ascii="Times New Roman" w:eastAsia="Calibri" w:hAnsi="Times New Roman"/>
                <w:i/>
                <w:iCs/>
                <w:noProof/>
                <w:color w:val="auto"/>
                <w:sz w:val="24"/>
                <w:szCs w:val="24"/>
                <w:u w:val="none"/>
                <w:lang w:val="fr-FR"/>
              </w:rPr>
              <w:t>A.</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Sources et étendue du droit d’être informé dans le plus court délai</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_Toc195179405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13</w:t>
            </w:r>
            <w:r w:rsidR="00DF6B77" w:rsidRPr="00953692">
              <w:rPr>
                <w:rFonts w:ascii="Times New Roman" w:hAnsi="Times New Roman"/>
                <w:noProof/>
                <w:webHidden/>
                <w:color w:val="auto"/>
                <w:sz w:val="24"/>
                <w:szCs w:val="24"/>
              </w:rPr>
              <w:fldChar w:fldCharType="end"/>
            </w:r>
          </w:hyperlink>
        </w:p>
        <w:p w14:paraId="7DEF6722"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06" w:history="1">
            <w:r w:rsidR="00DF6B77" w:rsidRPr="00953692">
              <w:rPr>
                <w:rStyle w:val="Lienhypertexte"/>
                <w:rFonts w:ascii="Times New Roman" w:hAnsi="Times New Roman"/>
                <w:i/>
                <w:iCs/>
                <w:noProof/>
                <w:color w:val="auto"/>
                <w:sz w:val="24"/>
                <w:szCs w:val="24"/>
                <w:u w:val="none"/>
                <w:lang w:val="fr-FR"/>
              </w:rPr>
              <w:t>1.</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Le droit d’être informé dans le plus court délai, dans les textes juridiques internationaux relatifs aux droits de l’homme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_Toc195179406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13</w:t>
            </w:r>
            <w:r w:rsidR="00DF6B77" w:rsidRPr="00953692">
              <w:rPr>
                <w:rFonts w:ascii="Times New Roman" w:hAnsi="Times New Roman"/>
                <w:noProof/>
                <w:webHidden/>
                <w:color w:val="auto"/>
                <w:sz w:val="24"/>
                <w:szCs w:val="24"/>
              </w:rPr>
              <w:fldChar w:fldCharType="end"/>
            </w:r>
          </w:hyperlink>
        </w:p>
        <w:p w14:paraId="64546C79"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07" w:history="1">
            <w:r w:rsidR="00DF6B77" w:rsidRPr="00953692">
              <w:rPr>
                <w:rStyle w:val="Lienhypertexte"/>
                <w:rFonts w:ascii="Times New Roman" w:hAnsi="Times New Roman"/>
                <w:i/>
                <w:iCs/>
                <w:noProof/>
                <w:color w:val="auto"/>
                <w:sz w:val="24"/>
                <w:szCs w:val="24"/>
                <w:u w:val="none"/>
                <w:lang w:val="fr-FR"/>
              </w:rPr>
              <w:t>2.</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Le droit d’être informé dans les actes constitutifs des juridictions pénales internationales</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_Toc195179407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17</w:t>
            </w:r>
            <w:r w:rsidR="00DF6B77" w:rsidRPr="00953692">
              <w:rPr>
                <w:rFonts w:ascii="Times New Roman" w:hAnsi="Times New Roman"/>
                <w:noProof/>
                <w:webHidden/>
                <w:color w:val="auto"/>
                <w:sz w:val="24"/>
                <w:szCs w:val="24"/>
              </w:rPr>
              <w:fldChar w:fldCharType="end"/>
            </w:r>
          </w:hyperlink>
        </w:p>
        <w:p w14:paraId="15D2582B"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08" w:history="1">
            <w:r w:rsidR="00DF6B77" w:rsidRPr="00953692">
              <w:rPr>
                <w:rStyle w:val="Lienhypertexte"/>
                <w:rFonts w:ascii="Times New Roman" w:hAnsi="Times New Roman"/>
                <w:i/>
                <w:iCs/>
                <w:noProof/>
                <w:color w:val="auto"/>
                <w:spacing w:val="4"/>
                <w:sz w:val="24"/>
                <w:szCs w:val="24"/>
                <w:u w:val="none"/>
                <w:lang w:val="fr-FR"/>
              </w:rPr>
              <w:t>B.</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pacing w:val="4"/>
                <w:sz w:val="24"/>
                <w:szCs w:val="24"/>
                <w:u w:val="none"/>
                <w:lang w:val="fr-FR"/>
              </w:rPr>
              <w:t>Modalités de la réalisation : La progressivité du droit d’être informé</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_Toc195179408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20</w:t>
            </w:r>
            <w:r w:rsidR="00DF6B77" w:rsidRPr="00953692">
              <w:rPr>
                <w:rFonts w:ascii="Times New Roman" w:hAnsi="Times New Roman"/>
                <w:noProof/>
                <w:webHidden/>
                <w:color w:val="auto"/>
                <w:sz w:val="24"/>
                <w:szCs w:val="24"/>
              </w:rPr>
              <w:fldChar w:fldCharType="end"/>
            </w:r>
          </w:hyperlink>
        </w:p>
        <w:p w14:paraId="418D26EA"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09" w:history="1">
            <w:r w:rsidR="00DF6B77" w:rsidRPr="00953692">
              <w:rPr>
                <w:rStyle w:val="Lienhypertexte"/>
                <w:rFonts w:ascii="Times New Roman" w:hAnsi="Times New Roman"/>
                <w:i/>
                <w:iCs/>
                <w:noProof/>
                <w:color w:val="auto"/>
                <w:sz w:val="24"/>
                <w:szCs w:val="24"/>
                <w:u w:val="none"/>
                <w:lang w:val="fr-FR"/>
              </w:rPr>
              <w:t>1.</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Au moment de la signification de la convocation, de la citation à comparaitre ou du mandat d’arrêt</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_Toc195179409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20</w:t>
            </w:r>
            <w:r w:rsidR="00DF6B77" w:rsidRPr="00953692">
              <w:rPr>
                <w:rFonts w:ascii="Times New Roman" w:hAnsi="Times New Roman"/>
                <w:noProof/>
                <w:webHidden/>
                <w:color w:val="auto"/>
                <w:sz w:val="24"/>
                <w:szCs w:val="24"/>
              </w:rPr>
              <w:fldChar w:fldCharType="end"/>
            </w:r>
          </w:hyperlink>
        </w:p>
        <w:p w14:paraId="5F1AA8D0"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10" w:history="1">
            <w:r w:rsidR="00DF6B77" w:rsidRPr="00953692">
              <w:rPr>
                <w:rStyle w:val="Lienhypertexte"/>
                <w:rFonts w:ascii="Times New Roman" w:hAnsi="Times New Roman"/>
                <w:i/>
                <w:iCs/>
                <w:noProof/>
                <w:color w:val="auto"/>
                <w:sz w:val="24"/>
                <w:szCs w:val="24"/>
                <w:u w:val="none"/>
                <w:lang w:val="fr-FR"/>
              </w:rPr>
              <w:t>2.</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Avant le début du procès en première instance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_Toc195179410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23</w:t>
            </w:r>
            <w:r w:rsidR="00DF6B77" w:rsidRPr="00953692">
              <w:rPr>
                <w:rFonts w:ascii="Times New Roman" w:hAnsi="Times New Roman"/>
                <w:noProof/>
                <w:webHidden/>
                <w:color w:val="auto"/>
                <w:sz w:val="24"/>
                <w:szCs w:val="24"/>
              </w:rPr>
              <w:fldChar w:fldCharType="end"/>
            </w:r>
          </w:hyperlink>
        </w:p>
        <w:p w14:paraId="1CCB0A2F"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11" w:history="1">
            <w:r w:rsidR="00DF6B77" w:rsidRPr="00953692">
              <w:rPr>
                <w:rStyle w:val="Lienhypertexte"/>
                <w:rFonts w:ascii="Times New Roman" w:hAnsi="Times New Roman"/>
                <w:i/>
                <w:iCs/>
                <w:noProof/>
                <w:color w:val="auto"/>
                <w:sz w:val="24"/>
                <w:szCs w:val="24"/>
                <w:u w:val="none"/>
                <w:lang w:val="fr-FR"/>
              </w:rPr>
              <w:t>3.</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Au cours du procès, en cas de modification de l’acte d’accusation</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_Toc195179411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28</w:t>
            </w:r>
            <w:r w:rsidR="00DF6B77" w:rsidRPr="00953692">
              <w:rPr>
                <w:rFonts w:ascii="Times New Roman" w:hAnsi="Times New Roman"/>
                <w:noProof/>
                <w:webHidden/>
                <w:color w:val="auto"/>
                <w:sz w:val="24"/>
                <w:szCs w:val="24"/>
              </w:rPr>
              <w:fldChar w:fldCharType="end"/>
            </w:r>
          </w:hyperlink>
        </w:p>
        <w:p w14:paraId="34525FA7"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12" w:history="1">
            <w:r w:rsidR="00DF6B77" w:rsidRPr="00953692">
              <w:rPr>
                <w:rStyle w:val="Lienhypertexte"/>
                <w:rFonts w:ascii="Times New Roman" w:hAnsi="Times New Roman"/>
                <w:i/>
                <w:iCs/>
                <w:noProof/>
                <w:color w:val="auto"/>
                <w:sz w:val="24"/>
                <w:szCs w:val="24"/>
                <w:u w:val="none"/>
                <w:lang w:val="fr-FR"/>
              </w:rPr>
              <w:t>§2. Implication du droit d’être informé dans le plus court délai sur le délai raisonnable du procès</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_Toc195179412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29</w:t>
            </w:r>
            <w:r w:rsidR="00DF6B77" w:rsidRPr="00953692">
              <w:rPr>
                <w:rFonts w:ascii="Times New Roman" w:hAnsi="Times New Roman"/>
                <w:noProof/>
                <w:webHidden/>
                <w:color w:val="auto"/>
                <w:sz w:val="24"/>
                <w:szCs w:val="24"/>
              </w:rPr>
              <w:fldChar w:fldCharType="end"/>
            </w:r>
          </w:hyperlink>
        </w:p>
        <w:p w14:paraId="572C5472"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13" w:history="1">
            <w:r w:rsidR="00DF6B77" w:rsidRPr="00953692">
              <w:rPr>
                <w:rStyle w:val="Lienhypertexte"/>
                <w:rFonts w:ascii="Times New Roman" w:hAnsi="Times New Roman"/>
                <w:i/>
                <w:noProof/>
                <w:color w:val="auto"/>
                <w:sz w:val="24"/>
                <w:szCs w:val="24"/>
                <w:u w:val="none"/>
                <w:lang w:val="fr-FR"/>
              </w:rPr>
              <w:t>A.</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Implication positive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_Toc195179413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30</w:t>
            </w:r>
            <w:r w:rsidR="00DF6B77" w:rsidRPr="00953692">
              <w:rPr>
                <w:rFonts w:ascii="Times New Roman" w:hAnsi="Times New Roman"/>
                <w:noProof/>
                <w:webHidden/>
                <w:color w:val="auto"/>
                <w:sz w:val="24"/>
                <w:szCs w:val="24"/>
              </w:rPr>
              <w:fldChar w:fldCharType="end"/>
            </w:r>
          </w:hyperlink>
        </w:p>
        <w:p w14:paraId="5AB07DE4"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14" w:history="1">
            <w:r w:rsidR="00DF6B77" w:rsidRPr="00953692">
              <w:rPr>
                <w:rStyle w:val="Lienhypertexte"/>
                <w:rFonts w:ascii="Times New Roman" w:hAnsi="Times New Roman"/>
                <w:i/>
                <w:noProof/>
                <w:color w:val="auto"/>
                <w:sz w:val="24"/>
                <w:szCs w:val="24"/>
                <w:u w:val="none"/>
                <w:lang w:val="fr-FR"/>
              </w:rPr>
              <w:t>B.</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Implication négative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_Toc195179414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31</w:t>
            </w:r>
            <w:r w:rsidR="00DF6B77" w:rsidRPr="00953692">
              <w:rPr>
                <w:rFonts w:ascii="Times New Roman" w:hAnsi="Times New Roman"/>
                <w:noProof/>
                <w:webHidden/>
                <w:color w:val="auto"/>
                <w:sz w:val="24"/>
                <w:szCs w:val="24"/>
              </w:rPr>
              <w:fldChar w:fldCharType="end"/>
            </w:r>
          </w:hyperlink>
        </w:p>
        <w:p w14:paraId="3FDA83EC" w14:textId="77777777" w:rsidR="00DF6B77" w:rsidRPr="00953692" w:rsidRDefault="00922FFA" w:rsidP="00DF6B77">
          <w:pPr>
            <w:pStyle w:val="TM2"/>
            <w:tabs>
              <w:tab w:val="right" w:leader="dot" w:pos="8494"/>
            </w:tabs>
            <w:jc w:val="both"/>
            <w:rPr>
              <w:rFonts w:ascii="Times New Roman" w:eastAsiaTheme="minorEastAsia" w:hAnsi="Times New Roman"/>
              <w:noProof/>
              <w:color w:val="auto"/>
              <w:sz w:val="24"/>
              <w:szCs w:val="24"/>
              <w:lang w:val="fr-FR" w:eastAsia="fr-FR"/>
            </w:rPr>
          </w:pPr>
          <w:hyperlink w:anchor="_Toc195179415" w:history="1">
            <w:r w:rsidR="00DF6B77" w:rsidRPr="00953692">
              <w:rPr>
                <w:rStyle w:val="Lienhypertexte"/>
                <w:rFonts w:ascii="Times New Roman" w:hAnsi="Times New Roman"/>
                <w:bCs/>
                <w:noProof/>
                <w:color w:val="auto"/>
                <w:sz w:val="24"/>
                <w:szCs w:val="24"/>
                <w:u w:val="none"/>
                <w:lang w:val="fr-FR"/>
              </w:rPr>
              <w:t>Section 02. Le droit de comparaitre initialement sans délai devant un juge :</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_Toc195179415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38</w:t>
            </w:r>
            <w:r w:rsidR="00DF6B77" w:rsidRPr="00953692">
              <w:rPr>
                <w:rFonts w:ascii="Times New Roman" w:hAnsi="Times New Roman"/>
                <w:noProof/>
                <w:webHidden/>
                <w:color w:val="auto"/>
                <w:sz w:val="24"/>
                <w:szCs w:val="24"/>
              </w:rPr>
              <w:fldChar w:fldCharType="end"/>
            </w:r>
          </w:hyperlink>
        </w:p>
        <w:p w14:paraId="3D03C462"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16" w:history="1">
            <w:r w:rsidR="00DF6B77" w:rsidRPr="00953692">
              <w:rPr>
                <w:rStyle w:val="Lienhypertexte"/>
                <w:rFonts w:ascii="Times New Roman" w:hAnsi="Times New Roman"/>
                <w:i/>
                <w:iCs/>
                <w:noProof/>
                <w:color w:val="auto"/>
                <w:sz w:val="24"/>
                <w:szCs w:val="24"/>
                <w:u w:val="none"/>
                <w:lang w:val="fr-FR"/>
              </w:rPr>
              <w:t>§1. Notion, sources et caractéristiques du droit à la comparution initiale sans délai ou immédiatement</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_Toc195179416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39</w:t>
            </w:r>
            <w:r w:rsidR="00DF6B77" w:rsidRPr="00953692">
              <w:rPr>
                <w:rFonts w:ascii="Times New Roman" w:hAnsi="Times New Roman"/>
                <w:noProof/>
                <w:webHidden/>
                <w:color w:val="auto"/>
                <w:sz w:val="24"/>
                <w:szCs w:val="24"/>
              </w:rPr>
              <w:fldChar w:fldCharType="end"/>
            </w:r>
          </w:hyperlink>
        </w:p>
        <w:p w14:paraId="5491C0A9"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17" w:history="1">
            <w:r w:rsidR="00DF6B77" w:rsidRPr="00953692">
              <w:rPr>
                <w:rStyle w:val="Lienhypertexte"/>
                <w:rFonts w:ascii="Times New Roman" w:hAnsi="Times New Roman"/>
                <w:i/>
                <w:iCs/>
                <w:noProof/>
                <w:color w:val="auto"/>
                <w:sz w:val="24"/>
                <w:szCs w:val="24"/>
                <w:u w:val="none"/>
                <w:lang w:val="fr-FR"/>
              </w:rPr>
              <w:t>§2. La comparution initiale sans délai, vers un procès dans un délai raisonnable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_Toc195179417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42</w:t>
            </w:r>
            <w:r w:rsidR="00DF6B77" w:rsidRPr="00953692">
              <w:rPr>
                <w:rFonts w:ascii="Times New Roman" w:hAnsi="Times New Roman"/>
                <w:noProof/>
                <w:webHidden/>
                <w:color w:val="auto"/>
                <w:sz w:val="24"/>
                <w:szCs w:val="24"/>
              </w:rPr>
              <w:fldChar w:fldCharType="end"/>
            </w:r>
          </w:hyperlink>
        </w:p>
        <w:p w14:paraId="76990429"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18" w:history="1">
            <w:r w:rsidR="00DF6B77" w:rsidRPr="00953692">
              <w:rPr>
                <w:rStyle w:val="Lienhypertexte"/>
                <w:rFonts w:ascii="Times New Roman" w:hAnsi="Times New Roman"/>
                <w:bCs/>
                <w:noProof/>
                <w:color w:val="auto"/>
                <w:sz w:val="24"/>
                <w:szCs w:val="24"/>
                <w:u w:val="none"/>
                <w:lang w:val="fr-FR"/>
              </w:rPr>
              <w:t>Section 03. Le droit d’être inculpé dans le délai</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_Toc195179418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50</w:t>
            </w:r>
            <w:r w:rsidR="00DF6B77" w:rsidRPr="00953692">
              <w:rPr>
                <w:rFonts w:ascii="Times New Roman" w:hAnsi="Times New Roman"/>
                <w:noProof/>
                <w:webHidden/>
                <w:color w:val="auto"/>
                <w:sz w:val="24"/>
                <w:szCs w:val="24"/>
              </w:rPr>
              <w:fldChar w:fldCharType="end"/>
            </w:r>
          </w:hyperlink>
        </w:p>
        <w:p w14:paraId="674180E5"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19" w:history="1">
            <w:r w:rsidR="00DF6B77" w:rsidRPr="00953692">
              <w:rPr>
                <w:rStyle w:val="Lienhypertexte"/>
                <w:rFonts w:ascii="Times New Roman" w:hAnsi="Times New Roman"/>
                <w:i/>
                <w:iCs/>
                <w:noProof/>
                <w:color w:val="auto"/>
                <w:sz w:val="24"/>
                <w:szCs w:val="24"/>
                <w:u w:val="none"/>
                <w:lang w:val="fr-FR"/>
              </w:rPr>
              <w:t>§1. Notion, sources et caractéristiques du droit d’être inculpé dans le délai</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_Toc195179419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50</w:t>
            </w:r>
            <w:r w:rsidR="00DF6B77" w:rsidRPr="00953692">
              <w:rPr>
                <w:rFonts w:ascii="Times New Roman" w:hAnsi="Times New Roman"/>
                <w:noProof/>
                <w:webHidden/>
                <w:color w:val="auto"/>
                <w:sz w:val="24"/>
                <w:szCs w:val="24"/>
              </w:rPr>
              <w:fldChar w:fldCharType="end"/>
            </w:r>
          </w:hyperlink>
        </w:p>
        <w:p w14:paraId="56FAAF86"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20" w:history="1">
            <w:r w:rsidR="00DF6B77" w:rsidRPr="00953692">
              <w:rPr>
                <w:rStyle w:val="Lienhypertexte"/>
                <w:rFonts w:ascii="Times New Roman" w:hAnsi="Times New Roman"/>
                <w:i/>
                <w:iCs/>
                <w:noProof/>
                <w:color w:val="auto"/>
                <w:sz w:val="24"/>
                <w:szCs w:val="24"/>
                <w:u w:val="none"/>
                <w:lang w:val="fr-FR"/>
              </w:rPr>
              <w:t>§2. Incidence du droit d’être inculpé dans le délai sur le délai raisonnable du procès</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_Toc195179420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57</w:t>
            </w:r>
            <w:r w:rsidR="00DF6B77" w:rsidRPr="00953692">
              <w:rPr>
                <w:rFonts w:ascii="Times New Roman" w:hAnsi="Times New Roman"/>
                <w:noProof/>
                <w:webHidden/>
                <w:color w:val="auto"/>
                <w:sz w:val="24"/>
                <w:szCs w:val="24"/>
              </w:rPr>
              <w:fldChar w:fldCharType="end"/>
            </w:r>
          </w:hyperlink>
        </w:p>
        <w:p w14:paraId="6A2C9BD1" w14:textId="77777777" w:rsidR="00DF6B77" w:rsidRPr="00953692" w:rsidRDefault="00922FFA" w:rsidP="00DF6B77">
          <w:pPr>
            <w:pStyle w:val="TM1"/>
            <w:tabs>
              <w:tab w:val="right" w:leader="dot" w:pos="8494"/>
            </w:tabs>
            <w:jc w:val="both"/>
            <w:rPr>
              <w:rFonts w:ascii="Times New Roman" w:eastAsiaTheme="minorEastAsia" w:hAnsi="Times New Roman"/>
              <w:b w:val="0"/>
              <w:noProof/>
              <w:color w:val="auto"/>
              <w:sz w:val="24"/>
              <w:szCs w:val="24"/>
              <w:lang w:val="fr-FR" w:eastAsia="fr-FR"/>
            </w:rPr>
          </w:pPr>
          <w:hyperlink w:anchor="_Toc195179421" w:history="1">
            <w:r w:rsidR="00DF6B77" w:rsidRPr="00953692">
              <w:rPr>
                <w:rStyle w:val="Lienhypertexte"/>
                <w:rFonts w:ascii="Times New Roman" w:hAnsi="Times New Roman"/>
                <w:b w:val="0"/>
                <w:bCs/>
                <w:noProof/>
                <w:color w:val="auto"/>
                <w:sz w:val="24"/>
                <w:szCs w:val="24"/>
                <w:u w:val="none"/>
                <w:lang w:val="fr-FR"/>
              </w:rPr>
              <w:t>Chapitre II</w:t>
            </w:r>
            <w:r w:rsidR="00DF6B77" w:rsidRPr="00953692">
              <w:rPr>
                <w:rStyle w:val="Lienhypertexte"/>
                <w:rFonts w:ascii="Times New Roman" w:hAnsi="Times New Roman"/>
                <w:b w:val="0"/>
                <w:noProof/>
                <w:color w:val="auto"/>
                <w:sz w:val="24"/>
                <w:szCs w:val="24"/>
                <w:u w:val="none"/>
                <w:lang w:val="fr-FR"/>
              </w:rPr>
              <w:t xml:space="preserve">. </w:t>
            </w:r>
            <w:r w:rsidR="00DF6B77" w:rsidRPr="00953692">
              <w:rPr>
                <w:rStyle w:val="Lienhypertexte"/>
                <w:rFonts w:ascii="Times New Roman" w:hAnsi="Times New Roman"/>
                <w:b w:val="0"/>
                <w:bCs/>
                <w:noProof/>
                <w:color w:val="auto"/>
                <w:sz w:val="24"/>
                <w:szCs w:val="24"/>
                <w:u w:val="none"/>
                <w:lang w:val="fr-FR"/>
              </w:rPr>
              <w:t xml:space="preserve">Des droits dérogeables de l’accusé : </w:t>
            </w:r>
            <w:r w:rsidR="00DF6B77" w:rsidRPr="00953692">
              <w:rPr>
                <w:rStyle w:val="Lienhypertexte"/>
                <w:rFonts w:ascii="Times New Roman" w:hAnsi="Times New Roman"/>
                <w:b w:val="0"/>
                <w:i/>
                <w:iCs/>
                <w:noProof/>
                <w:color w:val="auto"/>
                <w:sz w:val="24"/>
                <w:szCs w:val="24"/>
                <w:u w:val="none"/>
                <w:lang w:val="fr-FR"/>
              </w:rPr>
              <w:t>des prérogatives dont la mise œuvre est susceptible d’écourter ou d’accélérer le procès ou d’en faciliter la tenue dans un délai raisonnable</w:t>
            </w:r>
            <w:r w:rsidR="00DF6B77" w:rsidRPr="00953692">
              <w:rPr>
                <w:rFonts w:ascii="Times New Roman" w:hAnsi="Times New Roman"/>
                <w:b w:val="0"/>
                <w:noProof/>
                <w:webHidden/>
                <w:color w:val="auto"/>
                <w:sz w:val="24"/>
                <w:szCs w:val="24"/>
              </w:rPr>
              <w:tab/>
            </w:r>
            <w:r w:rsidR="00DF6B77" w:rsidRPr="00953692">
              <w:rPr>
                <w:rFonts w:ascii="Times New Roman" w:hAnsi="Times New Roman"/>
                <w:b w:val="0"/>
                <w:noProof/>
                <w:webHidden/>
                <w:color w:val="auto"/>
                <w:sz w:val="24"/>
                <w:szCs w:val="24"/>
              </w:rPr>
              <w:fldChar w:fldCharType="begin"/>
            </w:r>
            <w:r w:rsidR="00DF6B77" w:rsidRPr="00953692">
              <w:rPr>
                <w:rFonts w:ascii="Times New Roman" w:hAnsi="Times New Roman"/>
                <w:b w:val="0"/>
                <w:noProof/>
                <w:webHidden/>
                <w:color w:val="auto"/>
                <w:sz w:val="24"/>
                <w:szCs w:val="24"/>
              </w:rPr>
              <w:instrText xml:space="preserve"> PAGEREF _Toc195179421 \h </w:instrText>
            </w:r>
            <w:r w:rsidR="00DF6B77" w:rsidRPr="00953692">
              <w:rPr>
                <w:rFonts w:ascii="Times New Roman" w:hAnsi="Times New Roman"/>
                <w:b w:val="0"/>
                <w:noProof/>
                <w:webHidden/>
                <w:color w:val="auto"/>
                <w:sz w:val="24"/>
                <w:szCs w:val="24"/>
              </w:rPr>
            </w:r>
            <w:r w:rsidR="00DF6B77" w:rsidRPr="00953692">
              <w:rPr>
                <w:rFonts w:ascii="Times New Roman" w:hAnsi="Times New Roman"/>
                <w:b w:val="0"/>
                <w:noProof/>
                <w:webHidden/>
                <w:color w:val="auto"/>
                <w:sz w:val="24"/>
                <w:szCs w:val="24"/>
              </w:rPr>
              <w:fldChar w:fldCharType="separate"/>
            </w:r>
            <w:r w:rsidR="00DF6B77" w:rsidRPr="00953692">
              <w:rPr>
                <w:rFonts w:ascii="Times New Roman" w:hAnsi="Times New Roman"/>
                <w:b w:val="0"/>
                <w:noProof/>
                <w:webHidden/>
                <w:color w:val="auto"/>
                <w:sz w:val="24"/>
                <w:szCs w:val="24"/>
              </w:rPr>
              <w:t>60</w:t>
            </w:r>
            <w:r w:rsidR="00DF6B77" w:rsidRPr="00953692">
              <w:rPr>
                <w:rFonts w:ascii="Times New Roman" w:hAnsi="Times New Roman"/>
                <w:b w:val="0"/>
                <w:noProof/>
                <w:webHidden/>
                <w:color w:val="auto"/>
                <w:sz w:val="24"/>
                <w:szCs w:val="24"/>
              </w:rPr>
              <w:fldChar w:fldCharType="end"/>
            </w:r>
          </w:hyperlink>
        </w:p>
        <w:p w14:paraId="4C628F98" w14:textId="77777777" w:rsidR="00DF6B77" w:rsidRPr="00953692" w:rsidRDefault="00922FFA" w:rsidP="00DF6B77">
          <w:pPr>
            <w:pStyle w:val="TM2"/>
            <w:tabs>
              <w:tab w:val="right" w:leader="dot" w:pos="8494"/>
            </w:tabs>
            <w:jc w:val="both"/>
            <w:rPr>
              <w:rFonts w:ascii="Times New Roman" w:eastAsiaTheme="minorEastAsia" w:hAnsi="Times New Roman"/>
              <w:noProof/>
              <w:color w:val="auto"/>
              <w:sz w:val="24"/>
              <w:szCs w:val="24"/>
              <w:lang w:val="fr-FR" w:eastAsia="fr-FR"/>
            </w:rPr>
          </w:pPr>
          <w:hyperlink w:anchor="_Toc195179422" w:history="1">
            <w:r w:rsidR="00DF6B77" w:rsidRPr="00953692">
              <w:rPr>
                <w:rStyle w:val="Lienhypertexte"/>
                <w:rFonts w:ascii="Times New Roman" w:hAnsi="Times New Roman"/>
                <w:bCs/>
                <w:noProof/>
                <w:color w:val="auto"/>
                <w:sz w:val="24"/>
                <w:szCs w:val="24"/>
                <w:u w:val="none"/>
                <w:lang w:val="fr-FR"/>
              </w:rPr>
              <w:t xml:space="preserve">Section 01. Le droit de plaider coupable : </w:t>
            </w:r>
            <w:r w:rsidR="00DF6B77" w:rsidRPr="00953692">
              <w:rPr>
                <w:rStyle w:val="Lienhypertexte"/>
                <w:rFonts w:ascii="Times New Roman" w:hAnsi="Times New Roman"/>
                <w:i/>
                <w:iCs/>
                <w:noProof/>
                <w:color w:val="auto"/>
                <w:sz w:val="24"/>
                <w:szCs w:val="24"/>
                <w:u w:val="none"/>
                <w:lang w:val="fr-FR"/>
              </w:rPr>
              <w:t>économie</w:t>
            </w:r>
            <w:r w:rsidR="00DF6B77" w:rsidRPr="00953692">
              <w:rPr>
                <w:rStyle w:val="Lienhypertexte"/>
                <w:rFonts w:ascii="Times New Roman" w:hAnsi="Times New Roman"/>
                <w:i/>
                <w:iCs/>
                <w:noProof/>
                <w:color w:val="auto"/>
                <w:sz w:val="24"/>
                <w:szCs w:val="24"/>
                <w:u w:val="none"/>
                <w:shd w:val="clear" w:color="auto" w:fill="FFFFFF"/>
                <w:lang w:val="fr-FR"/>
              </w:rPr>
              <w:t xml:space="preserve"> d’un long procès</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_Toc195179422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61</w:t>
            </w:r>
            <w:r w:rsidR="00DF6B77" w:rsidRPr="00953692">
              <w:rPr>
                <w:rFonts w:ascii="Times New Roman" w:hAnsi="Times New Roman"/>
                <w:noProof/>
                <w:webHidden/>
                <w:color w:val="auto"/>
                <w:sz w:val="24"/>
                <w:szCs w:val="24"/>
              </w:rPr>
              <w:fldChar w:fldCharType="end"/>
            </w:r>
          </w:hyperlink>
        </w:p>
        <w:p w14:paraId="7C2B9EEB"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23" w:history="1">
            <w:r w:rsidR="00DF6B77" w:rsidRPr="00953692">
              <w:rPr>
                <w:rStyle w:val="Lienhypertexte"/>
                <w:rFonts w:ascii="Times New Roman" w:hAnsi="Times New Roman"/>
                <w:i/>
                <w:iCs/>
                <w:noProof/>
                <w:color w:val="auto"/>
                <w:sz w:val="24"/>
                <w:szCs w:val="24"/>
                <w:u w:val="none"/>
                <w:lang w:val="fr-FR"/>
              </w:rPr>
              <w:t>§1. Notion et conditions de l’aveu de culpabilité en droit international pénal</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_Toc195179423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62</w:t>
            </w:r>
            <w:r w:rsidR="00DF6B77" w:rsidRPr="00953692">
              <w:rPr>
                <w:rFonts w:ascii="Times New Roman" w:hAnsi="Times New Roman"/>
                <w:noProof/>
                <w:webHidden/>
                <w:color w:val="auto"/>
                <w:sz w:val="24"/>
                <w:szCs w:val="24"/>
              </w:rPr>
              <w:fldChar w:fldCharType="end"/>
            </w:r>
          </w:hyperlink>
        </w:p>
        <w:p w14:paraId="307CA25F"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24" w:history="1">
            <w:r w:rsidR="00DF6B77" w:rsidRPr="00953692">
              <w:rPr>
                <w:rStyle w:val="Lienhypertexte"/>
                <w:rFonts w:ascii="Times New Roman" w:hAnsi="Times New Roman"/>
                <w:i/>
                <w:iCs/>
                <w:noProof/>
                <w:color w:val="auto"/>
                <w:sz w:val="24"/>
                <w:szCs w:val="24"/>
                <w:u w:val="none"/>
                <w:lang w:val="fr-FR"/>
              </w:rPr>
              <w:t>A.</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Notions d’aveu de culpabilité dans les actes constitutifs des juridictions pénales internationales</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_Toc195179424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62</w:t>
            </w:r>
            <w:r w:rsidR="00DF6B77" w:rsidRPr="00953692">
              <w:rPr>
                <w:rFonts w:ascii="Times New Roman" w:hAnsi="Times New Roman"/>
                <w:noProof/>
                <w:webHidden/>
                <w:color w:val="auto"/>
                <w:sz w:val="24"/>
                <w:szCs w:val="24"/>
              </w:rPr>
              <w:fldChar w:fldCharType="end"/>
            </w:r>
          </w:hyperlink>
        </w:p>
        <w:p w14:paraId="386DD9DF"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25" w:history="1">
            <w:r w:rsidR="00DF6B77" w:rsidRPr="00953692">
              <w:rPr>
                <w:rStyle w:val="Lienhypertexte"/>
                <w:rFonts w:ascii="Times New Roman" w:hAnsi="Times New Roman"/>
                <w:i/>
                <w:iCs/>
                <w:noProof/>
                <w:color w:val="auto"/>
                <w:sz w:val="24"/>
                <w:szCs w:val="24"/>
                <w:u w:val="none"/>
                <w:lang w:val="fr-FR"/>
              </w:rPr>
              <w:t>B.</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shd w:val="clear" w:color="auto" w:fill="FFFFFF"/>
                <w:lang w:val="fr-FR"/>
              </w:rPr>
              <w:t>Conditions de validité de l’aveu de culpabilité, préalables à la possibilité d’une procédure pénale accélérée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_Toc195179425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64</w:t>
            </w:r>
            <w:r w:rsidR="00DF6B77" w:rsidRPr="00953692">
              <w:rPr>
                <w:rFonts w:ascii="Times New Roman" w:hAnsi="Times New Roman"/>
                <w:noProof/>
                <w:webHidden/>
                <w:color w:val="auto"/>
                <w:sz w:val="24"/>
                <w:szCs w:val="24"/>
              </w:rPr>
              <w:fldChar w:fldCharType="end"/>
            </w:r>
          </w:hyperlink>
        </w:p>
        <w:p w14:paraId="694C252A"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26" w:history="1">
            <w:r w:rsidR="00DF6B77" w:rsidRPr="00953692">
              <w:rPr>
                <w:rStyle w:val="Lienhypertexte"/>
                <w:rFonts w:ascii="Times New Roman" w:hAnsi="Times New Roman"/>
                <w:i/>
                <w:iCs/>
                <w:noProof/>
                <w:color w:val="auto"/>
                <w:sz w:val="24"/>
                <w:szCs w:val="24"/>
                <w:u w:val="none"/>
                <w:lang w:val="fr-FR"/>
              </w:rPr>
              <w:t>§2. Implications du droit de plaider coupable sur le délai raisonnable du procès à la lumière des actes constitutifs et de la pratique des juridictions pénales internationales</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_Toc195179426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67</w:t>
            </w:r>
            <w:r w:rsidR="00DF6B77" w:rsidRPr="00953692">
              <w:rPr>
                <w:rFonts w:ascii="Times New Roman" w:hAnsi="Times New Roman"/>
                <w:noProof/>
                <w:webHidden/>
                <w:color w:val="auto"/>
                <w:sz w:val="24"/>
                <w:szCs w:val="24"/>
              </w:rPr>
              <w:fldChar w:fldCharType="end"/>
            </w:r>
          </w:hyperlink>
        </w:p>
        <w:p w14:paraId="293A9E57"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27" w:history="1">
            <w:r w:rsidR="00DF6B77" w:rsidRPr="00953692">
              <w:rPr>
                <w:rStyle w:val="Lienhypertexte"/>
                <w:rFonts w:ascii="Times New Roman" w:hAnsi="Times New Roman"/>
                <w:i/>
                <w:iCs/>
                <w:noProof/>
                <w:color w:val="auto"/>
                <w:sz w:val="24"/>
                <w:szCs w:val="24"/>
                <w:u w:val="none"/>
                <w:lang w:val="fr-FR"/>
              </w:rPr>
              <w:t>A.</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Economie d’un long procès</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_Toc195179427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67</w:t>
            </w:r>
            <w:r w:rsidR="00DF6B77" w:rsidRPr="00953692">
              <w:rPr>
                <w:rFonts w:ascii="Times New Roman" w:hAnsi="Times New Roman"/>
                <w:noProof/>
                <w:webHidden/>
                <w:color w:val="auto"/>
                <w:sz w:val="24"/>
                <w:szCs w:val="24"/>
              </w:rPr>
              <w:fldChar w:fldCharType="end"/>
            </w:r>
          </w:hyperlink>
        </w:p>
        <w:p w14:paraId="48D94087" w14:textId="5E55E351" w:rsidR="00DF6B77" w:rsidRPr="00953692" w:rsidRDefault="00922FFA" w:rsidP="00DF6B77">
          <w:pPr>
            <w:pStyle w:val="TM3"/>
            <w:tabs>
              <w:tab w:val="left" w:pos="1000"/>
              <w:tab w:val="right" w:leader="dot" w:pos="8494"/>
            </w:tabs>
            <w:jc w:val="both"/>
            <w:rPr>
              <w:rFonts w:ascii="Times New Roman" w:hAnsi="Times New Roman"/>
              <w:noProof/>
              <w:color w:val="auto"/>
              <w:sz w:val="24"/>
              <w:szCs w:val="24"/>
              <w:lang w:val="fr-FR"/>
            </w:rPr>
          </w:pPr>
          <w:hyperlink w:anchor="_Toc195179428" w:history="1">
            <w:r w:rsidR="00DF6B77" w:rsidRPr="00953692">
              <w:rPr>
                <w:rStyle w:val="Lienhypertexte"/>
                <w:rFonts w:ascii="Times New Roman" w:hAnsi="Times New Roman"/>
                <w:i/>
                <w:iCs/>
                <w:noProof/>
                <w:color w:val="auto"/>
                <w:sz w:val="24"/>
                <w:szCs w:val="24"/>
                <w:u w:val="none"/>
                <w:lang w:val="fr-FR"/>
              </w:rPr>
              <w:t>B.</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shd w:val="clear" w:color="auto" w:fill="FFFFFF"/>
                <w:lang w:val="fr-FR"/>
              </w:rPr>
              <w:t>L’expérience d’une pratique mitigée des juridictions pénales internationales</w:t>
            </w:r>
            <w:r w:rsidR="00DF6B77" w:rsidRPr="00953692">
              <w:rPr>
                <w:rFonts w:ascii="Times New Roman" w:hAnsi="Times New Roman"/>
                <w:noProof/>
                <w:webHidden/>
                <w:color w:val="auto"/>
                <w:sz w:val="24"/>
                <w:szCs w:val="24"/>
              </w:rPr>
              <w:tab/>
            </w:r>
            <w:r w:rsidR="00B12A33" w:rsidRPr="00953692">
              <w:rPr>
                <w:rFonts w:ascii="Times New Roman" w:hAnsi="Times New Roman"/>
                <w:noProof/>
                <w:webHidden/>
                <w:color w:val="auto"/>
                <w:sz w:val="24"/>
                <w:szCs w:val="24"/>
                <w:lang w:val="fr-FR"/>
              </w:rPr>
              <w:t>………………………………………………………………………………</w:t>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_Toc195179428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73</w:t>
            </w:r>
            <w:r w:rsidR="00DF6B77" w:rsidRPr="00953692">
              <w:rPr>
                <w:rFonts w:ascii="Times New Roman" w:hAnsi="Times New Roman"/>
                <w:noProof/>
                <w:webHidden/>
                <w:color w:val="auto"/>
                <w:sz w:val="24"/>
                <w:szCs w:val="24"/>
              </w:rPr>
              <w:fldChar w:fldCharType="end"/>
            </w:r>
          </w:hyperlink>
        </w:p>
        <w:p w14:paraId="45BDC783" w14:textId="1B18FF2F" w:rsidR="00A5361F" w:rsidRPr="00953692" w:rsidRDefault="00922FFA" w:rsidP="00B12A33">
          <w:pPr>
            <w:spacing w:before="240" w:line="276" w:lineRule="auto"/>
            <w:ind w:left="400" w:firstLine="20"/>
            <w:jc w:val="both"/>
            <w:rPr>
              <w:rFonts w:cs="Times New Roman"/>
              <w:i/>
              <w:iCs/>
              <w:sz w:val="24"/>
              <w:szCs w:val="24"/>
              <w:lang w:val="fr-FR"/>
            </w:rPr>
          </w:pPr>
          <w:hyperlink w:anchor="_Toc195179422" w:history="1">
            <w:r w:rsidR="00B12A33" w:rsidRPr="00953692">
              <w:rPr>
                <w:rFonts w:cs="Times New Roman"/>
                <w:sz w:val="24"/>
                <w:szCs w:val="24"/>
                <w:lang w:val="fr-FR"/>
              </w:rPr>
              <w:t>Section 02. Le droit de participer activement à l’aboutissement rapide de son procès,</w:t>
            </w:r>
            <w:r w:rsidR="00B12A33" w:rsidRPr="00953692">
              <w:rPr>
                <w:rFonts w:cs="Times New Roman"/>
                <w:b/>
                <w:bCs/>
                <w:sz w:val="24"/>
                <w:szCs w:val="24"/>
                <w:lang w:val="fr-FR"/>
              </w:rPr>
              <w:t xml:space="preserve">    </w:t>
            </w:r>
            <w:r w:rsidR="00B12A33" w:rsidRPr="00953692">
              <w:rPr>
                <w:rFonts w:cs="Times New Roman"/>
                <w:i/>
                <w:iCs/>
                <w:sz w:val="24"/>
                <w:szCs w:val="24"/>
                <w:lang w:val="fr-FR"/>
              </w:rPr>
              <w:t>le procès se déroule de façon rapide par l’activisme d’un accusé qui plaide non-coupable……………………………………………………………………………………..</w:t>
            </w:r>
            <w:r w:rsidR="00A5361F" w:rsidRPr="00953692">
              <w:rPr>
                <w:noProof/>
                <w:webHidden/>
                <w:sz w:val="24"/>
                <w:szCs w:val="24"/>
              </w:rPr>
              <w:fldChar w:fldCharType="begin"/>
            </w:r>
            <w:r w:rsidR="00A5361F" w:rsidRPr="00953692">
              <w:rPr>
                <w:noProof/>
                <w:webHidden/>
                <w:sz w:val="24"/>
                <w:szCs w:val="24"/>
              </w:rPr>
              <w:instrText xml:space="preserve"> PAGEREF _Toc195179422 \h </w:instrText>
            </w:r>
            <w:r w:rsidR="00A5361F" w:rsidRPr="00953692">
              <w:rPr>
                <w:noProof/>
                <w:webHidden/>
                <w:sz w:val="24"/>
                <w:szCs w:val="24"/>
              </w:rPr>
            </w:r>
            <w:r w:rsidR="00A5361F" w:rsidRPr="00953692">
              <w:rPr>
                <w:noProof/>
                <w:webHidden/>
                <w:sz w:val="24"/>
                <w:szCs w:val="24"/>
              </w:rPr>
              <w:fldChar w:fldCharType="separate"/>
            </w:r>
            <w:r w:rsidR="00B12A33" w:rsidRPr="00953692">
              <w:rPr>
                <w:noProof/>
                <w:webHidden/>
                <w:sz w:val="24"/>
                <w:szCs w:val="24"/>
                <w:lang w:val="fr-FR"/>
              </w:rPr>
              <w:t>8</w:t>
            </w:r>
            <w:r w:rsidR="00A5361F" w:rsidRPr="00953692">
              <w:rPr>
                <w:noProof/>
                <w:webHidden/>
                <w:sz w:val="24"/>
                <w:szCs w:val="24"/>
              </w:rPr>
              <w:t>1</w:t>
            </w:r>
            <w:r w:rsidR="00A5361F" w:rsidRPr="00953692">
              <w:rPr>
                <w:noProof/>
                <w:webHidden/>
                <w:sz w:val="24"/>
                <w:szCs w:val="24"/>
              </w:rPr>
              <w:fldChar w:fldCharType="end"/>
            </w:r>
          </w:hyperlink>
        </w:p>
        <w:p w14:paraId="518D5B7A"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29" w:history="1">
            <w:r w:rsidR="00DF6B77" w:rsidRPr="00953692">
              <w:rPr>
                <w:rStyle w:val="Lienhypertexte"/>
                <w:rFonts w:ascii="Times New Roman" w:hAnsi="Times New Roman"/>
                <w:i/>
                <w:iCs/>
                <w:noProof/>
                <w:color w:val="auto"/>
                <w:sz w:val="24"/>
                <w:szCs w:val="24"/>
                <w:u w:val="none"/>
                <w:lang w:val="fr-FR"/>
              </w:rPr>
              <w:t>§1. Notion, sources et caractéristiques du droit de participer activement à l’aboutissement rapide de son procès : est-ce un droit ?</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_Toc195179429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81</w:t>
            </w:r>
            <w:r w:rsidR="00DF6B77" w:rsidRPr="00953692">
              <w:rPr>
                <w:rFonts w:ascii="Times New Roman" w:hAnsi="Times New Roman"/>
                <w:noProof/>
                <w:webHidden/>
                <w:color w:val="auto"/>
                <w:sz w:val="24"/>
                <w:szCs w:val="24"/>
              </w:rPr>
              <w:fldChar w:fldCharType="end"/>
            </w:r>
          </w:hyperlink>
        </w:p>
        <w:p w14:paraId="36FB2865" w14:textId="77777777" w:rsidR="00DF6B77" w:rsidRPr="00953692" w:rsidRDefault="00922FFA" w:rsidP="00DF6B77">
          <w:pPr>
            <w:pStyle w:val="TM3"/>
            <w:tabs>
              <w:tab w:val="right" w:leader="dot" w:pos="8494"/>
            </w:tabs>
            <w:jc w:val="both"/>
            <w:rPr>
              <w:rFonts w:ascii="Times New Roman" w:hAnsi="Times New Roman"/>
              <w:noProof/>
              <w:color w:val="auto"/>
              <w:sz w:val="24"/>
              <w:szCs w:val="24"/>
              <w:lang w:val="fr-FR"/>
            </w:rPr>
          </w:pPr>
          <w:hyperlink w:anchor="_Toc195179430" w:history="1">
            <w:r w:rsidR="00DF6B77" w:rsidRPr="00953692">
              <w:rPr>
                <w:rStyle w:val="Lienhypertexte"/>
                <w:rFonts w:ascii="Times New Roman" w:hAnsi="Times New Roman"/>
                <w:i/>
                <w:iCs/>
                <w:noProof/>
                <w:color w:val="auto"/>
                <w:sz w:val="24"/>
                <w:szCs w:val="24"/>
                <w:u w:val="none"/>
                <w:lang w:val="fr-FR"/>
              </w:rPr>
              <w:t>§2. Incidences de participer à l’aboutissement rapide de son procès à la lumière de la pratique des juridictions pénales internationales</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_Toc195179430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85</w:t>
            </w:r>
            <w:r w:rsidR="00DF6B77" w:rsidRPr="00953692">
              <w:rPr>
                <w:rFonts w:ascii="Times New Roman" w:hAnsi="Times New Roman"/>
                <w:noProof/>
                <w:webHidden/>
                <w:color w:val="auto"/>
                <w:sz w:val="24"/>
                <w:szCs w:val="24"/>
              </w:rPr>
              <w:fldChar w:fldCharType="end"/>
            </w:r>
          </w:hyperlink>
        </w:p>
        <w:p w14:paraId="41F12D70" w14:textId="263403A3" w:rsidR="00B12A33" w:rsidRPr="00953692" w:rsidRDefault="00B12A33" w:rsidP="00B12A33">
          <w:pPr>
            <w:tabs>
              <w:tab w:val="right" w:leader="dot" w:pos="9344"/>
            </w:tabs>
            <w:spacing w:after="100" w:line="276" w:lineRule="auto"/>
            <w:jc w:val="both"/>
            <w:rPr>
              <w:rFonts w:eastAsia="Calibri" w:cs="Times New Roman"/>
              <w:noProof/>
              <w:sz w:val="24"/>
              <w:szCs w:val="24"/>
              <w:lang w:val="fr-FR"/>
            </w:rPr>
          </w:pPr>
          <w:r w:rsidRPr="00953692">
            <w:fldChar w:fldCharType="begin"/>
          </w:r>
          <w:r w:rsidRPr="00953692">
            <w:instrText>HYPERLINK \l "_Toc195179402"</w:instrText>
          </w:r>
          <w:r w:rsidRPr="00953692">
            <w:fldChar w:fldCharType="separate"/>
          </w:r>
          <w:r w:rsidRPr="00953692">
            <w:rPr>
              <w:rStyle w:val="Lienhypertexte"/>
              <w:bCs/>
              <w:noProof/>
              <w:color w:val="auto"/>
              <w:sz w:val="24"/>
              <w:szCs w:val="24"/>
              <w:u w:val="none"/>
              <w:shd w:val="clear" w:color="auto" w:fill="FFFFFF"/>
              <w:lang w:val="fr-FR"/>
            </w:rPr>
            <w:t>Deuxième partie :</w:t>
          </w:r>
          <w:r w:rsidRPr="00953692">
            <w:rPr>
              <w:rFonts w:eastAsia="Calibri" w:cs="Times New Roman"/>
              <w:b/>
              <w:bCs/>
              <w:noProof/>
              <w:sz w:val="24"/>
              <w:szCs w:val="24"/>
              <w:lang w:val="fr-FR"/>
            </w:rPr>
            <w:t xml:space="preserve"> </w:t>
          </w:r>
          <w:r w:rsidRPr="00953692">
            <w:rPr>
              <w:rFonts w:eastAsia="Calibri" w:cs="Times New Roman"/>
              <w:noProof/>
              <w:sz w:val="24"/>
              <w:szCs w:val="24"/>
              <w:lang w:val="fr-FR"/>
            </w:rPr>
            <w:t>Des rapports de conflictualité :</w:t>
          </w:r>
          <w:r w:rsidRPr="00953692">
            <w:rPr>
              <w:rFonts w:eastAsia="Calibri" w:cs="Times New Roman"/>
              <w:b/>
              <w:bCs/>
              <w:noProof/>
              <w:sz w:val="24"/>
              <w:szCs w:val="24"/>
              <w:lang w:val="fr-FR"/>
            </w:rPr>
            <w:t xml:space="preserve"> </w:t>
          </w:r>
          <w:r w:rsidRPr="00953692">
            <w:rPr>
              <w:rFonts w:eastAsia="Calibri" w:cs="Times New Roman"/>
              <w:noProof/>
              <w:sz w:val="24"/>
              <w:szCs w:val="24"/>
              <w:lang w:val="fr-FR"/>
            </w:rPr>
            <w:t xml:space="preserve">Le délai raisonnable apriori affaibli </w:t>
          </w:r>
        </w:p>
        <w:p w14:paraId="032EBECE" w14:textId="01B24F97" w:rsidR="00B12A33" w:rsidRPr="00953692" w:rsidRDefault="00B12A33" w:rsidP="00B12A33">
          <w:pPr>
            <w:tabs>
              <w:tab w:val="right" w:leader="dot" w:pos="9344"/>
            </w:tabs>
            <w:spacing w:after="100" w:line="276" w:lineRule="auto"/>
            <w:jc w:val="both"/>
            <w:rPr>
              <w:rFonts w:eastAsia="Calibri" w:cs="Times New Roman"/>
              <w:b/>
              <w:bCs/>
              <w:noProof/>
              <w:sz w:val="24"/>
              <w:szCs w:val="24"/>
              <w:lang w:val="fr-FR"/>
            </w:rPr>
          </w:pPr>
          <w:r w:rsidRPr="00953692">
            <w:rPr>
              <w:noProof/>
              <w:webHidden/>
              <w:sz w:val="24"/>
              <w:szCs w:val="24"/>
            </w:rPr>
            <w:tab/>
          </w:r>
          <w:r w:rsidRPr="00953692">
            <w:rPr>
              <w:noProof/>
              <w:webHidden/>
              <w:sz w:val="24"/>
              <w:szCs w:val="24"/>
              <w:lang w:val="fr-FR"/>
            </w:rPr>
            <w:t>9</w:t>
          </w:r>
          <w:r w:rsidRPr="00953692">
            <w:rPr>
              <w:b/>
              <w:noProof/>
              <w:webHidden/>
              <w:sz w:val="24"/>
              <w:szCs w:val="24"/>
            </w:rPr>
            <w:fldChar w:fldCharType="begin"/>
          </w:r>
          <w:r w:rsidRPr="00953692">
            <w:rPr>
              <w:noProof/>
              <w:webHidden/>
              <w:sz w:val="24"/>
              <w:szCs w:val="24"/>
            </w:rPr>
            <w:instrText xml:space="preserve"> PAGEREF _Toc195179402 \h </w:instrText>
          </w:r>
          <w:r w:rsidRPr="00953692">
            <w:rPr>
              <w:b/>
              <w:noProof/>
              <w:webHidden/>
              <w:sz w:val="24"/>
              <w:szCs w:val="24"/>
            </w:rPr>
          </w:r>
          <w:r w:rsidRPr="00953692">
            <w:rPr>
              <w:b/>
              <w:noProof/>
              <w:webHidden/>
              <w:sz w:val="24"/>
              <w:szCs w:val="24"/>
            </w:rPr>
            <w:fldChar w:fldCharType="separate"/>
          </w:r>
          <w:r w:rsidRPr="00953692">
            <w:rPr>
              <w:noProof/>
              <w:webHidden/>
              <w:sz w:val="24"/>
              <w:szCs w:val="24"/>
            </w:rPr>
            <w:t>1</w:t>
          </w:r>
          <w:r w:rsidRPr="00953692">
            <w:rPr>
              <w:b/>
              <w:noProof/>
              <w:webHidden/>
              <w:sz w:val="24"/>
              <w:szCs w:val="24"/>
            </w:rPr>
            <w:fldChar w:fldCharType="end"/>
          </w:r>
          <w:r w:rsidRPr="00953692">
            <w:rPr>
              <w:noProof/>
              <w:sz w:val="24"/>
              <w:szCs w:val="24"/>
            </w:rPr>
            <w:fldChar w:fldCharType="end"/>
          </w:r>
        </w:p>
        <w:p w14:paraId="5C4972B2" w14:textId="77777777" w:rsidR="00DF6B77" w:rsidRPr="00953692" w:rsidRDefault="00922FFA" w:rsidP="00DF6B77">
          <w:pPr>
            <w:pStyle w:val="TM1"/>
            <w:tabs>
              <w:tab w:val="right" w:leader="dot" w:pos="8494"/>
            </w:tabs>
            <w:jc w:val="both"/>
            <w:rPr>
              <w:rFonts w:ascii="Times New Roman" w:eastAsiaTheme="minorEastAsia" w:hAnsi="Times New Roman"/>
              <w:b w:val="0"/>
              <w:noProof/>
              <w:color w:val="auto"/>
              <w:sz w:val="24"/>
              <w:szCs w:val="24"/>
              <w:lang w:val="fr-FR" w:eastAsia="fr-FR"/>
            </w:rPr>
          </w:pPr>
          <w:hyperlink w:anchor="_Toc195179431" w:history="1">
            <w:r w:rsidR="00DF6B77" w:rsidRPr="00953692">
              <w:rPr>
                <w:rStyle w:val="Lienhypertexte"/>
                <w:rFonts w:ascii="Times New Roman" w:hAnsi="Times New Roman"/>
                <w:b w:val="0"/>
                <w:bCs/>
                <w:noProof/>
                <w:color w:val="auto"/>
                <w:sz w:val="24"/>
                <w:szCs w:val="24"/>
                <w:u w:val="none"/>
                <w:lang w:val="fr-FR"/>
              </w:rPr>
              <w:t>Chapitre premier</w:t>
            </w:r>
            <w:r w:rsidR="00DF6B77" w:rsidRPr="00953692">
              <w:rPr>
                <w:rStyle w:val="Lienhypertexte"/>
                <w:rFonts w:ascii="Times New Roman" w:hAnsi="Times New Roman"/>
                <w:b w:val="0"/>
                <w:noProof/>
                <w:color w:val="auto"/>
                <w:sz w:val="24"/>
                <w:szCs w:val="24"/>
                <w:u w:val="none"/>
                <w:lang w:val="fr-FR"/>
              </w:rPr>
              <w:t xml:space="preserve">. </w:t>
            </w:r>
            <w:r w:rsidR="00DF6B77" w:rsidRPr="00953692">
              <w:rPr>
                <w:rStyle w:val="Lienhypertexte"/>
                <w:rFonts w:ascii="Times New Roman" w:hAnsi="Times New Roman"/>
                <w:b w:val="0"/>
                <w:bCs/>
                <w:noProof/>
                <w:color w:val="auto"/>
                <w:sz w:val="24"/>
                <w:szCs w:val="24"/>
                <w:u w:val="none"/>
                <w:lang w:val="fr-FR"/>
              </w:rPr>
              <w:t xml:space="preserve">La conflictualité par essentialité des droits de l’accusé dans un procès équitable : </w:t>
            </w:r>
            <w:r w:rsidR="00DF6B77" w:rsidRPr="00953692">
              <w:rPr>
                <w:rStyle w:val="Lienhypertexte"/>
                <w:rFonts w:ascii="Times New Roman" w:hAnsi="Times New Roman"/>
                <w:b w:val="0"/>
                <w:i/>
                <w:iCs/>
                <w:noProof/>
                <w:color w:val="auto"/>
                <w:sz w:val="24"/>
                <w:szCs w:val="24"/>
                <w:u w:val="none"/>
                <w:lang w:val="fr-FR"/>
              </w:rPr>
              <w:t>Entre l’un ou l’autre, ou ensemble ?</w:t>
            </w:r>
            <w:r w:rsidR="00DF6B77" w:rsidRPr="00953692">
              <w:rPr>
                <w:rFonts w:ascii="Times New Roman" w:hAnsi="Times New Roman"/>
                <w:b w:val="0"/>
                <w:noProof/>
                <w:webHidden/>
                <w:color w:val="auto"/>
                <w:sz w:val="24"/>
                <w:szCs w:val="24"/>
              </w:rPr>
              <w:tab/>
            </w:r>
            <w:r w:rsidR="00DF6B77" w:rsidRPr="00953692">
              <w:rPr>
                <w:rFonts w:ascii="Times New Roman" w:hAnsi="Times New Roman"/>
                <w:b w:val="0"/>
                <w:noProof/>
                <w:webHidden/>
                <w:color w:val="auto"/>
                <w:sz w:val="24"/>
                <w:szCs w:val="24"/>
              </w:rPr>
              <w:fldChar w:fldCharType="begin"/>
            </w:r>
            <w:r w:rsidR="00DF6B77" w:rsidRPr="00953692">
              <w:rPr>
                <w:rFonts w:ascii="Times New Roman" w:hAnsi="Times New Roman"/>
                <w:b w:val="0"/>
                <w:noProof/>
                <w:webHidden/>
                <w:color w:val="auto"/>
                <w:sz w:val="24"/>
                <w:szCs w:val="24"/>
              </w:rPr>
              <w:instrText xml:space="preserve"> PAGEREF _Toc195179431 \h </w:instrText>
            </w:r>
            <w:r w:rsidR="00DF6B77" w:rsidRPr="00953692">
              <w:rPr>
                <w:rFonts w:ascii="Times New Roman" w:hAnsi="Times New Roman"/>
                <w:b w:val="0"/>
                <w:noProof/>
                <w:webHidden/>
                <w:color w:val="auto"/>
                <w:sz w:val="24"/>
                <w:szCs w:val="24"/>
              </w:rPr>
            </w:r>
            <w:r w:rsidR="00DF6B77" w:rsidRPr="00953692">
              <w:rPr>
                <w:rFonts w:ascii="Times New Roman" w:hAnsi="Times New Roman"/>
                <w:b w:val="0"/>
                <w:noProof/>
                <w:webHidden/>
                <w:color w:val="auto"/>
                <w:sz w:val="24"/>
                <w:szCs w:val="24"/>
              </w:rPr>
              <w:fldChar w:fldCharType="separate"/>
            </w:r>
            <w:r w:rsidR="00DF6B77" w:rsidRPr="00953692">
              <w:rPr>
                <w:rFonts w:ascii="Times New Roman" w:hAnsi="Times New Roman"/>
                <w:b w:val="0"/>
                <w:noProof/>
                <w:webHidden/>
                <w:color w:val="auto"/>
                <w:sz w:val="24"/>
                <w:szCs w:val="24"/>
              </w:rPr>
              <w:t>94</w:t>
            </w:r>
            <w:r w:rsidR="00DF6B77" w:rsidRPr="00953692">
              <w:rPr>
                <w:rFonts w:ascii="Times New Roman" w:hAnsi="Times New Roman"/>
                <w:b w:val="0"/>
                <w:noProof/>
                <w:webHidden/>
                <w:color w:val="auto"/>
                <w:sz w:val="24"/>
                <w:szCs w:val="24"/>
              </w:rPr>
              <w:fldChar w:fldCharType="end"/>
            </w:r>
          </w:hyperlink>
        </w:p>
        <w:p w14:paraId="08C205DD" w14:textId="77777777" w:rsidR="00DF6B77" w:rsidRPr="00953692" w:rsidRDefault="00922FFA" w:rsidP="00DF6B77">
          <w:pPr>
            <w:pStyle w:val="TM2"/>
            <w:tabs>
              <w:tab w:val="right" w:leader="dot" w:pos="8494"/>
            </w:tabs>
            <w:jc w:val="both"/>
            <w:rPr>
              <w:rFonts w:ascii="Times New Roman" w:eastAsiaTheme="minorEastAsia" w:hAnsi="Times New Roman"/>
              <w:noProof/>
              <w:color w:val="auto"/>
              <w:sz w:val="24"/>
              <w:szCs w:val="24"/>
              <w:lang w:val="fr-FR" w:eastAsia="fr-FR"/>
            </w:rPr>
          </w:pPr>
          <w:hyperlink w:anchor="_Toc195179432" w:history="1">
            <w:r w:rsidR="00DF6B77" w:rsidRPr="00953692">
              <w:rPr>
                <w:rStyle w:val="Lienhypertexte"/>
                <w:rFonts w:ascii="Times New Roman" w:hAnsi="Times New Roman"/>
                <w:bCs/>
                <w:noProof/>
                <w:color w:val="auto"/>
                <w:sz w:val="24"/>
                <w:szCs w:val="24"/>
                <w:u w:val="none"/>
                <w:lang w:val="fr-FR"/>
              </w:rPr>
              <w:t xml:space="preserve">Section 01. Le droit de disposer du temps et des facilités nécessaires à la préparation de sa défense et le délai raisonnable, </w:t>
            </w:r>
            <w:r w:rsidR="00DF6B77" w:rsidRPr="00953692">
              <w:rPr>
                <w:rStyle w:val="Lienhypertexte"/>
                <w:rFonts w:ascii="Times New Roman" w:hAnsi="Times New Roman"/>
                <w:i/>
                <w:iCs/>
                <w:noProof/>
                <w:color w:val="auto"/>
                <w:sz w:val="24"/>
                <w:szCs w:val="24"/>
                <w:u w:val="none"/>
                <w:lang w:val="fr-FR"/>
              </w:rPr>
              <w:t>dans la droite ligne d’un procès équitable, mais conflictualisés par la difficulté d’une contemporanéité de leur mise en œuvre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_Toc195179432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95</w:t>
            </w:r>
            <w:r w:rsidR="00DF6B77" w:rsidRPr="00953692">
              <w:rPr>
                <w:rFonts w:ascii="Times New Roman" w:hAnsi="Times New Roman"/>
                <w:noProof/>
                <w:webHidden/>
                <w:color w:val="auto"/>
                <w:sz w:val="24"/>
                <w:szCs w:val="24"/>
              </w:rPr>
              <w:fldChar w:fldCharType="end"/>
            </w:r>
          </w:hyperlink>
        </w:p>
        <w:p w14:paraId="166791AE"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33" w:history="1">
            <w:r w:rsidR="00DF6B77" w:rsidRPr="00953692">
              <w:rPr>
                <w:rStyle w:val="Lienhypertexte"/>
                <w:rFonts w:ascii="Times New Roman" w:hAnsi="Times New Roman"/>
                <w:i/>
                <w:noProof/>
                <w:color w:val="auto"/>
                <w:sz w:val="24"/>
                <w:szCs w:val="24"/>
                <w:u w:val="none"/>
                <w:lang w:val="fr-FR"/>
              </w:rPr>
              <w:t xml:space="preserve">§1. </w:t>
            </w:r>
            <w:r w:rsidR="00DF6B77" w:rsidRPr="00953692">
              <w:rPr>
                <w:rStyle w:val="Lienhypertexte"/>
                <w:rFonts w:ascii="Times New Roman" w:hAnsi="Times New Roman"/>
                <w:i/>
                <w:iCs/>
                <w:noProof/>
                <w:color w:val="auto"/>
                <w:sz w:val="24"/>
                <w:szCs w:val="24"/>
                <w:u w:val="none"/>
                <w:lang w:val="fr-FR"/>
              </w:rPr>
              <w:t xml:space="preserve">Le délai raisonnable est-il incompatible avec le droit de l’accusé de disposer du temps et des facilités nécessaires à la préparation de sa défense </w:t>
            </w:r>
            <w:r w:rsidR="00DF6B77" w:rsidRPr="00953692">
              <w:rPr>
                <w:rStyle w:val="Lienhypertexte"/>
                <w:rFonts w:ascii="Times New Roman" w:hAnsi="Times New Roman"/>
                <w:i/>
                <w:noProof/>
                <w:color w:val="auto"/>
                <w:sz w:val="24"/>
                <w:szCs w:val="24"/>
                <w:u w:val="none"/>
                <w:lang w:val="fr-FR"/>
              </w:rPr>
              <w:t>?</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_Toc195179433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96</w:t>
            </w:r>
            <w:r w:rsidR="00DF6B77" w:rsidRPr="00953692">
              <w:rPr>
                <w:rFonts w:ascii="Times New Roman" w:hAnsi="Times New Roman"/>
                <w:noProof/>
                <w:webHidden/>
                <w:color w:val="auto"/>
                <w:sz w:val="24"/>
                <w:szCs w:val="24"/>
              </w:rPr>
              <w:fldChar w:fldCharType="end"/>
            </w:r>
          </w:hyperlink>
        </w:p>
        <w:p w14:paraId="1E4C8200"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34" w:history="1">
            <w:r w:rsidR="00DF6B77" w:rsidRPr="00953692">
              <w:rPr>
                <w:rStyle w:val="Lienhypertexte"/>
                <w:rFonts w:ascii="Times New Roman" w:hAnsi="Times New Roman"/>
                <w:i/>
                <w:iCs/>
                <w:noProof/>
                <w:color w:val="auto"/>
                <w:sz w:val="24"/>
                <w:szCs w:val="24"/>
                <w:u w:val="none"/>
                <w:lang w:val="fr-FR"/>
              </w:rPr>
              <w:t>A.</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Notion et portée du droit de disposer du temps et facilités nécessaires à la préparation de la défense : assurer un procès équitable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_Toc195179434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96</w:t>
            </w:r>
            <w:r w:rsidR="00DF6B77" w:rsidRPr="00953692">
              <w:rPr>
                <w:rFonts w:ascii="Times New Roman" w:hAnsi="Times New Roman"/>
                <w:noProof/>
                <w:webHidden/>
                <w:color w:val="auto"/>
                <w:sz w:val="24"/>
                <w:szCs w:val="24"/>
              </w:rPr>
              <w:fldChar w:fldCharType="end"/>
            </w:r>
          </w:hyperlink>
        </w:p>
        <w:p w14:paraId="7823FFE8"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35" w:history="1">
            <w:r w:rsidR="00DF6B77" w:rsidRPr="00953692">
              <w:rPr>
                <w:rStyle w:val="Lienhypertexte"/>
                <w:rFonts w:ascii="Times New Roman" w:hAnsi="Times New Roman"/>
                <w:i/>
                <w:iCs/>
                <w:noProof/>
                <w:color w:val="auto"/>
                <w:sz w:val="24"/>
                <w:szCs w:val="24"/>
                <w:u w:val="none"/>
                <w:lang w:val="fr-FR"/>
              </w:rPr>
              <w:t>B.</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Un conflit latent entre le droit de disposer du temps et facilités nécessaires à la préparation de la défense et le droit d’être jugé sans retard excessif</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_Toc195179435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102</w:t>
            </w:r>
            <w:r w:rsidR="00DF6B77" w:rsidRPr="00953692">
              <w:rPr>
                <w:rFonts w:ascii="Times New Roman" w:hAnsi="Times New Roman"/>
                <w:noProof/>
                <w:webHidden/>
                <w:color w:val="auto"/>
                <w:sz w:val="24"/>
                <w:szCs w:val="24"/>
              </w:rPr>
              <w:fldChar w:fldCharType="end"/>
            </w:r>
          </w:hyperlink>
        </w:p>
        <w:p w14:paraId="181D532E"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36" w:history="1">
            <w:r w:rsidR="00DF6B77" w:rsidRPr="00953692">
              <w:rPr>
                <w:rStyle w:val="Lienhypertexte"/>
                <w:rFonts w:ascii="Times New Roman" w:hAnsi="Times New Roman"/>
                <w:bCs/>
                <w:i/>
                <w:iCs/>
                <w:noProof/>
                <w:color w:val="auto"/>
                <w:sz w:val="24"/>
                <w:szCs w:val="24"/>
                <w:u w:val="none"/>
                <w:lang w:val="fr-FR"/>
              </w:rPr>
              <w:t>§2. Interdépendance révélatrice des germes de la conflictualité entre le droit d’être jugé sans retard excessif et le droit de disposer du temps nécessaire à la préparation de sa défense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_Toc195179436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107</w:t>
            </w:r>
            <w:r w:rsidR="00DF6B77" w:rsidRPr="00953692">
              <w:rPr>
                <w:rFonts w:ascii="Times New Roman" w:hAnsi="Times New Roman"/>
                <w:noProof/>
                <w:webHidden/>
                <w:color w:val="auto"/>
                <w:sz w:val="24"/>
                <w:szCs w:val="24"/>
              </w:rPr>
              <w:fldChar w:fldCharType="end"/>
            </w:r>
          </w:hyperlink>
        </w:p>
        <w:p w14:paraId="380CD4C4"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37" w:history="1">
            <w:r w:rsidR="00DF6B77" w:rsidRPr="00953692">
              <w:rPr>
                <w:rStyle w:val="Lienhypertexte"/>
                <w:rFonts w:ascii="Times New Roman" w:hAnsi="Times New Roman"/>
                <w:noProof/>
                <w:color w:val="auto"/>
                <w:sz w:val="24"/>
                <w:szCs w:val="24"/>
                <w:u w:val="none"/>
                <w:lang w:val="fr-FR"/>
              </w:rPr>
              <w:t>A.</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Le non-respect du droit de disposer du temps et des moyens nécessaires à la préparation de sa défense comme fondement de la prétention de la violation du droit d’être jugé sans retard excessif ?</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_Toc195179437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108</w:t>
            </w:r>
            <w:r w:rsidR="00DF6B77" w:rsidRPr="00953692">
              <w:rPr>
                <w:rFonts w:ascii="Times New Roman" w:hAnsi="Times New Roman"/>
                <w:noProof/>
                <w:webHidden/>
                <w:color w:val="auto"/>
                <w:sz w:val="24"/>
                <w:szCs w:val="24"/>
              </w:rPr>
              <w:fldChar w:fldCharType="end"/>
            </w:r>
          </w:hyperlink>
        </w:p>
        <w:p w14:paraId="5F4B40DD"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38" w:history="1">
            <w:r w:rsidR="00DF6B77" w:rsidRPr="00953692">
              <w:rPr>
                <w:rStyle w:val="Lienhypertexte"/>
                <w:rFonts w:ascii="Times New Roman" w:hAnsi="Times New Roman"/>
                <w:i/>
                <w:iCs/>
                <w:noProof/>
                <w:color w:val="auto"/>
                <w:sz w:val="24"/>
                <w:szCs w:val="24"/>
                <w:u w:val="none"/>
                <w:lang w:val="fr-FR"/>
              </w:rPr>
              <w:t>B.</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La violation du délai raisonnable comme fondement de la violation du droit de disposer du temps et des moyens nécessaires à la préparation de sa défense ?</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_Toc195179438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117</w:t>
            </w:r>
            <w:r w:rsidR="00DF6B77" w:rsidRPr="00953692">
              <w:rPr>
                <w:rFonts w:ascii="Times New Roman" w:hAnsi="Times New Roman"/>
                <w:noProof/>
                <w:webHidden/>
                <w:color w:val="auto"/>
                <w:sz w:val="24"/>
                <w:szCs w:val="24"/>
              </w:rPr>
              <w:fldChar w:fldCharType="end"/>
            </w:r>
          </w:hyperlink>
        </w:p>
        <w:p w14:paraId="65043A12" w14:textId="77777777" w:rsidR="00DF6B77" w:rsidRPr="00953692" w:rsidRDefault="00922FFA" w:rsidP="00DF6B77">
          <w:pPr>
            <w:pStyle w:val="TM2"/>
            <w:tabs>
              <w:tab w:val="right" w:leader="dot" w:pos="8494"/>
            </w:tabs>
            <w:jc w:val="both"/>
            <w:rPr>
              <w:rFonts w:ascii="Times New Roman" w:eastAsiaTheme="minorEastAsia" w:hAnsi="Times New Roman"/>
              <w:noProof/>
              <w:color w:val="auto"/>
              <w:sz w:val="24"/>
              <w:szCs w:val="24"/>
              <w:lang w:val="fr-FR" w:eastAsia="fr-FR"/>
            </w:rPr>
          </w:pPr>
          <w:hyperlink w:anchor="_Toc195179439" w:history="1">
            <w:r w:rsidR="00DF6B77" w:rsidRPr="00953692">
              <w:rPr>
                <w:rStyle w:val="Lienhypertexte"/>
                <w:rFonts w:ascii="Times New Roman" w:hAnsi="Times New Roman"/>
                <w:bCs/>
                <w:noProof/>
                <w:color w:val="auto"/>
                <w:sz w:val="24"/>
                <w:szCs w:val="24"/>
                <w:u w:val="none"/>
                <w:lang w:val="fr-FR"/>
              </w:rPr>
              <w:t xml:space="preserve">Section 02. Le droit d’exiger une communication des pièces, </w:t>
            </w:r>
            <w:r w:rsidR="00DF6B77" w:rsidRPr="00953692">
              <w:rPr>
                <w:rStyle w:val="Lienhypertexte"/>
                <w:rFonts w:ascii="Times New Roman" w:hAnsi="Times New Roman"/>
                <w:i/>
                <w:iCs/>
                <w:noProof/>
                <w:color w:val="auto"/>
                <w:sz w:val="24"/>
                <w:szCs w:val="24"/>
                <w:u w:val="none"/>
                <w:lang w:val="fr-FR"/>
              </w:rPr>
              <w:t>motif de retardement du procès sur fondement du procès équitable et rapide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_Toc195179439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120</w:t>
            </w:r>
            <w:r w:rsidR="00DF6B77" w:rsidRPr="00953692">
              <w:rPr>
                <w:rFonts w:ascii="Times New Roman" w:hAnsi="Times New Roman"/>
                <w:noProof/>
                <w:webHidden/>
                <w:color w:val="auto"/>
                <w:sz w:val="24"/>
                <w:szCs w:val="24"/>
              </w:rPr>
              <w:fldChar w:fldCharType="end"/>
            </w:r>
          </w:hyperlink>
        </w:p>
        <w:p w14:paraId="6E34B1EF"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40" w:history="1">
            <w:r w:rsidR="00DF6B77" w:rsidRPr="00953692">
              <w:rPr>
                <w:rStyle w:val="Lienhypertexte"/>
                <w:rFonts w:ascii="Times New Roman" w:hAnsi="Times New Roman"/>
                <w:i/>
                <w:iCs/>
                <w:noProof/>
                <w:color w:val="auto"/>
                <w:sz w:val="24"/>
                <w:szCs w:val="24"/>
                <w:u w:val="none"/>
                <w:lang w:val="fr-FR"/>
              </w:rPr>
              <w:t>§1. Communication des pièces, élément du procès équitable et rapide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_Toc195179440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121</w:t>
            </w:r>
            <w:r w:rsidR="00DF6B77" w:rsidRPr="00953692">
              <w:rPr>
                <w:rFonts w:ascii="Times New Roman" w:hAnsi="Times New Roman"/>
                <w:noProof/>
                <w:webHidden/>
                <w:color w:val="auto"/>
                <w:sz w:val="24"/>
                <w:szCs w:val="24"/>
              </w:rPr>
              <w:fldChar w:fldCharType="end"/>
            </w:r>
          </w:hyperlink>
        </w:p>
        <w:p w14:paraId="769AFF27"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41" w:history="1">
            <w:r w:rsidR="00DF6B77" w:rsidRPr="00953692">
              <w:rPr>
                <w:rStyle w:val="Lienhypertexte"/>
                <w:rFonts w:ascii="Times New Roman" w:hAnsi="Times New Roman"/>
                <w:i/>
                <w:iCs/>
                <w:noProof/>
                <w:color w:val="auto"/>
                <w:sz w:val="24"/>
                <w:szCs w:val="24"/>
                <w:u w:val="none"/>
                <w:lang w:val="fr-FR"/>
              </w:rPr>
              <w:t>§2. Défaut de communication des pièces, motif de la violation du délai raisonnable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_Toc195179441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125</w:t>
            </w:r>
            <w:r w:rsidR="00DF6B77" w:rsidRPr="00953692">
              <w:rPr>
                <w:rFonts w:ascii="Times New Roman" w:hAnsi="Times New Roman"/>
                <w:noProof/>
                <w:webHidden/>
                <w:color w:val="auto"/>
                <w:sz w:val="24"/>
                <w:szCs w:val="24"/>
              </w:rPr>
              <w:fldChar w:fldCharType="end"/>
            </w:r>
          </w:hyperlink>
        </w:p>
        <w:p w14:paraId="333B7993" w14:textId="6930ECAA" w:rsidR="00DF6B77" w:rsidRPr="00953692" w:rsidRDefault="00922FFA" w:rsidP="00DF6B77">
          <w:pPr>
            <w:pStyle w:val="TM1"/>
            <w:tabs>
              <w:tab w:val="right" w:leader="dot" w:pos="8494"/>
            </w:tabs>
            <w:jc w:val="both"/>
            <w:rPr>
              <w:rFonts w:ascii="Times New Roman" w:eastAsiaTheme="minorEastAsia" w:hAnsi="Times New Roman"/>
              <w:b w:val="0"/>
              <w:noProof/>
              <w:color w:val="auto"/>
              <w:sz w:val="24"/>
              <w:szCs w:val="24"/>
              <w:lang w:val="fr-FR" w:eastAsia="fr-FR"/>
            </w:rPr>
          </w:pPr>
          <w:hyperlink w:anchor="_Toc195179442" w:history="1">
            <w:r w:rsidR="00DF6B77" w:rsidRPr="00953692">
              <w:rPr>
                <w:rStyle w:val="Lienhypertexte"/>
                <w:rFonts w:ascii="Times New Roman" w:eastAsia="Calibri" w:hAnsi="Times New Roman"/>
                <w:b w:val="0"/>
                <w:bCs/>
                <w:noProof/>
                <w:color w:val="auto"/>
                <w:sz w:val="24"/>
                <w:szCs w:val="24"/>
                <w:u w:val="none"/>
                <w:lang w:val="fr-FR"/>
              </w:rPr>
              <w:t xml:space="preserve">Chapitre </w:t>
            </w:r>
            <w:r w:rsidR="00CD6482" w:rsidRPr="00953692">
              <w:rPr>
                <w:rStyle w:val="Lienhypertexte"/>
                <w:rFonts w:ascii="Times New Roman" w:eastAsia="Calibri" w:hAnsi="Times New Roman"/>
                <w:b w:val="0"/>
                <w:bCs/>
                <w:noProof/>
                <w:color w:val="auto"/>
                <w:sz w:val="24"/>
                <w:szCs w:val="24"/>
                <w:u w:val="none"/>
                <w:lang w:val="fr-FR"/>
              </w:rPr>
              <w:t>II</w:t>
            </w:r>
            <w:r w:rsidR="00DF6B77" w:rsidRPr="00953692">
              <w:rPr>
                <w:rStyle w:val="Lienhypertexte"/>
                <w:rFonts w:ascii="Times New Roman" w:eastAsia="Calibri" w:hAnsi="Times New Roman"/>
                <w:b w:val="0"/>
                <w:bCs/>
                <w:noProof/>
                <w:color w:val="auto"/>
                <w:sz w:val="24"/>
                <w:szCs w:val="24"/>
                <w:u w:val="none"/>
                <w:lang w:val="fr-FR"/>
              </w:rPr>
              <w:t xml:space="preserve">. </w:t>
            </w:r>
            <w:r w:rsidR="00DF6B77" w:rsidRPr="00953692">
              <w:rPr>
                <w:rStyle w:val="Lienhypertexte"/>
                <w:rFonts w:ascii="Times New Roman" w:hAnsi="Times New Roman"/>
                <w:b w:val="0"/>
                <w:bCs/>
                <w:noProof/>
                <w:color w:val="auto"/>
                <w:sz w:val="24"/>
                <w:szCs w:val="24"/>
                <w:u w:val="none"/>
                <w:lang w:val="fr-FR"/>
              </w:rPr>
              <w:t xml:space="preserve">La conflictualité par éventualité : </w:t>
            </w:r>
            <w:r w:rsidR="00DF6B77" w:rsidRPr="00953692">
              <w:rPr>
                <w:rStyle w:val="Lienhypertexte"/>
                <w:rFonts w:ascii="Times New Roman" w:hAnsi="Times New Roman"/>
                <w:b w:val="0"/>
                <w:i/>
                <w:iCs/>
                <w:noProof/>
                <w:color w:val="auto"/>
                <w:sz w:val="24"/>
                <w:szCs w:val="24"/>
                <w:u w:val="none"/>
                <w:lang w:val="fr-FR"/>
              </w:rPr>
              <w:t>le procès pénal international se prolonge par nécessité révélée et/ou par la volonté des parties, dont l’accusé</w:t>
            </w:r>
            <w:r w:rsidR="00DF6B77" w:rsidRPr="00953692">
              <w:rPr>
                <w:rFonts w:ascii="Times New Roman" w:hAnsi="Times New Roman"/>
                <w:b w:val="0"/>
                <w:noProof/>
                <w:webHidden/>
                <w:color w:val="auto"/>
                <w:sz w:val="24"/>
                <w:szCs w:val="24"/>
              </w:rPr>
              <w:tab/>
            </w:r>
            <w:r w:rsidR="00DF6B77" w:rsidRPr="00953692">
              <w:rPr>
                <w:rFonts w:ascii="Times New Roman" w:hAnsi="Times New Roman"/>
                <w:b w:val="0"/>
                <w:noProof/>
                <w:webHidden/>
                <w:color w:val="auto"/>
                <w:sz w:val="24"/>
                <w:szCs w:val="24"/>
              </w:rPr>
              <w:fldChar w:fldCharType="begin"/>
            </w:r>
            <w:r w:rsidR="00DF6B77" w:rsidRPr="00953692">
              <w:rPr>
                <w:rFonts w:ascii="Times New Roman" w:hAnsi="Times New Roman"/>
                <w:b w:val="0"/>
                <w:noProof/>
                <w:webHidden/>
                <w:color w:val="auto"/>
                <w:sz w:val="24"/>
                <w:szCs w:val="24"/>
              </w:rPr>
              <w:instrText xml:space="preserve"> PAGEREF _Toc195179442 \h </w:instrText>
            </w:r>
            <w:r w:rsidR="00DF6B77" w:rsidRPr="00953692">
              <w:rPr>
                <w:rFonts w:ascii="Times New Roman" w:hAnsi="Times New Roman"/>
                <w:b w:val="0"/>
                <w:noProof/>
                <w:webHidden/>
                <w:color w:val="auto"/>
                <w:sz w:val="24"/>
                <w:szCs w:val="24"/>
              </w:rPr>
            </w:r>
            <w:r w:rsidR="00DF6B77" w:rsidRPr="00953692">
              <w:rPr>
                <w:rFonts w:ascii="Times New Roman" w:hAnsi="Times New Roman"/>
                <w:b w:val="0"/>
                <w:noProof/>
                <w:webHidden/>
                <w:color w:val="auto"/>
                <w:sz w:val="24"/>
                <w:szCs w:val="24"/>
              </w:rPr>
              <w:fldChar w:fldCharType="separate"/>
            </w:r>
            <w:r w:rsidR="00DF6B77" w:rsidRPr="00953692">
              <w:rPr>
                <w:rFonts w:ascii="Times New Roman" w:hAnsi="Times New Roman"/>
                <w:b w:val="0"/>
                <w:noProof/>
                <w:webHidden/>
                <w:color w:val="auto"/>
                <w:sz w:val="24"/>
                <w:szCs w:val="24"/>
              </w:rPr>
              <w:t>132</w:t>
            </w:r>
            <w:r w:rsidR="00DF6B77" w:rsidRPr="00953692">
              <w:rPr>
                <w:rFonts w:ascii="Times New Roman" w:hAnsi="Times New Roman"/>
                <w:b w:val="0"/>
                <w:noProof/>
                <w:webHidden/>
                <w:color w:val="auto"/>
                <w:sz w:val="24"/>
                <w:szCs w:val="24"/>
              </w:rPr>
              <w:fldChar w:fldCharType="end"/>
            </w:r>
          </w:hyperlink>
        </w:p>
        <w:p w14:paraId="0BB3C05E" w14:textId="77777777" w:rsidR="00DF6B77" w:rsidRPr="00953692" w:rsidRDefault="00922FFA" w:rsidP="00DF6B77">
          <w:pPr>
            <w:pStyle w:val="TM2"/>
            <w:tabs>
              <w:tab w:val="right" w:leader="dot" w:pos="8494"/>
            </w:tabs>
            <w:jc w:val="both"/>
            <w:rPr>
              <w:rFonts w:ascii="Times New Roman" w:eastAsiaTheme="minorEastAsia" w:hAnsi="Times New Roman"/>
              <w:noProof/>
              <w:color w:val="auto"/>
              <w:sz w:val="24"/>
              <w:szCs w:val="24"/>
              <w:lang w:val="fr-FR" w:eastAsia="fr-FR"/>
            </w:rPr>
          </w:pPr>
          <w:hyperlink w:anchor="_Toc195179443" w:history="1">
            <w:r w:rsidR="00DF6B77" w:rsidRPr="00953692">
              <w:rPr>
                <w:rStyle w:val="Lienhypertexte"/>
                <w:rFonts w:ascii="Times New Roman" w:hAnsi="Times New Roman"/>
                <w:bCs/>
                <w:noProof/>
                <w:color w:val="auto"/>
                <w:sz w:val="24"/>
                <w:szCs w:val="24"/>
                <w:u w:val="none"/>
                <w:lang w:val="fr-FR"/>
              </w:rPr>
              <w:t>Section 01. Des requêtes incidentes, motifs de ralentissement du procès</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_Toc195179443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133</w:t>
            </w:r>
            <w:r w:rsidR="00DF6B77" w:rsidRPr="00953692">
              <w:rPr>
                <w:rFonts w:ascii="Times New Roman" w:hAnsi="Times New Roman"/>
                <w:noProof/>
                <w:webHidden/>
                <w:color w:val="auto"/>
                <w:sz w:val="24"/>
                <w:szCs w:val="24"/>
              </w:rPr>
              <w:fldChar w:fldCharType="end"/>
            </w:r>
          </w:hyperlink>
        </w:p>
        <w:p w14:paraId="09E77FF6"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44" w:history="1">
            <w:r w:rsidR="00DF6B77" w:rsidRPr="00953692">
              <w:rPr>
                <w:rStyle w:val="Lienhypertexte"/>
                <w:rFonts w:ascii="Times New Roman" w:hAnsi="Times New Roman"/>
                <w:i/>
                <w:iCs/>
                <w:noProof/>
                <w:color w:val="auto"/>
                <w:sz w:val="24"/>
                <w:szCs w:val="24"/>
                <w:u w:val="none"/>
                <w:lang w:val="fr-FR"/>
              </w:rPr>
              <w:t>Paragraphe 1. Illimitation des requêtes incidentes, risque d’une procédure sinueuse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_Toc195179444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134</w:t>
            </w:r>
            <w:r w:rsidR="00DF6B77" w:rsidRPr="00953692">
              <w:rPr>
                <w:rFonts w:ascii="Times New Roman" w:hAnsi="Times New Roman"/>
                <w:noProof/>
                <w:webHidden/>
                <w:color w:val="auto"/>
                <w:sz w:val="24"/>
                <w:szCs w:val="24"/>
              </w:rPr>
              <w:fldChar w:fldCharType="end"/>
            </w:r>
          </w:hyperlink>
        </w:p>
        <w:p w14:paraId="1124C17C"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45" w:history="1">
            <w:r w:rsidR="00DF6B77" w:rsidRPr="00953692">
              <w:rPr>
                <w:rStyle w:val="Lienhypertexte"/>
                <w:rFonts w:ascii="Times New Roman" w:hAnsi="Times New Roman"/>
                <w:i/>
                <w:noProof/>
                <w:color w:val="auto"/>
                <w:sz w:val="24"/>
                <w:szCs w:val="24"/>
                <w:u w:val="none"/>
                <w:lang w:val="fr-FR"/>
              </w:rPr>
              <w:t>A.</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Principe d’admissibilité des requêtes incidentes, incompatible avec le droit de l’accusé d’être jugé sans retard excessif ?</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_Toc195179445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134</w:t>
            </w:r>
            <w:r w:rsidR="00DF6B77" w:rsidRPr="00953692">
              <w:rPr>
                <w:rFonts w:ascii="Times New Roman" w:hAnsi="Times New Roman"/>
                <w:noProof/>
                <w:webHidden/>
                <w:color w:val="auto"/>
                <w:sz w:val="24"/>
                <w:szCs w:val="24"/>
              </w:rPr>
              <w:fldChar w:fldCharType="end"/>
            </w:r>
          </w:hyperlink>
        </w:p>
        <w:p w14:paraId="4A1F5F9A"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46" w:history="1">
            <w:r w:rsidR="00DF6B77" w:rsidRPr="00953692">
              <w:rPr>
                <w:rStyle w:val="Lienhypertexte"/>
                <w:rFonts w:ascii="Times New Roman" w:hAnsi="Times New Roman"/>
                <w:i/>
                <w:iCs/>
                <w:noProof/>
                <w:color w:val="auto"/>
                <w:sz w:val="24"/>
                <w:szCs w:val="24"/>
                <w:u w:val="none"/>
                <w:lang w:val="fr-FR"/>
              </w:rPr>
              <w:t>B.</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Abus de procédure résultant du droit de l’accusé de former un recours incident, sanction d’une action dilatoire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_Toc195179446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137</w:t>
            </w:r>
            <w:r w:rsidR="00DF6B77" w:rsidRPr="00953692">
              <w:rPr>
                <w:rFonts w:ascii="Times New Roman" w:hAnsi="Times New Roman"/>
                <w:noProof/>
                <w:webHidden/>
                <w:color w:val="auto"/>
                <w:sz w:val="24"/>
                <w:szCs w:val="24"/>
              </w:rPr>
              <w:fldChar w:fldCharType="end"/>
            </w:r>
          </w:hyperlink>
        </w:p>
        <w:p w14:paraId="30A38192"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47" w:history="1">
            <w:r w:rsidR="00DF6B77" w:rsidRPr="00953692">
              <w:rPr>
                <w:rStyle w:val="Lienhypertexte"/>
                <w:rFonts w:ascii="Times New Roman" w:hAnsi="Times New Roman"/>
                <w:i/>
                <w:iCs/>
                <w:noProof/>
                <w:color w:val="auto"/>
                <w:sz w:val="24"/>
                <w:szCs w:val="24"/>
                <w:u w:val="none"/>
                <w:lang w:val="fr-FR"/>
              </w:rPr>
              <w:t>§2. Limitation de l’appel interlocutoire, évitement des retards prévisibles</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_Toc195179447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141</w:t>
            </w:r>
            <w:r w:rsidR="00DF6B77" w:rsidRPr="00953692">
              <w:rPr>
                <w:rFonts w:ascii="Times New Roman" w:hAnsi="Times New Roman"/>
                <w:noProof/>
                <w:webHidden/>
                <w:color w:val="auto"/>
                <w:sz w:val="24"/>
                <w:szCs w:val="24"/>
              </w:rPr>
              <w:fldChar w:fldCharType="end"/>
            </w:r>
          </w:hyperlink>
        </w:p>
        <w:p w14:paraId="0BAE83BA"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48" w:history="1">
            <w:r w:rsidR="00DF6B77" w:rsidRPr="00953692">
              <w:rPr>
                <w:rStyle w:val="Lienhypertexte"/>
                <w:rFonts w:ascii="Times New Roman" w:hAnsi="Times New Roman"/>
                <w:i/>
                <w:iCs/>
                <w:noProof/>
                <w:color w:val="auto"/>
                <w:sz w:val="24"/>
                <w:szCs w:val="24"/>
                <w:u w:val="none"/>
                <w:lang w:val="fr-FR"/>
              </w:rPr>
              <w:t>A.</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Les décisions susceptibles d’appel interlocutoire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_Toc195179448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141</w:t>
            </w:r>
            <w:r w:rsidR="00DF6B77" w:rsidRPr="00953692">
              <w:rPr>
                <w:rFonts w:ascii="Times New Roman" w:hAnsi="Times New Roman"/>
                <w:noProof/>
                <w:webHidden/>
                <w:color w:val="auto"/>
                <w:sz w:val="24"/>
                <w:szCs w:val="24"/>
              </w:rPr>
              <w:fldChar w:fldCharType="end"/>
            </w:r>
          </w:hyperlink>
        </w:p>
        <w:p w14:paraId="41002733" w14:textId="77777777" w:rsidR="00DF6B77" w:rsidRPr="00953692" w:rsidRDefault="00922FFA" w:rsidP="00DF6B77">
          <w:pPr>
            <w:pStyle w:val="TM3"/>
            <w:tabs>
              <w:tab w:val="left" w:pos="1000"/>
              <w:tab w:val="right" w:leader="dot" w:pos="8494"/>
            </w:tabs>
            <w:jc w:val="both"/>
            <w:rPr>
              <w:rFonts w:ascii="Times New Roman" w:eastAsiaTheme="minorEastAsia" w:hAnsi="Times New Roman"/>
              <w:noProof/>
              <w:color w:val="auto"/>
              <w:sz w:val="24"/>
              <w:szCs w:val="24"/>
              <w:lang w:val="fr-FR" w:eastAsia="fr-FR"/>
            </w:rPr>
          </w:pPr>
          <w:hyperlink w:anchor="_Toc195179449" w:history="1">
            <w:r w:rsidR="00DF6B77" w:rsidRPr="00953692">
              <w:rPr>
                <w:rStyle w:val="Lienhypertexte"/>
                <w:rFonts w:ascii="Times New Roman" w:hAnsi="Times New Roman"/>
                <w:i/>
                <w:iCs/>
                <w:noProof/>
                <w:color w:val="auto"/>
                <w:sz w:val="24"/>
                <w:szCs w:val="24"/>
                <w:u w:val="none"/>
                <w:lang w:val="fr-FR"/>
              </w:rPr>
              <w:t>B.</w:t>
            </w:r>
            <w:r w:rsidR="00DF6B77" w:rsidRPr="00953692">
              <w:rPr>
                <w:rFonts w:ascii="Times New Roman" w:eastAsiaTheme="minorEastAsia" w:hAnsi="Times New Roman"/>
                <w:noProof/>
                <w:color w:val="auto"/>
                <w:sz w:val="24"/>
                <w:szCs w:val="24"/>
                <w:lang w:val="fr-FR" w:eastAsia="fr-FR"/>
              </w:rPr>
              <w:tab/>
            </w:r>
            <w:r w:rsidR="00DF6B77" w:rsidRPr="00953692">
              <w:rPr>
                <w:rStyle w:val="Lienhypertexte"/>
                <w:rFonts w:ascii="Times New Roman" w:hAnsi="Times New Roman"/>
                <w:i/>
                <w:iCs/>
                <w:noProof/>
                <w:color w:val="auto"/>
                <w:sz w:val="24"/>
                <w:szCs w:val="24"/>
                <w:u w:val="none"/>
                <w:lang w:val="fr-FR"/>
              </w:rPr>
              <w:t>Une limitation commandée par l’économie du procès</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_Toc195179449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143</w:t>
            </w:r>
            <w:r w:rsidR="00DF6B77" w:rsidRPr="00953692">
              <w:rPr>
                <w:rFonts w:ascii="Times New Roman" w:hAnsi="Times New Roman"/>
                <w:noProof/>
                <w:webHidden/>
                <w:color w:val="auto"/>
                <w:sz w:val="24"/>
                <w:szCs w:val="24"/>
              </w:rPr>
              <w:fldChar w:fldCharType="end"/>
            </w:r>
          </w:hyperlink>
        </w:p>
        <w:p w14:paraId="3DECA4F2" w14:textId="77777777" w:rsidR="00DF6B77" w:rsidRPr="00953692" w:rsidRDefault="00922FFA" w:rsidP="00DF6B77">
          <w:pPr>
            <w:pStyle w:val="TM2"/>
            <w:tabs>
              <w:tab w:val="right" w:leader="dot" w:pos="8494"/>
            </w:tabs>
            <w:jc w:val="both"/>
            <w:rPr>
              <w:rFonts w:ascii="Times New Roman" w:eastAsiaTheme="minorEastAsia" w:hAnsi="Times New Roman"/>
              <w:noProof/>
              <w:color w:val="auto"/>
              <w:sz w:val="24"/>
              <w:szCs w:val="24"/>
              <w:lang w:val="fr-FR" w:eastAsia="fr-FR"/>
            </w:rPr>
          </w:pPr>
          <w:hyperlink w:anchor="_Toc195179450" w:history="1">
            <w:r w:rsidR="00DF6B77" w:rsidRPr="00953692">
              <w:rPr>
                <w:rStyle w:val="Lienhypertexte"/>
                <w:rFonts w:ascii="Times New Roman" w:hAnsi="Times New Roman"/>
                <w:bCs/>
                <w:noProof/>
                <w:color w:val="auto"/>
                <w:sz w:val="24"/>
                <w:szCs w:val="24"/>
                <w:u w:val="none"/>
                <w:lang w:val="fr-FR"/>
              </w:rPr>
              <w:t>Section 02. De l’appel principal, un droit de l’accusé dont la mise en œuvre prolonge la durée du procès</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_Toc195179450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146</w:t>
            </w:r>
            <w:r w:rsidR="00DF6B77" w:rsidRPr="00953692">
              <w:rPr>
                <w:rFonts w:ascii="Times New Roman" w:hAnsi="Times New Roman"/>
                <w:noProof/>
                <w:webHidden/>
                <w:color w:val="auto"/>
                <w:sz w:val="24"/>
                <w:szCs w:val="24"/>
              </w:rPr>
              <w:fldChar w:fldCharType="end"/>
            </w:r>
          </w:hyperlink>
        </w:p>
        <w:p w14:paraId="3A80B473"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51" w:history="1">
            <w:r w:rsidR="00DF6B77" w:rsidRPr="00953692">
              <w:rPr>
                <w:rStyle w:val="Lienhypertexte"/>
                <w:rFonts w:ascii="Times New Roman" w:hAnsi="Times New Roman"/>
                <w:i/>
                <w:iCs/>
                <w:noProof/>
                <w:color w:val="auto"/>
                <w:sz w:val="24"/>
                <w:szCs w:val="24"/>
                <w:u w:val="none"/>
                <w:shd w:val="clear" w:color="auto" w:fill="FFFFFF"/>
                <w:lang w:val="fr-FR"/>
              </w:rPr>
              <w:t>Paragraphe 1. Nécessité d’interjeter appel, révélatrice d’une conflictualité avec le droit d’être jugé sans retard excessif</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_Toc195179451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147</w:t>
            </w:r>
            <w:r w:rsidR="00DF6B77" w:rsidRPr="00953692">
              <w:rPr>
                <w:rFonts w:ascii="Times New Roman" w:hAnsi="Times New Roman"/>
                <w:noProof/>
                <w:webHidden/>
                <w:color w:val="auto"/>
                <w:sz w:val="24"/>
                <w:szCs w:val="24"/>
              </w:rPr>
              <w:fldChar w:fldCharType="end"/>
            </w:r>
          </w:hyperlink>
        </w:p>
        <w:p w14:paraId="76978620"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52" w:history="1">
            <w:r w:rsidR="00DF6B77" w:rsidRPr="00953692">
              <w:rPr>
                <w:rStyle w:val="Lienhypertexte"/>
                <w:rFonts w:ascii="Times New Roman" w:eastAsia="Calibri" w:hAnsi="Times New Roman"/>
                <w:i/>
                <w:iCs/>
                <w:noProof/>
                <w:color w:val="auto"/>
                <w:sz w:val="24"/>
                <w:szCs w:val="24"/>
                <w:u w:val="none"/>
                <w:lang w:val="fr-FR"/>
              </w:rPr>
              <w:t>Paragraphe 2. Un conflit tempéré par le caractère restrictif de l’appel</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_Toc195179452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148</w:t>
            </w:r>
            <w:r w:rsidR="00DF6B77" w:rsidRPr="00953692">
              <w:rPr>
                <w:rFonts w:ascii="Times New Roman" w:hAnsi="Times New Roman"/>
                <w:noProof/>
                <w:webHidden/>
                <w:color w:val="auto"/>
                <w:sz w:val="24"/>
                <w:szCs w:val="24"/>
              </w:rPr>
              <w:fldChar w:fldCharType="end"/>
            </w:r>
          </w:hyperlink>
        </w:p>
        <w:p w14:paraId="2E017E79"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53" w:history="1">
            <w:r w:rsidR="00DF6B77" w:rsidRPr="00953692">
              <w:rPr>
                <w:rStyle w:val="Lienhypertexte"/>
                <w:rFonts w:ascii="Times New Roman" w:eastAsia="Calibri" w:hAnsi="Times New Roman"/>
                <w:bCs/>
                <w:noProof/>
                <w:color w:val="auto"/>
                <w:sz w:val="24"/>
                <w:szCs w:val="24"/>
                <w:u w:val="none"/>
                <w:lang w:val="fr-FR"/>
              </w:rPr>
              <w:t>Conclusion</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_Toc195179453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152</w:t>
            </w:r>
            <w:r w:rsidR="00DF6B77" w:rsidRPr="00953692">
              <w:rPr>
                <w:rFonts w:ascii="Times New Roman" w:hAnsi="Times New Roman"/>
                <w:noProof/>
                <w:webHidden/>
                <w:color w:val="auto"/>
                <w:sz w:val="24"/>
                <w:szCs w:val="24"/>
              </w:rPr>
              <w:fldChar w:fldCharType="end"/>
            </w:r>
          </w:hyperlink>
        </w:p>
        <w:p w14:paraId="0A5DC3BF" w14:textId="77777777" w:rsidR="00DF6B77" w:rsidRPr="00953692" w:rsidRDefault="00922FFA" w:rsidP="00DF6B77">
          <w:pPr>
            <w:pStyle w:val="TM3"/>
            <w:tabs>
              <w:tab w:val="right" w:leader="dot" w:pos="8494"/>
            </w:tabs>
            <w:jc w:val="both"/>
            <w:rPr>
              <w:rFonts w:ascii="Times New Roman" w:eastAsiaTheme="minorEastAsia" w:hAnsi="Times New Roman"/>
              <w:noProof/>
              <w:color w:val="auto"/>
              <w:sz w:val="24"/>
              <w:szCs w:val="24"/>
              <w:lang w:val="fr-FR" w:eastAsia="fr-FR"/>
            </w:rPr>
          </w:pPr>
          <w:hyperlink w:anchor="_Toc195179454" w:history="1">
            <w:r w:rsidR="00DF6B77" w:rsidRPr="00953692">
              <w:rPr>
                <w:rStyle w:val="Lienhypertexte"/>
                <w:rFonts w:ascii="Times New Roman" w:hAnsi="Times New Roman"/>
                <w:bCs/>
                <w:noProof/>
                <w:color w:val="auto"/>
                <w:sz w:val="24"/>
                <w:szCs w:val="24"/>
                <w:u w:val="none"/>
                <w:lang w:val="fr-FR"/>
              </w:rPr>
              <w:t>Bibliographie</w:t>
            </w:r>
            <w:r w:rsidR="00DF6B77" w:rsidRPr="00953692">
              <w:rPr>
                <w:rFonts w:ascii="Times New Roman" w:hAnsi="Times New Roman"/>
                <w:noProof/>
                <w:webHidden/>
                <w:color w:val="auto"/>
                <w:sz w:val="24"/>
                <w:szCs w:val="24"/>
              </w:rPr>
              <w:tab/>
            </w:r>
            <w:r w:rsidR="00DF6B77" w:rsidRPr="00953692">
              <w:rPr>
                <w:rFonts w:ascii="Times New Roman" w:hAnsi="Times New Roman"/>
                <w:noProof/>
                <w:webHidden/>
                <w:color w:val="auto"/>
                <w:sz w:val="24"/>
                <w:szCs w:val="24"/>
              </w:rPr>
              <w:fldChar w:fldCharType="begin"/>
            </w:r>
            <w:r w:rsidR="00DF6B77" w:rsidRPr="00953692">
              <w:rPr>
                <w:rFonts w:ascii="Times New Roman" w:hAnsi="Times New Roman"/>
                <w:noProof/>
                <w:webHidden/>
                <w:color w:val="auto"/>
                <w:sz w:val="24"/>
                <w:szCs w:val="24"/>
              </w:rPr>
              <w:instrText xml:space="preserve"> PAGEREF _Toc195179454 \h </w:instrText>
            </w:r>
            <w:r w:rsidR="00DF6B77" w:rsidRPr="00953692">
              <w:rPr>
                <w:rFonts w:ascii="Times New Roman" w:hAnsi="Times New Roman"/>
                <w:noProof/>
                <w:webHidden/>
                <w:color w:val="auto"/>
                <w:sz w:val="24"/>
                <w:szCs w:val="24"/>
              </w:rPr>
            </w:r>
            <w:r w:rsidR="00DF6B77" w:rsidRPr="00953692">
              <w:rPr>
                <w:rFonts w:ascii="Times New Roman" w:hAnsi="Times New Roman"/>
                <w:noProof/>
                <w:webHidden/>
                <w:color w:val="auto"/>
                <w:sz w:val="24"/>
                <w:szCs w:val="24"/>
              </w:rPr>
              <w:fldChar w:fldCharType="separate"/>
            </w:r>
            <w:r w:rsidR="00DF6B77" w:rsidRPr="00953692">
              <w:rPr>
                <w:rFonts w:ascii="Times New Roman" w:hAnsi="Times New Roman"/>
                <w:noProof/>
                <w:webHidden/>
                <w:color w:val="auto"/>
                <w:sz w:val="24"/>
                <w:szCs w:val="24"/>
              </w:rPr>
              <w:t>155</w:t>
            </w:r>
            <w:r w:rsidR="00DF6B77" w:rsidRPr="00953692">
              <w:rPr>
                <w:rFonts w:ascii="Times New Roman" w:hAnsi="Times New Roman"/>
                <w:noProof/>
                <w:webHidden/>
                <w:color w:val="auto"/>
                <w:sz w:val="24"/>
                <w:szCs w:val="24"/>
              </w:rPr>
              <w:fldChar w:fldCharType="end"/>
            </w:r>
          </w:hyperlink>
        </w:p>
        <w:p w14:paraId="747030F0" w14:textId="4A2B3D6B" w:rsidR="00DF6B77" w:rsidRPr="00953692" w:rsidRDefault="00DF6B77" w:rsidP="00DF6B77">
          <w:pPr>
            <w:jc w:val="both"/>
            <w:rPr>
              <w:rFonts w:cs="Times New Roman"/>
              <w:sz w:val="24"/>
              <w:szCs w:val="24"/>
            </w:rPr>
          </w:pPr>
          <w:r w:rsidRPr="00953692">
            <w:rPr>
              <w:rFonts w:cs="Times New Roman"/>
              <w:bCs/>
              <w:sz w:val="24"/>
              <w:szCs w:val="24"/>
            </w:rPr>
            <w:fldChar w:fldCharType="end"/>
          </w:r>
        </w:p>
      </w:sdtContent>
    </w:sdt>
    <w:p w14:paraId="0F105E6A"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0202B864"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3D688A6D"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6E9356FB"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257CD4CB"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40FC4218"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28805E19"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5FA6B494"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196A8742"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26D39B43"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1EF81A3B"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2F130873"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0837F467"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65A7D7FA"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73157360"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18F816C0"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008D7462"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4DB682A8"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6DBF4391" w14:textId="77777777" w:rsidR="00DF6B77" w:rsidRPr="00953692" w:rsidRDefault="00DF6B77" w:rsidP="00DF6B77">
      <w:pPr>
        <w:spacing w:after="0" w:line="276" w:lineRule="auto"/>
        <w:jc w:val="both"/>
        <w:rPr>
          <w:rFonts w:cs="Times New Roman"/>
          <w:sz w:val="24"/>
          <w:szCs w:val="24"/>
          <w:shd w:val="clear" w:color="auto" w:fill="FFFFFF"/>
          <w:lang w:val="fr-FR"/>
        </w:rPr>
      </w:pPr>
    </w:p>
    <w:p w14:paraId="5D90037E" w14:textId="77777777" w:rsidR="00DF6B77" w:rsidRPr="00953692" w:rsidRDefault="00DF6B77" w:rsidP="00DF6B77">
      <w:pPr>
        <w:spacing w:after="0" w:line="276" w:lineRule="auto"/>
        <w:jc w:val="both"/>
        <w:rPr>
          <w:rFonts w:cs="Times New Roman"/>
          <w:sz w:val="24"/>
          <w:szCs w:val="24"/>
          <w:shd w:val="clear" w:color="auto" w:fill="FFFFFF"/>
          <w:lang w:val="fr-FR"/>
        </w:rPr>
      </w:pPr>
    </w:p>
    <w:sectPr w:rsidR="00DF6B77" w:rsidRPr="00953692" w:rsidSect="005A5CB1">
      <w:footerReference w:type="default" r:id="rId12"/>
      <w:pgSz w:w="11906" w:h="16838" w:code="9"/>
      <w:pgMar w:top="1701" w:right="1701" w:bottom="1701" w:left="1701" w:header="709" w:footer="709"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A4526" w14:textId="77777777" w:rsidR="00922FFA" w:rsidRDefault="00922FFA" w:rsidP="002411A0">
      <w:pPr>
        <w:spacing w:after="0"/>
      </w:pPr>
      <w:r>
        <w:separator/>
      </w:r>
    </w:p>
  </w:endnote>
  <w:endnote w:type="continuationSeparator" w:id="0">
    <w:p w14:paraId="149377C3" w14:textId="77777777" w:rsidR="00922FFA" w:rsidRDefault="00922FFA" w:rsidP="002411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XO Thames">
    <w:altName w:val="Cambria"/>
    <w:charset w:val="00"/>
    <w:family w:val="roman"/>
    <w:pitch w:val="default"/>
  </w:font>
  <w:font w:name="Liberation Serif">
    <w:altName w:val="Times New Roman"/>
    <w:charset w:val="01"/>
    <w:family w:val="roman"/>
    <w:pitch w:val="default"/>
  </w:font>
  <w:font w:name="Liberation Sans">
    <w:altName w:val="Arial"/>
    <w:charset w:val="01"/>
    <w:family w:val="swiss"/>
    <w:pitch w:val="default"/>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b/>
        <w:bCs/>
        <w:sz w:val="24"/>
        <w:szCs w:val="24"/>
      </w:rPr>
      <w:id w:val="1170133542"/>
      <w:docPartObj>
        <w:docPartGallery w:val="Page Numbers (Bottom of Page)"/>
        <w:docPartUnique/>
      </w:docPartObj>
    </w:sdtPr>
    <w:sdtEndPr>
      <w:rPr>
        <w:noProof/>
      </w:rPr>
    </w:sdtEndPr>
    <w:sdtContent>
      <w:p w14:paraId="7B8A7B81" w14:textId="32C61CCB" w:rsidR="009E5D3B" w:rsidRPr="00CF0422" w:rsidRDefault="009E5D3B">
        <w:pPr>
          <w:pStyle w:val="Pieddepage"/>
          <w:jc w:val="right"/>
          <w:rPr>
            <w:rFonts w:cs="Times New Roman"/>
            <w:b/>
            <w:bCs/>
            <w:sz w:val="24"/>
            <w:szCs w:val="24"/>
          </w:rPr>
        </w:pPr>
        <w:r w:rsidRPr="00CF0422">
          <w:rPr>
            <w:rFonts w:cs="Times New Roman"/>
            <w:b/>
            <w:bCs/>
            <w:sz w:val="24"/>
            <w:szCs w:val="24"/>
          </w:rPr>
          <w:fldChar w:fldCharType="begin"/>
        </w:r>
        <w:r w:rsidRPr="00CF0422">
          <w:rPr>
            <w:rFonts w:cs="Times New Roman"/>
            <w:b/>
            <w:bCs/>
            <w:sz w:val="24"/>
            <w:szCs w:val="24"/>
          </w:rPr>
          <w:instrText xml:space="preserve"> PAGE   \* MERGEFORMAT </w:instrText>
        </w:r>
        <w:r w:rsidRPr="00CF0422">
          <w:rPr>
            <w:rFonts w:cs="Times New Roman"/>
            <w:b/>
            <w:bCs/>
            <w:sz w:val="24"/>
            <w:szCs w:val="24"/>
          </w:rPr>
          <w:fldChar w:fldCharType="separate"/>
        </w:r>
        <w:r w:rsidR="00C42874">
          <w:rPr>
            <w:rFonts w:cs="Times New Roman"/>
            <w:b/>
            <w:bCs/>
            <w:noProof/>
            <w:sz w:val="24"/>
            <w:szCs w:val="24"/>
          </w:rPr>
          <w:t>3</w:t>
        </w:r>
        <w:r w:rsidRPr="00CF0422">
          <w:rPr>
            <w:rFonts w:cs="Times New Roman"/>
            <w:b/>
            <w:bCs/>
            <w:noProof/>
            <w:sz w:val="24"/>
            <w:szCs w:val="24"/>
          </w:rPr>
          <w:fldChar w:fldCharType="end"/>
        </w:r>
      </w:p>
    </w:sdtContent>
  </w:sdt>
  <w:p w14:paraId="11DFEAA1" w14:textId="77777777" w:rsidR="009E5D3B" w:rsidRDefault="009E5D3B">
    <w:pPr>
      <w:pStyle w:val="Pieddepage"/>
    </w:pPr>
  </w:p>
  <w:p w14:paraId="0343C715" w14:textId="77777777" w:rsidR="009E5D3B" w:rsidRDefault="009E5D3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67DBB" w14:textId="77777777" w:rsidR="00922FFA" w:rsidRDefault="00922FFA" w:rsidP="002411A0">
      <w:pPr>
        <w:spacing w:after="0"/>
      </w:pPr>
      <w:r>
        <w:separator/>
      </w:r>
    </w:p>
  </w:footnote>
  <w:footnote w:type="continuationSeparator" w:id="0">
    <w:p w14:paraId="2C653298" w14:textId="77777777" w:rsidR="00922FFA" w:rsidRDefault="00922FFA" w:rsidP="002411A0">
      <w:pPr>
        <w:spacing w:after="0"/>
      </w:pPr>
      <w:r>
        <w:continuationSeparator/>
      </w:r>
    </w:p>
  </w:footnote>
  <w:footnote w:id="1">
    <w:p w14:paraId="30657C69" w14:textId="01EF5819"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w:t>
      </w:r>
      <w:r w:rsidRPr="00953692">
        <w:rPr>
          <w:rFonts w:cs="Times New Roman"/>
          <w:lang w:val="fr-FR"/>
        </w:rPr>
        <w:t xml:space="preserve"> Article 64-2 du statut de Rome </w:t>
      </w:r>
      <w:r w:rsidRPr="00953692">
        <w:rPr>
          <w:rFonts w:eastAsia="Calibri" w:cs="Times New Roman"/>
          <w:bCs/>
          <w:lang w:val="fr" w:eastAsia="ru-RU"/>
        </w:rPr>
        <w:t>de la CPI (adopté le 17 juillet 1998 par la Conférence diplomatique de plénipotentiaires sous les auspices de l’ONU sur la création de la CPI ; entré en vigueur le 1er juillet 2002)</w:t>
      </w:r>
    </w:p>
  </w:footnote>
  <w:footnote w:id="2">
    <w:p w14:paraId="1AB5862D" w14:textId="70AA35AC" w:rsidR="009E5D3B" w:rsidRPr="00953692" w:rsidRDefault="009E5D3B" w:rsidP="00E009F4">
      <w:pPr>
        <w:spacing w:after="0" w:line="276" w:lineRule="auto"/>
        <w:contextualSpacing/>
        <w:jc w:val="both"/>
        <w:rPr>
          <w:rFonts w:eastAsia="Times New Roman" w:cs="Times New Roman"/>
          <w:bCs/>
          <w:sz w:val="20"/>
          <w:szCs w:val="20"/>
          <w:lang w:val="fr-FR" w:eastAsia="ru-RU"/>
        </w:rPr>
      </w:pPr>
      <w:r w:rsidRPr="00953692">
        <w:rPr>
          <w:rStyle w:val="Appelnotedebasdep"/>
          <w:rFonts w:cs="Times New Roman"/>
          <w:sz w:val="20"/>
          <w:szCs w:val="20"/>
          <w:lang w:val="fr-FR"/>
        </w:rPr>
        <w:t>2</w:t>
      </w:r>
      <w:r w:rsidRPr="00953692">
        <w:rPr>
          <w:rFonts w:cs="Times New Roman"/>
          <w:sz w:val="20"/>
          <w:szCs w:val="20"/>
          <w:lang w:val="fr-FR"/>
        </w:rPr>
        <w:t xml:space="preserve"> Article 20 du </w:t>
      </w:r>
      <w:r w:rsidRPr="00953692">
        <w:rPr>
          <w:rFonts w:eastAsia="Calibri" w:cs="Times New Roman"/>
          <w:bCs/>
          <w:sz w:val="20"/>
          <w:szCs w:val="20"/>
          <w:lang w:val="fr" w:eastAsia="ru-RU"/>
        </w:rPr>
        <w:t>Statut du Tribunal international chargé de juger les personnes accusées de violations graves du droit international humanitaire commises sur le territoire de l’ex-Yougoslavie depuis 1991 (adoptée le 25.05.1993 par la résolution 827 (1993) lors de la 3217e réunion du Conseil de sécurité des Nations unies) // Conseil de sécurité. Documents officiels. Quarante-huitième année. Supplément pour avril, mai et juin 1993. New York : Nations Unies, 1996. – pp. 148-151.</w:t>
      </w:r>
    </w:p>
  </w:footnote>
  <w:footnote w:id="3">
    <w:p w14:paraId="5B116DAE" w14:textId="5EAB9334" w:rsidR="009E5D3B" w:rsidRPr="00953692" w:rsidRDefault="009E5D3B" w:rsidP="00E009F4">
      <w:pPr>
        <w:spacing w:after="0" w:line="276" w:lineRule="auto"/>
        <w:contextualSpacing/>
        <w:jc w:val="both"/>
        <w:rPr>
          <w:rFonts w:eastAsia="Calibri" w:cs="Times New Roman"/>
          <w:bCs/>
          <w:sz w:val="20"/>
          <w:szCs w:val="20"/>
          <w:lang w:val="fr" w:eastAsia="ru-RU"/>
        </w:rPr>
      </w:pPr>
      <w:r w:rsidRPr="00953692">
        <w:rPr>
          <w:rStyle w:val="Appelnotedebasdep"/>
          <w:rFonts w:cs="Times New Roman"/>
          <w:sz w:val="20"/>
          <w:szCs w:val="20"/>
          <w:lang w:val="fr-FR"/>
        </w:rPr>
        <w:t>3</w:t>
      </w:r>
      <w:r w:rsidRPr="00953692">
        <w:rPr>
          <w:rFonts w:cs="Times New Roman"/>
          <w:sz w:val="20"/>
          <w:szCs w:val="20"/>
          <w:lang w:val="fr-FR"/>
        </w:rPr>
        <w:t xml:space="preserve"> Article 19 du </w:t>
      </w:r>
      <w:r w:rsidRPr="00953692">
        <w:rPr>
          <w:rFonts w:eastAsia="Calibri" w:cs="Times New Roman"/>
          <w:bCs/>
          <w:sz w:val="20"/>
          <w:szCs w:val="20"/>
          <w:lang w:val="fr" w:eastAsia="ru-RU"/>
        </w:rPr>
        <w:t xml:space="preserve">Statut du Tribunal international chargé de juger les personnes accusées d’actes de génocide ou d’autres violations graves du droit international humanitaire commis sur le territoire du Rwanda et les citoyens rwandais accusés de tels actes ou violations commis sur le territoire d’États voisins entre le 1er janvier 1994 et le 31 décembre 1994 (adoptée le 8 novembre 1994 par la résolution 955 (1994) à la 3453e séance du Conseil de sécurité des Nations Unies) // Résolutions et décisions du Conseil de sécurité pour 1994 année. Conseil de sécurité. Documents officiels : Quarante-neuvième année. New York : Nations Unies, 1996. – pp. 20-24. </w:t>
      </w:r>
    </w:p>
  </w:footnote>
  <w:footnote w:id="4">
    <w:p w14:paraId="48CD3642" w14:textId="4EEA9141"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4</w:t>
      </w:r>
      <w:r w:rsidRPr="00953692">
        <w:rPr>
          <w:rFonts w:cs="Times New Roman"/>
          <w:lang w:val="fr-FR"/>
        </w:rPr>
        <w:t xml:space="preserve"> Article 40 de la loi n°05/L-053 du 3 août 2015 sur les chambres et parquets spécialisés du Kosovo</w:t>
      </w:r>
    </w:p>
  </w:footnote>
  <w:footnote w:id="5">
    <w:p w14:paraId="6A9F0D86" w14:textId="6D267B90" w:rsidR="009E5D3B" w:rsidRPr="00953692" w:rsidRDefault="009E5D3B" w:rsidP="00E009F4">
      <w:pPr>
        <w:spacing w:after="0" w:line="276" w:lineRule="auto"/>
        <w:contextualSpacing/>
        <w:jc w:val="both"/>
        <w:rPr>
          <w:rFonts w:eastAsia="Times New Roman" w:cs="Times New Roman"/>
          <w:sz w:val="20"/>
          <w:szCs w:val="20"/>
          <w:lang w:val="fr-FR" w:eastAsia="ru-RU"/>
        </w:rPr>
      </w:pPr>
      <w:r w:rsidRPr="00953692">
        <w:rPr>
          <w:rStyle w:val="Appelnotedebasdep"/>
          <w:rFonts w:cs="Times New Roman"/>
          <w:sz w:val="20"/>
          <w:szCs w:val="20"/>
          <w:lang w:val="fr-FR"/>
        </w:rPr>
        <w:t>5</w:t>
      </w:r>
      <w:r w:rsidRPr="00953692">
        <w:rPr>
          <w:rFonts w:cs="Times New Roman"/>
          <w:sz w:val="20"/>
          <w:szCs w:val="20"/>
          <w:lang w:val="fr-FR"/>
        </w:rPr>
        <w:t xml:space="preserve"> Article 21 du </w:t>
      </w:r>
      <w:r w:rsidRPr="00953692">
        <w:rPr>
          <w:rFonts w:eastAsia="Calibri" w:cs="Times New Roman"/>
          <w:sz w:val="20"/>
          <w:szCs w:val="20"/>
          <w:lang w:val="fr" w:eastAsia="ru-RU"/>
        </w:rPr>
        <w:t>Statut du Tribunal spécial pour le Liban, 2007 //https://www.un.org/ru/documents/bylaws/special_tribuna_llebanon.pdf (date d’accès : 25.05.2023).</w:t>
      </w:r>
    </w:p>
  </w:footnote>
  <w:footnote w:id="6">
    <w:p w14:paraId="1B4AA42E" w14:textId="1BA79203" w:rsidR="009E5D3B" w:rsidRPr="00953692" w:rsidRDefault="009E5D3B" w:rsidP="00E009F4">
      <w:pPr>
        <w:spacing w:after="0" w:line="276" w:lineRule="auto"/>
        <w:contextualSpacing/>
        <w:jc w:val="both"/>
        <w:rPr>
          <w:rFonts w:eastAsia="Times New Roman" w:cs="Times New Roman"/>
          <w:sz w:val="20"/>
          <w:szCs w:val="20"/>
          <w:lang w:val="fr-FR" w:eastAsia="ru-RU"/>
        </w:rPr>
      </w:pPr>
      <w:r w:rsidRPr="00953692">
        <w:rPr>
          <w:rStyle w:val="Appelnotedebasdep"/>
          <w:rFonts w:cs="Times New Roman"/>
          <w:sz w:val="20"/>
          <w:szCs w:val="20"/>
          <w:lang w:val="fr-FR"/>
        </w:rPr>
        <w:t>6</w:t>
      </w:r>
      <w:r w:rsidRPr="00953692">
        <w:rPr>
          <w:rFonts w:cs="Times New Roman"/>
          <w:sz w:val="20"/>
          <w:szCs w:val="20"/>
          <w:lang w:val="fr-FR"/>
        </w:rPr>
        <w:t xml:space="preserve"> Article 33 de la loi N° NS/RKM/0801/12 KRAM relative à la création de chambres extraordinaires au sein des tribunaux cambodgiens du 27 octobre 2004. https://www.eccc.gov.kh/sites/default/files/legal-documents/ECCC_law_2004_French.pdf</w:t>
      </w:r>
    </w:p>
  </w:footnote>
  <w:footnote w:id="7">
    <w:p w14:paraId="09472F09" w14:textId="09D6AFF8"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7</w:t>
      </w:r>
      <w:r w:rsidRPr="00953692">
        <w:rPr>
          <w:rFonts w:cs="Times New Roman"/>
          <w:lang w:val="fr-FR"/>
        </w:rPr>
        <w:t xml:space="preserve"> L'intention des Alliés de poursuivre et de châtier les grands criminels de guerre des Puissances européennes de 1'Axe a été exprimée pour la première fois au cours de la Conférence de Moscou, tenue en 1943. Déclaration de Moscou du 30 octobre 1943 « Sur la responsabilité des nazis pour les atrocités commises » [Texte] // Recueil des traités, accords et conventions existants conclus par l’URSS avec des États étrangers. – M. : Gos politizdat, 1955. –Vol. XI. – A. 51-52.</w:t>
      </w:r>
    </w:p>
  </w:footnote>
  <w:footnote w:id="8">
    <w:p w14:paraId="58042B52" w14:textId="04965499"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8</w:t>
      </w:r>
      <w:r w:rsidRPr="00953692">
        <w:rPr>
          <w:rFonts w:cs="Times New Roman"/>
          <w:lang w:val="fr-FR"/>
        </w:rPr>
        <w:t xml:space="preserve"> Le statut et le jugement du tribunal de Nuremberg : Historique et analyse, (Mémorandum du Secrétaire général), Nations Unies, Assemblée générale, Commission du droit international, Lake Success, New-York, (A/CN.4/51), 1949, p. 46.</w:t>
      </w:r>
    </w:p>
  </w:footnote>
  <w:footnote w:id="9">
    <w:p w14:paraId="1B3AE531" w14:textId="0EF13443"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9</w:t>
      </w:r>
      <w:r w:rsidRPr="00953692">
        <w:rPr>
          <w:rFonts w:cs="Times New Roman"/>
          <w:lang w:val="fr-FR"/>
        </w:rPr>
        <w:t xml:space="preserve"> Kuty, Fr. </w:t>
      </w:r>
      <w:r w:rsidRPr="00953692">
        <w:rPr>
          <w:rFonts w:cs="Times New Roman"/>
          <w:i/>
          <w:lang w:val="fr-FR"/>
        </w:rPr>
        <w:t>Justice pénale et procès équitable, délai raisonnable, présomption d’innocence et autres droits spécifiques du prévenu</w:t>
      </w:r>
      <w:r w:rsidRPr="00953692">
        <w:rPr>
          <w:rFonts w:cs="Times New Roman"/>
          <w:lang w:val="fr-FR"/>
        </w:rPr>
        <w:t>, Volume 2, Larciers, Bruxelles, 2006, p. 654.</w:t>
      </w:r>
    </w:p>
  </w:footnote>
  <w:footnote w:id="10">
    <w:p w14:paraId="3BA61419" w14:textId="4768A949"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10</w:t>
      </w:r>
      <w:r w:rsidRPr="00953692">
        <w:rPr>
          <w:rFonts w:cs="Times New Roman"/>
          <w:lang w:val="fr-FR"/>
        </w:rPr>
        <w:t xml:space="preserve"> Marie Nicolas, </w:t>
      </w:r>
      <w:r w:rsidRPr="00953692">
        <w:rPr>
          <w:rFonts w:cs="Times New Roman"/>
          <w:i/>
          <w:iCs/>
          <w:lang w:val="fr-FR"/>
        </w:rPr>
        <w:t>Le droit au délai raisonnable devant les juridictions pénales internationales</w:t>
      </w:r>
      <w:r w:rsidRPr="00953692">
        <w:rPr>
          <w:rFonts w:cs="Times New Roman"/>
          <w:lang w:val="fr-FR"/>
        </w:rPr>
        <w:t>, 1</w:t>
      </w:r>
      <w:r w:rsidRPr="00953692">
        <w:rPr>
          <w:rFonts w:cs="Times New Roman"/>
          <w:vertAlign w:val="superscript"/>
          <w:lang w:val="fr-FR"/>
        </w:rPr>
        <w:t>ère</w:t>
      </w:r>
      <w:r w:rsidRPr="00953692">
        <w:rPr>
          <w:rFonts w:cs="Times New Roman"/>
          <w:lang w:val="fr-FR"/>
        </w:rPr>
        <w:t xml:space="preserve"> éd., Peter Lang, Frankfurt, 2012, p. 17.</w:t>
      </w:r>
    </w:p>
  </w:footnote>
  <w:footnote w:id="11">
    <w:p w14:paraId="732E183B" w14:textId="09EA8402"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11</w:t>
      </w:r>
      <w:r w:rsidRPr="00953692">
        <w:rPr>
          <w:rFonts w:cs="Times New Roman"/>
          <w:lang w:val="fr-FR"/>
        </w:rPr>
        <w:t xml:space="preserve"> La Rosa, A-M. “Nuremberg (Droit de -)”. Dictionnaire de droit international pénal : Termes choisis. By La Rosa. Genève : Graduate Institute Publications, 1998. (pp. 68-75) Web. &lt;http://books.openedition.org/iheid/4005&gt;.</w:t>
      </w:r>
    </w:p>
  </w:footnote>
  <w:footnote w:id="12">
    <w:p w14:paraId="33D458EC" w14:textId="2E987C62"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11</w:t>
      </w:r>
      <w:r w:rsidRPr="00953692">
        <w:rPr>
          <w:rFonts w:cs="Times New Roman"/>
          <w:lang w:val="fr-FR"/>
        </w:rPr>
        <w:t xml:space="preserve"> Beccaria, C. </w:t>
      </w:r>
      <w:r w:rsidRPr="00953692">
        <w:rPr>
          <w:rFonts w:cs="Times New Roman"/>
          <w:i/>
          <w:lang w:val="fr-FR"/>
        </w:rPr>
        <w:t>Des délits et des peines</w:t>
      </w:r>
      <w:r w:rsidRPr="00953692">
        <w:rPr>
          <w:rFonts w:cs="Times New Roman"/>
          <w:lang w:val="fr-FR"/>
        </w:rPr>
        <w:t>, (1764), GF Flammarion, 1991, p. 44.</w:t>
      </w:r>
    </w:p>
  </w:footnote>
  <w:footnote w:id="13">
    <w:p w14:paraId="660404EE" w14:textId="203457FE" w:rsidR="009E5D3B" w:rsidRPr="00953692" w:rsidRDefault="009E5D3B" w:rsidP="00E009F4">
      <w:pPr>
        <w:pStyle w:val="Notedebasdepage"/>
        <w:spacing w:line="276" w:lineRule="auto"/>
        <w:jc w:val="both"/>
        <w:rPr>
          <w:rFonts w:cs="Times New Roman"/>
          <w:lang w:val="en-US"/>
        </w:rPr>
      </w:pPr>
      <w:r w:rsidRPr="00953692">
        <w:rPr>
          <w:rStyle w:val="Appelnotedebasdep"/>
          <w:rFonts w:cs="Times New Roman"/>
          <w:lang w:val="en-US"/>
        </w:rPr>
        <w:t>12</w:t>
      </w:r>
      <w:r w:rsidRPr="00953692">
        <w:rPr>
          <w:rFonts w:cs="Times New Roman"/>
          <w:lang w:val="en-US"/>
        </w:rPr>
        <w:t xml:space="preserve"> Kuty, Fr. Op.cit. P. 1.</w:t>
      </w:r>
    </w:p>
  </w:footnote>
  <w:footnote w:id="14">
    <w:p w14:paraId="134F71BB" w14:textId="19D907A7"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13</w:t>
      </w:r>
      <w:r w:rsidRPr="00953692">
        <w:rPr>
          <w:rFonts w:cs="Times New Roman"/>
          <w:lang w:val="fr-FR"/>
        </w:rPr>
        <w:t xml:space="preserve"> </w:t>
      </w:r>
      <w:r w:rsidRPr="00953692">
        <w:rPr>
          <w:rFonts w:cs="Times New Roman"/>
          <w:shd w:val="clear" w:color="auto" w:fill="FFFFFF"/>
          <w:lang w:val="fr-FR"/>
        </w:rPr>
        <w:t>Truche P. « La pénalisation à l'épreuve du temps, des décisions judiciaires et politiques », </w:t>
      </w:r>
      <w:r w:rsidRPr="00953692">
        <w:rPr>
          <w:rFonts w:cs="Times New Roman"/>
          <w:i/>
          <w:iCs/>
          <w:shd w:val="clear" w:color="auto" w:fill="FFFFFF"/>
          <w:lang w:val="fr-FR"/>
        </w:rPr>
        <w:t>Pouvoirs</w:t>
      </w:r>
      <w:r w:rsidRPr="00953692">
        <w:rPr>
          <w:rFonts w:cs="Times New Roman"/>
          <w:shd w:val="clear" w:color="auto" w:fill="FFFFFF"/>
          <w:lang w:val="fr-FR"/>
        </w:rPr>
        <w:t>, 2009/1 (n° 128), p. 122. DOI : 10.3917/pouv.128.0121. URL : https://www.cairn.info/revue-pouvoirs-2009-1-page-121.htm</w:t>
      </w:r>
    </w:p>
  </w:footnote>
  <w:footnote w:id="15">
    <w:p w14:paraId="4944BFA7" w14:textId="7B5C86CA" w:rsidR="009E5D3B" w:rsidRPr="00953692" w:rsidRDefault="009E5D3B" w:rsidP="00E009F4">
      <w:pPr>
        <w:spacing w:after="0" w:line="276" w:lineRule="auto"/>
        <w:jc w:val="both"/>
        <w:rPr>
          <w:rFonts w:cs="Times New Roman"/>
          <w:sz w:val="20"/>
          <w:szCs w:val="20"/>
          <w:lang w:val="fr-FR"/>
        </w:rPr>
      </w:pPr>
      <w:r w:rsidRPr="00953692">
        <w:rPr>
          <w:rStyle w:val="Appelnotedebasdep"/>
          <w:rFonts w:cs="Times New Roman"/>
          <w:sz w:val="20"/>
          <w:szCs w:val="20"/>
          <w:lang w:val="fr-FR"/>
        </w:rPr>
        <w:t>14</w:t>
      </w:r>
      <w:r w:rsidRPr="00953692">
        <w:rPr>
          <w:rFonts w:cs="Times New Roman"/>
          <w:sz w:val="20"/>
          <w:szCs w:val="20"/>
          <w:lang w:val="fr-FR"/>
        </w:rPr>
        <w:t xml:space="preserve"> Cesare Beccaria, Des délits et des peines (avec les commentaires de Faustin Hélie), Éditions d’Aujourd’hui, 1980.</w:t>
      </w:r>
    </w:p>
  </w:footnote>
  <w:footnote w:id="16">
    <w:p w14:paraId="4B0146A5" w14:textId="6D6422AD" w:rsidR="009E5D3B" w:rsidRPr="00953692" w:rsidRDefault="009E5D3B" w:rsidP="00E009F4">
      <w:pPr>
        <w:pStyle w:val="Notedebasdepage"/>
        <w:spacing w:line="276" w:lineRule="auto"/>
        <w:jc w:val="both"/>
        <w:rPr>
          <w:rFonts w:eastAsia="Times New Roman" w:cs="Times New Roman"/>
          <w:lang w:val="fr-FR"/>
        </w:rPr>
      </w:pPr>
      <w:r w:rsidRPr="00953692">
        <w:rPr>
          <w:rStyle w:val="Appelnotedebasdep"/>
          <w:rFonts w:cs="Times New Roman"/>
          <w:lang w:val="fr-FR"/>
        </w:rPr>
        <w:t>15</w:t>
      </w:r>
      <w:r w:rsidRPr="00953692">
        <w:rPr>
          <w:rFonts w:cs="Times New Roman"/>
          <w:lang w:val="fr-FR"/>
        </w:rPr>
        <w:t xml:space="preserve"> </w:t>
      </w:r>
      <w:r w:rsidRPr="00953692">
        <w:rPr>
          <w:rFonts w:eastAsia="Times New Roman" w:cs="Times New Roman"/>
          <w:lang w:val="fr-FR"/>
        </w:rPr>
        <w:t>Rapport d’experts : Mesures à la disposition de la Cour pénale internationale pour réduire la longueur des procédures :</w:t>
      </w:r>
      <w:hyperlink r:id="rId1" w:history="1">
        <w:r w:rsidRPr="00953692">
          <w:rPr>
            <w:rFonts w:eastAsia="Calibri" w:cs="Times New Roman"/>
            <w:lang w:val="fr-FR"/>
          </w:rPr>
          <w:t>https://www.icc-cpi.int/NR/rdonlyres/20BB4494-70F9-4698-8E30</w:t>
        </w:r>
      </w:hyperlink>
      <w:r w:rsidRPr="00953692">
        <w:rPr>
          <w:rFonts w:eastAsia="Calibri" w:cs="Times New Roman"/>
          <w:lang w:val="fr-FR"/>
        </w:rPr>
        <w:t>/ 907F631453ED/281985/longeur_procedures.pdf</w:t>
      </w:r>
    </w:p>
  </w:footnote>
  <w:footnote w:id="17">
    <w:p w14:paraId="46CC29C8" w14:textId="51C63DC5" w:rsidR="009E5D3B" w:rsidRPr="00953692" w:rsidRDefault="009E5D3B" w:rsidP="00E009F4">
      <w:pPr>
        <w:pStyle w:val="Notedebasdepage"/>
        <w:tabs>
          <w:tab w:val="left" w:pos="7590"/>
        </w:tabs>
        <w:spacing w:line="276" w:lineRule="auto"/>
        <w:jc w:val="both"/>
        <w:rPr>
          <w:rFonts w:cs="Times New Roman"/>
          <w:lang w:val="fr-FR"/>
        </w:rPr>
      </w:pPr>
      <w:r w:rsidRPr="00953692">
        <w:rPr>
          <w:rStyle w:val="Appelnotedebasdep"/>
          <w:rFonts w:cs="Times New Roman"/>
          <w:lang w:val="fr-FR"/>
        </w:rPr>
        <w:t>16</w:t>
      </w:r>
      <w:r w:rsidRPr="00953692">
        <w:rPr>
          <w:rFonts w:cs="Times New Roman"/>
          <w:lang w:val="fr-FR"/>
        </w:rPr>
        <w:t xml:space="preserve"> Guichard, S. </w:t>
      </w:r>
      <w:r w:rsidRPr="00953692">
        <w:rPr>
          <w:rFonts w:cs="Times New Roman"/>
          <w:i/>
          <w:lang w:val="fr-FR"/>
        </w:rPr>
        <w:t>Lexique des termes juridiques</w:t>
      </w:r>
      <w:r w:rsidRPr="00953692">
        <w:rPr>
          <w:rFonts w:cs="Times New Roman"/>
          <w:lang w:val="fr-FR"/>
        </w:rPr>
        <w:t>, 25</w:t>
      </w:r>
      <w:r w:rsidRPr="00953692">
        <w:rPr>
          <w:rFonts w:cs="Times New Roman"/>
          <w:vertAlign w:val="superscript"/>
          <w:lang w:val="fr-FR"/>
        </w:rPr>
        <w:t>ème</w:t>
      </w:r>
      <w:r w:rsidRPr="00953692">
        <w:rPr>
          <w:rFonts w:cs="Times New Roman"/>
          <w:lang w:val="fr-FR"/>
        </w:rPr>
        <w:t xml:space="preserve"> éd., Dalloz, Paris, 2017/2018, p. 899.</w:t>
      </w:r>
      <w:r w:rsidRPr="00953692">
        <w:rPr>
          <w:rFonts w:cs="Times New Roman"/>
          <w:lang w:val="fr-FR"/>
        </w:rPr>
        <w:tab/>
      </w:r>
    </w:p>
  </w:footnote>
  <w:footnote w:id="18">
    <w:p w14:paraId="2035EC0D" w14:textId="56FC076F"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17</w:t>
      </w:r>
      <w:r w:rsidRPr="00953692">
        <w:rPr>
          <w:rFonts w:cs="Times New Roman"/>
          <w:lang w:val="fr-FR"/>
        </w:rPr>
        <w:t xml:space="preserve"> Foulquié, P. </w:t>
      </w:r>
      <w:r w:rsidRPr="00953692">
        <w:rPr>
          <w:rFonts w:cs="Times New Roman"/>
          <w:i/>
          <w:lang w:val="fr-FR"/>
        </w:rPr>
        <w:t>Dictionnaire de la langue philosophique</w:t>
      </w:r>
      <w:r w:rsidRPr="00953692">
        <w:rPr>
          <w:rFonts w:cs="Times New Roman"/>
          <w:lang w:val="fr-FR"/>
        </w:rPr>
        <w:t>, PUF, Paris, 1992, p. 219.</w:t>
      </w:r>
    </w:p>
  </w:footnote>
  <w:footnote w:id="19">
    <w:p w14:paraId="42EC0354" w14:textId="7673412A"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18</w:t>
      </w:r>
      <w:r w:rsidRPr="00953692">
        <w:rPr>
          <w:rFonts w:cs="Times New Roman"/>
          <w:lang w:val="fr-FR"/>
        </w:rPr>
        <w:t xml:space="preserve"> Pradel, J. « La notion de procès équitable en droit pénal européen », </w:t>
      </w:r>
      <w:r w:rsidRPr="00953692">
        <w:rPr>
          <w:rFonts w:cs="Times New Roman"/>
          <w:i/>
          <w:lang w:val="fr-FR"/>
        </w:rPr>
        <w:t>in Revue générale de droit</w:t>
      </w:r>
      <w:r w:rsidRPr="00953692">
        <w:rPr>
          <w:rFonts w:cs="Times New Roman"/>
          <w:lang w:val="fr-FR"/>
        </w:rPr>
        <w:t>, 1996, 27 (4), 505–523.</w:t>
      </w:r>
    </w:p>
  </w:footnote>
  <w:footnote w:id="20">
    <w:p w14:paraId="6C2A44D1" w14:textId="6D209233"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19</w:t>
      </w:r>
      <w:r w:rsidRPr="00953692">
        <w:rPr>
          <w:rFonts w:cs="Times New Roman"/>
          <w:lang w:val="fr-FR"/>
        </w:rPr>
        <w:t xml:space="preserve"> Doyon, J.-M. « Droit, Loi et Équité », </w:t>
      </w:r>
      <w:r w:rsidRPr="00953692">
        <w:rPr>
          <w:rFonts w:cs="Times New Roman"/>
          <w:i/>
          <w:lang w:val="fr-FR"/>
        </w:rPr>
        <w:t>in Revue générale de droit</w:t>
      </w:r>
      <w:r w:rsidRPr="00953692">
        <w:rPr>
          <w:rFonts w:cs="Times New Roman"/>
          <w:lang w:val="fr-FR"/>
        </w:rPr>
        <w:t>, 1995, 26 (2), pp. 325–337. Voir également Wane B-B. Cours de procédure pénale, (inédit), 2016-2017, P. 3.</w:t>
      </w:r>
    </w:p>
  </w:footnote>
  <w:footnote w:id="21">
    <w:p w14:paraId="537F2A7D" w14:textId="64AB21E0" w:rsidR="009E5D3B" w:rsidRPr="00953692" w:rsidRDefault="009E5D3B" w:rsidP="00E009F4">
      <w:pPr>
        <w:pStyle w:val="Notedebasdepage"/>
        <w:spacing w:line="276" w:lineRule="auto"/>
        <w:jc w:val="both"/>
        <w:rPr>
          <w:rFonts w:eastAsia="Times New Roman" w:cs="Times New Roman"/>
          <w:lang w:val="fr-FR"/>
        </w:rPr>
      </w:pPr>
      <w:r w:rsidRPr="00953692">
        <w:rPr>
          <w:rStyle w:val="Appelnotedebasdep"/>
          <w:rFonts w:cs="Times New Roman"/>
          <w:lang w:val="fr-FR"/>
        </w:rPr>
        <w:t>20</w:t>
      </w:r>
      <w:r w:rsidRPr="00953692">
        <w:rPr>
          <w:rFonts w:cs="Times New Roman"/>
          <w:lang w:val="fr-FR"/>
        </w:rPr>
        <w:t xml:space="preserve"> </w:t>
      </w:r>
      <w:r w:rsidRPr="00953692">
        <w:rPr>
          <w:rFonts w:eastAsia="Times New Roman" w:cs="Times New Roman"/>
          <w:lang w:val="fr-FR"/>
        </w:rPr>
        <w:t xml:space="preserve">Les articles 21 (4) (c) du statut actualisé du tribunal pénal international pour l’ex-Yougoslavie de 1993;  20 (4) (c) du Statut du tribunal pénal international pour le Rwanda de 1994; 17 (4)(c) du Statut du Tribunal spécial pour la Sierra Leone de 2002 ; 6 (3)(f) du Règlement transitoire de la procédure pénale Timor Oriental ; 20 (d)(3) du Statut du Tribunal spécial irakien ; 16 (4)(c) du Statut du Tribunal spécial pour le Liban de 2007 ; Article 67 (1) (c) du Statut de Rome de la Cour pénale internationale, de 1998. </w:t>
      </w:r>
    </w:p>
  </w:footnote>
  <w:footnote w:id="22">
    <w:p w14:paraId="6BAC88FD" w14:textId="0611C110"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21</w:t>
      </w:r>
      <w:r w:rsidRPr="00953692">
        <w:rPr>
          <w:rFonts w:cs="Times New Roman"/>
          <w:lang w:val="fr-FR"/>
        </w:rPr>
        <w:t xml:space="preserve"> Cornu, G. </w:t>
      </w:r>
      <w:r w:rsidRPr="00953692">
        <w:rPr>
          <w:rFonts w:cs="Times New Roman"/>
          <w:i/>
          <w:lang w:val="fr-FR"/>
        </w:rPr>
        <w:t>Vocabulaire juridique</w:t>
      </w:r>
      <w:r w:rsidRPr="00953692">
        <w:rPr>
          <w:rFonts w:cs="Times New Roman"/>
          <w:lang w:val="fr-FR"/>
        </w:rPr>
        <w:t>, PUF, Paris, 2005, p. 970.</w:t>
      </w:r>
    </w:p>
  </w:footnote>
  <w:footnote w:id="23">
    <w:p w14:paraId="42E2BC49" w14:textId="0CC88F3A"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22</w:t>
      </w:r>
      <w:r w:rsidRPr="00953692">
        <w:rPr>
          <w:rFonts w:cs="Times New Roman"/>
          <w:lang w:val="fr-FR"/>
        </w:rPr>
        <w:t xml:space="preserve"> Voyons par exemple </w:t>
      </w:r>
      <w:r w:rsidRPr="00953692">
        <w:rPr>
          <w:rFonts w:cs="Times New Roman"/>
          <w:i/>
          <w:lang w:val="fr-FR"/>
        </w:rPr>
        <w:t>« la coutume qui était décriée pour son obscurantisme, sa diversité, son irrationalité, voire, sa barbarie. A cet effet, les philosophes des Lumières voyaient dans la loi le moyen de rendre le droit rationnel</w:t>
      </w:r>
      <w:r w:rsidRPr="00953692">
        <w:rPr>
          <w:rFonts w:cs="Times New Roman"/>
          <w:lang w:val="fr-FR"/>
        </w:rPr>
        <w:t> ». V. Br. de Loynes de Fumichon, « Introduction au droit compare », </w:t>
      </w:r>
      <w:r w:rsidRPr="00953692">
        <w:rPr>
          <w:rFonts w:cs="Times New Roman"/>
          <w:i/>
          <w:lang w:val="fr-FR"/>
        </w:rPr>
        <w:t>in Journal de Droit Comparé</w:t>
      </w:r>
      <w:r w:rsidRPr="00953692">
        <w:rPr>
          <w:rFonts w:cs="Times New Roman"/>
          <w:lang w:val="fr-FR"/>
        </w:rPr>
        <w:t xml:space="preserve"> Du Pacifique Collection 'Ex Professo' Volume II (2013) Law : </w:t>
      </w:r>
      <w:hyperlink r:id="rId2" w:history="1">
        <w:r w:rsidRPr="00953692">
          <w:rPr>
            <w:rStyle w:val="Lienhypertexte"/>
            <w:rFonts w:cs="Times New Roman"/>
            <w:color w:val="auto"/>
            <w:u w:val="none"/>
            <w:lang w:val="fr-FR"/>
          </w:rPr>
          <w:t>www.victoria.ac.nz/law/nzacl/publications.aspx</w:t>
        </w:r>
      </w:hyperlink>
      <w:r w:rsidRPr="00953692">
        <w:rPr>
          <w:rFonts w:cs="Times New Roman"/>
          <w:lang w:val="fr-FR"/>
        </w:rPr>
        <w:t xml:space="preserve"> Voir aussi Bar Haim, R. Une vision du droit pénal international : « L'humanisme judiciaire ». Régulation du droit pénal international par la codification des garanties internationales d'équité du procès pénal. In: Revue Québécoise de droit international, hors-série octobre 2010. Association internationale des avocats de la défense (AIAD) pp. 341-396.</w:t>
      </w:r>
    </w:p>
  </w:footnote>
  <w:footnote w:id="24">
    <w:p w14:paraId="5675934A" w14:textId="350D8EF2"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23</w:t>
      </w:r>
      <w:r w:rsidRPr="00953692">
        <w:rPr>
          <w:rFonts w:cs="Times New Roman"/>
          <w:lang w:val="fr-FR"/>
        </w:rPr>
        <w:t xml:space="preserve"> Article premier, point 5 de la Déclaration et Programme d’action de Vienne Adoptés par la Conférence mondiale sur les droits de l’homme le 25 juin 1993. ‘</w:t>
      </w:r>
      <w:r w:rsidRPr="00953692">
        <w:rPr>
          <w:rFonts w:cs="Times New Roman"/>
          <w:i/>
          <w:lang w:val="fr-FR"/>
        </w:rPr>
        <w:t>’Tous les droits de l’homme sont universels, indissociables, interdépendants et intimement liés…’’</w:t>
      </w:r>
    </w:p>
  </w:footnote>
  <w:footnote w:id="25">
    <w:p w14:paraId="4E3422C4" w14:textId="5348B5D8"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24</w:t>
      </w:r>
      <w:r w:rsidRPr="00953692">
        <w:rPr>
          <w:rFonts w:cs="Times New Roman"/>
          <w:lang w:val="fr-FR"/>
        </w:rPr>
        <w:t xml:space="preserve"> </w:t>
      </w:r>
      <w:r w:rsidRPr="00953692">
        <w:rPr>
          <w:rFonts w:eastAsia="Times New Roman" w:cs="Times New Roman"/>
          <w:lang w:val="fr-FR"/>
        </w:rPr>
        <w:t xml:space="preserve">Etrillard, C. </w:t>
      </w:r>
      <w:r w:rsidRPr="00953692">
        <w:rPr>
          <w:rFonts w:eastAsia="Times New Roman" w:cs="Times New Roman"/>
          <w:i/>
          <w:lang w:val="fr-FR"/>
        </w:rPr>
        <w:t>Le temps dans l’investigation pénale</w:t>
      </w:r>
      <w:r w:rsidRPr="00953692">
        <w:rPr>
          <w:rFonts w:eastAsia="Times New Roman" w:cs="Times New Roman"/>
          <w:lang w:val="fr-FR"/>
        </w:rPr>
        <w:t>, éd., L</w:t>
      </w:r>
      <w:r w:rsidR="00ED789C">
        <w:rPr>
          <w:rFonts w:eastAsia="Times New Roman" w:cs="Times New Roman"/>
          <w:lang w:val="fr-FR"/>
        </w:rPr>
        <w:t>’</w:t>
      </w:r>
      <w:r w:rsidRPr="00953692">
        <w:rPr>
          <w:rFonts w:eastAsia="Times New Roman" w:cs="Times New Roman"/>
          <w:lang w:val="fr-FR"/>
        </w:rPr>
        <w:t>Harmattan, paris, 2004, p.39.</w:t>
      </w:r>
    </w:p>
  </w:footnote>
  <w:footnote w:id="26">
    <w:p w14:paraId="23B09D69" w14:textId="515E6BDA" w:rsidR="009E5D3B" w:rsidRPr="00953692" w:rsidRDefault="009E5D3B" w:rsidP="00E009F4">
      <w:pPr>
        <w:pStyle w:val="Notedebasdepage"/>
        <w:spacing w:line="276" w:lineRule="auto"/>
        <w:jc w:val="both"/>
        <w:rPr>
          <w:rFonts w:eastAsia="Times New Roman" w:cs="Times New Roman"/>
          <w:lang w:val="fr-FR"/>
        </w:rPr>
      </w:pPr>
      <w:r w:rsidRPr="00953692">
        <w:rPr>
          <w:rStyle w:val="Appelnotedebasdep"/>
          <w:rFonts w:cs="Times New Roman"/>
          <w:lang w:val="fr-FR"/>
        </w:rPr>
        <w:t>25</w:t>
      </w:r>
      <w:r w:rsidRPr="00953692">
        <w:rPr>
          <w:rFonts w:cs="Times New Roman"/>
          <w:lang w:val="fr-FR"/>
        </w:rPr>
        <w:t xml:space="preserve"> </w:t>
      </w:r>
      <w:r w:rsidRPr="00953692">
        <w:rPr>
          <w:rFonts w:eastAsia="Times New Roman" w:cs="Times New Roman"/>
          <w:lang w:val="fr-FR"/>
        </w:rPr>
        <w:t>Idem., p. 39.</w:t>
      </w:r>
    </w:p>
  </w:footnote>
  <w:footnote w:id="27">
    <w:p w14:paraId="11EE880C" w14:textId="0DFF0C4E" w:rsidR="009E5D3B" w:rsidRPr="00953692" w:rsidRDefault="009E5D3B" w:rsidP="00E009F4">
      <w:pPr>
        <w:pStyle w:val="Notedebasdepage"/>
        <w:spacing w:line="276" w:lineRule="auto"/>
        <w:jc w:val="both"/>
        <w:rPr>
          <w:rFonts w:eastAsia="Times New Roman" w:cs="Times New Roman"/>
          <w:lang w:val="fr-FR" w:eastAsia="ru-RU"/>
        </w:rPr>
      </w:pPr>
      <w:r w:rsidRPr="00953692">
        <w:rPr>
          <w:rStyle w:val="Appelnotedebasdep"/>
          <w:rFonts w:cs="Times New Roman"/>
          <w:lang w:val="fr-FR"/>
        </w:rPr>
        <w:t>26</w:t>
      </w:r>
      <w:r w:rsidRPr="00953692">
        <w:rPr>
          <w:rFonts w:cs="Times New Roman"/>
          <w:lang w:val="fr-FR"/>
        </w:rPr>
        <w:t xml:space="preserve"> </w:t>
      </w:r>
      <w:r w:rsidRPr="00953692">
        <w:rPr>
          <w:rFonts w:eastAsia="Times New Roman" w:cs="Times New Roman"/>
          <w:lang w:val="fr-FR" w:eastAsia="ru-RU"/>
        </w:rPr>
        <w:t>Isakov V.B. La composition réelle dans le mécanisme de régulation juridique. Réimpression reproduction éd. 1980 M., 2017. p. 73.</w:t>
      </w:r>
    </w:p>
  </w:footnote>
  <w:footnote w:id="28">
    <w:p w14:paraId="7A7A6E02" w14:textId="630DEF1A" w:rsidR="009E5D3B" w:rsidRPr="00953692" w:rsidRDefault="009E5D3B" w:rsidP="00E009F4">
      <w:pPr>
        <w:pStyle w:val="Notedebasdepage"/>
        <w:spacing w:line="276" w:lineRule="auto"/>
        <w:jc w:val="both"/>
        <w:rPr>
          <w:rFonts w:eastAsia="Times New Roman" w:cs="Times New Roman"/>
          <w:lang w:val="fr-FR"/>
        </w:rPr>
      </w:pPr>
      <w:r w:rsidRPr="00953692">
        <w:rPr>
          <w:rStyle w:val="Appelnotedebasdep"/>
          <w:rFonts w:cs="Times New Roman"/>
          <w:lang w:val="fr-FR"/>
        </w:rPr>
        <w:t>13</w:t>
      </w:r>
      <w:r w:rsidRPr="00953692">
        <w:rPr>
          <w:rFonts w:cs="Times New Roman"/>
          <w:lang w:val="fr-FR"/>
        </w:rPr>
        <w:t xml:space="preserve"> </w:t>
      </w:r>
      <w:r w:rsidRPr="00953692">
        <w:rPr>
          <w:rFonts w:eastAsia="Times New Roman" w:cs="Times New Roman"/>
          <w:lang w:val="fr-FR"/>
        </w:rPr>
        <w:t xml:space="preserve">Wane B-B, </w:t>
      </w:r>
      <w:r w:rsidRPr="00953692">
        <w:rPr>
          <w:rFonts w:eastAsia="Times New Roman" w:cs="Times New Roman"/>
          <w:i/>
          <w:lang w:val="fr-FR"/>
        </w:rPr>
        <w:t>Cours de procédure pénale</w:t>
      </w:r>
      <w:r w:rsidRPr="00953692">
        <w:rPr>
          <w:rFonts w:eastAsia="Times New Roman" w:cs="Times New Roman"/>
          <w:lang w:val="fr-FR"/>
        </w:rPr>
        <w:t>, inédit, Kinshasa, 2020, p. 65-67.</w:t>
      </w:r>
    </w:p>
  </w:footnote>
  <w:footnote w:id="29">
    <w:p w14:paraId="639522C4" w14:textId="61567629"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13</w:t>
      </w:r>
      <w:r w:rsidRPr="00953692">
        <w:rPr>
          <w:rFonts w:cs="Times New Roman"/>
          <w:lang w:val="fr-FR"/>
        </w:rPr>
        <w:t xml:space="preserve"> Grishin D. A. Le droit à l'information à l’étape d’avant procès pénal // Bulletin de l'Université de Moscou du ministère de l'Intérieur de la Russie. 2020. N°2. p. 140. URL : https://cyberleninka.ru/article/n/pravo-na-informatsiyu-v-dosudebnyh-stadiyah-ugolovnogo-sudoproizvodstva (date d'accès : 21/10/2023). : « Dans certains cas, le droit de recevoir des informations se transforme en obligation pour les fonctionnaires de prendre les mesures appropriées, notamment remettre une copie de la décision d'engager les poursuites pénales à l’encontre d’une personne ».</w:t>
      </w:r>
    </w:p>
  </w:footnote>
  <w:footnote w:id="30">
    <w:p w14:paraId="69FF702E" w14:textId="425EE966"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14</w:t>
      </w:r>
      <w:r w:rsidRPr="00953692">
        <w:rPr>
          <w:rFonts w:cs="Times New Roman"/>
          <w:lang w:val="fr-FR"/>
        </w:rPr>
        <w:t xml:space="preserve"> Svezhintsev E.I. Mise en œuvre du droit constitutionnel à l'accès à l'information et à la transparence des procédures pénales // Bulletin de l'Académie de Volgograd du ministère de l'Intérieur de la Russie. 2017. N° 1 (40). </w:t>
      </w:r>
      <w:r w:rsidR="00ED789C">
        <w:rPr>
          <w:rFonts w:cs="Times New Roman"/>
          <w:lang w:val="fr-FR"/>
        </w:rPr>
        <w:t>p</w:t>
      </w:r>
      <w:r w:rsidRPr="00953692">
        <w:rPr>
          <w:rFonts w:cs="Times New Roman"/>
          <w:lang w:val="fr-FR"/>
        </w:rPr>
        <w:t>. 93.</w:t>
      </w:r>
    </w:p>
  </w:footnote>
  <w:footnote w:id="31">
    <w:p w14:paraId="077F7C57" w14:textId="2685B372"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14</w:t>
      </w:r>
      <w:r w:rsidRPr="00953692">
        <w:rPr>
          <w:rFonts w:cs="Times New Roman"/>
          <w:lang w:val="fr-FR"/>
        </w:rPr>
        <w:t xml:space="preserve"> Gassin, R. « Le principe de la légalité et la procédure pénale », Revue pénitentiaire et de droit pénal 2001.2.300. Cité par De Lamy, B.  (2009). Dérives et évolution du principe de la légalité en droit pénal français : contribution à l’étude des sources du droit pénal français. Les Cahiers de droit, 50(3-4), P. 587.</w:t>
      </w:r>
    </w:p>
  </w:footnote>
  <w:footnote w:id="32">
    <w:p w14:paraId="40D1D119" w14:textId="025B9B67" w:rsidR="009E5D3B" w:rsidRPr="00ED789C" w:rsidRDefault="009E5D3B" w:rsidP="00E009F4">
      <w:pPr>
        <w:pStyle w:val="Notedebasdepage"/>
        <w:spacing w:line="276" w:lineRule="auto"/>
        <w:jc w:val="both"/>
        <w:rPr>
          <w:rFonts w:cs="Times New Roman"/>
          <w:lang w:val="en-US"/>
        </w:rPr>
      </w:pPr>
      <w:r w:rsidRPr="00ED789C">
        <w:rPr>
          <w:rStyle w:val="Appelnotedebasdep"/>
          <w:rFonts w:cs="Times New Roman"/>
          <w:lang w:val="en-US"/>
        </w:rPr>
        <w:t>15</w:t>
      </w:r>
      <w:r w:rsidRPr="00ED789C">
        <w:rPr>
          <w:rFonts w:cs="Times New Roman"/>
          <w:lang w:val="en-US"/>
        </w:rPr>
        <w:t xml:space="preserve"> </w:t>
      </w:r>
      <w:r w:rsidRPr="00ED789C">
        <w:rPr>
          <w:rFonts w:eastAsia="Times New Roman" w:cs="Times New Roman"/>
          <w:lang w:val="en-US"/>
        </w:rPr>
        <w:t xml:space="preserve">Wane B-B. </w:t>
      </w:r>
      <w:r w:rsidRPr="00ED789C">
        <w:rPr>
          <w:rFonts w:eastAsia="Times New Roman" w:cs="Times New Roman"/>
          <w:i/>
          <w:iCs/>
          <w:lang w:val="en-US"/>
        </w:rPr>
        <w:t>Op.cit</w:t>
      </w:r>
      <w:r w:rsidRPr="00ED789C">
        <w:rPr>
          <w:rFonts w:eastAsia="Times New Roman" w:cs="Times New Roman"/>
          <w:lang w:val="en-US"/>
        </w:rPr>
        <w:t xml:space="preserve">., </w:t>
      </w:r>
      <w:r w:rsidR="00ED789C" w:rsidRPr="00ED789C">
        <w:rPr>
          <w:rFonts w:eastAsia="Times New Roman" w:cs="Times New Roman"/>
          <w:lang w:val="en-US"/>
        </w:rPr>
        <w:t>p</w:t>
      </w:r>
      <w:r w:rsidRPr="00ED789C">
        <w:rPr>
          <w:rFonts w:eastAsia="Times New Roman" w:cs="Times New Roman"/>
          <w:lang w:val="en-US"/>
        </w:rPr>
        <w:t>. 7.</w:t>
      </w:r>
    </w:p>
  </w:footnote>
  <w:footnote w:id="33">
    <w:p w14:paraId="022079AD" w14:textId="4A72ED08"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16</w:t>
      </w:r>
      <w:r w:rsidRPr="00953692">
        <w:rPr>
          <w:rFonts w:cs="Times New Roman"/>
          <w:lang w:val="fr-FR"/>
        </w:rPr>
        <w:t xml:space="preserve"> Recueil Juridique des Standards Internationaux Relatifs à un Procès Equitable, OSCE/ODIHR, 2013, P. 109.</w:t>
      </w:r>
    </w:p>
  </w:footnote>
  <w:footnote w:id="34">
    <w:p w14:paraId="5B9D5E24" w14:textId="32B6FFFA" w:rsidR="009E5D3B" w:rsidRPr="00953692" w:rsidRDefault="009E5D3B" w:rsidP="00E009F4">
      <w:pPr>
        <w:spacing w:after="0" w:line="276" w:lineRule="auto"/>
        <w:jc w:val="both"/>
        <w:rPr>
          <w:rFonts w:cs="Times New Roman"/>
          <w:sz w:val="20"/>
          <w:szCs w:val="20"/>
          <w:lang w:val="fr-FR"/>
        </w:rPr>
      </w:pPr>
      <w:r w:rsidRPr="00953692">
        <w:rPr>
          <w:rStyle w:val="Appelnotedebasdep"/>
          <w:rFonts w:cs="Times New Roman"/>
          <w:sz w:val="20"/>
          <w:szCs w:val="20"/>
          <w:lang w:val="fr-FR"/>
        </w:rPr>
        <w:t>17</w:t>
      </w:r>
      <w:r w:rsidRPr="00953692">
        <w:rPr>
          <w:rFonts w:cs="Times New Roman"/>
          <w:sz w:val="20"/>
          <w:szCs w:val="20"/>
          <w:lang w:val="fr-FR"/>
        </w:rPr>
        <w:t xml:space="preserve"> Il existe un lien entre les alinéas a) et b) de l’article 6 § 3 et le droit à être informé sur la nature et la cause de l’accusation doit être envisagé à la lumière du droit pour l’accusé de préparer sa défense (Pélissier et Sassi c. France [GC], 1999, § 54 ; Dallos c. Hongrie, 2001, § 47).</w:t>
      </w:r>
    </w:p>
  </w:footnote>
  <w:footnote w:id="35">
    <w:p w14:paraId="464F936A" w14:textId="4E2005CB"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18</w:t>
      </w:r>
      <w:r w:rsidRPr="00953692">
        <w:rPr>
          <w:rFonts w:cs="Times New Roman"/>
          <w:lang w:val="fr-FR"/>
        </w:rPr>
        <w:t xml:space="preserve"> Pradel, J. (1996). La notion de procès équitable en droit pénal européen. Revue générale de droit, 27(4), P. 517.</w:t>
      </w:r>
    </w:p>
  </w:footnote>
  <w:footnote w:id="36">
    <w:p w14:paraId="479B0EEE" w14:textId="1F7B9321"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19</w:t>
      </w:r>
      <w:r w:rsidRPr="00953692">
        <w:rPr>
          <w:rFonts w:cs="Times New Roman"/>
          <w:lang w:val="fr-FR"/>
        </w:rPr>
        <w:t xml:space="preserve"> Article 14-a du Pacte international relatif aux droits civils et politiques du 19 décembre 1966 In : Recueil des Traités, Vol. 999, 1976, PP. 187-301.</w:t>
      </w:r>
    </w:p>
  </w:footnote>
  <w:footnote w:id="37">
    <w:p w14:paraId="6C410817" w14:textId="4204CECE"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20</w:t>
      </w:r>
      <w:r w:rsidRPr="00953692">
        <w:rPr>
          <w:rFonts w:cs="Times New Roman"/>
          <w:lang w:val="fr-FR"/>
        </w:rPr>
        <w:t xml:space="preserve"> Article 40-2-b-ii de la Convention relative aux droits de l'enfant, adoptée et ouverte à la signature, ratification et adhésion par l'Assemblée générale dans sa résolution 44/25 du 20 novembre 1989.</w:t>
      </w:r>
    </w:p>
  </w:footnote>
  <w:footnote w:id="38">
    <w:p w14:paraId="4C23FC60" w14:textId="6B55DDEC"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21</w:t>
      </w:r>
      <w:r w:rsidRPr="00953692">
        <w:rPr>
          <w:rFonts w:cs="Times New Roman"/>
          <w:lang w:val="fr-FR"/>
        </w:rPr>
        <w:t xml:space="preserve"> Convention de sauvegarde des droits de l’homme et des libertés fondamentales Rome, 4.XI.1950. </w:t>
      </w:r>
    </w:p>
  </w:footnote>
  <w:footnote w:id="39">
    <w:p w14:paraId="03775BDF" w14:textId="3C6D553C"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22</w:t>
      </w:r>
      <w:r w:rsidRPr="00953692">
        <w:rPr>
          <w:rFonts w:cs="Times New Roman"/>
          <w:lang w:val="fr-FR"/>
        </w:rPr>
        <w:t xml:space="preserve"> Convention américaine relative aux droits de l'homme, San José, Costa Rica, le 22 novembre 1969.</w:t>
      </w:r>
    </w:p>
  </w:footnote>
  <w:footnote w:id="40">
    <w:p w14:paraId="16940E80" w14:textId="63A36A33"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23</w:t>
      </w:r>
      <w:r w:rsidRPr="00953692">
        <w:rPr>
          <w:rFonts w:cs="Times New Roman"/>
          <w:lang w:val="fr-FR"/>
        </w:rPr>
        <w:t xml:space="preserve"> </w:t>
      </w:r>
      <w:r w:rsidRPr="00953692">
        <w:rPr>
          <w:rFonts w:cs="Times New Roman"/>
          <w:shd w:val="clear" w:color="auto" w:fill="FFFFFF"/>
          <w:lang w:val="fr-FR"/>
        </w:rPr>
        <w:t>Charte Africaine des Droits de l'Homme et des Peuples, OAU Doc. CAB/LEG/67/3 rev. 5, 21 I.L.M. 58 (1982), 27 juin 1981, </w:t>
      </w:r>
      <w:r w:rsidRPr="00953692">
        <w:rPr>
          <w:rFonts w:cs="Times New Roman"/>
          <w:i/>
          <w:iCs/>
          <w:shd w:val="clear" w:color="auto" w:fill="FFFFFF"/>
          <w:lang w:val="fr-FR"/>
        </w:rPr>
        <w:t>entré en vigueur</w:t>
      </w:r>
      <w:r w:rsidRPr="00953692">
        <w:rPr>
          <w:rFonts w:cs="Times New Roman"/>
          <w:shd w:val="clear" w:color="auto" w:fill="FFFFFF"/>
          <w:lang w:val="fr-FR"/>
        </w:rPr>
        <w:t> 21 octobre 1986.</w:t>
      </w:r>
    </w:p>
  </w:footnote>
  <w:footnote w:id="41">
    <w:p w14:paraId="18EEF193" w14:textId="1413714C"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24</w:t>
      </w:r>
      <w:r w:rsidRPr="00953692">
        <w:rPr>
          <w:rFonts w:cs="Times New Roman"/>
          <w:lang w:val="fr-FR"/>
        </w:rPr>
        <w:t xml:space="preserve"> Marie N. Op.cit. </w:t>
      </w:r>
    </w:p>
  </w:footnote>
  <w:footnote w:id="42">
    <w:p w14:paraId="6CAF2D47" w14:textId="03EFCF6A" w:rsidR="005A0ABF" w:rsidRPr="00953692" w:rsidRDefault="005A0ABF" w:rsidP="00E009F4">
      <w:pPr>
        <w:pStyle w:val="Notedebasdepage"/>
        <w:spacing w:line="276" w:lineRule="auto"/>
        <w:jc w:val="both"/>
        <w:rPr>
          <w:rFonts w:cs="Times New Roman"/>
          <w:lang w:val="fr-FR"/>
        </w:rPr>
      </w:pPr>
      <w:r w:rsidRPr="00953692">
        <w:rPr>
          <w:rStyle w:val="Appelnotedebasdep"/>
          <w:lang w:val="fr-FR"/>
        </w:rPr>
        <w:t>25</w:t>
      </w:r>
      <w:r w:rsidRPr="00953692">
        <w:rPr>
          <w:rFonts w:cs="Times New Roman"/>
          <w:lang w:val="fr-FR"/>
        </w:rPr>
        <w:t xml:space="preserve"> Article 16 du </w:t>
      </w:r>
      <w:r w:rsidRPr="00953692">
        <w:rPr>
          <w:rFonts w:cs="Times New Roman"/>
          <w:spacing w:val="3"/>
          <w:shd w:val="clear" w:color="auto" w:fill="FFFFFF"/>
          <w:lang w:val="fr-FR"/>
        </w:rPr>
        <w:t>Statut du Tribunal international militaire de Nuremberg. Londres, 8 août 1945.</w:t>
      </w:r>
      <w:r w:rsidRPr="00953692">
        <w:rPr>
          <w:rFonts w:cs="Times New Roman"/>
          <w:shd w:val="clear" w:color="auto" w:fill="FFFFFF"/>
          <w:lang w:val="fr-FR"/>
        </w:rPr>
        <w:t xml:space="preserve"> In : Recueil des traités des Nations Unies, Vol.82, PP. 281-301.</w:t>
      </w:r>
    </w:p>
  </w:footnote>
  <w:footnote w:id="43">
    <w:p w14:paraId="3F47597A" w14:textId="6DB7D1C3" w:rsidR="009E5D3B" w:rsidRPr="00953692" w:rsidRDefault="009E5D3B" w:rsidP="00B30136">
      <w:pPr>
        <w:pStyle w:val="Notedebasdepage"/>
        <w:jc w:val="both"/>
        <w:rPr>
          <w:rFonts w:cs="Times New Roman"/>
          <w:lang w:val="fr-FR"/>
        </w:rPr>
      </w:pPr>
      <w:r w:rsidRPr="00953692">
        <w:rPr>
          <w:rStyle w:val="Appelnotedebasdep"/>
          <w:rFonts w:cs="Times New Roman"/>
          <w:lang w:val="fr-FR"/>
        </w:rPr>
        <w:t>26</w:t>
      </w:r>
      <w:r w:rsidRPr="00953692">
        <w:rPr>
          <w:rFonts w:cs="Times New Roman"/>
          <w:lang w:val="fr-FR"/>
        </w:rPr>
        <w:t xml:space="preserve"> Règle 21.d) du Règlement intérieur des Chambres extraordinaires au sein des tribunaux cambodgiens (REV.9) révisé le 16 janvier 2015.</w:t>
      </w:r>
    </w:p>
  </w:footnote>
  <w:footnote w:id="44">
    <w:p w14:paraId="2AFFCD6C" w14:textId="7839EAE4" w:rsidR="009E5D3B" w:rsidRPr="00953692" w:rsidRDefault="009E5D3B" w:rsidP="00B30136">
      <w:pPr>
        <w:pStyle w:val="Notedebasdepage"/>
        <w:jc w:val="both"/>
        <w:rPr>
          <w:rFonts w:cs="Times New Roman"/>
          <w:lang w:val="fr-FR"/>
        </w:rPr>
      </w:pPr>
      <w:r w:rsidRPr="00953692">
        <w:rPr>
          <w:rStyle w:val="Appelnotedebasdep"/>
          <w:rFonts w:cs="Times New Roman"/>
          <w:lang w:val="fr-FR"/>
        </w:rPr>
        <w:t>27</w:t>
      </w:r>
      <w:r w:rsidRPr="00953692">
        <w:rPr>
          <w:rFonts w:cs="Times New Roman"/>
          <w:lang w:val="fr-FR"/>
        </w:rPr>
        <w:t xml:space="preserve"> Articles 21 (4) (a) du statut actualisé du tribunal pénal international pour l’ex-Yougoslavie de 1993 ; 20 (4) (a) du Statut du tribunal pénal international pour le Rwanda de 1994. </w:t>
      </w:r>
    </w:p>
  </w:footnote>
  <w:footnote w:id="45">
    <w:p w14:paraId="60AA7D8A" w14:textId="20B76223" w:rsidR="009E5D3B" w:rsidRPr="00953692" w:rsidRDefault="009E5D3B" w:rsidP="00B30136">
      <w:pPr>
        <w:pStyle w:val="Notedebasdepage"/>
        <w:jc w:val="both"/>
        <w:rPr>
          <w:rFonts w:cs="Times New Roman"/>
          <w:lang w:val="fr-FR"/>
        </w:rPr>
      </w:pPr>
      <w:r w:rsidRPr="00953692">
        <w:rPr>
          <w:rStyle w:val="Appelnotedebasdep"/>
          <w:rFonts w:cs="Times New Roman"/>
          <w:lang w:val="fr-FR"/>
        </w:rPr>
        <w:t>28</w:t>
      </w:r>
      <w:r w:rsidRPr="00953692">
        <w:rPr>
          <w:rFonts w:cs="Times New Roman"/>
          <w:lang w:val="fr-FR"/>
        </w:rPr>
        <w:t xml:space="preserve"> Article 17 (4)(a) du Statut du Tribunal Spécial pour la Sierra Leone de 2002.</w:t>
      </w:r>
    </w:p>
  </w:footnote>
  <w:footnote w:id="46">
    <w:p w14:paraId="1EBD4D9D" w14:textId="710E1E5A" w:rsidR="009E5D3B" w:rsidRPr="00953692" w:rsidRDefault="009E5D3B" w:rsidP="00B30136">
      <w:pPr>
        <w:pStyle w:val="Notedebasdepage"/>
        <w:jc w:val="both"/>
        <w:rPr>
          <w:rFonts w:cs="Times New Roman"/>
          <w:lang w:val="fr-FR"/>
        </w:rPr>
      </w:pPr>
      <w:r w:rsidRPr="00953692">
        <w:rPr>
          <w:rStyle w:val="Appelnotedebasdep"/>
          <w:rFonts w:cs="Times New Roman"/>
          <w:lang w:val="fr-FR"/>
        </w:rPr>
        <w:t>29</w:t>
      </w:r>
      <w:r w:rsidRPr="00953692">
        <w:rPr>
          <w:rFonts w:cs="Times New Roman"/>
          <w:lang w:val="fr-FR"/>
        </w:rPr>
        <w:t xml:space="preserve"> Article 15 (a) et 16 (4)(a) du Statut du Tribunal spécial pour le Liban, 2007.</w:t>
      </w:r>
    </w:p>
  </w:footnote>
  <w:footnote w:id="47">
    <w:p w14:paraId="64D0D70B" w14:textId="4714B17F" w:rsidR="009E5D3B" w:rsidRPr="00953692" w:rsidRDefault="009E5D3B" w:rsidP="00B30136">
      <w:pPr>
        <w:pStyle w:val="Notedebasdepage"/>
        <w:jc w:val="both"/>
        <w:rPr>
          <w:rFonts w:cs="Times New Roman"/>
          <w:lang w:val="fr-FR"/>
        </w:rPr>
      </w:pPr>
      <w:r w:rsidRPr="00953692">
        <w:rPr>
          <w:rStyle w:val="Appelnotedebasdep"/>
          <w:rFonts w:cs="Times New Roman"/>
          <w:lang w:val="fr-FR"/>
        </w:rPr>
        <w:t>30</w:t>
      </w:r>
      <w:r w:rsidRPr="00953692">
        <w:rPr>
          <w:rFonts w:cs="Times New Roman"/>
          <w:lang w:val="fr-FR"/>
        </w:rPr>
        <w:t xml:space="preserve"> Article 21-4-a</w:t>
      </w:r>
      <w:r w:rsidRPr="00953692">
        <w:rPr>
          <w:rFonts w:cs="Times New Roman"/>
          <w:shd w:val="clear" w:color="auto" w:fill="FFFFFF"/>
          <w:lang w:val="fr-FR"/>
        </w:rPr>
        <w:t xml:space="preserve"> du Statut des Chambres africaines extraordinaires, 2013.</w:t>
      </w:r>
    </w:p>
  </w:footnote>
  <w:footnote w:id="48">
    <w:p w14:paraId="0F928059" w14:textId="1E4A76CF"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31</w:t>
      </w:r>
      <w:r w:rsidRPr="00953692">
        <w:rPr>
          <w:rFonts w:cs="Times New Roman"/>
          <w:lang w:val="fr-FR"/>
        </w:rPr>
        <w:t xml:space="preserve"> Article 4-B-a et 5-D-a de la Loi N° 18.010 du 02 juillet 2018, portant Règlement de procédure et de preuve devant la Cour Pénale Spéciale de la République Centrafricaine In JORCA/ES N°05, 58</w:t>
      </w:r>
      <w:r w:rsidRPr="00953692">
        <w:rPr>
          <w:rFonts w:cs="Times New Roman"/>
          <w:vertAlign w:val="superscript"/>
          <w:lang w:val="fr-FR"/>
        </w:rPr>
        <w:t>ème</w:t>
      </w:r>
      <w:r w:rsidRPr="00953692">
        <w:rPr>
          <w:rFonts w:cs="Times New Roman"/>
          <w:lang w:val="fr-FR"/>
        </w:rPr>
        <w:t xml:space="preserve"> année, 01 aout 2018.</w:t>
      </w:r>
    </w:p>
  </w:footnote>
  <w:footnote w:id="49">
    <w:p w14:paraId="56D4FEB9" w14:textId="566D9393" w:rsidR="009E5D3B" w:rsidRPr="00953692" w:rsidRDefault="009E5D3B" w:rsidP="00E009F4">
      <w:pPr>
        <w:pStyle w:val="Notedebasdepage"/>
        <w:spacing w:line="276" w:lineRule="auto"/>
        <w:jc w:val="both"/>
        <w:rPr>
          <w:rFonts w:cs="Times New Roman"/>
          <w:lang w:val="en-US"/>
        </w:rPr>
      </w:pPr>
      <w:r w:rsidRPr="00953692">
        <w:rPr>
          <w:rStyle w:val="Appelnotedebasdep"/>
          <w:rFonts w:cs="Times New Roman"/>
          <w:lang w:val="fr-FR"/>
        </w:rPr>
        <w:t>32</w:t>
      </w:r>
      <w:r w:rsidRPr="00953692">
        <w:rPr>
          <w:rFonts w:cs="Times New Roman"/>
          <w:lang w:val="fr-FR"/>
        </w:rPr>
        <w:t xml:space="preserve"> Article 21-4-a de la Loi n°05/L-053 sur les Chambres spécialisées et les parquets spécialisés du 3 Aout 2015. </w:t>
      </w:r>
      <w:r w:rsidRPr="00953692">
        <w:rPr>
          <w:rFonts w:cs="Times New Roman"/>
          <w:lang w:val="en-US"/>
        </w:rPr>
        <w:t>(…To be informed promptly and in detail in a language which he or she understands of the nature and cause of the charge against him or her).</w:t>
      </w:r>
    </w:p>
  </w:footnote>
  <w:footnote w:id="50">
    <w:p w14:paraId="08184AB5" w14:textId="05555346"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33</w:t>
      </w:r>
      <w:r w:rsidRPr="00953692">
        <w:rPr>
          <w:rFonts w:cs="Times New Roman"/>
          <w:lang w:val="fr-FR"/>
        </w:rPr>
        <w:t xml:space="preserve"> </w:t>
      </w:r>
      <w:r w:rsidRPr="00953692">
        <w:rPr>
          <w:rStyle w:val="uppercase"/>
          <w:rFonts w:cs="Times New Roman"/>
          <w:shd w:val="clear" w:color="auto" w:fill="FFFFFF"/>
          <w:lang w:val="fr-FR"/>
        </w:rPr>
        <w:t>Andriantsimbazovina</w:t>
      </w:r>
      <w:r w:rsidRPr="00953692">
        <w:rPr>
          <w:rFonts w:cs="Times New Roman"/>
          <w:shd w:val="clear" w:color="auto" w:fill="FFFFFF"/>
          <w:lang w:val="fr-FR"/>
        </w:rPr>
        <w:t>, J. « Le droit à la liberté et à la sûreté dans la jurisprudence de la Cour européenne des droits de l’homme », </w:t>
      </w:r>
      <w:r w:rsidRPr="00953692">
        <w:rPr>
          <w:rFonts w:cs="Times New Roman"/>
          <w:i/>
          <w:iCs/>
          <w:shd w:val="clear" w:color="auto" w:fill="FFFFFF"/>
          <w:lang w:val="fr-FR"/>
        </w:rPr>
        <w:t>Titre VII</w:t>
      </w:r>
      <w:r w:rsidRPr="00953692">
        <w:rPr>
          <w:rFonts w:cs="Times New Roman"/>
          <w:shd w:val="clear" w:color="auto" w:fill="FFFFFF"/>
          <w:lang w:val="fr-FR"/>
        </w:rPr>
        <w:t>, vol. 7, no. 2, 2021, P. 39.</w:t>
      </w:r>
    </w:p>
  </w:footnote>
  <w:footnote w:id="51">
    <w:p w14:paraId="16EDA655" w14:textId="4F4FC02C" w:rsidR="009E5D3B" w:rsidRPr="00953692" w:rsidRDefault="009E5D3B" w:rsidP="00E009F4">
      <w:pPr>
        <w:pStyle w:val="Notedebasdepage"/>
        <w:spacing w:line="276" w:lineRule="auto"/>
        <w:jc w:val="both"/>
        <w:rPr>
          <w:rFonts w:cs="Times New Roman"/>
          <w:lang w:val="en-US"/>
        </w:rPr>
      </w:pPr>
      <w:r w:rsidRPr="00953692">
        <w:rPr>
          <w:rStyle w:val="Appelnotedebasdep"/>
          <w:rFonts w:cs="Times New Roman"/>
          <w:lang w:val="en-US"/>
        </w:rPr>
        <w:t>34</w:t>
      </w:r>
      <w:r w:rsidRPr="00953692">
        <w:rPr>
          <w:rFonts w:cs="Times New Roman"/>
          <w:lang w:val="en-US"/>
        </w:rPr>
        <w:t xml:space="preserve"> Grishin D. A. </w:t>
      </w:r>
      <w:r w:rsidRPr="00953692">
        <w:rPr>
          <w:rFonts w:cs="Times New Roman"/>
          <w:i/>
          <w:iCs/>
          <w:lang w:val="en-US"/>
        </w:rPr>
        <w:t>Op.cit</w:t>
      </w:r>
      <w:r w:rsidRPr="00953692">
        <w:rPr>
          <w:rFonts w:cs="Times New Roman"/>
          <w:lang w:val="en-US"/>
        </w:rPr>
        <w:t xml:space="preserve">., </w:t>
      </w:r>
      <w:r w:rsidR="005A0ABF" w:rsidRPr="00953692">
        <w:rPr>
          <w:rFonts w:cs="Times New Roman"/>
          <w:lang w:val="en-US"/>
        </w:rPr>
        <w:t>p</w:t>
      </w:r>
      <w:r w:rsidRPr="00953692">
        <w:rPr>
          <w:rFonts w:cs="Times New Roman"/>
          <w:lang w:val="en-US"/>
        </w:rPr>
        <w:t>. 140.</w:t>
      </w:r>
    </w:p>
  </w:footnote>
  <w:footnote w:id="52">
    <w:p w14:paraId="0A55D952" w14:textId="037DDE1F" w:rsidR="005A0ABF" w:rsidRPr="00953692" w:rsidRDefault="005A0ABF" w:rsidP="00E009F4">
      <w:pPr>
        <w:pStyle w:val="Notedebasdepage"/>
        <w:spacing w:line="276" w:lineRule="auto"/>
        <w:jc w:val="both"/>
        <w:rPr>
          <w:rFonts w:cs="Times New Roman"/>
          <w:lang w:val="fr-FR"/>
        </w:rPr>
      </w:pPr>
      <w:r w:rsidRPr="00953692">
        <w:rPr>
          <w:rStyle w:val="Appelnotedebasdep"/>
          <w:lang w:val="fr-FR"/>
        </w:rPr>
        <w:t>35</w:t>
      </w:r>
      <w:r w:rsidRPr="00953692">
        <w:rPr>
          <w:rFonts w:cs="Times New Roman"/>
          <w:lang w:val="fr-FR"/>
        </w:rPr>
        <w:t xml:space="preserve"> </w:t>
      </w:r>
      <w:r w:rsidRPr="00953692">
        <w:rPr>
          <w:rFonts w:eastAsia="Times New Roman" w:cs="Times New Roman"/>
          <w:lang w:val="fr-FR"/>
        </w:rPr>
        <w:t>TPIR, Chambre d’appel, Procureur c. Jean-Bosco Barayagwiza, Décision du 3 Novembre 1999, §. 80.</w:t>
      </w:r>
    </w:p>
  </w:footnote>
  <w:footnote w:id="53">
    <w:p w14:paraId="7157E359" w14:textId="0A702C79" w:rsidR="005A0ABF" w:rsidRPr="00953692" w:rsidRDefault="005A0ABF" w:rsidP="00E009F4">
      <w:pPr>
        <w:pStyle w:val="Notedebasdepage"/>
        <w:spacing w:line="276" w:lineRule="auto"/>
        <w:jc w:val="both"/>
        <w:rPr>
          <w:rFonts w:cs="Times New Roman"/>
          <w:lang w:val="fr-FR"/>
        </w:rPr>
      </w:pPr>
      <w:r w:rsidRPr="00953692">
        <w:rPr>
          <w:rStyle w:val="Appelnotedebasdep"/>
          <w:lang w:val="fr-FR"/>
        </w:rPr>
        <w:t>36</w:t>
      </w:r>
      <w:r w:rsidRPr="00953692">
        <w:rPr>
          <w:rFonts w:cs="Times New Roman"/>
          <w:lang w:val="fr-FR"/>
        </w:rPr>
        <w:t xml:space="preserve"> CEDH, 12 avril 2005, Chamaïev et autres c. Géorgie et Russie, précité, § 427 ; CEDH, 21 février 1990, Van der Leer c. Pays-Bas, n° 11509/85, § 27.</w:t>
      </w:r>
      <w:r w:rsidRPr="00953692">
        <w:rPr>
          <w:rStyle w:val="uppercase"/>
          <w:rFonts w:cs="Times New Roman"/>
          <w:shd w:val="clear" w:color="auto" w:fill="FFFFFF"/>
          <w:lang w:val="fr-FR"/>
        </w:rPr>
        <w:t xml:space="preserve"> Andriantsimbazovina</w:t>
      </w:r>
      <w:r w:rsidRPr="00953692">
        <w:rPr>
          <w:rFonts w:cs="Times New Roman"/>
          <w:shd w:val="clear" w:color="auto" w:fill="FFFFFF"/>
          <w:lang w:val="fr-FR"/>
        </w:rPr>
        <w:t>, J. Op.cit., P. 39.</w:t>
      </w:r>
    </w:p>
  </w:footnote>
  <w:footnote w:id="54">
    <w:p w14:paraId="769B1A31" w14:textId="6C4DA0F1" w:rsidR="005A0ABF" w:rsidRPr="00953692" w:rsidRDefault="005A0ABF" w:rsidP="00E009F4">
      <w:pPr>
        <w:pStyle w:val="Notedebasdepage"/>
        <w:spacing w:line="276" w:lineRule="auto"/>
        <w:jc w:val="both"/>
        <w:rPr>
          <w:rFonts w:cs="Times New Roman"/>
          <w:lang w:val="fr-FR"/>
        </w:rPr>
      </w:pPr>
      <w:r w:rsidRPr="00953692">
        <w:rPr>
          <w:rStyle w:val="Appelnotedebasdep"/>
          <w:lang w:val="fr-FR"/>
        </w:rPr>
        <w:t>37</w:t>
      </w:r>
      <w:r w:rsidRPr="00953692">
        <w:rPr>
          <w:rFonts w:cs="Times New Roman"/>
          <w:lang w:val="fr-FR"/>
        </w:rPr>
        <w:t xml:space="preserve"> Article 18 du statut du TPIY ; Article 17 du statut du TPIR.</w:t>
      </w:r>
    </w:p>
  </w:footnote>
  <w:footnote w:id="55">
    <w:p w14:paraId="40FAC030" w14:textId="27149E4E"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35</w:t>
      </w:r>
      <w:r w:rsidRPr="00953692">
        <w:rPr>
          <w:rFonts w:cs="Times New Roman"/>
          <w:lang w:val="fr-FR"/>
        </w:rPr>
        <w:t xml:space="preserve"> Article 42-A des RPP du TPIY et du TPIR. </w:t>
      </w:r>
    </w:p>
  </w:footnote>
  <w:footnote w:id="56">
    <w:p w14:paraId="03E7FA80" w14:textId="62F3158D"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36</w:t>
      </w:r>
      <w:r w:rsidRPr="00953692">
        <w:rPr>
          <w:rFonts w:cs="Times New Roman"/>
          <w:lang w:val="fr-FR"/>
        </w:rPr>
        <w:t xml:space="preserve"> Article 35.2.a de la loi précitée sur les Chambres spécialisées du Kosovo.</w:t>
      </w:r>
    </w:p>
  </w:footnote>
  <w:footnote w:id="57">
    <w:p w14:paraId="122D031D" w14:textId="39CDBEC8"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37</w:t>
      </w:r>
      <w:r w:rsidRPr="00953692">
        <w:rPr>
          <w:rFonts w:cs="Times New Roman"/>
          <w:lang w:val="fr-FR"/>
        </w:rPr>
        <w:t xml:space="preserve"> « Un mandat d’arrêt est délivré à l’encontre d’un suspect pour garantir qu’il comparaîtra, qu’il ne fera pas obstacle à l’enquête ou à la procédure devant la Cour, ni n’en compromettra le déroulement, ou qu’il ne poursuivra pas l’exécution du crime dont il s’agit ou d’un crime connexe ». Article 58-1-b du Statut de Rome de la CPI.</w:t>
      </w:r>
    </w:p>
  </w:footnote>
  <w:footnote w:id="58">
    <w:p w14:paraId="0B0C68A1" w14:textId="6542AE46" w:rsidR="005A0ABF" w:rsidRPr="00953692" w:rsidRDefault="005A0ABF" w:rsidP="00E009F4">
      <w:pPr>
        <w:pStyle w:val="Notedebasdepage"/>
        <w:spacing w:line="276" w:lineRule="auto"/>
        <w:jc w:val="both"/>
        <w:rPr>
          <w:rFonts w:cs="Times New Roman"/>
          <w:lang w:val="fr-FR"/>
        </w:rPr>
      </w:pPr>
      <w:r w:rsidRPr="00953692">
        <w:rPr>
          <w:rStyle w:val="Appelnotedebasdep"/>
          <w:lang w:val="fr-FR"/>
        </w:rPr>
        <w:t>38</w:t>
      </w:r>
      <w:r w:rsidRPr="00953692">
        <w:rPr>
          <w:rFonts w:cs="Times New Roman"/>
          <w:lang w:val="fr-FR"/>
        </w:rPr>
        <w:t xml:space="preserve"> Articles 18.4 et 19.2 du statut du TPIY ; Articles 17 et 18 du statut du TPIR. </w:t>
      </w:r>
    </w:p>
  </w:footnote>
  <w:footnote w:id="59">
    <w:p w14:paraId="793F48FA" w14:textId="1DFF3425" w:rsidR="005A0ABF" w:rsidRPr="00953692" w:rsidRDefault="005A0ABF" w:rsidP="00E009F4">
      <w:pPr>
        <w:pStyle w:val="Notedebasdepage"/>
        <w:spacing w:line="276" w:lineRule="auto"/>
        <w:jc w:val="both"/>
        <w:rPr>
          <w:rFonts w:cs="Times New Roman"/>
          <w:lang w:val="fr-FR"/>
        </w:rPr>
      </w:pPr>
      <w:r w:rsidRPr="00953692">
        <w:rPr>
          <w:rStyle w:val="Appelnotedebasdep"/>
          <w:lang w:val="fr-FR"/>
        </w:rPr>
        <w:t>39</w:t>
      </w:r>
      <w:r w:rsidRPr="00953692">
        <w:rPr>
          <w:rFonts w:cs="Times New Roman"/>
          <w:lang w:val="fr-FR"/>
        </w:rPr>
        <w:t xml:space="preserve"> CPI, Arrêter les suspects en fuite recherchés par la CPI : de l’importance d’agir, ce que fait la cour, ce que les États peuvent faire, 2019, P. 18.</w:t>
      </w:r>
    </w:p>
  </w:footnote>
  <w:footnote w:id="60">
    <w:p w14:paraId="551E6564" w14:textId="160DD1E6" w:rsidR="005A0ABF" w:rsidRPr="00953692" w:rsidRDefault="005A0ABF" w:rsidP="00E009F4">
      <w:pPr>
        <w:pStyle w:val="Notedebasdepage"/>
        <w:spacing w:line="276" w:lineRule="auto"/>
        <w:jc w:val="both"/>
        <w:rPr>
          <w:rFonts w:cs="Times New Roman"/>
          <w:lang w:val="fr-FR"/>
        </w:rPr>
      </w:pPr>
      <w:r w:rsidRPr="00953692">
        <w:rPr>
          <w:rStyle w:val="Appelnotedebasdep"/>
          <w:lang w:val="fr-FR"/>
        </w:rPr>
        <w:t>40</w:t>
      </w:r>
      <w:r w:rsidRPr="00953692">
        <w:rPr>
          <w:rFonts w:cs="Times New Roman"/>
          <w:lang w:val="fr-FR"/>
        </w:rPr>
        <w:t xml:space="preserve"> Règle 117 du Règlement de procédure et de preuve de la CPI.</w:t>
      </w:r>
    </w:p>
  </w:footnote>
  <w:footnote w:id="61">
    <w:p w14:paraId="454A3F92" w14:textId="501A4278" w:rsidR="005A0ABF" w:rsidRPr="00953692" w:rsidRDefault="005A0ABF" w:rsidP="00E009F4">
      <w:pPr>
        <w:pStyle w:val="Notedebasdepage"/>
        <w:spacing w:line="276" w:lineRule="auto"/>
        <w:jc w:val="both"/>
        <w:rPr>
          <w:rFonts w:cs="Times New Roman"/>
          <w:lang w:val="fr-FR"/>
        </w:rPr>
      </w:pPr>
      <w:r w:rsidRPr="00953692">
        <w:rPr>
          <w:rStyle w:val="Appelnotedebasdep"/>
          <w:lang w:val="fr-FR"/>
        </w:rPr>
        <w:t>41</w:t>
      </w:r>
      <w:r w:rsidRPr="00953692">
        <w:rPr>
          <w:rFonts w:cs="Times New Roman"/>
          <w:lang w:val="fr-FR"/>
        </w:rPr>
        <w:t xml:space="preserve"> V. la Règle 132 bis du Règlement de procédure et de preuve de la CPI ; l’article 65 bis du RPP du TPIY. </w:t>
      </w:r>
    </w:p>
  </w:footnote>
  <w:footnote w:id="62">
    <w:p w14:paraId="1479666A" w14:textId="0A291762" w:rsidR="005A0ABF" w:rsidRPr="00953692" w:rsidRDefault="005A0ABF" w:rsidP="00E009F4">
      <w:pPr>
        <w:pStyle w:val="Notedebasdepage"/>
        <w:spacing w:line="276" w:lineRule="auto"/>
        <w:jc w:val="both"/>
        <w:rPr>
          <w:rFonts w:cs="Times New Roman"/>
          <w:lang w:val="fr-FR"/>
        </w:rPr>
      </w:pPr>
      <w:r w:rsidRPr="00953692">
        <w:rPr>
          <w:rStyle w:val="Appelnotedebasdep"/>
          <w:lang w:val="fr-FR"/>
        </w:rPr>
        <w:t>42</w:t>
      </w:r>
      <w:r w:rsidRPr="00953692">
        <w:rPr>
          <w:rFonts w:cs="Times New Roman"/>
          <w:lang w:val="fr-FR"/>
        </w:rPr>
        <w:t xml:space="preserve"> Article 19 du statut du TPIY.</w:t>
      </w:r>
    </w:p>
  </w:footnote>
  <w:footnote w:id="63">
    <w:p w14:paraId="754BEEFC" w14:textId="1ED6D225" w:rsidR="005A0ABF" w:rsidRPr="00953692" w:rsidRDefault="005A0ABF" w:rsidP="00E009F4">
      <w:pPr>
        <w:pStyle w:val="Notedebasdepage"/>
        <w:spacing w:line="276" w:lineRule="auto"/>
        <w:jc w:val="both"/>
        <w:rPr>
          <w:rFonts w:cs="Times New Roman"/>
          <w:lang w:val="fr-FR"/>
        </w:rPr>
      </w:pPr>
      <w:r w:rsidRPr="00953692">
        <w:rPr>
          <w:rStyle w:val="Appelnotedebasdep"/>
          <w:lang w:val="fr-FR"/>
        </w:rPr>
        <w:t>42</w:t>
      </w:r>
      <w:r w:rsidRPr="00953692">
        <w:rPr>
          <w:rFonts w:cs="Times New Roman"/>
          <w:lang w:val="fr-FR"/>
        </w:rPr>
        <w:t xml:space="preserve"> Article 47-F du RPP TPIY.</w:t>
      </w:r>
    </w:p>
  </w:footnote>
  <w:footnote w:id="64">
    <w:p w14:paraId="2126A02D" w14:textId="5A1A53A1" w:rsidR="005A0ABF" w:rsidRPr="00953692" w:rsidRDefault="005A0ABF" w:rsidP="00E009F4">
      <w:pPr>
        <w:pStyle w:val="Notedebasdepage"/>
        <w:spacing w:line="276" w:lineRule="auto"/>
        <w:jc w:val="both"/>
        <w:rPr>
          <w:rFonts w:cs="Times New Roman"/>
          <w:lang w:val="fr-FR"/>
        </w:rPr>
      </w:pPr>
      <w:r w:rsidRPr="00953692">
        <w:rPr>
          <w:rStyle w:val="Appelnotedebasdep"/>
          <w:lang w:val="fr-FR"/>
        </w:rPr>
        <w:t>43</w:t>
      </w:r>
      <w:r w:rsidRPr="00953692">
        <w:rPr>
          <w:rFonts w:cs="Times New Roman"/>
          <w:lang w:val="fr-FR"/>
        </w:rPr>
        <w:t xml:space="preserve"> Article 68 du RPP du TSL et Article 18 du statut du TSL. </w:t>
      </w:r>
    </w:p>
  </w:footnote>
  <w:footnote w:id="65">
    <w:p w14:paraId="302C0D01" w14:textId="37A6754B"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44</w:t>
      </w:r>
      <w:r w:rsidRPr="00953692">
        <w:rPr>
          <w:rFonts w:cs="Times New Roman"/>
          <w:lang w:val="fr-FR"/>
        </w:rPr>
        <w:t xml:space="preserve"> Article 76 du RPP du TSL.</w:t>
      </w:r>
    </w:p>
  </w:footnote>
  <w:footnote w:id="66">
    <w:p w14:paraId="45997EA4" w14:textId="306DF315"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45</w:t>
      </w:r>
      <w:r w:rsidRPr="00953692">
        <w:rPr>
          <w:rFonts w:cs="Times New Roman"/>
          <w:lang w:val="fr-FR"/>
        </w:rPr>
        <w:t xml:space="preserve"> Article 66.C du RPP du TPIY.</w:t>
      </w:r>
    </w:p>
  </w:footnote>
  <w:footnote w:id="67">
    <w:p w14:paraId="358E1EA0" w14:textId="5286AF91"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46</w:t>
      </w:r>
      <w:r w:rsidRPr="00953692">
        <w:rPr>
          <w:rFonts w:cs="Times New Roman"/>
          <w:lang w:val="fr-FR"/>
        </w:rPr>
        <w:t xml:space="preserve"> </w:t>
      </w:r>
      <w:r w:rsidRPr="00953692">
        <w:rPr>
          <w:rFonts w:eastAsia="Times New Roman" w:cs="Times New Roman"/>
          <w:lang w:val="fr-FR"/>
        </w:rPr>
        <w:t xml:space="preserve">TPIR, Chambre d’appel, Procureur c. Jean-Bosco Barayagwiza, Décision du 3 Novembre 1999, </w:t>
      </w:r>
      <w:r w:rsidRPr="00953692">
        <w:rPr>
          <w:rFonts w:cs="Times New Roman"/>
          <w:lang w:val="fr-FR"/>
        </w:rPr>
        <w:t>§. 83.</w:t>
      </w:r>
    </w:p>
  </w:footnote>
  <w:footnote w:id="68">
    <w:p w14:paraId="09DBD1B4" w14:textId="54BA83A4"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47</w:t>
      </w:r>
      <w:r w:rsidRPr="00953692">
        <w:rPr>
          <w:rFonts w:cs="Times New Roman"/>
          <w:lang w:val="fr-FR"/>
        </w:rPr>
        <w:t xml:space="preserve"> Règle 51 du RPP des CETC.</w:t>
      </w:r>
    </w:p>
  </w:footnote>
  <w:footnote w:id="69">
    <w:p w14:paraId="7D4FEF54" w14:textId="1126FB54"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48</w:t>
      </w:r>
      <w:r w:rsidRPr="00953692">
        <w:rPr>
          <w:rFonts w:cs="Times New Roman"/>
          <w:lang w:val="fr-FR"/>
        </w:rPr>
        <w:t xml:space="preserve"> Article 66-F-a du RPP du CPS Centrafricaine.</w:t>
      </w:r>
    </w:p>
  </w:footnote>
  <w:footnote w:id="70">
    <w:p w14:paraId="2717855D" w14:textId="5AA125C8"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49</w:t>
      </w:r>
      <w:r w:rsidRPr="00953692">
        <w:rPr>
          <w:rFonts w:cs="Times New Roman"/>
          <w:lang w:val="fr-FR"/>
        </w:rPr>
        <w:t xml:space="preserve"> Article 38 de la loi précitée sur les Chambres spécialisées du Kosovo.</w:t>
      </w:r>
    </w:p>
  </w:footnote>
  <w:footnote w:id="71">
    <w:p w14:paraId="6CEBA1B6" w14:textId="2E230A73"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50</w:t>
      </w:r>
      <w:r w:rsidRPr="00953692">
        <w:rPr>
          <w:rFonts w:cs="Times New Roman"/>
          <w:lang w:val="fr-FR"/>
        </w:rPr>
        <w:t xml:space="preserve"> Règle 53.2 du RPP des CETC.</w:t>
      </w:r>
    </w:p>
  </w:footnote>
  <w:footnote w:id="72">
    <w:p w14:paraId="4E6915E1" w14:textId="04626FBF"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51</w:t>
      </w:r>
      <w:r w:rsidRPr="00953692">
        <w:rPr>
          <w:rFonts w:cs="Times New Roman"/>
          <w:lang w:val="fr-FR"/>
        </w:rPr>
        <w:t xml:space="preserve"> Règle 55.6 du RPP des CETC.</w:t>
      </w:r>
    </w:p>
  </w:footnote>
  <w:footnote w:id="73">
    <w:p w14:paraId="1AC3E4E4" w14:textId="29920600"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52</w:t>
      </w:r>
      <w:r w:rsidRPr="00953692">
        <w:rPr>
          <w:rFonts w:cs="Times New Roman"/>
          <w:lang w:val="fr-FR"/>
        </w:rPr>
        <w:t xml:space="preserve"> Règle 57 du RPP des CETC.</w:t>
      </w:r>
    </w:p>
  </w:footnote>
  <w:footnote w:id="74">
    <w:p w14:paraId="6B0B6E1A" w14:textId="079C4054"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53</w:t>
      </w:r>
      <w:r w:rsidRPr="00953692">
        <w:rPr>
          <w:rFonts w:cs="Times New Roman"/>
          <w:lang w:val="fr-FR"/>
        </w:rPr>
        <w:t xml:space="preserve"> Règle 66 du RPP des CETC.</w:t>
      </w:r>
    </w:p>
  </w:footnote>
  <w:footnote w:id="75">
    <w:p w14:paraId="6FD2C0EA" w14:textId="155771F7"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54</w:t>
      </w:r>
      <w:r w:rsidRPr="00953692">
        <w:rPr>
          <w:rFonts w:cs="Times New Roman"/>
          <w:lang w:val="fr-FR"/>
        </w:rPr>
        <w:t xml:space="preserve"> Règle 67 du RPP des CETC.</w:t>
      </w:r>
    </w:p>
  </w:footnote>
  <w:footnote w:id="76">
    <w:p w14:paraId="13DB31A4" w14:textId="661C24A0"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55</w:t>
      </w:r>
      <w:r w:rsidRPr="00953692">
        <w:rPr>
          <w:rFonts w:cs="Times New Roman"/>
          <w:lang w:val="fr-FR"/>
        </w:rPr>
        <w:t xml:space="preserve"> Règle 67.2 du RPP des CETC.</w:t>
      </w:r>
    </w:p>
  </w:footnote>
  <w:footnote w:id="77">
    <w:p w14:paraId="5790F4F2" w14:textId="5D3C939F"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56</w:t>
      </w:r>
      <w:r w:rsidRPr="00953692">
        <w:rPr>
          <w:rFonts w:cs="Times New Roman"/>
          <w:lang w:val="fr-FR"/>
        </w:rPr>
        <w:t xml:space="preserve"> Articles 68 et 69 du RPP du CPS Centrafricaine.</w:t>
      </w:r>
    </w:p>
  </w:footnote>
  <w:footnote w:id="78">
    <w:p w14:paraId="0486CB84" w14:textId="796EB9AA"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57</w:t>
      </w:r>
      <w:r w:rsidRPr="00953692">
        <w:rPr>
          <w:rFonts w:cs="Times New Roman"/>
          <w:lang w:val="fr-FR"/>
        </w:rPr>
        <w:t xml:space="preserve"> Article 39 de la loi précitée sur les Chambres spécialisées du Kosovo.</w:t>
      </w:r>
    </w:p>
  </w:footnote>
  <w:footnote w:id="79">
    <w:p w14:paraId="2AC8FC48" w14:textId="4BA7F444"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58</w:t>
      </w:r>
      <w:r w:rsidRPr="00953692">
        <w:rPr>
          <w:rFonts w:cs="Times New Roman"/>
          <w:lang w:val="fr-FR"/>
        </w:rPr>
        <w:t xml:space="preserve"> Article 61.3 du statut de Rome de la CPI. </w:t>
      </w:r>
    </w:p>
  </w:footnote>
  <w:footnote w:id="80">
    <w:p w14:paraId="4A7049E5" w14:textId="1D66200B"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59</w:t>
      </w:r>
      <w:r w:rsidRPr="00953692">
        <w:rPr>
          <w:rFonts w:cs="Times New Roman"/>
          <w:lang w:val="fr-FR"/>
        </w:rPr>
        <w:t xml:space="preserve"> Article 61.6. du statut de Rome de la CPI. « À l'audience, la personne peut : a) Contester les charges ; b) Contester les éléments de preuve produits par le Procureur ; et c) Présenter des éléments de preuve ».</w:t>
      </w:r>
    </w:p>
  </w:footnote>
  <w:footnote w:id="81">
    <w:p w14:paraId="65D153AA" w14:textId="3FD53E7D"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60</w:t>
      </w:r>
      <w:r w:rsidRPr="00953692">
        <w:rPr>
          <w:rFonts w:cs="Times New Roman"/>
          <w:lang w:val="fr-FR"/>
        </w:rPr>
        <w:t xml:space="preserve"> Article 61.2.3 du statut de Rome de la CPI. </w:t>
      </w:r>
    </w:p>
  </w:footnote>
  <w:footnote w:id="82">
    <w:p w14:paraId="59C4B3C9" w14:textId="3154502B"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61</w:t>
      </w:r>
      <w:r w:rsidRPr="00953692">
        <w:rPr>
          <w:rFonts w:cs="Times New Roman"/>
          <w:lang w:val="fr-FR"/>
        </w:rPr>
        <w:t xml:space="preserve"> Lire l’article 50 commun des RPP des TPIY et TPIR.</w:t>
      </w:r>
    </w:p>
  </w:footnote>
  <w:footnote w:id="83">
    <w:p w14:paraId="5DCE64F5" w14:textId="54619713"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62</w:t>
      </w:r>
      <w:r w:rsidRPr="00953692">
        <w:rPr>
          <w:rFonts w:cs="Times New Roman"/>
          <w:lang w:val="fr-FR"/>
        </w:rPr>
        <w:t xml:space="preserve"> Article 71 du RPP du TSL.</w:t>
      </w:r>
    </w:p>
  </w:footnote>
  <w:footnote w:id="84">
    <w:p w14:paraId="4A91EC6B" w14:textId="35F397E5"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63</w:t>
      </w:r>
      <w:r w:rsidRPr="00953692">
        <w:rPr>
          <w:rFonts w:cs="Times New Roman"/>
          <w:lang w:val="fr-FR"/>
        </w:rPr>
        <w:t xml:space="preserve"> Article 61.9 du statut de Rome de la CPI. </w:t>
      </w:r>
    </w:p>
  </w:footnote>
  <w:footnote w:id="85">
    <w:p w14:paraId="0055F6AC" w14:textId="33EDE8FF"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64</w:t>
      </w:r>
      <w:r w:rsidRPr="00953692">
        <w:rPr>
          <w:rFonts w:cs="Times New Roman"/>
          <w:lang w:val="fr-FR"/>
        </w:rPr>
        <w:t xml:space="preserve"> Article 71 C) du RPP du TSL « C) Il n’est pas nécessaire de confirmer à nouveau l’acte d’accusation dont la modification a été autorisée ».</w:t>
      </w:r>
    </w:p>
  </w:footnote>
  <w:footnote w:id="86">
    <w:p w14:paraId="236FBC70" w14:textId="26DDF5DB"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65</w:t>
      </w:r>
      <w:r w:rsidRPr="00953692">
        <w:rPr>
          <w:rFonts w:cs="Times New Roman"/>
          <w:lang w:val="fr-FR"/>
        </w:rPr>
        <w:t xml:space="preserve"> Règle 128 du RPP de la CPI.</w:t>
      </w:r>
    </w:p>
  </w:footnote>
  <w:footnote w:id="87">
    <w:p w14:paraId="6269C941" w14:textId="7CF59010" w:rsidR="00BE1250" w:rsidRPr="00953692" w:rsidRDefault="00BE1250" w:rsidP="00E009F4">
      <w:pPr>
        <w:pStyle w:val="Notedebasdepage"/>
        <w:spacing w:line="276" w:lineRule="auto"/>
        <w:jc w:val="both"/>
        <w:rPr>
          <w:rFonts w:cs="Times New Roman"/>
          <w:lang w:val="fr-FR"/>
        </w:rPr>
      </w:pPr>
      <w:r w:rsidRPr="00953692">
        <w:rPr>
          <w:rStyle w:val="Appelnotedebasdep"/>
          <w:lang w:val="fr-FR"/>
        </w:rPr>
        <w:t>66</w:t>
      </w:r>
      <w:r w:rsidRPr="00953692">
        <w:rPr>
          <w:rFonts w:cs="Times New Roman"/>
          <w:lang w:val="fr-FR"/>
        </w:rPr>
        <w:t xml:space="preserve"> </w:t>
      </w:r>
      <w:r w:rsidRPr="00953692">
        <w:rPr>
          <w:rFonts w:eastAsia="Times New Roman" w:cs="Times New Roman"/>
          <w:lang w:val="fr-FR"/>
        </w:rPr>
        <w:t xml:space="preserve">TPIR, Chambre d’appel, Procureur c. Jean-Bosco Barayagwiza, Décision du 3 Novembre 1999, </w:t>
      </w:r>
      <w:r w:rsidRPr="00953692">
        <w:rPr>
          <w:rFonts w:cs="Times New Roman"/>
          <w:lang w:val="fr-FR"/>
        </w:rPr>
        <w:t>§.80.</w:t>
      </w:r>
    </w:p>
  </w:footnote>
  <w:footnote w:id="88">
    <w:p w14:paraId="071E4379" w14:textId="502529FC" w:rsidR="00BE1250" w:rsidRPr="00953692" w:rsidRDefault="00BE1250" w:rsidP="00E009F4">
      <w:pPr>
        <w:pStyle w:val="Notedebasdepage"/>
        <w:spacing w:line="276" w:lineRule="auto"/>
        <w:jc w:val="both"/>
        <w:rPr>
          <w:rFonts w:cs="Times New Roman"/>
          <w:lang w:val="fr-FR"/>
        </w:rPr>
      </w:pPr>
      <w:r w:rsidRPr="00953692">
        <w:rPr>
          <w:rStyle w:val="Appelnotedebasdep"/>
          <w:lang w:val="fr-FR"/>
        </w:rPr>
        <w:t>67</w:t>
      </w:r>
      <w:r w:rsidRPr="00953692">
        <w:rPr>
          <w:rFonts w:cs="Times New Roman"/>
          <w:lang w:val="fr-FR"/>
        </w:rPr>
        <w:t xml:space="preserve"> Lire par exemple l’article 51 du RPP du TPIY : « A</w:t>
      </w:r>
      <w:r w:rsidRPr="00953692">
        <w:rPr>
          <w:rFonts w:cs="Times New Roman"/>
          <w:i/>
          <w:iCs/>
          <w:lang w:val="fr-FR"/>
        </w:rPr>
        <w:t>) Le Procureur peut, sans autorisation préalable, retirer un acte d’accusation à tout moment avant sa confirmation. Ultérieurement, et jusqu’à la comparution initiale de l’accusé devant une Chambre de première instance conformément à l’Article 62, il ne peut le faire qu’avec l’autorisation du juge l’ayant confirmé ou, dans des circonstances exceptionnelles, avec l’autorisation d’un juge désigné par le Président. Lors de cette comparution initiale ou par la suite, l’acte d’accusation ne peut être retiré que sur autorisation d’une Chambre de première instance conformément à l’Article 73. B) Le retrait de l’acte d’accusation est notifié sans délai au suspect ou à l’accusé et à son conseil</w:t>
      </w:r>
      <w:r w:rsidRPr="00953692">
        <w:rPr>
          <w:rFonts w:cs="Times New Roman"/>
          <w:lang w:val="fr-FR"/>
        </w:rPr>
        <w:t>. »</w:t>
      </w:r>
    </w:p>
  </w:footnote>
  <w:footnote w:id="89">
    <w:p w14:paraId="3A203364" w14:textId="7AE2453F" w:rsidR="00BE1250" w:rsidRPr="00953692" w:rsidRDefault="00BE1250" w:rsidP="00E009F4">
      <w:pPr>
        <w:pStyle w:val="Notedebasdepage"/>
        <w:spacing w:line="276" w:lineRule="auto"/>
        <w:jc w:val="both"/>
        <w:rPr>
          <w:rFonts w:cs="Times New Roman"/>
          <w:lang w:val="fr-FR"/>
        </w:rPr>
      </w:pPr>
      <w:r w:rsidRPr="00953692">
        <w:rPr>
          <w:rStyle w:val="Appelnotedebasdep"/>
          <w:lang w:val="fr-FR"/>
        </w:rPr>
        <w:t>68</w:t>
      </w:r>
      <w:r w:rsidRPr="00953692">
        <w:rPr>
          <w:rFonts w:cs="Times New Roman"/>
          <w:lang w:val="fr-FR"/>
        </w:rPr>
        <w:t xml:space="preserve"> </w:t>
      </w:r>
      <w:r w:rsidRPr="00953692">
        <w:rPr>
          <w:rFonts w:eastAsia="Times New Roman" w:cs="Times New Roman"/>
          <w:lang w:val="fr-FR"/>
        </w:rPr>
        <w:t xml:space="preserve">TPIR, Chambre de première instance II, Procureur c. </w:t>
      </w:r>
      <w:r w:rsidRPr="00953692">
        <w:rPr>
          <w:rFonts w:cs="Times New Roman"/>
          <w:lang w:val="fr-FR"/>
        </w:rPr>
        <w:t>Joseph Kanyabashi, Aff. ICTR-96-15-1, Décision relative à la requête en extrême urgence habeas corpus et arrêt des procédures, 20, mai, 2000, §. 42.</w:t>
      </w:r>
    </w:p>
  </w:footnote>
  <w:footnote w:id="90">
    <w:p w14:paraId="08C2B4ED" w14:textId="2BED84BC" w:rsidR="00BE1250" w:rsidRPr="00953692" w:rsidRDefault="00BE1250" w:rsidP="00E009F4">
      <w:pPr>
        <w:pStyle w:val="Notedebasdepage"/>
        <w:spacing w:line="276" w:lineRule="auto"/>
        <w:jc w:val="both"/>
        <w:rPr>
          <w:rFonts w:cs="Times New Roman"/>
          <w:lang w:val="fr-FR"/>
        </w:rPr>
      </w:pPr>
      <w:r w:rsidRPr="00953692">
        <w:rPr>
          <w:rStyle w:val="Appelnotedebasdep"/>
          <w:lang w:val="fr-FR"/>
        </w:rPr>
        <w:t>69</w:t>
      </w:r>
      <w:r w:rsidRPr="00953692">
        <w:rPr>
          <w:rFonts w:cs="Times New Roman"/>
          <w:lang w:val="fr-FR"/>
        </w:rPr>
        <w:t xml:space="preserve"> </w:t>
      </w:r>
      <w:r w:rsidRPr="00953692">
        <w:rPr>
          <w:rFonts w:eastAsia="Times New Roman" w:cs="Times New Roman"/>
          <w:lang w:val="fr-FR"/>
        </w:rPr>
        <w:t>TPIR, Chambre d’appel, Procureur c. Jean-Bosco Barayagwiza, Décision du 3 Novembre 1999, §. 83.</w:t>
      </w:r>
    </w:p>
  </w:footnote>
  <w:footnote w:id="91">
    <w:p w14:paraId="512750F1" w14:textId="238CDCED" w:rsidR="00BE1250" w:rsidRPr="00953692" w:rsidRDefault="00BE1250" w:rsidP="00E009F4">
      <w:pPr>
        <w:pStyle w:val="Notedebasdepage"/>
        <w:spacing w:line="276" w:lineRule="auto"/>
        <w:jc w:val="both"/>
        <w:rPr>
          <w:rFonts w:cs="Times New Roman"/>
          <w:lang w:val="fr-FR"/>
        </w:rPr>
      </w:pPr>
      <w:r w:rsidRPr="00953692">
        <w:rPr>
          <w:rStyle w:val="Appelnotedebasdep"/>
          <w:lang w:val="fr-FR"/>
        </w:rPr>
        <w:t>70</w:t>
      </w:r>
      <w:r w:rsidRPr="00953692">
        <w:rPr>
          <w:rFonts w:cs="Times New Roman"/>
          <w:lang w:val="fr-FR"/>
        </w:rPr>
        <w:t xml:space="preserve"> Le Procureur c. Pauline Nyiramasuhuko et Arsène Shalom Ntahobali, affaire no ICTR-97-21-T, Décision relative à la requête de la Défense en exclusion de preuve et remise des biens saisis, 12 octobre 2000 (traduction anglaise de l’original français déposée le même jour) (« décision du 12 octobre 2000 »), par. 18 et 19.</w:t>
      </w:r>
    </w:p>
  </w:footnote>
  <w:footnote w:id="92">
    <w:p w14:paraId="67446BAD" w14:textId="2FCF0D11" w:rsidR="00BE1250" w:rsidRPr="00953692" w:rsidRDefault="00BE1250" w:rsidP="00E009F4">
      <w:pPr>
        <w:pStyle w:val="Notedebasdepage"/>
        <w:spacing w:line="276" w:lineRule="auto"/>
        <w:jc w:val="both"/>
        <w:rPr>
          <w:rFonts w:cs="Times New Roman"/>
          <w:lang w:val="fr-FR"/>
        </w:rPr>
      </w:pPr>
      <w:r w:rsidRPr="00953692">
        <w:rPr>
          <w:rStyle w:val="Appelnotedebasdep"/>
          <w:lang w:val="fr-FR"/>
        </w:rPr>
        <w:t>71</w:t>
      </w:r>
      <w:r w:rsidRPr="00953692">
        <w:rPr>
          <w:rFonts w:cs="Times New Roman"/>
          <w:lang w:val="fr-FR"/>
        </w:rPr>
        <w:t xml:space="preserve"> </w:t>
      </w:r>
      <w:r w:rsidRPr="00953692">
        <w:rPr>
          <w:rFonts w:eastAsia="Times New Roman" w:cs="Times New Roman"/>
          <w:lang w:val="fr-FR"/>
        </w:rPr>
        <w:t>TPIR, Chambre d’appel, Procureur c. Jean-Bosco Barayagwiza, Décision du 3 Novembre 1999, §. 83.</w:t>
      </w:r>
    </w:p>
  </w:footnote>
  <w:footnote w:id="93">
    <w:p w14:paraId="29B5F38E" w14:textId="3B814961" w:rsidR="00BE1250" w:rsidRPr="00953692" w:rsidRDefault="00BE1250" w:rsidP="00E009F4">
      <w:pPr>
        <w:pStyle w:val="Notedebasdepage"/>
        <w:spacing w:line="276" w:lineRule="auto"/>
        <w:jc w:val="both"/>
        <w:rPr>
          <w:rFonts w:cs="Times New Roman"/>
          <w:lang w:val="fr-FR"/>
        </w:rPr>
      </w:pPr>
      <w:r w:rsidRPr="00953692">
        <w:rPr>
          <w:rStyle w:val="Appelnotedebasdep"/>
          <w:lang w:val="fr-FR"/>
        </w:rPr>
        <w:t>72</w:t>
      </w:r>
      <w:r w:rsidRPr="00953692">
        <w:rPr>
          <w:rFonts w:cs="Times New Roman"/>
          <w:lang w:val="fr-FR"/>
        </w:rPr>
        <w:t xml:space="preserve"> TPIR, Chambre de première instance, Procureur c. Edouard Karemera et Matthieu Ngirumpatse, Jugement portant condamnation, 2 Février 2012, N° ICTR-G8-44-T, §. 17, 19, 22.</w:t>
      </w:r>
    </w:p>
  </w:footnote>
  <w:footnote w:id="94">
    <w:p w14:paraId="0478A85B" w14:textId="1A8B7F55" w:rsidR="00453228" w:rsidRPr="00953692" w:rsidRDefault="00453228" w:rsidP="00E009F4">
      <w:pPr>
        <w:pStyle w:val="Notedebasdepage"/>
        <w:spacing w:line="276" w:lineRule="auto"/>
        <w:jc w:val="both"/>
        <w:rPr>
          <w:rFonts w:cs="Times New Roman"/>
          <w:lang w:val="fr-FR"/>
        </w:rPr>
      </w:pPr>
      <w:r w:rsidRPr="00953692">
        <w:rPr>
          <w:rStyle w:val="Appelnotedebasdep"/>
          <w:lang w:val="fr-FR"/>
        </w:rPr>
        <w:t>73</w:t>
      </w:r>
      <w:r w:rsidRPr="00953692">
        <w:rPr>
          <w:rFonts w:cs="Times New Roman"/>
          <w:lang w:val="fr-FR"/>
        </w:rPr>
        <w:t xml:space="preserve"> </w:t>
      </w:r>
      <w:r w:rsidRPr="00953692">
        <w:rPr>
          <w:rFonts w:eastAsia="Times New Roman" w:cs="Times New Roman"/>
          <w:lang w:val="fr-FR"/>
        </w:rPr>
        <w:t>TPIR, Chambre d’appel, Procureur c. Jean-Bosco Barayagwiza, Décision du 3 Novembre 1999, §. 83.</w:t>
      </w:r>
    </w:p>
  </w:footnote>
  <w:footnote w:id="95">
    <w:p w14:paraId="798BA84D" w14:textId="5505642E" w:rsidR="00453228" w:rsidRPr="00953692" w:rsidRDefault="00453228" w:rsidP="00E009F4">
      <w:pPr>
        <w:pStyle w:val="Notedebasdepage"/>
        <w:spacing w:line="276" w:lineRule="auto"/>
        <w:jc w:val="both"/>
        <w:rPr>
          <w:rFonts w:cs="Times New Roman"/>
          <w:lang w:val="fr-FR"/>
        </w:rPr>
      </w:pPr>
      <w:r w:rsidRPr="00953692">
        <w:rPr>
          <w:rStyle w:val="Appelnotedebasdep"/>
          <w:lang w:val="fr-FR"/>
        </w:rPr>
        <w:t>74</w:t>
      </w:r>
      <w:r w:rsidRPr="00953692">
        <w:rPr>
          <w:rFonts w:cs="Times New Roman"/>
          <w:lang w:val="fr-FR"/>
        </w:rPr>
        <w:t xml:space="preserve"> </w:t>
      </w:r>
      <w:r w:rsidRPr="00953692">
        <w:rPr>
          <w:rFonts w:eastAsia="Times New Roman" w:cs="Times New Roman"/>
          <w:lang w:val="fr-FR"/>
        </w:rPr>
        <w:t xml:space="preserve">TPIR, Chambre de première instance II, Procureur c. </w:t>
      </w:r>
      <w:r w:rsidRPr="00953692">
        <w:rPr>
          <w:rFonts w:cs="Times New Roman"/>
          <w:lang w:val="fr-FR"/>
        </w:rPr>
        <w:t>Joseph Kanyabashi, Décision, 20 mai 2000 §. 3.</w:t>
      </w:r>
    </w:p>
  </w:footnote>
  <w:footnote w:id="96">
    <w:p w14:paraId="50B67953" w14:textId="4629D9C5" w:rsidR="00453228" w:rsidRPr="00953692" w:rsidRDefault="00453228" w:rsidP="00E009F4">
      <w:pPr>
        <w:pStyle w:val="Notedebasdepage"/>
        <w:spacing w:line="276" w:lineRule="auto"/>
        <w:jc w:val="both"/>
        <w:rPr>
          <w:rFonts w:cs="Times New Roman"/>
          <w:lang w:val="fr-FR"/>
        </w:rPr>
      </w:pPr>
      <w:r w:rsidRPr="00953692">
        <w:rPr>
          <w:rStyle w:val="Appelnotedebasdep"/>
          <w:lang w:val="fr-FR"/>
        </w:rPr>
        <w:t>75</w:t>
      </w:r>
      <w:r w:rsidRPr="00953692">
        <w:rPr>
          <w:rFonts w:cs="Times New Roman"/>
          <w:lang w:val="fr-FR"/>
        </w:rPr>
        <w:t xml:space="preserve"> </w:t>
      </w:r>
      <w:r w:rsidRPr="00953692">
        <w:rPr>
          <w:rFonts w:cs="Times New Roman"/>
          <w:i/>
          <w:iCs/>
          <w:lang w:val="fr-FR"/>
        </w:rPr>
        <w:t>Idem</w:t>
      </w:r>
      <w:r w:rsidRPr="00953692">
        <w:rPr>
          <w:rFonts w:cs="Times New Roman"/>
          <w:lang w:val="fr-FR"/>
        </w:rPr>
        <w:t>, §. 3.</w:t>
      </w:r>
    </w:p>
  </w:footnote>
  <w:footnote w:id="97">
    <w:p w14:paraId="52B833BF" w14:textId="791DB79D" w:rsidR="00453228" w:rsidRPr="00953692" w:rsidRDefault="00453228" w:rsidP="00E009F4">
      <w:pPr>
        <w:pStyle w:val="Notedebasdepage"/>
        <w:spacing w:line="276" w:lineRule="auto"/>
        <w:jc w:val="both"/>
        <w:rPr>
          <w:rFonts w:cs="Times New Roman"/>
          <w:lang w:val="fr-FR"/>
        </w:rPr>
      </w:pPr>
      <w:r w:rsidRPr="00953692">
        <w:rPr>
          <w:rStyle w:val="Appelnotedebasdep"/>
          <w:lang w:val="fr-FR"/>
        </w:rPr>
        <w:t>76</w:t>
      </w:r>
      <w:r w:rsidRPr="00953692">
        <w:rPr>
          <w:rFonts w:cs="Times New Roman"/>
          <w:lang w:val="fr-FR"/>
        </w:rPr>
        <w:t xml:space="preserve"> </w:t>
      </w:r>
      <w:r w:rsidRPr="00953692">
        <w:rPr>
          <w:rFonts w:eastAsia="Times New Roman" w:cs="Times New Roman"/>
          <w:i/>
          <w:iCs/>
          <w:lang w:val="fr-FR"/>
        </w:rPr>
        <w:t>Ibd</w:t>
      </w:r>
      <w:r w:rsidRPr="00953692">
        <w:rPr>
          <w:rFonts w:cs="Times New Roman"/>
          <w:lang w:val="fr-FR"/>
        </w:rPr>
        <w:t xml:space="preserve"> §. 43-45.</w:t>
      </w:r>
    </w:p>
  </w:footnote>
  <w:footnote w:id="98">
    <w:p w14:paraId="481865D7" w14:textId="2277A63D" w:rsidR="00453228" w:rsidRPr="00953692" w:rsidRDefault="00453228" w:rsidP="00E009F4">
      <w:pPr>
        <w:spacing w:after="0" w:line="276" w:lineRule="auto"/>
        <w:jc w:val="both"/>
        <w:rPr>
          <w:rFonts w:cs="Times New Roman"/>
          <w:sz w:val="20"/>
          <w:szCs w:val="20"/>
          <w:lang w:val="fr-FR"/>
        </w:rPr>
      </w:pPr>
      <w:r w:rsidRPr="00953692">
        <w:rPr>
          <w:rStyle w:val="Appelnotedebasdep"/>
          <w:sz w:val="20"/>
          <w:szCs w:val="20"/>
          <w:lang w:val="fr-FR"/>
        </w:rPr>
        <w:t>77</w:t>
      </w:r>
      <w:r w:rsidRPr="00953692">
        <w:rPr>
          <w:rFonts w:cs="Times New Roman"/>
          <w:sz w:val="20"/>
          <w:szCs w:val="20"/>
          <w:lang w:val="fr-FR"/>
        </w:rPr>
        <w:t xml:space="preserve"> Règle 51.1. du RPP des CETC. « Pour les besoins de l’enquête, les co-procureurs peuvent ordonner à la police judiciaire de placer en garde à vue une personne soupçonnée d’avoir participé comme auteur ou complice d’un crime relevant de la compétence des CETC. Cette personne est informée des éléments justifiant le placement en garde à vue et de ses droits, énoncés à la Règle 21 1) d). Si cela est possible, la personne est retenue dans les locaux du centre de détention des CETC ».</w:t>
      </w:r>
    </w:p>
  </w:footnote>
  <w:footnote w:id="99">
    <w:p w14:paraId="3B9DDD7A" w14:textId="67B71EFF" w:rsidR="00453228" w:rsidRPr="00953692" w:rsidRDefault="00453228" w:rsidP="00E009F4">
      <w:pPr>
        <w:pStyle w:val="Notedebasdepage"/>
        <w:spacing w:line="276" w:lineRule="auto"/>
        <w:jc w:val="both"/>
        <w:rPr>
          <w:rFonts w:cs="Times New Roman"/>
          <w:lang w:val="fr-FR"/>
        </w:rPr>
      </w:pPr>
      <w:r w:rsidRPr="00953692">
        <w:rPr>
          <w:rStyle w:val="Appelnotedebasdep"/>
          <w:lang w:val="fr-FR"/>
        </w:rPr>
        <w:t>78</w:t>
      </w:r>
      <w:r w:rsidRPr="00953692">
        <w:rPr>
          <w:rFonts w:cs="Times New Roman"/>
          <w:lang w:val="fr-FR"/>
        </w:rPr>
        <w:t xml:space="preserve"> Article 95 du RPP de la CPS centrafricaine.</w:t>
      </w:r>
    </w:p>
  </w:footnote>
  <w:footnote w:id="100">
    <w:p w14:paraId="20110A4C" w14:textId="04EE209C" w:rsidR="00453228" w:rsidRPr="00953692" w:rsidRDefault="00453228" w:rsidP="00E009F4">
      <w:pPr>
        <w:pStyle w:val="Notedebasdepage"/>
        <w:spacing w:line="276" w:lineRule="auto"/>
        <w:jc w:val="both"/>
        <w:rPr>
          <w:rFonts w:cs="Times New Roman"/>
          <w:lang w:val="fr-FR"/>
        </w:rPr>
      </w:pPr>
      <w:r w:rsidRPr="00953692">
        <w:rPr>
          <w:rStyle w:val="Appelnotedebasdep"/>
          <w:lang w:val="fr-FR"/>
        </w:rPr>
        <w:t>79</w:t>
      </w:r>
      <w:r w:rsidRPr="00953692">
        <w:rPr>
          <w:rFonts w:cs="Times New Roman"/>
          <w:lang w:val="fr-FR"/>
        </w:rPr>
        <w:t xml:space="preserve"> Article 96 du RPP de la CPS centrafricaine.</w:t>
      </w:r>
    </w:p>
  </w:footnote>
  <w:footnote w:id="101">
    <w:p w14:paraId="1AB69BBE" w14:textId="0ED7F544" w:rsidR="00407F27" w:rsidRPr="00953692" w:rsidRDefault="00407F27" w:rsidP="00E009F4">
      <w:pPr>
        <w:pStyle w:val="Notedebasdepage"/>
        <w:spacing w:line="276" w:lineRule="auto"/>
        <w:jc w:val="both"/>
        <w:rPr>
          <w:rFonts w:cs="Times New Roman"/>
          <w:lang w:val="fr-FR"/>
        </w:rPr>
      </w:pPr>
      <w:r w:rsidRPr="00953692">
        <w:rPr>
          <w:rStyle w:val="Appelnotedebasdep"/>
          <w:lang w:val="fr-FR"/>
        </w:rPr>
        <w:t>80</w:t>
      </w:r>
      <w:r w:rsidRPr="00953692">
        <w:rPr>
          <w:rFonts w:cs="Times New Roman"/>
          <w:lang w:val="fr-FR"/>
        </w:rPr>
        <w:t xml:space="preserve"> </w:t>
      </w:r>
      <w:r w:rsidRPr="00953692">
        <w:rPr>
          <w:rFonts w:eastAsia="Times New Roman" w:cs="Times New Roman"/>
          <w:lang w:val="fr-FR"/>
        </w:rPr>
        <w:t>TPIR, Chambre d’appel, Procureur c. Jean-Bosco Barayagwiza, Décision du 3 Novembre 1999, §. 41.</w:t>
      </w:r>
    </w:p>
  </w:footnote>
  <w:footnote w:id="102">
    <w:p w14:paraId="77CA4946" w14:textId="3303720A" w:rsidR="00407F27" w:rsidRPr="00953692" w:rsidRDefault="00407F27" w:rsidP="00E009F4">
      <w:pPr>
        <w:pStyle w:val="Notedebasdepage"/>
        <w:spacing w:line="276" w:lineRule="auto"/>
        <w:jc w:val="both"/>
        <w:rPr>
          <w:rFonts w:cs="Times New Roman"/>
          <w:lang w:val="fr-FR"/>
        </w:rPr>
      </w:pPr>
      <w:r w:rsidRPr="00953692">
        <w:rPr>
          <w:rStyle w:val="Appelnotedebasdep"/>
          <w:lang w:val="fr-FR"/>
        </w:rPr>
        <w:t>81</w:t>
      </w:r>
      <w:r w:rsidRPr="00953692">
        <w:rPr>
          <w:rFonts w:cs="Times New Roman"/>
          <w:lang w:val="fr-FR"/>
        </w:rPr>
        <w:t xml:space="preserve"> TPIR, Chambre d’Appel, Le Procureur c. Pauline Nyiramasuhuko et consorts, Arrêt, 14 décembre 2015, n° ICTR- 98-42-A, §.61, 62.</w:t>
      </w:r>
    </w:p>
  </w:footnote>
  <w:footnote w:id="103">
    <w:p w14:paraId="61B965B5" w14:textId="7DDEE26F" w:rsidR="00407F27" w:rsidRPr="00953692" w:rsidRDefault="00407F27" w:rsidP="00E009F4">
      <w:pPr>
        <w:pStyle w:val="Notedebasdepage"/>
        <w:spacing w:line="276" w:lineRule="auto"/>
        <w:jc w:val="both"/>
        <w:rPr>
          <w:rFonts w:cs="Times New Roman"/>
          <w:lang w:val="fr-FR"/>
        </w:rPr>
      </w:pPr>
      <w:r w:rsidRPr="00953692">
        <w:rPr>
          <w:rStyle w:val="Appelnotedebasdep"/>
          <w:lang w:val="fr-FR"/>
        </w:rPr>
        <w:t>82</w:t>
      </w:r>
      <w:r w:rsidRPr="00953692">
        <w:rPr>
          <w:rFonts w:cs="Times New Roman"/>
          <w:lang w:val="fr-FR"/>
        </w:rPr>
        <w:t xml:space="preserve"> Idem, §. 348.</w:t>
      </w:r>
    </w:p>
  </w:footnote>
  <w:footnote w:id="104">
    <w:p w14:paraId="6A820976" w14:textId="24C0667E" w:rsidR="00407F27" w:rsidRPr="00953692" w:rsidRDefault="00407F27" w:rsidP="00E009F4">
      <w:pPr>
        <w:pStyle w:val="Notedebasdepage"/>
        <w:spacing w:line="276" w:lineRule="auto"/>
        <w:jc w:val="both"/>
        <w:rPr>
          <w:rFonts w:cs="Times New Roman"/>
          <w:lang w:val="fr-FR"/>
        </w:rPr>
      </w:pPr>
      <w:r w:rsidRPr="00953692">
        <w:rPr>
          <w:rStyle w:val="Appelnotedebasdep"/>
          <w:lang w:val="fr-FR"/>
        </w:rPr>
        <w:t>82</w:t>
      </w:r>
      <w:r w:rsidRPr="00953692">
        <w:rPr>
          <w:rFonts w:cs="Times New Roman"/>
          <w:lang w:val="fr-FR"/>
        </w:rPr>
        <w:t xml:space="preserve"> Article 40bis J) des RPP du TPIY et du TPIR ; article 63 F) du RPP du TSL.</w:t>
      </w:r>
    </w:p>
  </w:footnote>
  <w:footnote w:id="105">
    <w:p w14:paraId="508428EB" w14:textId="22D59B88" w:rsidR="00407F27" w:rsidRPr="00953692" w:rsidRDefault="00407F27" w:rsidP="00E009F4">
      <w:pPr>
        <w:pStyle w:val="Notedebasdepage"/>
        <w:spacing w:line="276" w:lineRule="auto"/>
        <w:jc w:val="both"/>
        <w:rPr>
          <w:rFonts w:cs="Times New Roman"/>
          <w:lang w:val="fr-FR"/>
        </w:rPr>
      </w:pPr>
      <w:r w:rsidRPr="00953692">
        <w:rPr>
          <w:rStyle w:val="Appelnotedebasdep"/>
          <w:lang w:val="fr-FR"/>
        </w:rPr>
        <w:t>83</w:t>
      </w:r>
      <w:r w:rsidRPr="00953692">
        <w:rPr>
          <w:rFonts w:cs="Times New Roman"/>
          <w:lang w:val="fr-FR"/>
        </w:rPr>
        <w:t xml:space="preserve"> CPI, Guide pratique de procédure pour les Chambres, Cinquième édition, Adopté à la suite de la retraite des juges de 2021, p. 2.</w:t>
      </w:r>
    </w:p>
  </w:footnote>
  <w:footnote w:id="106">
    <w:p w14:paraId="4A2D79FD" w14:textId="06672E3D" w:rsidR="00407F27" w:rsidRPr="00953692" w:rsidRDefault="00407F27" w:rsidP="00E009F4">
      <w:pPr>
        <w:pStyle w:val="Notedebasdepage"/>
        <w:spacing w:line="276" w:lineRule="auto"/>
        <w:jc w:val="both"/>
        <w:rPr>
          <w:rFonts w:cs="Times New Roman"/>
          <w:lang w:val="en-US"/>
        </w:rPr>
      </w:pPr>
      <w:r w:rsidRPr="00953692">
        <w:rPr>
          <w:rStyle w:val="Appelnotedebasdep"/>
          <w:lang w:val="en-US"/>
        </w:rPr>
        <w:t>84</w:t>
      </w:r>
      <w:r w:rsidRPr="00953692">
        <w:rPr>
          <w:rFonts w:cs="Times New Roman"/>
          <w:lang w:val="en-US"/>
        </w:rPr>
        <w:t xml:space="preserve"> Rules of procedure and evidence before the Kosovo specialist Chambers (adopted on 17 March 2017, revised on 29 May 2017, amended on 29 and 30 April 2020) KSC-BD-03/Rev3/2020/2 of 130.</w:t>
      </w:r>
    </w:p>
  </w:footnote>
  <w:footnote w:id="107">
    <w:p w14:paraId="5523EDF7" w14:textId="5DE637A9" w:rsidR="00407F27" w:rsidRPr="00953692" w:rsidRDefault="00407F27" w:rsidP="00E009F4">
      <w:pPr>
        <w:spacing w:after="0" w:line="276" w:lineRule="auto"/>
        <w:jc w:val="both"/>
        <w:rPr>
          <w:rFonts w:cs="Times New Roman"/>
          <w:sz w:val="20"/>
          <w:szCs w:val="20"/>
          <w:lang w:val="fr-FR"/>
        </w:rPr>
      </w:pPr>
      <w:r w:rsidRPr="00953692">
        <w:rPr>
          <w:rStyle w:val="Appelnotedebasdep"/>
          <w:sz w:val="20"/>
          <w:szCs w:val="20"/>
          <w:lang w:val="fr-FR"/>
        </w:rPr>
        <w:t>85</w:t>
      </w:r>
      <w:r w:rsidRPr="00953692">
        <w:rPr>
          <w:rFonts w:cs="Times New Roman"/>
          <w:sz w:val="20"/>
          <w:szCs w:val="20"/>
          <w:lang w:val="fr-FR"/>
        </w:rPr>
        <w:t xml:space="preserve"> Devant les CETC, la règle 57 à laquelle fait allusion le point 7 de la règle 51 du RPP se borne à prévoir que « </w:t>
      </w:r>
      <w:r w:rsidRPr="00953692">
        <w:rPr>
          <w:rFonts w:cs="Times New Roman"/>
          <w:i/>
          <w:iCs/>
          <w:sz w:val="20"/>
          <w:szCs w:val="20"/>
          <w:lang w:val="fr-FR"/>
        </w:rPr>
        <w:t>lors de la première comparution, les co-juges d’instruction constatent l’identité de la personne mise en examen, lui font connaître les faits qui lui sont reprochés, et l’avise de son droit à un avocat et de son droit de garder le silence »</w:t>
      </w:r>
      <w:r w:rsidRPr="00953692">
        <w:rPr>
          <w:rFonts w:cs="Times New Roman"/>
          <w:sz w:val="20"/>
          <w:szCs w:val="20"/>
          <w:lang w:val="fr-FR"/>
        </w:rPr>
        <w:t xml:space="preserve">. Devant la CPS centrafricaine, l’article 85 du RPP se limite également par disposer que </w:t>
      </w:r>
      <w:r w:rsidRPr="00953692">
        <w:rPr>
          <w:rFonts w:cs="Times New Roman"/>
          <w:i/>
          <w:iCs/>
          <w:sz w:val="20"/>
          <w:szCs w:val="20"/>
          <w:lang w:val="fr-FR"/>
        </w:rPr>
        <w:t>lorsqu’il envisage d’inculper un suspect, le Cabinet d’instruction procède à sa première comparution selon les modalités prévues (…)</w:t>
      </w:r>
      <w:r w:rsidRPr="00953692">
        <w:rPr>
          <w:rFonts w:cs="Times New Roman"/>
          <w:sz w:val="20"/>
          <w:szCs w:val="20"/>
          <w:lang w:val="fr-FR"/>
        </w:rPr>
        <w:t>.</w:t>
      </w:r>
    </w:p>
  </w:footnote>
  <w:footnote w:id="108">
    <w:p w14:paraId="58E4BFE3" w14:textId="74857A83" w:rsidR="00407F27" w:rsidRPr="00953692" w:rsidRDefault="00407F27" w:rsidP="00E009F4">
      <w:pPr>
        <w:pStyle w:val="Notedebasdepage"/>
        <w:spacing w:line="276" w:lineRule="auto"/>
        <w:jc w:val="both"/>
        <w:rPr>
          <w:rFonts w:cs="Times New Roman"/>
          <w:lang w:val="fr-FR"/>
        </w:rPr>
      </w:pPr>
      <w:r w:rsidRPr="00953692">
        <w:rPr>
          <w:rStyle w:val="Appelnotedebasdep"/>
          <w:lang w:val="fr-FR"/>
        </w:rPr>
        <w:t>86</w:t>
      </w:r>
      <w:r w:rsidRPr="00953692">
        <w:rPr>
          <w:rFonts w:cs="Times New Roman"/>
          <w:lang w:val="fr-FR"/>
        </w:rPr>
        <w:t xml:space="preserve"> Article 67 du RPP de la CPS Centrafricaine. </w:t>
      </w:r>
    </w:p>
  </w:footnote>
  <w:footnote w:id="109">
    <w:p w14:paraId="5194C300" w14:textId="7845BC89" w:rsidR="00407F27" w:rsidRPr="00953692" w:rsidRDefault="00407F27" w:rsidP="00E009F4">
      <w:pPr>
        <w:pStyle w:val="Notedebasdepage"/>
        <w:spacing w:line="276" w:lineRule="auto"/>
        <w:jc w:val="both"/>
        <w:rPr>
          <w:rFonts w:cs="Times New Roman"/>
          <w:lang w:val="en-US"/>
        </w:rPr>
      </w:pPr>
      <w:r w:rsidRPr="00953692">
        <w:rPr>
          <w:rStyle w:val="Appelnotedebasdep"/>
          <w:lang w:val="fr-FR"/>
        </w:rPr>
        <w:t>87</w:t>
      </w:r>
      <w:r w:rsidRPr="00953692">
        <w:rPr>
          <w:rFonts w:cs="Times New Roman"/>
          <w:lang w:val="fr-FR"/>
        </w:rPr>
        <w:t xml:space="preserve"> Tasoki Manzele, J. </w:t>
      </w:r>
      <w:r w:rsidRPr="00953692">
        <w:rPr>
          <w:rFonts w:cs="Times New Roman"/>
          <w:i/>
          <w:lang w:val="fr-FR"/>
        </w:rPr>
        <w:t>L'enquête des juridictions pénales internationales</w:t>
      </w:r>
      <w:r w:rsidRPr="00953692">
        <w:rPr>
          <w:rFonts w:cs="Times New Roman"/>
          <w:lang w:val="fr-FR"/>
        </w:rPr>
        <w:t xml:space="preserve">, Université Paris 1 Panthéon-Sorbonne, Thèse, Paris, 2011, p. Voir aussi Sluiter, G. et al., dir., </w:t>
      </w:r>
      <w:r w:rsidRPr="00953692">
        <w:rPr>
          <w:rFonts w:cs="Times New Roman"/>
          <w:i/>
          <w:lang w:val="fr-FR"/>
        </w:rPr>
        <w:t>International Criminal Procedure : Principles and Rules</w:t>
      </w:r>
      <w:r w:rsidRPr="00953692">
        <w:rPr>
          <w:rFonts w:cs="Times New Roman"/>
          <w:lang w:val="fr-FR"/>
        </w:rPr>
        <w:t xml:space="preserve">, Oxford, OUP, 2013, p. 399. </w:t>
      </w:r>
      <w:r w:rsidRPr="00953692">
        <w:rPr>
          <w:rFonts w:cs="Times New Roman"/>
          <w:lang w:val="en-US"/>
        </w:rPr>
        <w:t>« The ICC’s confirmation proceedings are intended to operate as an effective pre-trial ‘filter’ to ensure that the charges concern criminal acts falling within the Court’s jurisdiction and that only those soundly based on the evidence go to trial ».</w:t>
      </w:r>
    </w:p>
  </w:footnote>
  <w:footnote w:id="110">
    <w:p w14:paraId="29622E8D" w14:textId="1E424FD1"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88</w:t>
      </w:r>
      <w:r w:rsidRPr="00953692">
        <w:rPr>
          <w:rFonts w:cs="Times New Roman"/>
          <w:lang w:val="fr-FR"/>
        </w:rPr>
        <w:t xml:space="preserve"> Règle 66 bis du RPP des CETC.</w:t>
      </w:r>
    </w:p>
  </w:footnote>
  <w:footnote w:id="111">
    <w:p w14:paraId="10E83EC0" w14:textId="46EA731E"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89</w:t>
      </w:r>
      <w:r w:rsidRPr="00953692">
        <w:rPr>
          <w:rFonts w:cs="Times New Roman"/>
          <w:lang w:val="fr-FR"/>
        </w:rPr>
        <w:t xml:space="preserve"> </w:t>
      </w:r>
      <w:r w:rsidRPr="00953692">
        <w:rPr>
          <w:rFonts w:eastAsia="Times New Roman" w:cs="Times New Roman"/>
          <w:lang w:val="fr-FR"/>
        </w:rPr>
        <w:t xml:space="preserve">TPIR, Chambre d’appel, Procureur c. Jean-Bosco Barayagwiza, Décision du 3 Novembre 1999, </w:t>
      </w:r>
      <w:r w:rsidRPr="00953692">
        <w:rPr>
          <w:rFonts w:cs="Times New Roman"/>
          <w:lang w:val="fr-FR"/>
        </w:rPr>
        <w:t>§.68.</w:t>
      </w:r>
    </w:p>
  </w:footnote>
  <w:footnote w:id="112">
    <w:p w14:paraId="2C3FEC32" w14:textId="4396E25F"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90</w:t>
      </w:r>
      <w:r w:rsidRPr="00953692">
        <w:rPr>
          <w:rFonts w:cs="Times New Roman"/>
          <w:lang w:val="fr-FR"/>
        </w:rPr>
        <w:t xml:space="preserve"> </w:t>
      </w:r>
      <w:r w:rsidRPr="00953692">
        <w:rPr>
          <w:rFonts w:eastAsia="Times New Roman" w:cs="Times New Roman"/>
          <w:lang w:val="fr-FR"/>
        </w:rPr>
        <w:t>TPIR, Chambre d’appel, Procureur c. Jean-Bosco Barayagwiza, Décision du 3 Nov</w:t>
      </w:r>
      <w:r w:rsidR="00407F27" w:rsidRPr="00953692">
        <w:rPr>
          <w:rFonts w:eastAsia="Times New Roman" w:cs="Times New Roman"/>
          <w:lang w:val="fr-FR"/>
        </w:rPr>
        <w:t>.</w:t>
      </w:r>
      <w:r w:rsidRPr="00953692">
        <w:rPr>
          <w:rFonts w:eastAsia="Times New Roman" w:cs="Times New Roman"/>
          <w:lang w:val="fr-FR"/>
        </w:rPr>
        <w:t xml:space="preserve"> 1999, </w:t>
      </w:r>
      <w:r w:rsidRPr="00953692">
        <w:rPr>
          <w:rFonts w:cs="Times New Roman"/>
          <w:lang w:val="fr-FR"/>
        </w:rPr>
        <w:t xml:space="preserve">§. 70-71. </w:t>
      </w:r>
    </w:p>
  </w:footnote>
  <w:footnote w:id="113">
    <w:p w14:paraId="25673530" w14:textId="239F0A87"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91</w:t>
      </w:r>
      <w:r w:rsidRPr="00953692">
        <w:rPr>
          <w:rFonts w:cs="Times New Roman"/>
          <w:lang w:val="fr-FR"/>
        </w:rPr>
        <w:t xml:space="preserve"> </w:t>
      </w:r>
      <w:r w:rsidRPr="00953692">
        <w:rPr>
          <w:rFonts w:eastAsia="Times New Roman" w:cs="Times New Roman"/>
          <w:lang w:val="fr-FR"/>
        </w:rPr>
        <w:t>TPIR, Chambre d’appel, Procureur c. Jean-Bosco Barayagwiza, Décision du 3 Nov</w:t>
      </w:r>
      <w:r w:rsidR="00407F27" w:rsidRPr="00953692">
        <w:rPr>
          <w:rFonts w:eastAsia="Times New Roman" w:cs="Times New Roman"/>
          <w:lang w:val="fr-FR"/>
        </w:rPr>
        <w:t>.</w:t>
      </w:r>
      <w:r w:rsidRPr="00953692">
        <w:rPr>
          <w:rFonts w:eastAsia="Times New Roman" w:cs="Times New Roman"/>
          <w:lang w:val="fr-FR"/>
        </w:rPr>
        <w:t xml:space="preserve"> 1999,</w:t>
      </w:r>
      <w:r w:rsidRPr="00953692">
        <w:rPr>
          <w:rFonts w:cs="Times New Roman"/>
          <w:lang w:val="fr-FR"/>
        </w:rPr>
        <w:t xml:space="preserve"> §. 71.</w:t>
      </w:r>
    </w:p>
  </w:footnote>
  <w:footnote w:id="114">
    <w:p w14:paraId="293C942B" w14:textId="1D90BEA3" w:rsidR="009E5D3B" w:rsidRPr="00953692" w:rsidRDefault="009E5D3B" w:rsidP="00C970DB">
      <w:pPr>
        <w:pStyle w:val="Notedebasdepage"/>
        <w:jc w:val="both"/>
        <w:rPr>
          <w:rFonts w:cs="Times New Roman"/>
          <w:lang w:val="fr-FR"/>
        </w:rPr>
      </w:pPr>
      <w:r w:rsidRPr="00953692">
        <w:rPr>
          <w:rStyle w:val="Appelnotedebasdep"/>
          <w:rFonts w:cs="Times New Roman"/>
          <w:lang w:val="fr-FR"/>
        </w:rPr>
        <w:t>92</w:t>
      </w:r>
      <w:r w:rsidRPr="00953692">
        <w:rPr>
          <w:rFonts w:cs="Times New Roman"/>
          <w:lang w:val="fr-FR"/>
        </w:rPr>
        <w:t xml:space="preserve"> CPI, Guide pratique de procédure pour les Chambres, Op.cit. note 82, p. 7.</w:t>
      </w:r>
    </w:p>
  </w:footnote>
  <w:footnote w:id="115">
    <w:p w14:paraId="71C486E4" w14:textId="39337192" w:rsidR="009E5D3B" w:rsidRPr="00953692" w:rsidRDefault="009E5D3B" w:rsidP="00C970DB">
      <w:pPr>
        <w:pStyle w:val="Notedebasdepage"/>
        <w:jc w:val="both"/>
        <w:rPr>
          <w:rFonts w:cs="Times New Roman"/>
          <w:lang w:val="fr-FR"/>
        </w:rPr>
      </w:pPr>
      <w:r w:rsidRPr="00953692">
        <w:rPr>
          <w:rStyle w:val="Appelnotedebasdep"/>
          <w:rFonts w:cs="Times New Roman"/>
          <w:lang w:val="fr-FR"/>
        </w:rPr>
        <w:t>93</w:t>
      </w:r>
      <w:r w:rsidRPr="00953692">
        <w:rPr>
          <w:rFonts w:cs="Times New Roman"/>
          <w:lang w:val="fr-FR"/>
        </w:rPr>
        <w:t xml:space="preserve"> </w:t>
      </w:r>
      <w:r w:rsidRPr="00953692">
        <w:rPr>
          <w:rFonts w:eastAsia="Times New Roman" w:cs="Times New Roman"/>
          <w:lang w:val="fr-FR"/>
        </w:rPr>
        <w:t xml:space="preserve">TPIR, Chambre de première instance II, Procureur c. </w:t>
      </w:r>
      <w:r w:rsidRPr="00953692">
        <w:rPr>
          <w:rFonts w:cs="Times New Roman"/>
          <w:lang w:val="fr-FR"/>
        </w:rPr>
        <w:t>Joseph Kanyabashi, Décision, 20 mai 2000 §. 7, 58-64.</w:t>
      </w:r>
    </w:p>
  </w:footnote>
  <w:footnote w:id="116">
    <w:p w14:paraId="5FE92320" w14:textId="5657C0DA" w:rsidR="009E5D3B" w:rsidRPr="00953692" w:rsidRDefault="009E5D3B" w:rsidP="00C970DB">
      <w:pPr>
        <w:pStyle w:val="Notedebasdepage"/>
        <w:jc w:val="both"/>
        <w:rPr>
          <w:rFonts w:cs="Times New Roman"/>
          <w:lang w:val="fr-FR"/>
        </w:rPr>
      </w:pPr>
      <w:r w:rsidRPr="00953692">
        <w:rPr>
          <w:rStyle w:val="Appelnotedebasdep"/>
          <w:rFonts w:cs="Times New Roman"/>
          <w:lang w:val="fr-FR"/>
        </w:rPr>
        <w:t>94</w:t>
      </w:r>
      <w:r w:rsidRPr="00953692">
        <w:rPr>
          <w:rFonts w:cs="Times New Roman"/>
          <w:lang w:val="fr-FR"/>
        </w:rPr>
        <w:t xml:space="preserve"> </w:t>
      </w:r>
      <w:r w:rsidRPr="00953692">
        <w:rPr>
          <w:rFonts w:eastAsia="Times New Roman" w:cs="Times New Roman"/>
          <w:lang w:val="fr-FR"/>
        </w:rPr>
        <w:t>Idem,</w:t>
      </w:r>
      <w:r w:rsidRPr="00953692">
        <w:rPr>
          <w:rFonts w:cs="Times New Roman"/>
          <w:lang w:val="fr-FR"/>
        </w:rPr>
        <w:t xml:space="preserve"> §. 59.</w:t>
      </w:r>
    </w:p>
  </w:footnote>
  <w:footnote w:id="117">
    <w:p w14:paraId="4DD27960" w14:textId="49FA49C5"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95</w:t>
      </w:r>
      <w:r w:rsidRPr="00953692">
        <w:rPr>
          <w:rFonts w:cs="Times New Roman"/>
          <w:lang w:val="fr-FR"/>
        </w:rPr>
        <w:t xml:space="preserve"> </w:t>
      </w:r>
      <w:r w:rsidRPr="00953692">
        <w:rPr>
          <w:rFonts w:eastAsia="Times New Roman" w:cs="Times New Roman"/>
          <w:lang w:val="fr-FR"/>
        </w:rPr>
        <w:t xml:space="preserve">TPIR, Procureur c. </w:t>
      </w:r>
      <w:r w:rsidRPr="00953692">
        <w:rPr>
          <w:rFonts w:cs="Times New Roman"/>
          <w:lang w:val="fr-FR"/>
        </w:rPr>
        <w:t>Joseph Kanyabashi, Décision, 20 mai 2000 §. 62.</w:t>
      </w:r>
    </w:p>
  </w:footnote>
  <w:footnote w:id="118">
    <w:p w14:paraId="6C91D320" w14:textId="7A0F3174"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96</w:t>
      </w:r>
      <w:r w:rsidRPr="00953692">
        <w:rPr>
          <w:rFonts w:cs="Times New Roman"/>
          <w:lang w:val="fr-FR"/>
        </w:rPr>
        <w:t xml:space="preserve"> </w:t>
      </w:r>
      <w:r w:rsidRPr="00953692">
        <w:rPr>
          <w:rFonts w:eastAsia="Times New Roman" w:cs="Times New Roman"/>
          <w:lang w:val="fr-FR"/>
        </w:rPr>
        <w:t xml:space="preserve">TPIR, Décision du </w:t>
      </w:r>
      <w:r w:rsidRPr="00953692">
        <w:rPr>
          <w:rFonts w:cs="Times New Roman"/>
          <w:lang w:val="fr-FR"/>
        </w:rPr>
        <w:t xml:space="preserve">20 mai </w:t>
      </w:r>
      <w:r w:rsidR="005A0ABF" w:rsidRPr="00953692">
        <w:rPr>
          <w:rFonts w:cs="Times New Roman"/>
          <w:lang w:val="fr-FR"/>
        </w:rPr>
        <w:t xml:space="preserve">2000 </w:t>
      </w:r>
      <w:r w:rsidR="005A0ABF" w:rsidRPr="00953692">
        <w:rPr>
          <w:rFonts w:eastAsia="Times New Roman" w:cs="Times New Roman"/>
          <w:lang w:val="fr-FR"/>
        </w:rPr>
        <w:t>précitée</w:t>
      </w:r>
      <w:r w:rsidRPr="00953692">
        <w:rPr>
          <w:rFonts w:cs="Times New Roman"/>
          <w:lang w:val="fr-FR"/>
        </w:rPr>
        <w:t xml:space="preserve"> §. 62.</w:t>
      </w:r>
    </w:p>
  </w:footnote>
  <w:footnote w:id="119">
    <w:p w14:paraId="430B4717" w14:textId="34089CCC"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97</w:t>
      </w:r>
      <w:r w:rsidRPr="00953692">
        <w:rPr>
          <w:rFonts w:cs="Times New Roman"/>
          <w:lang w:val="fr-FR"/>
        </w:rPr>
        <w:t xml:space="preserve"> </w:t>
      </w:r>
      <w:r w:rsidRPr="00953692">
        <w:rPr>
          <w:rFonts w:eastAsia="Times New Roman" w:cs="Times New Roman"/>
          <w:lang w:val="fr-FR"/>
        </w:rPr>
        <w:t>Ibid.,</w:t>
      </w:r>
      <w:r w:rsidRPr="00953692">
        <w:rPr>
          <w:rFonts w:cs="Times New Roman"/>
          <w:lang w:val="fr-FR"/>
        </w:rPr>
        <w:t xml:space="preserve"> §. 63.</w:t>
      </w:r>
    </w:p>
  </w:footnote>
  <w:footnote w:id="120">
    <w:p w14:paraId="2DCA5668" w14:textId="1C630036"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98</w:t>
      </w:r>
      <w:r w:rsidRPr="00953692">
        <w:rPr>
          <w:rFonts w:cs="Times New Roman"/>
          <w:lang w:val="fr-FR"/>
        </w:rPr>
        <w:t xml:space="preserve"> </w:t>
      </w:r>
      <w:r w:rsidR="00407F27" w:rsidRPr="00953692">
        <w:rPr>
          <w:rFonts w:eastAsia="Times New Roman" w:cs="Times New Roman"/>
          <w:lang w:val="fr-FR"/>
        </w:rPr>
        <w:t xml:space="preserve">TPIR, Décision du </w:t>
      </w:r>
      <w:r w:rsidR="00407F27" w:rsidRPr="00953692">
        <w:rPr>
          <w:rFonts w:cs="Times New Roman"/>
          <w:lang w:val="fr-FR"/>
        </w:rPr>
        <w:t xml:space="preserve">20 mai 2000 </w:t>
      </w:r>
      <w:r w:rsidR="00407F27" w:rsidRPr="00953692">
        <w:rPr>
          <w:rFonts w:eastAsia="Times New Roman" w:cs="Times New Roman"/>
          <w:lang w:val="fr-FR"/>
        </w:rPr>
        <w:t>précitée</w:t>
      </w:r>
      <w:r w:rsidR="00407F27" w:rsidRPr="00953692">
        <w:rPr>
          <w:rFonts w:cs="Times New Roman"/>
          <w:lang w:val="fr-FR"/>
        </w:rPr>
        <w:t xml:space="preserve"> §. 62.</w:t>
      </w:r>
    </w:p>
  </w:footnote>
  <w:footnote w:id="121">
    <w:p w14:paraId="6572E4EC" w14:textId="1CAC7535"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99</w:t>
      </w:r>
      <w:r w:rsidRPr="00953692">
        <w:rPr>
          <w:rFonts w:cs="Times New Roman"/>
          <w:lang w:val="fr-FR"/>
        </w:rPr>
        <w:t xml:space="preserve"> </w:t>
      </w:r>
      <w:r w:rsidRPr="00953692">
        <w:rPr>
          <w:rFonts w:eastAsia="Times New Roman" w:cs="Times New Roman"/>
          <w:lang w:val="fr-FR"/>
        </w:rPr>
        <w:t>I</w:t>
      </w:r>
      <w:r w:rsidR="00407F27" w:rsidRPr="00953692">
        <w:rPr>
          <w:rFonts w:eastAsia="Times New Roman" w:cs="Times New Roman"/>
          <w:lang w:val="fr-FR"/>
        </w:rPr>
        <w:t>dem</w:t>
      </w:r>
      <w:r w:rsidRPr="00953692">
        <w:rPr>
          <w:rFonts w:eastAsia="Times New Roman" w:cs="Times New Roman"/>
          <w:lang w:val="fr-FR"/>
        </w:rPr>
        <w:t>.,</w:t>
      </w:r>
      <w:r w:rsidRPr="00953692">
        <w:rPr>
          <w:rFonts w:cs="Times New Roman"/>
          <w:lang w:val="fr-FR"/>
        </w:rPr>
        <w:t xml:space="preserve"> §. 64.</w:t>
      </w:r>
    </w:p>
  </w:footnote>
  <w:footnote w:id="122">
    <w:p w14:paraId="507E170A" w14:textId="48A2ED27"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100</w:t>
      </w:r>
      <w:r w:rsidRPr="00953692">
        <w:rPr>
          <w:rFonts w:cs="Times New Roman"/>
          <w:lang w:val="fr-FR"/>
        </w:rPr>
        <w:t xml:space="preserve"> Ibid. </w:t>
      </w:r>
    </w:p>
  </w:footnote>
  <w:footnote w:id="123">
    <w:p w14:paraId="5E8A28D5" w14:textId="63027A20"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101</w:t>
      </w:r>
      <w:r w:rsidRPr="00953692">
        <w:rPr>
          <w:rFonts w:cs="Times New Roman"/>
          <w:lang w:val="fr-FR"/>
        </w:rPr>
        <w:t xml:space="preserve"> TPIR, Chambre de première instance I, Le Procureur c. Théoneste Bagosora et consorts, Jugement portant condamnation, 18 décembre 2008, (ICTR-98-41-T), §. 76.</w:t>
      </w:r>
    </w:p>
  </w:footnote>
  <w:footnote w:id="124">
    <w:p w14:paraId="440CD3C2" w14:textId="4EE28488"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102</w:t>
      </w:r>
      <w:r w:rsidRPr="00953692">
        <w:rPr>
          <w:rFonts w:cs="Times New Roman"/>
          <w:lang w:val="fr-FR"/>
        </w:rPr>
        <w:t xml:space="preserve"> </w:t>
      </w:r>
      <w:r w:rsidR="00D87AE8" w:rsidRPr="00953692">
        <w:rPr>
          <w:rFonts w:cs="Times New Roman"/>
          <w:lang w:val="fr-FR"/>
        </w:rPr>
        <w:t>TPIR, Le Procureur c. Théoneste Bagosora et consorts, Jugement précité, §. 96.</w:t>
      </w:r>
    </w:p>
  </w:footnote>
  <w:footnote w:id="125">
    <w:p w14:paraId="6CD0572E" w14:textId="58C7CBF9"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103</w:t>
      </w:r>
      <w:r w:rsidRPr="00953692">
        <w:rPr>
          <w:rFonts w:cs="Times New Roman"/>
          <w:lang w:val="fr-FR"/>
        </w:rPr>
        <w:t xml:space="preserve"> Ibid.</w:t>
      </w:r>
    </w:p>
  </w:footnote>
  <w:footnote w:id="126">
    <w:p w14:paraId="3A16BA9E" w14:textId="0970C0CE"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104</w:t>
      </w:r>
      <w:r w:rsidRPr="00953692">
        <w:rPr>
          <w:rFonts w:cs="Times New Roman"/>
          <w:lang w:val="fr-FR"/>
        </w:rPr>
        <w:t xml:space="preserve"> Ibid. §. 88. </w:t>
      </w:r>
    </w:p>
  </w:footnote>
  <w:footnote w:id="127">
    <w:p w14:paraId="37E58DBC" w14:textId="1DA3B3D7"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105</w:t>
      </w:r>
      <w:r w:rsidRPr="00953692">
        <w:rPr>
          <w:rFonts w:cs="Times New Roman"/>
          <w:lang w:val="fr-FR"/>
        </w:rPr>
        <w:t xml:space="preserve"> Ibid. §. 92-93.</w:t>
      </w:r>
    </w:p>
  </w:footnote>
  <w:footnote w:id="128">
    <w:p w14:paraId="6286889E" w14:textId="5AD06730"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106</w:t>
      </w:r>
      <w:r w:rsidRPr="00953692">
        <w:rPr>
          <w:rFonts w:cs="Times New Roman"/>
          <w:lang w:val="fr-FR"/>
        </w:rPr>
        <w:t xml:space="preserve"> Ibid. §. 97. </w:t>
      </w:r>
    </w:p>
  </w:footnote>
  <w:footnote w:id="129">
    <w:p w14:paraId="3AD08283" w14:textId="4B8A65E3"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107</w:t>
      </w:r>
      <w:r w:rsidRPr="00953692">
        <w:rPr>
          <w:rFonts w:cs="Times New Roman"/>
          <w:lang w:val="fr-FR"/>
        </w:rPr>
        <w:t xml:space="preserve"> TPIR, Chambre de première instance III, Le procureur c. Jean-Baptiste GATETE, Jugement portant condamnation, 31 mars 2011, ICTR-2000-61-T, §. 54.</w:t>
      </w:r>
    </w:p>
  </w:footnote>
  <w:footnote w:id="130">
    <w:p w14:paraId="3B2604B3" w14:textId="28A14A68"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108</w:t>
      </w:r>
      <w:r w:rsidRPr="00953692">
        <w:rPr>
          <w:rFonts w:cs="Times New Roman"/>
          <w:lang w:val="fr-FR"/>
        </w:rPr>
        <w:t xml:space="preserve"> Idem, §. 61. « </w:t>
      </w:r>
      <w:r w:rsidRPr="00953692">
        <w:rPr>
          <w:rFonts w:cs="Times New Roman"/>
          <w:shd w:val="clear" w:color="auto" w:fill="FFFFFF"/>
          <w:lang w:val="fr-FR"/>
        </w:rPr>
        <w:t>la Chambre relève des circonstances particulières où il semble que le comportement des autorités compétentes et du Procureur a créé un retard difficile à justifier pendant la phase préalable au procès. Par exemple, une exception soulevée par la Défense pour vices de forme de l'acte d'accusation, déposée le 12 avril 2003, n'a été examinée par la Chambre chargée de la mise en état que le 29 mars 2004, soit presqu'un an plus tard. La requête du Procureur demandant l'autorisation de déposer un acte d'accusation modifié, déposée le 29 novembre 2004, n'a été accueillie que près de cinq mois plus tard, le 21 avril 2005. La Défense a déposé une requête en prescription de mesures de protection de témoins le 11 octobre 2006, à laquelle il n'a été fait droit que le 10 avril 2007. La première conférence de mise en état n'a eu lieu que le 19 avril 2007 ». En outre, Chambre a rappelé que, le Procureur jouit d'une compétence discrétionnaire dans l'instruction des dossiers et l'exercice de la poursuite contre les accusés, mais qu'il lui incombe aussi de conduire la procédure". Il y a eu toutefois des retards occasionnés par le Procureur auxquels la Chambre ne trouve aucune justification. Le 29 mars 2004, par exemple, la Chambre chargée de la mise en état de l'affaire a ordonné au Procureur de déposer un acte d’accusation modifié. Or, le Procureur n'a déposé une requête demandant l'autorisation de déposer un acte d'accusation modifié que le 29 novembre 2004. De plus, alors que l'accusé avait été transféré au Tribunal en septembre 2002, le Procureur n'a déposé sa demande de renvoi de l'affaire au Rwanda que le 28 novembre 2007.</w:t>
      </w:r>
    </w:p>
  </w:footnote>
  <w:footnote w:id="131">
    <w:p w14:paraId="44D8C729" w14:textId="3E57987E"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109</w:t>
      </w:r>
      <w:r w:rsidRPr="00953692">
        <w:rPr>
          <w:rFonts w:cs="Times New Roman"/>
          <w:lang w:val="fr-FR"/>
        </w:rPr>
        <w:t xml:space="preserve"> Ibid. §. 64.</w:t>
      </w:r>
    </w:p>
  </w:footnote>
  <w:footnote w:id="132">
    <w:p w14:paraId="6DD24D4C" w14:textId="2C71F3DB"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110</w:t>
      </w:r>
      <w:r w:rsidRPr="00953692">
        <w:rPr>
          <w:rFonts w:cs="Times New Roman"/>
          <w:lang w:val="fr-FR"/>
        </w:rPr>
        <w:t xml:space="preserve"> TPIR, Chambre d’Appel, Tharcisse Renzaho c. Le Procureur, Arrêt, 1</w:t>
      </w:r>
      <w:r w:rsidRPr="00953692">
        <w:rPr>
          <w:rFonts w:cs="Times New Roman"/>
          <w:vertAlign w:val="superscript"/>
          <w:lang w:val="fr-FR"/>
        </w:rPr>
        <w:t>er</w:t>
      </w:r>
      <w:r w:rsidRPr="00953692">
        <w:rPr>
          <w:rFonts w:cs="Times New Roman"/>
          <w:lang w:val="fr-FR"/>
        </w:rPr>
        <w:t xml:space="preserve"> avril 2011, ICTR-97-31-A, §. 237-242.</w:t>
      </w:r>
    </w:p>
  </w:footnote>
  <w:footnote w:id="133">
    <w:p w14:paraId="43C77471" w14:textId="58DA4652"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111</w:t>
      </w:r>
      <w:r w:rsidRPr="00953692">
        <w:rPr>
          <w:rFonts w:cs="Times New Roman"/>
          <w:lang w:val="fr-FR"/>
        </w:rPr>
        <w:t xml:space="preserve"> </w:t>
      </w:r>
      <w:r w:rsidRPr="00953692">
        <w:rPr>
          <w:rFonts w:eastAsia="Times New Roman" w:cs="Times New Roman"/>
          <w:lang w:val="fr-FR"/>
        </w:rPr>
        <w:t>TPIR, Chambre d’appel, Procureur c. Jean-Bosco Barayagwiza, Décision du 3 Novembre 1999,</w:t>
      </w:r>
      <w:r w:rsidRPr="00953692">
        <w:rPr>
          <w:rFonts w:cs="Times New Roman"/>
          <w:lang w:val="fr-FR"/>
        </w:rPr>
        <w:t xml:space="preserve"> §.46.</w:t>
      </w:r>
    </w:p>
  </w:footnote>
  <w:footnote w:id="134">
    <w:p w14:paraId="4491CA7D" w14:textId="0EF4D6C5"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112</w:t>
      </w:r>
      <w:r w:rsidRPr="00953692">
        <w:rPr>
          <w:rFonts w:cs="Times New Roman"/>
          <w:lang w:val="fr-FR"/>
        </w:rPr>
        <w:t xml:space="preserve"> </w:t>
      </w:r>
      <w:r w:rsidR="00D87AE8" w:rsidRPr="00953692">
        <w:rPr>
          <w:rFonts w:eastAsia="Times New Roman" w:cs="Times New Roman"/>
          <w:lang w:val="fr-FR"/>
        </w:rPr>
        <w:t>TPIR, Chambre d’appel, Procureur c. Jean-Bosco Barayagwiza, Décision du 3 Novembre 1999,</w:t>
      </w:r>
      <w:r w:rsidR="00D87AE8" w:rsidRPr="00953692">
        <w:rPr>
          <w:rFonts w:cs="Times New Roman"/>
          <w:lang w:val="fr-FR"/>
        </w:rPr>
        <w:t xml:space="preserve"> §.52.</w:t>
      </w:r>
    </w:p>
  </w:footnote>
  <w:footnote w:id="135">
    <w:p w14:paraId="593B6EB8" w14:textId="6F89E34C"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113</w:t>
      </w:r>
      <w:r w:rsidRPr="00953692">
        <w:rPr>
          <w:rFonts w:cs="Times New Roman"/>
          <w:lang w:val="fr-FR"/>
        </w:rPr>
        <w:t xml:space="preserve"> </w:t>
      </w:r>
      <w:r w:rsidR="00D87AE8" w:rsidRPr="00953692">
        <w:rPr>
          <w:rFonts w:eastAsia="Times New Roman" w:cs="Times New Roman"/>
          <w:lang w:val="fr-FR"/>
        </w:rPr>
        <w:t>Idem</w:t>
      </w:r>
      <w:r w:rsidRPr="00953692">
        <w:rPr>
          <w:rFonts w:eastAsia="Times New Roman" w:cs="Times New Roman"/>
          <w:lang w:val="fr-FR"/>
        </w:rPr>
        <w:t>,</w:t>
      </w:r>
      <w:r w:rsidRPr="00953692">
        <w:rPr>
          <w:rFonts w:cs="Times New Roman"/>
          <w:lang w:val="fr-FR"/>
        </w:rPr>
        <w:t xml:space="preserve"> §.44.</w:t>
      </w:r>
    </w:p>
  </w:footnote>
  <w:footnote w:id="136">
    <w:p w14:paraId="2192DF9F" w14:textId="595CC1EE"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114</w:t>
      </w:r>
      <w:r w:rsidRPr="00953692">
        <w:rPr>
          <w:rFonts w:cs="Times New Roman"/>
          <w:lang w:val="fr-FR"/>
        </w:rPr>
        <w:t xml:space="preserve"> </w:t>
      </w:r>
      <w:r w:rsidRPr="00953692">
        <w:rPr>
          <w:rFonts w:cs="Times New Roman"/>
          <w:i/>
          <w:iCs/>
          <w:lang w:val="fr-FR"/>
        </w:rPr>
        <w:t>I</w:t>
      </w:r>
      <w:r w:rsidR="00D87AE8" w:rsidRPr="00953692">
        <w:rPr>
          <w:rFonts w:cs="Times New Roman"/>
          <w:i/>
          <w:iCs/>
          <w:lang w:val="fr-FR"/>
        </w:rPr>
        <w:t>bid</w:t>
      </w:r>
      <w:r w:rsidRPr="00953692">
        <w:rPr>
          <w:rFonts w:cs="Times New Roman"/>
          <w:i/>
          <w:iCs/>
          <w:lang w:val="fr-FR"/>
        </w:rPr>
        <w:t>,</w:t>
      </w:r>
      <w:r w:rsidRPr="00953692">
        <w:rPr>
          <w:rFonts w:cs="Times New Roman"/>
          <w:lang w:val="fr-FR"/>
        </w:rPr>
        <w:t xml:space="preserve"> §. 45.</w:t>
      </w:r>
    </w:p>
  </w:footnote>
  <w:footnote w:id="137">
    <w:p w14:paraId="37F18605" w14:textId="3FDC6806"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115</w:t>
      </w:r>
      <w:r w:rsidRPr="00953692">
        <w:rPr>
          <w:rFonts w:cs="Times New Roman"/>
          <w:lang w:val="fr-FR"/>
        </w:rPr>
        <w:t xml:space="preserve"> </w:t>
      </w:r>
      <w:r w:rsidRPr="00953692">
        <w:rPr>
          <w:rFonts w:cs="Times New Roman"/>
          <w:i/>
          <w:iCs/>
          <w:lang w:val="fr-FR"/>
        </w:rPr>
        <w:t>Ibid.</w:t>
      </w:r>
      <w:r w:rsidRPr="00953692">
        <w:rPr>
          <w:rFonts w:cs="Times New Roman"/>
          <w:lang w:val="fr-FR"/>
        </w:rPr>
        <w:t xml:space="preserve"> §. 55.</w:t>
      </w:r>
    </w:p>
  </w:footnote>
  <w:footnote w:id="138">
    <w:p w14:paraId="2539C8FC" w14:textId="64F0628C"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116</w:t>
      </w:r>
      <w:r w:rsidRPr="00953692">
        <w:rPr>
          <w:rFonts w:cs="Times New Roman"/>
          <w:lang w:val="fr-FR"/>
        </w:rPr>
        <w:t xml:space="preserve"> </w:t>
      </w:r>
      <w:r w:rsidRPr="00953692">
        <w:rPr>
          <w:rFonts w:cs="Times New Roman"/>
          <w:i/>
          <w:iCs/>
          <w:lang w:val="fr-FR"/>
        </w:rPr>
        <w:t>Ibid.</w:t>
      </w:r>
      <w:r w:rsidRPr="00953692">
        <w:rPr>
          <w:rFonts w:cs="Times New Roman"/>
          <w:lang w:val="fr-FR"/>
        </w:rPr>
        <w:t xml:space="preserve"> §. 63. « </w:t>
      </w:r>
      <w:r w:rsidRPr="00953692">
        <w:rPr>
          <w:rFonts w:cs="Times New Roman"/>
          <w:i/>
          <w:iCs/>
          <w:lang w:val="fr-FR"/>
        </w:rPr>
        <w:t>Il est bien établi en vertu du droit international des droits de l'homme que la détention provisoire des suspects est légale, tant qu'elle ne se prolonge pas au-delà d'un délai raisonnable. Le Comité des droits de l'homme des Nations Unies, en interprétant l'article 9(2) du PIDCP, a développé une jurisprudence considérable en ce qui concerne la durée autorisée pendant laquelle un suspect peut être détenu sans être inculpé. Par exemple, dans Glenford Campbell c. Jamaïque, le suspect a été détenu pendant 45 jours sans être officiellement inculpé. Ce retard a été considéré comme une violation de l'article 9(2) du PIDCP. Au paragraphe 64 de cette Décision, la Chambre d’appel a rappelé différentes décisions du Comité des droits de l’homme relatives à la violation alléguée de l’article 9(2) du PIDCP. Par exemple, dans l'affaire Moriana Hernández Valentini de Bazzano, une période de huit mois entre le début de la détention et le dépôt des accusations formelles a été jugée contraire à l'article 9(2) du PIDCP. À Monja Jaona, une période de huit mois au cours de laquelle le suspect a été placé en résidence surveillée sans être formellement inculpé a été jugée contraire à l'article 9(2) du PIDCP. À Alba Pietraroia, le requérant a été détenu pendant sept mois sans être formellement inculpé et le Comité a estimé que cette détention violait l'article 9(2) du PIDCP. Enfin, dans l'affaire Leopoldo Buffo Carballal, un délai d'un an entre l'arrestation et le dépôt formel des charges a été considéré comme une violation de l'article 9(2) du PIDCP</w:t>
      </w:r>
      <w:r w:rsidRPr="00953692">
        <w:rPr>
          <w:rFonts w:cs="Times New Roman"/>
          <w:lang w:val="fr-FR"/>
        </w:rPr>
        <w:t>.</w:t>
      </w:r>
    </w:p>
  </w:footnote>
  <w:footnote w:id="139">
    <w:p w14:paraId="0A948389" w14:textId="6D1B9E8A"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117</w:t>
      </w:r>
      <w:r w:rsidRPr="00953692">
        <w:rPr>
          <w:rFonts w:cs="Times New Roman"/>
          <w:lang w:val="fr-FR"/>
        </w:rPr>
        <w:t xml:space="preserve"> CPI, Le Procureur c. Thomas Lubanga Dyilo, Arrêt relatif à l’appel interjeté par Thomas Lubanga Dyilo contre la décision de la Chambre préliminaire I intitulée « Décision sur la demande de mise en liberté provisoire de Thomas Lubanga Dyilo », 13 février 2007, ICC-01/04-01/06, §.122.</w:t>
      </w:r>
    </w:p>
  </w:footnote>
  <w:footnote w:id="140">
    <w:p w14:paraId="17CF4EAE" w14:textId="194CD924"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118</w:t>
      </w:r>
      <w:r w:rsidRPr="00953692">
        <w:rPr>
          <w:rFonts w:cs="Times New Roman"/>
          <w:lang w:val="fr-FR"/>
        </w:rPr>
        <w:t xml:space="preserve"> CPI, Le Procureur c. Thomas Lubanga Dyilo, Arrêt précité, §. </w:t>
      </w:r>
      <w:r w:rsidRPr="00953692">
        <w:rPr>
          <w:rFonts w:eastAsia="Times New Roman" w:cs="Times New Roman"/>
          <w:shd w:val="clear" w:color="auto" w:fill="FFFFFF"/>
          <w:lang w:val="fr-FR"/>
        </w:rPr>
        <w:t>530.</w:t>
      </w:r>
    </w:p>
  </w:footnote>
  <w:footnote w:id="141">
    <w:p w14:paraId="77C08703" w14:textId="189E0F6F"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119</w:t>
      </w:r>
      <w:r w:rsidRPr="00953692">
        <w:rPr>
          <w:rFonts w:cs="Times New Roman"/>
          <w:lang w:val="fr-FR"/>
        </w:rPr>
        <w:t xml:space="preserve"> CPI, La Chambre préliminaire I, Le Procureur c. Thomas Lubanga Dyilo, Décision sur la confirmation des charges, 29 janvier 2007, ICC-01/04-01/06, §. 17. </w:t>
      </w:r>
    </w:p>
  </w:footnote>
  <w:footnote w:id="142">
    <w:p w14:paraId="0A17CC3B" w14:textId="3A368377"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120</w:t>
      </w:r>
      <w:r w:rsidRPr="00953692">
        <w:rPr>
          <w:rFonts w:cs="Times New Roman"/>
          <w:lang w:val="fr-FR"/>
        </w:rPr>
        <w:t xml:space="preserve"> CPI, La Chambre préliminaire I, Le Procureur c. Laurent Gbagbo, Décision relative à la confirmation des charges portées contre Laurent Gbagbo, 12 juin 2014, ICC-02/11-01/11, §. 3-9. Voir ICC-02/11-01/11-432-tFRA, p. 24.</w:t>
      </w:r>
    </w:p>
  </w:footnote>
  <w:footnote w:id="143">
    <w:p w14:paraId="745F95C8" w14:textId="49635687"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121</w:t>
      </w:r>
      <w:r w:rsidRPr="00953692">
        <w:rPr>
          <w:rFonts w:cs="Times New Roman"/>
          <w:lang w:val="fr-FR"/>
        </w:rPr>
        <w:t xml:space="preserve"> CPI, La Chambre préliminaire II, Le Procureur c. Jean‐Pierre Bemba Gombo, Décision rendue en application des alinéas a) et b) de l’article 61‐7 du Statut de Rome, relativement aux charges portées par le Procureur à l’encontre de Jean‐Pierre Bemba Gombo, 15 juin 2009, ICC‐01/05‐01/08, par. 4 et 15. Voir Chambre préliminaire III, ICC‐01/05‐01/08‐388‐tFRA. </w:t>
      </w:r>
    </w:p>
  </w:footnote>
  <w:footnote w:id="144">
    <w:p w14:paraId="6722E116" w14:textId="66F07750"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122</w:t>
      </w:r>
      <w:r w:rsidRPr="00953692">
        <w:rPr>
          <w:rFonts w:cs="Times New Roman"/>
          <w:lang w:val="fr-FR"/>
        </w:rPr>
        <w:t xml:space="preserve"> Lire les articles 51 à 57 du RPP des CETC.</w:t>
      </w:r>
    </w:p>
  </w:footnote>
  <w:footnote w:id="145">
    <w:p w14:paraId="675D531A" w14:textId="3A2D1027"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123</w:t>
      </w:r>
      <w:r w:rsidRPr="00953692">
        <w:rPr>
          <w:rFonts w:cs="Times New Roman"/>
          <w:lang w:val="fr-FR"/>
        </w:rPr>
        <w:t xml:space="preserve"> CPI, La Chambre préliminaire I, Le Procureur c. Laurent Gbagbo, Décision portant ajournement de l’audience de confirmation des charges conformément à l’article 61-7-c-i du Statut, 3 juin 2013, ICC-02/11-01/11, par. 44.</w:t>
      </w:r>
    </w:p>
  </w:footnote>
  <w:footnote w:id="146">
    <w:p w14:paraId="14FAE5BF" w14:textId="4C2EF6B4"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124</w:t>
      </w:r>
      <w:r w:rsidRPr="00953692">
        <w:rPr>
          <w:rFonts w:cs="Times New Roman"/>
          <w:lang w:val="fr-FR"/>
        </w:rPr>
        <w:t xml:space="preserve"> Idem, par. 38.</w:t>
      </w:r>
    </w:p>
  </w:footnote>
  <w:footnote w:id="147">
    <w:p w14:paraId="2C655362" w14:textId="511C5B0F" w:rsidR="009E5D3B" w:rsidRPr="00953692" w:rsidRDefault="009E5D3B" w:rsidP="00E009F4">
      <w:pPr>
        <w:pStyle w:val="Notedebasdepage"/>
        <w:spacing w:line="276" w:lineRule="auto"/>
        <w:jc w:val="both"/>
        <w:rPr>
          <w:rFonts w:cs="Times New Roman"/>
          <w:lang w:val="en-US"/>
        </w:rPr>
      </w:pPr>
      <w:r w:rsidRPr="00953692">
        <w:rPr>
          <w:rStyle w:val="Appelnotedebasdep"/>
          <w:rFonts w:cs="Times New Roman"/>
          <w:lang w:val="fr-FR"/>
        </w:rPr>
        <w:t>125</w:t>
      </w:r>
      <w:r w:rsidRPr="00953692">
        <w:rPr>
          <w:rFonts w:cs="Times New Roman"/>
          <w:lang w:val="fr-FR"/>
        </w:rPr>
        <w:t xml:space="preserve"> CPI, La Chambre préliminaire I, Le Procureur c. Laurent Gbagbo, Décision portant ajournement de l’audience de confirmation des charges, par. </w:t>
      </w:r>
      <w:r w:rsidRPr="00953692">
        <w:rPr>
          <w:rFonts w:cs="Times New Roman"/>
          <w:lang w:val="en-US"/>
        </w:rPr>
        <w:t>§. 40.</w:t>
      </w:r>
    </w:p>
  </w:footnote>
  <w:footnote w:id="148">
    <w:p w14:paraId="400D8C42" w14:textId="3207882B" w:rsidR="009E5D3B" w:rsidRPr="00953692" w:rsidRDefault="009E5D3B" w:rsidP="00E009F4">
      <w:pPr>
        <w:pStyle w:val="Notedebasdepage"/>
        <w:spacing w:line="276" w:lineRule="auto"/>
        <w:jc w:val="both"/>
        <w:rPr>
          <w:rFonts w:cs="Times New Roman"/>
          <w:lang w:val="en-US"/>
        </w:rPr>
      </w:pPr>
      <w:r w:rsidRPr="00953692">
        <w:rPr>
          <w:rStyle w:val="Appelnotedebasdep"/>
          <w:rFonts w:cs="Times New Roman"/>
          <w:lang w:val="en-US"/>
        </w:rPr>
        <w:t>126</w:t>
      </w:r>
      <w:r w:rsidRPr="00953692">
        <w:rPr>
          <w:rFonts w:cs="Times New Roman"/>
          <w:lang w:val="en-US"/>
        </w:rPr>
        <w:t xml:space="preserve"> Idem, par. 41.</w:t>
      </w:r>
    </w:p>
  </w:footnote>
  <w:footnote w:id="149">
    <w:p w14:paraId="11B4C5AE" w14:textId="691ADA54" w:rsidR="009E5D3B" w:rsidRPr="00953692" w:rsidRDefault="009E5D3B" w:rsidP="00E009F4">
      <w:pPr>
        <w:pStyle w:val="Notedebasdepage"/>
        <w:spacing w:line="276" w:lineRule="auto"/>
        <w:jc w:val="both"/>
        <w:rPr>
          <w:rFonts w:cs="Times New Roman"/>
          <w:lang w:val="en-US"/>
        </w:rPr>
      </w:pPr>
      <w:r w:rsidRPr="00953692">
        <w:rPr>
          <w:rStyle w:val="Appelnotedebasdep"/>
          <w:rFonts w:cs="Times New Roman"/>
          <w:lang w:val="en-US"/>
        </w:rPr>
        <w:t>127</w:t>
      </w:r>
      <w:r w:rsidRPr="00953692">
        <w:rPr>
          <w:rFonts w:cs="Times New Roman"/>
          <w:lang w:val="en-US"/>
        </w:rPr>
        <w:t xml:space="preserve"> Ibid. V. Chambre d’appel, Judgment on the appeal of the Prosecutor against the decision of Pre-Trial Chamber I of 16 December 2011 entitled “Decision on the confirmation of charges”, 30 mai 2012, ICC-01/04-01/10-514 (OA 4), par. 48.</w:t>
      </w:r>
    </w:p>
  </w:footnote>
  <w:footnote w:id="150">
    <w:p w14:paraId="32FBB721" w14:textId="7732E2F7"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128</w:t>
      </w:r>
      <w:r w:rsidRPr="00953692">
        <w:rPr>
          <w:rFonts w:cs="Times New Roman"/>
          <w:lang w:val="fr-FR"/>
        </w:rPr>
        <w:t xml:space="preserve"> Ibid. par. 42. </w:t>
      </w:r>
    </w:p>
  </w:footnote>
  <w:footnote w:id="151">
    <w:p w14:paraId="71555DC9" w14:textId="4420284F"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129</w:t>
      </w:r>
      <w:r w:rsidRPr="00953692">
        <w:rPr>
          <w:rFonts w:cs="Times New Roman"/>
          <w:lang w:val="fr-FR"/>
        </w:rPr>
        <w:t xml:space="preserve"> CPI, La Chambre préliminaire I, Le Procureur c. Thomas Lubanga Dyilo, Décision sur la demande de mise en liberté provisoire de Thomas Lubanga Dyilo, 18 octobre 2006, ICC-01/04-01/06. </w:t>
      </w:r>
    </w:p>
  </w:footnote>
  <w:footnote w:id="152">
    <w:p w14:paraId="79BD5A7F" w14:textId="3BD5A1E5" w:rsidR="009E5D3B" w:rsidRPr="00953692" w:rsidRDefault="009E5D3B" w:rsidP="00E43444">
      <w:pPr>
        <w:pStyle w:val="Commentaire"/>
        <w:spacing w:after="0"/>
        <w:rPr>
          <w:lang w:val="fr-FR"/>
        </w:rPr>
      </w:pPr>
      <w:r w:rsidRPr="00953692">
        <w:rPr>
          <w:rStyle w:val="Appelnotedebasdep"/>
          <w:lang w:val="fr-FR"/>
        </w:rPr>
        <w:t>130</w:t>
      </w:r>
      <w:r w:rsidRPr="00953692">
        <w:rPr>
          <w:lang w:val="fr-FR"/>
        </w:rPr>
        <w:t xml:space="preserve"> Devant le Tribunal spécial pour le Kosovo, lors de l'audience initiale, le Juge de la mise en état lit l'acte d'accusation, s'assure que les droits de l'accusé sont respectés, confirment que l'accusé comprend l'acte d'accusation, et demander à l'accusé d'inscrire un plaidoyer. V. Article 39 de la loi précitée.</w:t>
      </w:r>
    </w:p>
  </w:footnote>
  <w:footnote w:id="153">
    <w:p w14:paraId="57FE2255" w14:textId="5E258382" w:rsidR="00340136" w:rsidRPr="00953692" w:rsidRDefault="00340136" w:rsidP="00340136">
      <w:pPr>
        <w:pStyle w:val="Notedebasdepage"/>
        <w:spacing w:line="276" w:lineRule="auto"/>
        <w:jc w:val="both"/>
        <w:rPr>
          <w:rFonts w:cs="Times New Roman"/>
          <w:lang w:val="fr-FR"/>
        </w:rPr>
      </w:pPr>
      <w:r w:rsidRPr="00953692">
        <w:rPr>
          <w:rStyle w:val="Appelnotedebasdep"/>
          <w:lang w:val="fr-FR"/>
        </w:rPr>
        <w:t>131</w:t>
      </w:r>
      <w:r w:rsidRPr="00953692">
        <w:rPr>
          <w:rFonts w:cs="Times New Roman"/>
          <w:lang w:val="fr-FR"/>
        </w:rPr>
        <w:t xml:space="preserve"> Pradel, J. Le plaider coupable, confrontation des droits américain, italien et français. In : Revue internationale de droit comparé. Vol. 57 N°2,2005. P. 473.</w:t>
      </w:r>
    </w:p>
    <w:p w14:paraId="4B78040D" w14:textId="77777777" w:rsidR="00340136" w:rsidRPr="00953692" w:rsidRDefault="00340136" w:rsidP="00E009F4">
      <w:pPr>
        <w:pStyle w:val="Notedebasdepage"/>
        <w:spacing w:line="276" w:lineRule="auto"/>
        <w:jc w:val="both"/>
        <w:rPr>
          <w:rFonts w:cs="Times New Roman"/>
          <w:lang w:val="fr-FR"/>
        </w:rPr>
      </w:pPr>
    </w:p>
  </w:footnote>
  <w:footnote w:id="154">
    <w:p w14:paraId="044E50E4" w14:textId="61206E9F"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132</w:t>
      </w:r>
      <w:r w:rsidRPr="00953692">
        <w:rPr>
          <w:rFonts w:cs="Times New Roman"/>
          <w:lang w:val="fr-FR"/>
        </w:rPr>
        <w:t xml:space="preserve"> Ozan Mert I., Quand l'accusé devant la CPI plaide coupable : Le jugement portant condamnation d'Ahmad Al Mahdi du 27 septembre 2016 à l'aune de la Common law et du droit romano-germanique, Voir sur le cite : </w:t>
      </w:r>
      <w:hyperlink r:id="rId3" w:history="1">
        <w:r w:rsidRPr="00953692">
          <w:rPr>
            <w:rStyle w:val="Lienhypertexte"/>
            <w:rFonts w:cs="Times New Roman"/>
            <w:color w:val="auto"/>
            <w:u w:val="none"/>
            <w:lang w:val="fr-FR"/>
          </w:rPr>
          <w:t>https://blogs.parisnanterre.fr/article/quand-laccuse-devant-la-cpi-plaide-coupable-le-jugement-portant-condamnation-dahmad-al-mahdi</w:t>
        </w:r>
      </w:hyperlink>
      <w:r w:rsidRPr="00953692">
        <w:rPr>
          <w:rFonts w:cs="Times New Roman"/>
          <w:lang w:val="fr-FR"/>
        </w:rPr>
        <w:t xml:space="preserve"> (consulté, le 20/11/2022).</w:t>
      </w:r>
    </w:p>
  </w:footnote>
  <w:footnote w:id="155">
    <w:p w14:paraId="50B8A477" w14:textId="2889E663" w:rsidR="00340136" w:rsidRPr="00953692" w:rsidRDefault="00340136" w:rsidP="00E009F4">
      <w:pPr>
        <w:pStyle w:val="Notedebasdepage"/>
        <w:spacing w:line="276" w:lineRule="auto"/>
        <w:jc w:val="both"/>
        <w:rPr>
          <w:rFonts w:cs="Times New Roman"/>
          <w:lang w:val="fr-FR"/>
        </w:rPr>
      </w:pPr>
      <w:r w:rsidRPr="00953692">
        <w:rPr>
          <w:rStyle w:val="Appelnotedebasdep"/>
          <w:lang w:val="fr-FR"/>
        </w:rPr>
        <w:t>133</w:t>
      </w:r>
      <w:r w:rsidRPr="00953692">
        <w:rPr>
          <w:rFonts w:cs="Times New Roman"/>
          <w:lang w:val="fr-FR"/>
        </w:rPr>
        <w:t xml:space="preserve"> CPI, BdP, Principes directeurs de l’accord relatif à l’aveu de culpabilité, Octobre 2020, par. 3. </w:t>
      </w:r>
    </w:p>
  </w:footnote>
  <w:footnote w:id="156">
    <w:p w14:paraId="0B213921" w14:textId="1D0C90FE" w:rsidR="00340136" w:rsidRPr="00953692" w:rsidRDefault="00340136" w:rsidP="00E009F4">
      <w:pPr>
        <w:pStyle w:val="Notedebasdepage"/>
        <w:spacing w:line="276" w:lineRule="auto"/>
        <w:jc w:val="both"/>
        <w:rPr>
          <w:rFonts w:cs="Times New Roman"/>
          <w:lang w:val="fr-FR"/>
        </w:rPr>
      </w:pPr>
      <w:r w:rsidRPr="00953692">
        <w:rPr>
          <w:rStyle w:val="Appelnotedebasdep"/>
          <w:lang w:val="fr-FR"/>
        </w:rPr>
        <w:t>134</w:t>
      </w:r>
      <w:r w:rsidRPr="00953692">
        <w:rPr>
          <w:rFonts w:cs="Times New Roman"/>
          <w:lang w:val="fr-FR"/>
        </w:rPr>
        <w:t xml:space="preserve"> La Rosa, Anne-Marie. Chapitre III. Phase préalable au procès In : Juridictions pénales internationales : La procédure et la preuve [en ligne]. Genève : Graduate Institute Publications, 2003, §. 80. (généré le 02 octobre 2022). Disponible sur Internet : &lt;http://books.openedition.org/iheid/576&gt;. ISBN : 9782940503414. DOI : https://doi.org/10.4000/books.iheid.576. « L’auteure argue que, cette négociation peut s’expliquer dans le contexte d’un système de justice national, où il y a une diversité graduelle des infractions, allant de plus bégnines aux plus graves et permettant de ce fait, de marchander ou de transiger dans certains cas en vue notamment d’éviter un engorgement des tribunaux ».</w:t>
      </w:r>
    </w:p>
  </w:footnote>
  <w:footnote w:id="157">
    <w:p w14:paraId="31D4243E" w14:textId="09B0EA1A" w:rsidR="008D4A58" w:rsidRPr="00953692" w:rsidRDefault="008D4A58" w:rsidP="00E009F4">
      <w:pPr>
        <w:pStyle w:val="Notedebasdepage"/>
        <w:spacing w:line="276" w:lineRule="auto"/>
        <w:jc w:val="both"/>
        <w:rPr>
          <w:rFonts w:cs="Times New Roman"/>
          <w:shd w:val="clear" w:color="auto" w:fill="FFFFFF"/>
          <w:lang w:val="fr-FR"/>
        </w:rPr>
      </w:pPr>
      <w:r w:rsidRPr="00953692">
        <w:rPr>
          <w:rStyle w:val="Appelnotedebasdep"/>
          <w:lang w:val="fr-FR"/>
        </w:rPr>
        <w:t>135</w:t>
      </w:r>
      <w:r w:rsidRPr="00953692">
        <w:rPr>
          <w:rFonts w:cs="Times New Roman"/>
          <w:lang w:val="fr-FR"/>
        </w:rPr>
        <w:t xml:space="preserve"> </w:t>
      </w:r>
      <w:r w:rsidRPr="00953692">
        <w:rPr>
          <w:rStyle w:val="uppercase"/>
          <w:rFonts w:cs="Times New Roman"/>
          <w:shd w:val="clear" w:color="auto" w:fill="FFFFFF"/>
          <w:lang w:val="fr-FR"/>
        </w:rPr>
        <w:t>Viaut</w:t>
      </w:r>
      <w:r w:rsidRPr="00953692">
        <w:rPr>
          <w:rFonts w:cs="Times New Roman"/>
          <w:shd w:val="clear" w:color="auto" w:fill="FFFFFF"/>
          <w:lang w:val="fr-FR"/>
        </w:rPr>
        <w:t>, L. « L'aveu dans la procédure pénale », </w:t>
      </w:r>
      <w:r w:rsidRPr="00953692">
        <w:rPr>
          <w:rFonts w:cs="Times New Roman"/>
          <w:i/>
          <w:iCs/>
          <w:shd w:val="clear" w:color="auto" w:fill="FFFFFF"/>
          <w:lang w:val="fr-FR"/>
        </w:rPr>
        <w:t>Les Cahiers de la Justice</w:t>
      </w:r>
      <w:r w:rsidRPr="00953692">
        <w:rPr>
          <w:rFonts w:cs="Times New Roman"/>
          <w:shd w:val="clear" w:color="auto" w:fill="FFFFFF"/>
          <w:lang w:val="fr-FR"/>
        </w:rPr>
        <w:t xml:space="preserve">, vol. 1, no. 1, 2021, pp. 151-160. </w:t>
      </w:r>
      <w:r w:rsidRPr="00953692">
        <w:rPr>
          <w:rFonts w:eastAsia="Times New Roman" w:cs="Times New Roman"/>
          <w:kern w:val="36"/>
          <w:lang w:val="fr-FR" w:eastAsia="ru-RU"/>
        </w:rPr>
        <w:t xml:space="preserve">Barret, C. L’aveu, reine des preuves ? L’aveu dans la procédure pénale </w:t>
      </w:r>
      <w:r w:rsidRPr="00953692">
        <w:rPr>
          <w:rFonts w:eastAsia="Times New Roman" w:cs="Times New Roman"/>
          <w:i/>
          <w:iCs/>
          <w:kern w:val="36"/>
          <w:lang w:val="fr-FR" w:eastAsia="ru-RU"/>
        </w:rPr>
        <w:t>In</w:t>
      </w:r>
      <w:r w:rsidRPr="00953692">
        <w:rPr>
          <w:rFonts w:eastAsia="Times New Roman" w:cs="Times New Roman"/>
          <w:lang w:val="fr-FR" w:eastAsia="ru-RU"/>
        </w:rPr>
        <w:t xml:space="preserve"> </w:t>
      </w:r>
      <w:hyperlink r:id="rId4" w:tooltip="Go to Annales Médico-psychologiques, revue psychiatrique on ScienceDirect" w:history="1">
        <w:r w:rsidRPr="00953692">
          <w:rPr>
            <w:rFonts w:eastAsia="Times New Roman" w:cs="Times New Roman"/>
            <w:lang w:val="fr-FR" w:eastAsia="ru-RU"/>
          </w:rPr>
          <w:t>Annales Médico-psychologiques, revue psychiatrique</w:t>
        </w:r>
      </w:hyperlink>
      <w:r w:rsidRPr="00953692">
        <w:rPr>
          <w:rFonts w:eastAsia="Times New Roman" w:cs="Times New Roman"/>
          <w:lang w:val="fr-FR" w:eastAsia="ru-RU"/>
        </w:rPr>
        <w:t xml:space="preserve">, </w:t>
      </w:r>
      <w:hyperlink r:id="rId5" w:tooltip="Go to table of contents for this volume/issue" w:history="1">
        <w:r w:rsidRPr="00953692">
          <w:rPr>
            <w:rFonts w:eastAsia="Times New Roman" w:cs="Times New Roman"/>
            <w:lang w:val="fr-FR" w:eastAsia="ru-RU"/>
          </w:rPr>
          <w:t>Volume 171, Issue 7</w:t>
        </w:r>
      </w:hyperlink>
      <w:r w:rsidRPr="00953692">
        <w:rPr>
          <w:rFonts w:eastAsia="Times New Roman" w:cs="Times New Roman"/>
          <w:lang w:val="fr-FR" w:eastAsia="ru-RU"/>
        </w:rPr>
        <w:t>, August 2013, Pages 464-467</w:t>
      </w:r>
    </w:p>
  </w:footnote>
  <w:footnote w:id="158">
    <w:p w14:paraId="6FFD0AF1" w14:textId="6CA81381"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136</w:t>
      </w:r>
      <w:r w:rsidRPr="00953692">
        <w:rPr>
          <w:rFonts w:cs="Times New Roman"/>
          <w:lang w:val="fr-FR"/>
        </w:rPr>
        <w:t xml:space="preserve"> Voir par exemple l’article 62bis du RPP du TPIY.</w:t>
      </w:r>
    </w:p>
  </w:footnote>
  <w:footnote w:id="159">
    <w:p w14:paraId="713EB168" w14:textId="535A2329"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137</w:t>
      </w:r>
      <w:r w:rsidRPr="00953692">
        <w:rPr>
          <w:rFonts w:cs="Times New Roman"/>
          <w:lang w:val="fr-FR"/>
        </w:rPr>
        <w:t xml:space="preserve"> Devant le TPIR, </w:t>
      </w:r>
      <w:r w:rsidRPr="00953692">
        <w:rPr>
          <w:rFonts w:cs="Times New Roman"/>
          <w:i/>
          <w:iCs/>
          <w:lang w:val="fr-FR"/>
        </w:rPr>
        <w:t>Paul Bisengimana avait été arrêté au Mali le 4 décembre 2001. Transféré au siège du Tribunal le 11 mars 2002, il comparait et plaide non coupable le 18 mars 2002. Le 19 octobre 2005, les parties ont déposé une requête conjointe visant à l'examen d'un accord aux fins d'un plaidoyer de culpabilité. Le 17 novembre 2005, lors d'une autre comparution, l’accusé a plaidé coupable de meurtre et extermination constitutifs de crimes contre l'humanité en vertu de l'article 6.1 du Statut. La Chambre a rejeté la requête conjointe au motif que la reconnaissance de culpabilité n'était pas sans équivoque. Le 7 décembre 2005, lors de sa deuxième comparution, il a plaidé coupable. La Chambre l'a déclaré coupable d'avoir aidé et encouragé la commission de meurtre et d'extermination constitutifs de crimes contre l’humanité en vertu de l'article 6.1 du Statut. Elle a fait droit à la requête du Procureur aux fins du retrait des autres chefs d'accusation restants mais a rejeté la demande d'acquittement de ces chefs, faite par le Procureur parce que sa requête sur ce point n’était pas dûment motivée</w:t>
      </w:r>
      <w:r w:rsidRPr="00953692">
        <w:rPr>
          <w:rFonts w:cs="Times New Roman"/>
          <w:lang w:val="fr-FR"/>
        </w:rPr>
        <w:t>. V. Chambre de première instance II, Le Procureur c. Paul Bisengimana, affaire n° ICTR-00-60-T, jugement portant condamnation, 13 avril 2006, par. 8-12.</w:t>
      </w:r>
    </w:p>
  </w:footnote>
  <w:footnote w:id="160">
    <w:p w14:paraId="37DF83ED" w14:textId="5B7082E9"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138</w:t>
      </w:r>
      <w:r w:rsidRPr="00953692">
        <w:rPr>
          <w:rFonts w:cs="Times New Roman"/>
          <w:lang w:val="fr-FR"/>
        </w:rPr>
        <w:t xml:space="preserve"> Article 65-4 du statut de Rome précité. </w:t>
      </w:r>
    </w:p>
  </w:footnote>
  <w:footnote w:id="161">
    <w:p w14:paraId="6FCC9925" w14:textId="1AA6A924"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139</w:t>
      </w:r>
      <w:r w:rsidRPr="00953692">
        <w:rPr>
          <w:rFonts w:cs="Times New Roman"/>
          <w:lang w:val="fr-FR"/>
        </w:rPr>
        <w:t xml:space="preserve"> Résolution 1503 (2003) adoptée par le Conseil de sécurité à sa 4817e séance, le 28 août 2003, S/RES/1503 (2003).</w:t>
      </w:r>
    </w:p>
  </w:footnote>
  <w:footnote w:id="162">
    <w:p w14:paraId="09E8B4FA" w14:textId="4C01B1BA"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140</w:t>
      </w:r>
      <w:r w:rsidRPr="00953692">
        <w:rPr>
          <w:rFonts w:cs="Times New Roman"/>
          <w:lang w:val="fr-FR"/>
        </w:rPr>
        <w:t xml:space="preserve"> Dans une étude sur institution juridique de la reconnaissance de culpabilité en procédure pénale aux États-Unis publiée en 2018, Alizade Vera Alexandrovna, Volevodz Alexandre Grigorievich montrent que, « </w:t>
      </w:r>
      <w:r w:rsidRPr="00953692">
        <w:rPr>
          <w:rFonts w:cs="Times New Roman"/>
          <w:i/>
          <w:iCs/>
          <w:lang w:val="fr-FR"/>
        </w:rPr>
        <w:t>dans le cadre de la recherche de moyens supplémentaires d'économies d’une procédure pénale aux États-Unis, la reconnaissance de la culpabilité en est désormais devenue le principal moyen : chaque année, plus de 90 à 95 % des affaires pénales se terminent par un accord de plaidoyer de culpabilité</w:t>
      </w:r>
      <w:r w:rsidRPr="00953692">
        <w:rPr>
          <w:rFonts w:cs="Times New Roman"/>
          <w:lang w:val="fr-FR"/>
        </w:rPr>
        <w:t> ». Voir Alizade V.A. et Volevodz A.G. Institution juridique d'une négociation de plaidoyer de culpabilité dans les procédures pénales américaines // Droit pénal international et justice internationale. 2018. N°2. — P. 21.</w:t>
      </w:r>
    </w:p>
  </w:footnote>
  <w:footnote w:id="163">
    <w:p w14:paraId="21582173" w14:textId="25518C4A"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141</w:t>
      </w:r>
      <w:r w:rsidRPr="00953692">
        <w:rPr>
          <w:rFonts w:cs="Times New Roman"/>
          <w:lang w:val="fr-FR"/>
        </w:rPr>
        <w:t xml:space="preserve"> La Rosa, Anne-Marie. Op.cit., note 133. Dans la même étude menée par Alizade V.A. et Volevodz A.G, il est souligné que, </w:t>
      </w:r>
      <w:r w:rsidRPr="00953692">
        <w:rPr>
          <w:rFonts w:cs="Times New Roman"/>
          <w:i/>
          <w:iCs/>
          <w:lang w:val="fr-FR"/>
        </w:rPr>
        <w:t>l’un des avantages de cette procédure est d’éviter tout contact entre les victimes et les accusés lors de l’examen au fond de l’affaire ; celles-là n’auraient pas besoin d’interroger ou de confronter ceux-ci, moment qui risquerait d’être émotionnellement insupportable</w:t>
      </w:r>
      <w:r w:rsidRPr="00953692">
        <w:rPr>
          <w:rFonts w:cs="Times New Roman"/>
          <w:lang w:val="fr-FR"/>
        </w:rPr>
        <w:t>. Alizade V.A. et Volevodz A.G. Op.cit., P. 24.</w:t>
      </w:r>
    </w:p>
  </w:footnote>
  <w:footnote w:id="164">
    <w:p w14:paraId="16A6E5C0" w14:textId="300A3E3B"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142</w:t>
      </w:r>
      <w:r w:rsidRPr="00953692">
        <w:rPr>
          <w:rFonts w:cs="Times New Roman"/>
          <w:lang w:val="fr-FR"/>
        </w:rPr>
        <w:t xml:space="preserve"> TPIY, Chambre d’Appel, Le Procureur c. Drazen Erdemovic, Arrêt, 7 octobre 1997, Opinion individuelle et dissidente de M. le Juge Cassese, §. 8.</w:t>
      </w:r>
    </w:p>
  </w:footnote>
  <w:footnote w:id="165">
    <w:p w14:paraId="60158BE4" w14:textId="17C7FD5A"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143</w:t>
      </w:r>
      <w:r w:rsidRPr="00953692">
        <w:rPr>
          <w:rFonts w:cs="Times New Roman"/>
          <w:lang w:val="fr-FR"/>
        </w:rPr>
        <w:t xml:space="preserve"> Nations unies, Rapport du Comité préparatoire pour la création d'une cour criminelle internationale, Volume I, Travaux du Comité préparatoire en mars-avril et août 1996, 13 septembre 1996, Assemblée générale, Documents officiels, Cinquante et unième session, Supplément No 22, A/51/22.</w:t>
      </w:r>
    </w:p>
  </w:footnote>
  <w:footnote w:id="166">
    <w:p w14:paraId="7378CE42" w14:textId="4EEDFD9B"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144</w:t>
      </w:r>
      <w:r w:rsidRPr="00953692">
        <w:rPr>
          <w:rFonts w:cs="Times New Roman"/>
          <w:lang w:val="fr-FR"/>
        </w:rPr>
        <w:t xml:space="preserve"> CPI, BdP, Principes directeurs de l’accord relatif à l’aveu de culpabilité, Octobre 2020, §.1. </w:t>
      </w:r>
    </w:p>
  </w:footnote>
  <w:footnote w:id="167">
    <w:p w14:paraId="57C22C4D" w14:textId="4F097735"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145</w:t>
      </w:r>
      <w:r w:rsidRPr="00953692">
        <w:rPr>
          <w:rFonts w:cs="Times New Roman"/>
          <w:lang w:val="fr-FR"/>
        </w:rPr>
        <w:t xml:space="preserve"> Marie Nicolas, Op.cit</w:t>
      </w:r>
      <w:r w:rsidRPr="00953692">
        <w:rPr>
          <w:rFonts w:cs="Times New Roman"/>
          <w:i/>
          <w:iCs/>
          <w:lang w:val="fr-FR"/>
        </w:rPr>
        <w:t>.</w:t>
      </w:r>
      <w:r w:rsidRPr="00953692">
        <w:rPr>
          <w:rFonts w:cs="Times New Roman"/>
          <w:lang w:val="fr-FR"/>
        </w:rPr>
        <w:t>, P. 81.</w:t>
      </w:r>
    </w:p>
  </w:footnote>
  <w:footnote w:id="168">
    <w:p w14:paraId="49023275" w14:textId="71985B3D"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146</w:t>
      </w:r>
      <w:r w:rsidRPr="00953692">
        <w:rPr>
          <w:rFonts w:cs="Times New Roman"/>
          <w:lang w:val="fr-FR"/>
        </w:rPr>
        <w:t xml:space="preserve"> Une disposition identique est également prévue par l’article 61-iii du RPP du TSSL.</w:t>
      </w:r>
    </w:p>
  </w:footnote>
  <w:footnote w:id="169">
    <w:p w14:paraId="2786F023" w14:textId="45590214"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147</w:t>
      </w:r>
      <w:r w:rsidRPr="00953692">
        <w:rPr>
          <w:rFonts w:cs="Times New Roman"/>
          <w:lang w:val="fr-FR"/>
        </w:rPr>
        <w:t xml:space="preserve"> Article 64-8-a du statut de Rome. « À l'ouverture du procès, la Chambre de première instance fait donner lecture à l'accusé des charges préalablement confirmées par la Chambre préliminaire. La Chambre de première instance s'assure que l'accusé comprend la nature des charges. Elle donne à l'accusé la possibilité de plaider coupable selon ce qui est prévu à l'article 65, ou de plaider non coupable ». </w:t>
      </w:r>
    </w:p>
  </w:footnote>
  <w:footnote w:id="170">
    <w:p w14:paraId="71FC8808" w14:textId="34B00BBC"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148</w:t>
      </w:r>
      <w:r w:rsidRPr="00953692">
        <w:rPr>
          <w:rFonts w:cs="Times New Roman"/>
          <w:lang w:val="fr-FR"/>
        </w:rPr>
        <w:t xml:space="preserve"> C.P.I., Situation en République Démocratique du Congo, Le Procureur c. Germain Katanga et al, Affaire n°CPI-01/04-01/07, Chambre préliminaire I, Décision relatives à la confirmation des charges, 30 septembre 2008, par.64 ; Rectificatif à la Décision relative à la portée des éléments de preuve qui seront présentés à l'audience de confirmation des charges, à la réinstallation préventive et à la communication en application de l'article 67-2 du Statut et de la règle 77 du Règlement, 21 avril 2008, par. 5 et 6.  Décision sur les documents visés à l'article 54(3)(e) identifiés comme potentiellement disculpatoires ou autrement importants pour la préparation de la Défense à l'audience de confirmation des charges, 20 juin 2008, par.66. Voir Julian Fernandez J. et Pacreau X. (dir.), Statut de Rome de la Cour pénale internationale. Commentaire article par article, Paris, Pedone, 2012, P. 1675.</w:t>
      </w:r>
    </w:p>
  </w:footnote>
  <w:footnote w:id="171">
    <w:p w14:paraId="07338C6A" w14:textId="7FA20AE8"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149</w:t>
      </w:r>
      <w:r w:rsidRPr="00953692">
        <w:rPr>
          <w:rFonts w:cs="Times New Roman"/>
          <w:lang w:val="fr-FR"/>
        </w:rPr>
        <w:t xml:space="preserve"> Article 44 de la loi précitée portant création et fonctionnement de la Cour pénale spéciale centrafricaine ; Règle 69 du RPP des CETC.</w:t>
      </w:r>
    </w:p>
  </w:footnote>
  <w:footnote w:id="172">
    <w:p w14:paraId="1BE27AC1" w14:textId="04DEBD2F"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150</w:t>
      </w:r>
      <w:r w:rsidRPr="00953692">
        <w:rPr>
          <w:rFonts w:cs="Times New Roman"/>
          <w:lang w:val="fr-FR"/>
        </w:rPr>
        <w:t xml:space="preserve"> </w:t>
      </w:r>
      <w:r w:rsidRPr="00953692">
        <w:rPr>
          <w:rFonts w:cs="Times New Roman"/>
          <w:b/>
          <w:bCs/>
          <w:lang w:val="fr-FR"/>
        </w:rPr>
        <w:t>Petit récapitulatif de la répartition des fonctions de la CPS</w:t>
      </w:r>
      <w:r w:rsidRPr="00953692">
        <w:rPr>
          <w:rFonts w:cs="Times New Roman"/>
          <w:lang w:val="fr-FR"/>
        </w:rPr>
        <w:t> : Le système mis en place par les actes constitutifs de cette Cour est intéressant, plus particulièrement en ce qui concerne la durée de la procédure. Il existe premièrement deux formations chargées des enquêtes à savoir l’Unité spéciale de police judiciaire et le procureur spécial. Ce dernier est seul, habilité à déclencher l’action publique à travers un réquisitoire introductif (art. 34-38 de la loi précitée). Deuxièmement, il y a des formations d’instruction dont la Chambre d’instruction composée des cabinets d’instruction saisie directement par le réquisitoire introductif du procureur spécial. La Chambre d’instruction instruit donc au premier degré (art. 39 de la loi précitée), car ses ordonnances sont susceptibles d’appel devant la Chambre d’accusation spéciale (art. 44 de la loi précitée). Il y a enfin troisièmement les formations de jugement, composées d’une part de la Chambre d’Assises, chargée de trancher au fond les affaires qui lui sont renvoyées par la Chambre d’Instruction et, en cas de recours, contre les ordonnances de cette dernière, par la Chambre d’Accusation Spéciale ; et d’autre part, la Chambre d’appel de la CPS compétente pour connaitre le jugement rendu par la Chambre d’assises.</w:t>
      </w:r>
    </w:p>
  </w:footnote>
  <w:footnote w:id="173">
    <w:p w14:paraId="7DA3D235" w14:textId="2AD4C415"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151</w:t>
      </w:r>
      <w:r w:rsidRPr="00953692">
        <w:rPr>
          <w:rFonts w:cs="Times New Roman"/>
          <w:lang w:val="fr-FR"/>
        </w:rPr>
        <w:t xml:space="preserve"> CETC, Chambre de première instance, Co-procureurs c. </w:t>
      </w:r>
      <w:r w:rsidRPr="00953692">
        <w:rPr>
          <w:rFonts w:eastAsia="Times New Roman" w:cs="Times New Roman"/>
          <w:shd w:val="clear" w:color="auto" w:fill="FFFFFF"/>
          <w:lang w:val="fr-FR"/>
        </w:rPr>
        <w:t>Kaing Guek Eav alias Duch, Jugement, 26 juillet 2010, Dossier n°001/18-07-2007/ECCC/TC, par. 46-49.</w:t>
      </w:r>
    </w:p>
  </w:footnote>
  <w:footnote w:id="174">
    <w:p w14:paraId="48576F14" w14:textId="664F8247" w:rsidR="008D4A58" w:rsidRPr="00953692" w:rsidRDefault="008D4A58" w:rsidP="00E009F4">
      <w:pPr>
        <w:pStyle w:val="Notedebasdepage"/>
        <w:spacing w:line="276" w:lineRule="auto"/>
        <w:jc w:val="both"/>
        <w:rPr>
          <w:rFonts w:eastAsia="Times New Roman" w:cs="Times New Roman"/>
          <w:lang w:val="fr-FR"/>
        </w:rPr>
      </w:pPr>
      <w:r w:rsidRPr="00953692">
        <w:rPr>
          <w:rStyle w:val="Appelnotedebasdep"/>
          <w:lang w:val="fr-FR"/>
        </w:rPr>
        <w:t>152</w:t>
      </w:r>
      <w:r w:rsidRPr="00953692">
        <w:rPr>
          <w:rFonts w:cs="Times New Roman"/>
          <w:lang w:val="fr-FR"/>
        </w:rPr>
        <w:t xml:space="preserve"> </w:t>
      </w:r>
      <w:r w:rsidRPr="00953692">
        <w:rPr>
          <w:rFonts w:eastAsia="Times New Roman" w:cs="Times New Roman"/>
          <w:shd w:val="clear" w:color="auto" w:fill="FFFFFF"/>
          <w:lang w:val="fr-FR"/>
        </w:rPr>
        <w:t>Dupont, S. « Le plaider coupable dans les systèmes anglo-saxon et romano-germanique », </w:t>
      </w:r>
      <w:r w:rsidRPr="00953692">
        <w:rPr>
          <w:rFonts w:eastAsia="Times New Roman" w:cs="Times New Roman"/>
          <w:i/>
          <w:iCs/>
          <w:shd w:val="clear" w:color="auto" w:fill="FFFFFF"/>
          <w:lang w:val="fr-FR"/>
        </w:rPr>
        <w:t>Les Cahiers de la Justice</w:t>
      </w:r>
      <w:r w:rsidRPr="00953692">
        <w:rPr>
          <w:rFonts w:eastAsia="Times New Roman" w:cs="Times New Roman"/>
          <w:shd w:val="clear" w:color="auto" w:fill="FFFFFF"/>
          <w:lang w:val="fr-FR"/>
        </w:rPr>
        <w:t>, 2015/1 (N° 1), p. 75-85.</w:t>
      </w:r>
    </w:p>
  </w:footnote>
  <w:footnote w:id="175">
    <w:p w14:paraId="438083D0" w14:textId="6D084B26" w:rsidR="008D4A58" w:rsidRPr="00953692" w:rsidRDefault="008D4A58" w:rsidP="00E009F4">
      <w:pPr>
        <w:spacing w:after="0" w:line="276" w:lineRule="auto"/>
        <w:jc w:val="both"/>
        <w:rPr>
          <w:rFonts w:cs="Times New Roman"/>
          <w:sz w:val="20"/>
          <w:szCs w:val="20"/>
          <w:lang w:val="fr-FR"/>
        </w:rPr>
      </w:pPr>
      <w:r w:rsidRPr="00953692">
        <w:rPr>
          <w:rStyle w:val="Appelnotedebasdep"/>
          <w:sz w:val="20"/>
          <w:szCs w:val="20"/>
          <w:lang w:val="fr-FR"/>
        </w:rPr>
        <w:t>153</w:t>
      </w:r>
      <w:r w:rsidRPr="00953692">
        <w:rPr>
          <w:rFonts w:cs="Times New Roman"/>
          <w:sz w:val="20"/>
          <w:szCs w:val="20"/>
          <w:lang w:val="fr-FR"/>
        </w:rPr>
        <w:t xml:space="preserve"> Article 67-1-e du statut de Rome dispose que : lors de l'examen des charges portées contre lui, l'accusé a droit à ce que sa cause soit entendue publiquement, compte tenu des dispositions du présent Statut, équitablement et de façon impartiale. Il a droit, en pleine égalité, au moins aux garanties telles que, interroger ou faire interroger les témoins à charge et obtenir la comparution et l'interrogatoire des témoins à décharge dans les mêmes conditions que les témoins à charge. Cette disposition est à retrouver également dans d’autres actes constitutifs des juridictions pénales internationales tels que, le RPP de la CPS en son article 5-e ; le statut du TSSL en son article 17-4-e ; le Règlement de procédure de l’administration transitoire du Timor Oriental en son article 6-6.3-g ; le statut des Chambres extraordinaires au sein des tribunaux sénégalais article 21-4-e, ou encore le statut du TSL en son article 16-4-e, etc.</w:t>
      </w:r>
    </w:p>
  </w:footnote>
  <w:footnote w:id="176">
    <w:p w14:paraId="4B128B77" w14:textId="6B083065"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154</w:t>
      </w:r>
      <w:r w:rsidRPr="00953692">
        <w:rPr>
          <w:rFonts w:cs="Times New Roman"/>
          <w:lang w:val="fr-FR"/>
        </w:rPr>
        <w:t xml:space="preserve"> TPIY, Chambre de première instance, le Procureur c. Darko Mrda, Jugement portant condamnation, 31 mars 2004, IT-02-59-S, par. 4.</w:t>
      </w:r>
    </w:p>
  </w:footnote>
  <w:footnote w:id="177">
    <w:p w14:paraId="2A95C35E" w14:textId="1C1C6081"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155</w:t>
      </w:r>
      <w:r w:rsidRPr="00953692">
        <w:rPr>
          <w:rFonts w:cs="Times New Roman"/>
          <w:lang w:val="fr-FR"/>
        </w:rPr>
        <w:t xml:space="preserve"> TPIY, Chambre de première instance, Le Procureur c. Stevan Todorović, Jugement portant condamnation, 31 juillet 2001, n° IT-95-911-S, §.81.</w:t>
      </w:r>
    </w:p>
  </w:footnote>
  <w:footnote w:id="178">
    <w:p w14:paraId="78020A88" w14:textId="634A1C15"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157</w:t>
      </w:r>
      <w:r w:rsidRPr="00953692">
        <w:rPr>
          <w:rFonts w:cs="Times New Roman"/>
          <w:lang w:val="fr-FR"/>
        </w:rPr>
        <w:t xml:space="preserve"> TPIY, Chambre de première instance I, Le Procureur c. Dražen Erdemović, 29 novembre 1996, IT-96-22-T. </w:t>
      </w:r>
    </w:p>
  </w:footnote>
  <w:footnote w:id="179">
    <w:p w14:paraId="461C934E" w14:textId="35FFC067"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158</w:t>
      </w:r>
      <w:r w:rsidRPr="00953692">
        <w:rPr>
          <w:rFonts w:cs="Times New Roman"/>
          <w:lang w:val="fr-FR"/>
        </w:rPr>
        <w:t xml:space="preserve"> TPIY, Chambre d’Appel, Le Procureur c. Dražen Erdemović, 7 octobre 1997, IT-96-22-A.</w:t>
      </w:r>
    </w:p>
  </w:footnote>
  <w:footnote w:id="180">
    <w:p w14:paraId="651CBF58" w14:textId="0EBCCE68" w:rsidR="008D4A58" w:rsidRPr="00953692" w:rsidRDefault="008D4A58" w:rsidP="00E009F4">
      <w:pPr>
        <w:pStyle w:val="Notedebasdepage"/>
        <w:spacing w:line="276" w:lineRule="auto"/>
        <w:jc w:val="both"/>
        <w:rPr>
          <w:rFonts w:cs="Times New Roman"/>
          <w:lang w:val="fr-FR"/>
        </w:rPr>
      </w:pPr>
      <w:r w:rsidRPr="00953692">
        <w:rPr>
          <w:rStyle w:val="Appelnotedebasdep"/>
          <w:lang w:val="fr-FR"/>
        </w:rPr>
        <w:t>159</w:t>
      </w:r>
      <w:r w:rsidRPr="00953692">
        <w:rPr>
          <w:rFonts w:cs="Times New Roman"/>
          <w:lang w:val="fr-FR"/>
        </w:rPr>
        <w:t xml:space="preserve"> TPIY, Chambre de première instance I, Le Procureur c. Dražen Erdemović, 5 mars 1998, IT-96-22-Tbis.</w:t>
      </w:r>
    </w:p>
  </w:footnote>
  <w:footnote w:id="181">
    <w:p w14:paraId="7178A7EA" w14:textId="4732AAC4" w:rsidR="00B91672" w:rsidRPr="00953692" w:rsidRDefault="00B91672" w:rsidP="00E009F4">
      <w:pPr>
        <w:spacing w:after="0" w:line="276" w:lineRule="auto"/>
        <w:jc w:val="both"/>
        <w:rPr>
          <w:rFonts w:cs="Times New Roman"/>
          <w:sz w:val="20"/>
          <w:szCs w:val="20"/>
          <w:lang w:val="fr-FR"/>
        </w:rPr>
      </w:pPr>
      <w:r w:rsidRPr="00953692">
        <w:rPr>
          <w:rStyle w:val="Appelnotedebasdep"/>
          <w:sz w:val="20"/>
          <w:szCs w:val="20"/>
          <w:lang w:val="fr-FR"/>
        </w:rPr>
        <w:t>160</w:t>
      </w:r>
      <w:r w:rsidRPr="00953692">
        <w:rPr>
          <w:rFonts w:cs="Times New Roman"/>
          <w:sz w:val="20"/>
          <w:szCs w:val="20"/>
          <w:lang w:val="fr-FR"/>
        </w:rPr>
        <w:t xml:space="preserve"> TPIR, Chambre de première instance, Le Procureur c. Jean Kambanda, Jugement portant condamnation, 4 septembre 1998, : ICTR 97-23-S, par. 3 à 7. </w:t>
      </w:r>
    </w:p>
  </w:footnote>
  <w:footnote w:id="182">
    <w:p w14:paraId="158C8721" w14:textId="6E2E32EC"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161</w:t>
      </w:r>
      <w:r w:rsidRPr="00953692">
        <w:rPr>
          <w:rFonts w:cs="Times New Roman"/>
          <w:lang w:val="fr-FR"/>
        </w:rPr>
        <w:t xml:space="preserve"> TPIR, Chambre de première instance III, Le Procureur c. GAA, 4 décembre 2007, ICTR-07-90-R77-I, par. 3.</w:t>
      </w:r>
    </w:p>
  </w:footnote>
  <w:footnote w:id="183">
    <w:p w14:paraId="7FA47C76" w14:textId="0125D14E" w:rsidR="00B91672" w:rsidRPr="00953692" w:rsidRDefault="00B91672" w:rsidP="00E009F4">
      <w:pPr>
        <w:spacing w:after="0" w:line="276" w:lineRule="auto"/>
        <w:jc w:val="both"/>
        <w:rPr>
          <w:rFonts w:cs="Times New Roman"/>
          <w:sz w:val="20"/>
          <w:szCs w:val="20"/>
          <w:lang w:val="fr-FR"/>
        </w:rPr>
      </w:pPr>
      <w:r w:rsidRPr="00953692">
        <w:rPr>
          <w:rStyle w:val="Appelnotedebasdep"/>
          <w:sz w:val="20"/>
          <w:szCs w:val="20"/>
          <w:lang w:val="fr-FR"/>
        </w:rPr>
        <w:t>162</w:t>
      </w:r>
      <w:r w:rsidRPr="00953692">
        <w:rPr>
          <w:rFonts w:cs="Times New Roman"/>
          <w:sz w:val="20"/>
          <w:szCs w:val="20"/>
          <w:lang w:val="fr-FR"/>
        </w:rPr>
        <w:t xml:space="preserve"> TPIR, Chambre de première instance, Le Procureur c. Omar Serushago, Jugement portant condamnation, 5 février 1999, : ICTR-98-39-S, par. 4 à 9. </w:t>
      </w:r>
    </w:p>
  </w:footnote>
  <w:footnote w:id="184">
    <w:p w14:paraId="2EC5155C" w14:textId="161B2CD9"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163</w:t>
      </w:r>
      <w:r w:rsidRPr="00953692">
        <w:rPr>
          <w:rFonts w:cs="Times New Roman"/>
          <w:lang w:val="fr-FR"/>
        </w:rPr>
        <w:t xml:space="preserve"> CPI, Ch. Pr. VIII, Le Procureur c. Ahmad Al Faqi Al Mahdi, Jugement portant condamnation, 27 septembre 2016, (ICC-01/12-01/15), § 1.</w:t>
      </w:r>
    </w:p>
  </w:footnote>
  <w:footnote w:id="185">
    <w:p w14:paraId="2EA9203F" w14:textId="235B663F"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164</w:t>
      </w:r>
      <w:r w:rsidRPr="00953692">
        <w:rPr>
          <w:rFonts w:cs="Times New Roman"/>
          <w:lang w:val="fr-FR"/>
        </w:rPr>
        <w:t xml:space="preserve"> CPI, Chambre de première instance VIII Procureur c. Ahmad Al Faqi Al Mahdi, Jugement portant condamnation, 27 septembre 2016, ICC-01/12-01/15-171-Tfra, §. 98.</w:t>
      </w:r>
    </w:p>
  </w:footnote>
  <w:footnote w:id="186">
    <w:p w14:paraId="72F12121" w14:textId="26BAAABF"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165</w:t>
      </w:r>
      <w:r w:rsidRPr="00953692">
        <w:rPr>
          <w:rFonts w:cs="Times New Roman"/>
          <w:lang w:val="fr-FR"/>
        </w:rPr>
        <w:t xml:space="preserve"> L'accusé a été transféré à La Haye le 26 septembre 2015 et a comparu pour la première fois devant le tribunal le 30 septembre 2015, procès-verbal d'audience, ICC-01/12-01/15-T-1-ENG.</w:t>
      </w:r>
    </w:p>
  </w:footnote>
  <w:footnote w:id="187">
    <w:p w14:paraId="75CC561E" w14:textId="7AE35957"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166</w:t>
      </w:r>
      <w:r w:rsidRPr="00953692">
        <w:rPr>
          <w:rFonts w:cs="Times New Roman"/>
          <w:lang w:val="fr-FR"/>
        </w:rPr>
        <w:t xml:space="preserve"> Jugement portant condamnation, 27 septembre 2016, ICC-01/12-01/15-171-Tfra, §. 98.</w:t>
      </w:r>
    </w:p>
  </w:footnote>
  <w:footnote w:id="188">
    <w:p w14:paraId="7195F864" w14:textId="7DCEA907"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167</w:t>
      </w:r>
      <w:r w:rsidRPr="00953692">
        <w:rPr>
          <w:rFonts w:cs="Times New Roman"/>
          <w:lang w:val="fr-FR"/>
        </w:rPr>
        <w:t xml:space="preserve"> Marie Nicolas, « Le verdict de Tombouctou : Le prix des remords », La Revue des droits de l’homme [En ligne], Actualités Droits-Libertés, mis en ligne le 21 novembre 2016, consulté le 01 mai 2019. URL : http://journals.openedition.org/revdh/2661 ; DOI : 10.4000/revdh.2661</w:t>
      </w:r>
    </w:p>
  </w:footnote>
  <w:footnote w:id="189">
    <w:p w14:paraId="6A7D9B93" w14:textId="7286C896"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168</w:t>
      </w:r>
      <w:r w:rsidRPr="00953692">
        <w:rPr>
          <w:rFonts w:cs="Times New Roman"/>
          <w:lang w:val="fr-FR"/>
        </w:rPr>
        <w:t xml:space="preserve"> Georges Ruggiu a été arrêté le 23 juillet 1997 à Mombasa. L'acte d'accusation contre l'accusé du 30 septembre 1997 a été confirmé par le juge Leunart Aspegren le 90 octobre 1997. Le 24 octobre 1997, lors de sa première comparution, devant la Chambre de première instance I, l'accusé a plaidé non coupable des deux chefs retenus contre lui, à savoir l'incitation directe et publique à commettre le génocide et les crimes contre l'humanité (persécution). Le 11 avril 2000, la Défense a demandé l'autorisation de changer le plaidoyer de culpabilité et a déposé un accord sur le Plaidoyer, avec le Procureur, à l'appui de la Requête. Le 15 mai 2000, après avoir été autorisé à modifier son plaidoyer, l'accusé plaida coupable… </w:t>
      </w:r>
      <w:r w:rsidRPr="00953692">
        <w:rPr>
          <w:rFonts w:cs="Times New Roman"/>
          <w:lang w:val="en-US"/>
        </w:rPr>
        <w:t>(</w:t>
      </w:r>
      <w:r w:rsidRPr="00953692">
        <w:rPr>
          <w:rFonts w:cs="Times New Roman"/>
          <w:b/>
          <w:bCs/>
          <w:lang w:val="en-US"/>
        </w:rPr>
        <w:t xml:space="preserve">Trial Chamber I, The Prosecutor v. Georges Ruggiu, Case No. </w:t>
      </w:r>
      <w:r w:rsidRPr="00953692">
        <w:rPr>
          <w:rFonts w:cs="Times New Roman"/>
          <w:b/>
          <w:bCs/>
          <w:lang w:val="fr-FR"/>
        </w:rPr>
        <w:t>ICTR-97-32-I, Judgement and sentence, 1 June 2000.</w:t>
      </w:r>
      <w:r w:rsidRPr="00953692">
        <w:rPr>
          <w:rFonts w:cs="Times New Roman"/>
          <w:lang w:val="fr-FR"/>
        </w:rPr>
        <w:t>) ; Vincent Rutaganira s’est rendu volontairement au Tribunal le 4 mars 2002 et a été transféré le même jour au Centre de détention du Tribunal. L’audience de comparution initiale du 7 mars 2002 a été ajournée sur demande du Procureur et de la Défense. Au cours de sa comparution initiale en date du 26 mars 2002, l’Accusé a plaidé non coupable de tous les chefs d’accusation. Lors de la Conférence de mise en état du 17 septembre 2004, le Procureur a affirmé avoir envoyé à la Défense une lettre dans le cadre des négociations sur le déroulement du procès de Vincent Rutaganira. L’Accusation affirmait que « le résultat de ces négociations pourrait permettre à cette Chambre de gagner beaucoup de temps ». Au cours de la conférence de mise en état tenue le 8 décembre 2004, le Bureau du Procureur et Rutaganira ont informé la Chambre qu’ils ont conclu un Accord de reconnaissance de culpabilité en date du 7 décembre 2004. A l’audience de nouvelle comparution du 8 décembre 2004, l’accusé a effectivement plaidé coupable de complicité par omission du crime d’extermination (crime contre l’humanité). Il a également plaidé non coupable pour les autres chefs d’accusation. Et il a été déclaré coupable le 14 mars 2005… </w:t>
      </w:r>
      <w:r w:rsidRPr="00953692">
        <w:rPr>
          <w:rFonts w:cs="Times New Roman"/>
          <w:b/>
          <w:bCs/>
          <w:lang w:val="fr-FR"/>
        </w:rPr>
        <w:t>(Chambre de première instance III, Le Procureur c.Vincent Rutaganira, Affaire No. TPIR-95-IC-T, jugement portant condamnation,14 mars 2005</w:t>
      </w:r>
      <w:r w:rsidRPr="00953692">
        <w:rPr>
          <w:rFonts w:cs="Times New Roman"/>
          <w:lang w:val="fr-FR"/>
        </w:rPr>
        <w:t>) ; Le 21 décembre 2001, Joseph Nzabirinda a été arrêté par les autorités belges à Bruxelles, Le 20 mars 2002, l'accuse a été transférée à Arusha. Le 27 mars 2002, l'accuse a fait sa comparution initiale et a plaidé non coupable de tous les quatre chefs. Le 20 novembre 2006, le Procureur a déposé une requête en modification de l'acte d'accusation du 13 décembre 2001. Le 8 décembre 2006, la Chambre a fait droit à la requête, acceptant le retrait de l'acte d'accusation initial et le dépôt d'un nouvel acte d'accusation, dans lequel était retenu un seul chef d'assassinat constitutif de crime contre l’humanité. Le 12 décembre 2006, les parties ont déposé une requête conjointe visant à l’examen d'une reconnaissance de culpabilité et de l'accord constatant celle-ci que Joseph Nzabirinda a conclu avec le Bureau du Procureur. Lors de sa nouvelle comparution le 14 décembre 2006, Joseph Nzabirinda a plaidé coupable de l'infraction d'aide et d'encouragement à l'assassinat constitutif de crime contre l'humanité, en tant que complice par omission de la préparation de la perpétration de ce crime'' et en a été déclaré coupable… (</w:t>
      </w:r>
      <w:r w:rsidRPr="00953692">
        <w:rPr>
          <w:rFonts w:cs="Times New Roman"/>
          <w:b/>
          <w:bCs/>
          <w:lang w:val="fr-FR"/>
        </w:rPr>
        <w:t>Chambre de première instance II, Le Procureur c. Joseph Nzabirinda, affaire no ICTR-2001-77-T, jugement portant condamnation,  23 février 2007</w:t>
      </w:r>
      <w:r w:rsidRPr="00953692">
        <w:rPr>
          <w:rFonts w:cs="Times New Roman"/>
          <w:lang w:val="fr-FR"/>
        </w:rPr>
        <w:t>) ; Juvénal Rugambarara, a été arrêté le 11 aout 2003 transféré le 13 aout 2003. Lors de sa comparution initiale qui s'est faite le 15 aout 2003, il a plaidé non coupable de tous les chefs retenus contre lui.  Le 12 juin 2007 le procureur a déposé une requête en modification de l’acte d’accusation originel, laquelle a été appuyé par la défense. Le 28 juin 2007, la Chambre a consenti au retrait de l’acte d'accusation originel et au dépôt d'un acte d'accusation modifié contenant un seul chef d’accusation. Le 13 juin 2007, les parties ont déposé une requête conjointe tendant d l'examen d'un accord de reconnaissance de culpabilité, la Chambre a déclaré l’accusé coupable 16 novembre2007… (</w:t>
      </w:r>
      <w:r w:rsidRPr="00953692">
        <w:rPr>
          <w:rFonts w:cs="Times New Roman"/>
          <w:b/>
          <w:bCs/>
          <w:lang w:val="fr-FR"/>
        </w:rPr>
        <w:t>Chambre de première instance II, Le Procureur c. Juvdnal Rugambarara, affaire n° ICTR-00-59-I, jugement portant condamnation, 16 novembre2007</w:t>
      </w:r>
      <w:r w:rsidRPr="00953692">
        <w:rPr>
          <w:rFonts w:cs="Times New Roman"/>
          <w:lang w:val="fr-FR"/>
        </w:rPr>
        <w:t xml:space="preserve">) ; </w:t>
      </w:r>
      <w:r w:rsidRPr="00953692">
        <w:rPr>
          <w:rFonts w:cs="Times New Roman"/>
          <w:i/>
          <w:iCs/>
          <w:lang w:val="fr-FR"/>
        </w:rPr>
        <w:t>Ivica Rajić a été arrêté le 5 avril 2003 en République de Croatie et transféré au quartier pénitentiaire des Nations Unies à La Haye le 24 juin 2003. Le 27 juin 2003, Ivica Rajić a comparu devant le Tribunal et plaidé non coupable des six chefs d’accusation retenus contre lui. Le 29 janvier 2004, Ivica Rajić a plaidé non coupable des dix chefs retenus dans l’Acte d’accusation modifié. Le 25 octobre 2005, l’Accusation et Ivica Rajić ont conclu un Accord sur le plaidoyer, aux termes duquel ce dernier acceptait de plaider coupable de quatre des dix chefs de l’Acte d’accusation modifié, retenus contre lui. À l’audience du 26 octobre 2005 consacrée au plaidoyer de culpabilité, Ivica Rajić a plaidé coupable et la Chambre de première instance l’a déclaré coupable de ces quatre chefs. Il est condamné à une peine de 12 (douze) années d’emprisonnement</w:t>
      </w:r>
      <w:r w:rsidRPr="00953692">
        <w:rPr>
          <w:rFonts w:cs="Times New Roman"/>
          <w:lang w:val="fr-FR"/>
        </w:rPr>
        <w:t>… (</w:t>
      </w:r>
      <w:r w:rsidRPr="00953692">
        <w:rPr>
          <w:rFonts w:cs="Times New Roman"/>
          <w:b/>
          <w:bCs/>
          <w:lang w:val="fr-FR"/>
        </w:rPr>
        <w:t>La Chambre de première instance I, Le Procureur c/ Ivica Rajić, alias Viktor Andrić, Affaire n° : IT-95-12-S, jugement portant condamnation, 8 mai 2006</w:t>
      </w:r>
      <w:r w:rsidRPr="00953692">
        <w:rPr>
          <w:rFonts w:cs="Times New Roman"/>
          <w:lang w:val="fr-FR"/>
        </w:rPr>
        <w:t xml:space="preserve">) ; </w:t>
      </w:r>
      <w:r w:rsidRPr="00953692">
        <w:rPr>
          <w:rFonts w:cs="Times New Roman"/>
          <w:i/>
          <w:iCs/>
          <w:lang w:val="fr-FR"/>
        </w:rPr>
        <w:t xml:space="preserve">Dans l’affaire Stevan Todorović, l’accusé placé sous la garde du tribunal le 27 septembre 1998, il comparait initialement le 30 septembre 1998 et plaide non coupable de l’ensemble des chefs d’accusation. Le 21 janvier 1999, lors d'une nouvelle comparution, l'accusé plaide à nouveau non coupable. Il s'en est tenu là jusqu'au 29 novembre 2000, date à laquelle le Bureau du Procureur a déposé au nom des deux parties une requête conjointe, informant la Chambre de première instance qu'elles avaient conclu un accord prévoyant que l'accusé plaide coupable du chef 1 de l'Acte d'accusation, tous les autres chefs étant retirés. </w:t>
      </w:r>
      <w:r w:rsidRPr="00953692">
        <w:rPr>
          <w:rFonts w:cs="Times New Roman"/>
          <w:b/>
          <w:bCs/>
          <w:i/>
          <w:iCs/>
          <w:lang w:val="fr-FR"/>
        </w:rPr>
        <w:t>L'accord prévoyait également que la Défense retire toutes les requêtes pendantes, y compris celles contestant la légalité de son arrestation</w:t>
      </w:r>
      <w:r w:rsidRPr="00953692">
        <w:rPr>
          <w:rFonts w:cs="Times New Roman"/>
          <w:i/>
          <w:iCs/>
          <w:lang w:val="fr-FR"/>
        </w:rPr>
        <w:t>. Le 13 décembre 2000, il a plaidé coupable devant le juge Robinson qui a pris acte du plaidoyer et renvoyé l'affaire devant la Chambre de première instance au complet, en application de l'article 62 vi) b) du RPP. Le 24 janvier 2001, l'accusé a confirmé son plaidoyer de culpabilité devant la Chambre au complet, laquelle l'a alors déclaré coupable et condamné à dix ans d’emprisonnement le 31 juillet 2001</w:t>
      </w:r>
      <w:r w:rsidRPr="00953692">
        <w:rPr>
          <w:rFonts w:cs="Times New Roman"/>
          <w:lang w:val="fr-FR"/>
        </w:rPr>
        <w:t>… (</w:t>
      </w:r>
      <w:r w:rsidRPr="00953692">
        <w:rPr>
          <w:rFonts w:cs="Times New Roman"/>
          <w:b/>
          <w:bCs/>
          <w:lang w:val="fr-FR"/>
        </w:rPr>
        <w:t xml:space="preserve">Chambre de première instance, Le procureur c. </w:t>
      </w:r>
      <w:r w:rsidRPr="00953692">
        <w:rPr>
          <w:rFonts w:cs="Times New Roman"/>
          <w:b/>
          <w:bCs/>
          <w:i/>
          <w:iCs/>
          <w:lang w:val="fr-FR"/>
        </w:rPr>
        <w:t>Stevan Todorović, aff n° IT-95-9/1-S, jugement portant condamnation, 31 juillet 2001</w:t>
      </w:r>
      <w:r w:rsidRPr="00953692">
        <w:rPr>
          <w:rFonts w:cs="Times New Roman"/>
          <w:lang w:val="fr-FR"/>
        </w:rPr>
        <w:t xml:space="preserve">) ; </w:t>
      </w:r>
      <w:r w:rsidRPr="00953692">
        <w:rPr>
          <w:rFonts w:cs="Times New Roman"/>
          <w:i/>
          <w:iCs/>
          <w:lang w:val="fr-FR"/>
        </w:rPr>
        <w:t>Dans l’affaire Dragan Obrenović, il a été arreté le 15 avril 2001 et transféré le meme jour au tribunal. Il comparait le 18 avril 2001 et plaide non coupable de l’ensemble des chefs d’accusation portés contre lui. Le 20 mai 2003, à l’issue de l’interrogatoire principal du premier témoin à charge, l’Accusation et Dragan Obrenović ont déposé, en application de l’article 62 ter du Règlement, une « Requête conjointe sollicitant l’examen de l’accord sur le plaidoyer conclu entre Dragan Obrenović et le Procureur ». Le 21 mai 2003, à l’issue de l’audience publique consacrée à l’examen de cette Requête, la Chambre de première instance a entériné l’Accord et a déclaré l’accusé coupable du crime contre l’humanité. Le 10 décembre 2003 il est condamné à dix-sept ans d’emprisonnement</w:t>
      </w:r>
      <w:r w:rsidRPr="00953692">
        <w:rPr>
          <w:rFonts w:cs="Times New Roman"/>
          <w:lang w:val="fr-FR"/>
        </w:rPr>
        <w:t>… (</w:t>
      </w:r>
      <w:r w:rsidRPr="00953692">
        <w:rPr>
          <w:rFonts w:cs="Times New Roman"/>
          <w:b/>
          <w:bCs/>
          <w:lang w:val="fr-FR"/>
        </w:rPr>
        <w:t xml:space="preserve">Chambre de première instance I, section A, Le procureur c. </w:t>
      </w:r>
      <w:r w:rsidRPr="00953692">
        <w:rPr>
          <w:rFonts w:cs="Times New Roman"/>
          <w:b/>
          <w:bCs/>
          <w:i/>
          <w:iCs/>
          <w:lang w:val="fr-FR"/>
        </w:rPr>
        <w:t>Dragan Obrenović, Aff. N° IT-02-60/2-S, jugement portant condamnation, 10 décembre 2003</w:t>
      </w:r>
      <w:r w:rsidRPr="00953692">
        <w:rPr>
          <w:rFonts w:cs="Times New Roman"/>
          <w:lang w:val="fr-FR"/>
        </w:rPr>
        <w:t xml:space="preserve">) ; </w:t>
      </w:r>
      <w:r w:rsidRPr="00953692">
        <w:rPr>
          <w:rFonts w:eastAsia="Times New Roman" w:cs="Times New Roman"/>
          <w:i/>
          <w:iCs/>
          <w:shd w:val="clear" w:color="auto" w:fill="FFFFFF"/>
          <w:lang w:val="fr-FR"/>
        </w:rPr>
        <w:t xml:space="preserve">Dans l’affaire </w:t>
      </w:r>
      <w:r w:rsidRPr="00953692">
        <w:rPr>
          <w:rFonts w:cs="Times New Roman"/>
          <w:i/>
          <w:iCs/>
          <w:lang w:val="fr-FR"/>
        </w:rPr>
        <w:t>Predrag Banović, ce dernier a été arrêté le 8 novembre 2001 en Serbie (République fédérale de Yougoslavie, à l’époque), et a été transféré le 9 novembre 2001 au siège du Tribunal. Il comparait initialement le 16 novembre 2001, l’Accusé plaide non coupable de tous les chefs d’accusation. Le 18 juin 2003, le Bureau du Procureur et l’accusé, représenté par son conseil, ont déposé une « Requête conjointe confidentielle aux fins d’examen de l’accord sur le plaidoyer. A cet effet, une audience s’est tenu le 26 juin 2003 au cours de laquelle l’accusé a plaidé coupable. Le 3 septembre 2003 il a été condamné à huit ans d’emprisonnement</w:t>
      </w:r>
      <w:r w:rsidRPr="00953692">
        <w:rPr>
          <w:rFonts w:cs="Times New Roman"/>
          <w:lang w:val="fr-FR"/>
        </w:rPr>
        <w:t>… (</w:t>
      </w:r>
      <w:r w:rsidRPr="00953692">
        <w:rPr>
          <w:rFonts w:cs="Times New Roman"/>
          <w:b/>
          <w:bCs/>
          <w:shd w:val="clear" w:color="auto" w:fill="FFFFFF"/>
          <w:lang w:val="fr-FR"/>
        </w:rPr>
        <w:t>Jugement relatif à la sentence dans l'affaire le Procureur c/ Predrag Banovic DU 28 octobre 2003</w:t>
      </w:r>
      <w:r w:rsidRPr="00953692">
        <w:rPr>
          <w:rFonts w:cs="Times New Roman"/>
          <w:lang w:val="fr-FR"/>
        </w:rPr>
        <w:t xml:space="preserve">) ; </w:t>
      </w:r>
      <w:r w:rsidRPr="00953692">
        <w:rPr>
          <w:rFonts w:cs="Times New Roman"/>
          <w:i/>
          <w:iCs/>
          <w:lang w:val="fr-FR"/>
        </w:rPr>
        <w:t>Dans l’affaire Miroslav Deronjic, l’accusé est arrêté le 6 juillet 2002 et transféré le 8 juillet 2002 au siège du Tribunal. Lors de sa comparution initiale le 10 juillet 2002, il a plaidé non coupable. Le 29 septembre 2003, les parties se sont mises d'accord sur le texte du deuxième acte d’accusation modifié. La Chambre de première instance a accepté l'acte d'accusation a la conférence de mise en état tenue le 30 septembre 2003 (1' « Audience consacrée au plaidoyer de culpabilité »). Il sera alors condamné à dix ans d’emprisonnement le 29 septembre 2003. Jugement qui a été appelé et confirmé par la Chambre d’appel le 20 juillet 2005 (</w:t>
      </w:r>
      <w:r w:rsidRPr="00953692">
        <w:rPr>
          <w:rFonts w:cs="Times New Roman"/>
          <w:b/>
          <w:bCs/>
          <w:i/>
          <w:iCs/>
          <w:lang w:val="fr-FR"/>
        </w:rPr>
        <w:t>Chambre d’appel, Le procureur c. Miroslav Deronjic, Aff. IT-02-61-A, Arrêt relatif à la sentence 20 juillet 2005</w:t>
      </w:r>
      <w:r w:rsidRPr="00953692">
        <w:rPr>
          <w:rFonts w:cs="Times New Roman"/>
          <w:i/>
          <w:iCs/>
          <w:lang w:val="fr-FR"/>
        </w:rPr>
        <w:t>)</w:t>
      </w:r>
      <w:r w:rsidRPr="00953692">
        <w:rPr>
          <w:rFonts w:cs="Times New Roman"/>
          <w:lang w:val="fr-FR"/>
        </w:rPr>
        <w:t>.</w:t>
      </w:r>
    </w:p>
  </w:footnote>
  <w:footnote w:id="190">
    <w:p w14:paraId="7A627368" w14:textId="4986C214"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169</w:t>
      </w:r>
      <w:r w:rsidRPr="00953692">
        <w:rPr>
          <w:rFonts w:cs="Times New Roman"/>
          <w:lang w:val="fr-FR"/>
        </w:rPr>
        <w:t xml:space="preserve"> Le Procureur c.Vincent Rutaganira, par. 13.</w:t>
      </w:r>
    </w:p>
  </w:footnote>
  <w:footnote w:id="191">
    <w:p w14:paraId="24CE2519" w14:textId="0C86CE9D"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170</w:t>
      </w:r>
      <w:r w:rsidRPr="00953692">
        <w:rPr>
          <w:rFonts w:cs="Times New Roman"/>
          <w:lang w:val="fr-FR"/>
        </w:rPr>
        <w:t xml:space="preserve"> Le procureur c. </w:t>
      </w:r>
      <w:r w:rsidRPr="00953692">
        <w:rPr>
          <w:rFonts w:cs="Times New Roman"/>
          <w:i/>
          <w:iCs/>
          <w:lang w:val="fr-FR"/>
        </w:rPr>
        <w:t>Stevan Todorović, par. 81.</w:t>
      </w:r>
    </w:p>
  </w:footnote>
  <w:footnote w:id="192">
    <w:p w14:paraId="49A4D2AA" w14:textId="38B8A318"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171</w:t>
      </w:r>
      <w:r w:rsidRPr="00953692">
        <w:rPr>
          <w:rFonts w:cs="Times New Roman"/>
          <w:lang w:val="fr-FR"/>
        </w:rPr>
        <w:t xml:space="preserve"> TPIY, Chambre de première instance II, Le Procureur c. Milan Simić, 17 octobre 2002, IT-95-9/2-S. par. 85.</w:t>
      </w:r>
    </w:p>
  </w:footnote>
  <w:footnote w:id="193">
    <w:p w14:paraId="255942E1" w14:textId="42072008" w:rsidR="00B91672" w:rsidRPr="00953692" w:rsidRDefault="00B91672" w:rsidP="00E009F4">
      <w:pPr>
        <w:spacing w:after="0" w:line="276" w:lineRule="auto"/>
        <w:jc w:val="both"/>
        <w:rPr>
          <w:rFonts w:cs="Times New Roman"/>
          <w:sz w:val="20"/>
          <w:szCs w:val="20"/>
          <w:lang w:val="fr-FR"/>
        </w:rPr>
      </w:pPr>
      <w:r w:rsidRPr="00953692">
        <w:rPr>
          <w:rStyle w:val="Appelnotedebasdep"/>
          <w:sz w:val="20"/>
          <w:szCs w:val="20"/>
          <w:lang w:val="fr-FR"/>
        </w:rPr>
        <w:t>172</w:t>
      </w:r>
      <w:r w:rsidRPr="00953692">
        <w:rPr>
          <w:rFonts w:cs="Times New Roman"/>
          <w:sz w:val="20"/>
          <w:szCs w:val="20"/>
          <w:lang w:val="fr-FR"/>
        </w:rPr>
        <w:t xml:space="preserve"> TPIY, Chambre de première instance II, Le Procureur c. </w:t>
      </w:r>
      <w:r w:rsidRPr="00953692">
        <w:rPr>
          <w:rFonts w:cs="Times New Roman"/>
          <w:i/>
          <w:iCs/>
          <w:sz w:val="20"/>
          <w:szCs w:val="20"/>
          <w:lang w:val="fr-FR"/>
        </w:rPr>
        <w:t>Dragan Nikolić</w:t>
      </w:r>
      <w:r w:rsidRPr="00953692">
        <w:rPr>
          <w:rFonts w:cs="Times New Roman"/>
          <w:sz w:val="20"/>
          <w:szCs w:val="20"/>
          <w:lang w:val="fr-FR"/>
        </w:rPr>
        <w:t>, Jugement portant condamnation, 18 décembre 2003, IT-94-2-S, par. 35.</w:t>
      </w:r>
    </w:p>
  </w:footnote>
  <w:footnote w:id="194">
    <w:p w14:paraId="6E5A70DF" w14:textId="7FAB70E6"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173</w:t>
      </w:r>
      <w:r w:rsidRPr="00953692">
        <w:rPr>
          <w:rFonts w:cs="Times New Roman"/>
          <w:lang w:val="fr-FR"/>
        </w:rPr>
        <w:t xml:space="preserve"> TPIY, Chambre d’appel, Le Procureur c. </w:t>
      </w:r>
      <w:r w:rsidRPr="00953692">
        <w:rPr>
          <w:rFonts w:cs="Times New Roman"/>
          <w:i/>
          <w:iCs/>
          <w:lang w:val="fr-FR"/>
        </w:rPr>
        <w:t>Dragan Nikolić</w:t>
      </w:r>
      <w:r w:rsidRPr="00953692">
        <w:rPr>
          <w:rFonts w:cs="Times New Roman"/>
          <w:lang w:val="fr-FR"/>
        </w:rPr>
        <w:t>, Arrêt relatif à la sentence, 4 février 2005, IT-94-2-A, par. 5 et 52.</w:t>
      </w:r>
    </w:p>
  </w:footnote>
  <w:footnote w:id="195">
    <w:p w14:paraId="12EDC9BE" w14:textId="47C71C57"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174</w:t>
      </w:r>
      <w:r w:rsidRPr="00953692">
        <w:rPr>
          <w:rFonts w:cs="Times New Roman"/>
          <w:lang w:val="fr-FR"/>
        </w:rPr>
        <w:t xml:space="preserve"> Pradel, J. Procédure pénale, 9</w:t>
      </w:r>
      <w:r w:rsidRPr="00953692">
        <w:rPr>
          <w:rFonts w:cs="Times New Roman"/>
          <w:vertAlign w:val="superscript"/>
          <w:lang w:val="fr-FR"/>
        </w:rPr>
        <w:t>ème</w:t>
      </w:r>
      <w:r w:rsidRPr="00953692">
        <w:rPr>
          <w:rFonts w:cs="Times New Roman"/>
          <w:lang w:val="fr-FR"/>
        </w:rPr>
        <w:t xml:space="preserve"> éd., Cujas, Paris, 1997, P. 537. « … au sens large, les droits de la défense incluent toutes les règles qui tendent à protéger le suspect, la personne mise en examen, l’accusé ou le prévenu contre l’arbitraire ou l’excès de zèle des autorités ».</w:t>
      </w:r>
    </w:p>
  </w:footnote>
  <w:footnote w:id="196">
    <w:p w14:paraId="03E54E3E" w14:textId="6878DA6D"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175</w:t>
      </w:r>
      <w:r w:rsidRPr="00953692">
        <w:rPr>
          <w:rFonts w:cs="Times New Roman"/>
          <w:lang w:val="fr-FR"/>
        </w:rPr>
        <w:t xml:space="preserve"> Guide sur l’article 6 de la Convention européenne des droits de l’homme, Droit à un procès équitable (volet pénal), Conseil de l’Europe/Cour européenne des droits de l’homme, 2022, §. 153.</w:t>
      </w:r>
    </w:p>
  </w:footnote>
  <w:footnote w:id="197">
    <w:p w14:paraId="70F9FC92" w14:textId="421193A7"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176</w:t>
      </w:r>
      <w:r w:rsidRPr="00953692">
        <w:rPr>
          <w:rFonts w:cs="Times New Roman"/>
          <w:lang w:val="fr-FR"/>
        </w:rPr>
        <w:t xml:space="preserve"> Marie Nicolas, </w:t>
      </w:r>
      <w:r w:rsidRPr="00953692">
        <w:rPr>
          <w:rFonts w:cs="Times New Roman"/>
          <w:i/>
          <w:iCs/>
          <w:lang w:val="fr-FR"/>
        </w:rPr>
        <w:t>Op.cit</w:t>
      </w:r>
      <w:r w:rsidRPr="00953692">
        <w:rPr>
          <w:rFonts w:cs="Times New Roman"/>
          <w:lang w:val="fr-FR"/>
        </w:rPr>
        <w:t xml:space="preserve">., §. 245. V. </w:t>
      </w:r>
      <w:r w:rsidRPr="00953692">
        <w:rPr>
          <w:rFonts w:eastAsia="Times New Roman" w:cs="Times New Roman"/>
          <w:shd w:val="clear" w:color="auto" w:fill="FFFFFF"/>
          <w:lang w:val="fr-FR"/>
        </w:rPr>
        <w:t>Fauveau Ivanovic, N.</w:t>
      </w:r>
      <w:r w:rsidRPr="00953692">
        <w:rPr>
          <w:rFonts w:eastAsia="Times New Roman" w:cs="Times New Roman"/>
          <w:b/>
          <w:shd w:val="clear" w:color="auto" w:fill="FFFFFF"/>
          <w:lang w:val="fr-FR"/>
        </w:rPr>
        <w:t> </w:t>
      </w:r>
      <w:r w:rsidRPr="00953692">
        <w:rPr>
          <w:rFonts w:eastAsia="Times New Roman" w:cs="Times New Roman"/>
          <w:shd w:val="clear" w:color="auto" w:fill="FFFFFF"/>
          <w:lang w:val="fr-FR"/>
        </w:rPr>
        <w:t xml:space="preserve"> « Quelle réalité pour les droits de la défense au sein de la Cour pénale internationale ? », </w:t>
      </w:r>
      <w:r w:rsidRPr="00953692">
        <w:rPr>
          <w:rFonts w:eastAsia="Times New Roman" w:cs="Times New Roman"/>
          <w:i/>
          <w:shd w:val="clear" w:color="auto" w:fill="FFFFFF"/>
          <w:lang w:val="fr-FR"/>
        </w:rPr>
        <w:t xml:space="preserve">in </w:t>
      </w:r>
      <w:r w:rsidRPr="00953692">
        <w:rPr>
          <w:rFonts w:eastAsia="Times New Roman" w:cs="Times New Roman"/>
          <w:bCs/>
          <w:iCs/>
          <w:spacing w:val="10"/>
          <w:shd w:val="clear" w:color="auto" w:fill="FFFFFF"/>
          <w:lang w:val="fr-FR"/>
        </w:rPr>
        <w:t>La Revue des droits de l’homme</w:t>
      </w:r>
      <w:r w:rsidRPr="00953692">
        <w:rPr>
          <w:rFonts w:eastAsia="Times New Roman" w:cs="Times New Roman"/>
          <w:shd w:val="clear" w:color="auto" w:fill="FFFFFF"/>
          <w:lang w:val="fr-FR"/>
        </w:rPr>
        <w:t> [Online], 5 | 2014, Online since 27 May 2014, connection on 13 February 2020. §. 37. « </w:t>
      </w:r>
      <w:r w:rsidRPr="00953692">
        <w:rPr>
          <w:rFonts w:cs="Times New Roman"/>
          <w:shd w:val="clear" w:color="auto" w:fill="FFFFFF"/>
          <w:lang w:val="fr-FR"/>
        </w:rPr>
        <w:t>Les questions linguistiques revêtent une importance particulière dans les procès internationaux qui sont fréquemment conduits dans une langue que l’accusé ne parle et ne comprend pas ». </w:t>
      </w:r>
    </w:p>
  </w:footnote>
  <w:footnote w:id="198">
    <w:p w14:paraId="4426FC79" w14:textId="7F8313B6"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177</w:t>
      </w:r>
      <w:r w:rsidRPr="00953692">
        <w:rPr>
          <w:rFonts w:cs="Times New Roman"/>
          <w:lang w:val="fr-FR"/>
        </w:rPr>
        <w:t xml:space="preserve"> Il faut rappeler que le droit de participer à l’instruction de son affaire est une composante des droits de la Défense, tel que le soutient pertinemment la doctrine spécialisée en procédure pénale. Voir Pradel, J. Procédure pénale, 9</w:t>
      </w:r>
      <w:r w:rsidRPr="00953692">
        <w:rPr>
          <w:rFonts w:cs="Times New Roman"/>
          <w:vertAlign w:val="superscript"/>
          <w:lang w:val="fr-FR"/>
        </w:rPr>
        <w:t>ème</w:t>
      </w:r>
      <w:r w:rsidRPr="00953692">
        <w:rPr>
          <w:rFonts w:cs="Times New Roman"/>
          <w:lang w:val="fr-FR"/>
        </w:rPr>
        <w:t xml:space="preserve"> éd., Cujas, Paris, 1997, P. 537. Bouloc, B., Levasseur, G., Stefani, G., Procédure pénale, 19ième éd., Paris, 2004, p. 30. Muhindo M. P., Quelle réalité des droits de la défense devant les tribunaux répressifs en République Démocratique du Congo, Recht in Afrika – Law in Africa – Droit en Afrique 21 (2018), P. 108.</w:t>
      </w:r>
    </w:p>
  </w:footnote>
  <w:footnote w:id="199">
    <w:p w14:paraId="133F373C" w14:textId="65C91460"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178</w:t>
      </w:r>
      <w:r w:rsidRPr="00953692">
        <w:rPr>
          <w:rFonts w:cs="Times New Roman"/>
          <w:lang w:val="fr-FR"/>
        </w:rPr>
        <w:t xml:space="preserve"> Edel, F. </w:t>
      </w:r>
      <w:r w:rsidRPr="00953692">
        <w:rPr>
          <w:rFonts w:cs="Times New Roman"/>
          <w:i/>
          <w:iCs/>
          <w:lang w:val="fr-FR"/>
        </w:rPr>
        <w:t>La durée des procédures civiles et pénales dans la jurisprudence de la Cour européenne des Droits de l’Homme</w:t>
      </w:r>
      <w:r w:rsidRPr="00953692">
        <w:rPr>
          <w:rFonts w:cs="Times New Roman"/>
          <w:lang w:val="fr-FR"/>
        </w:rPr>
        <w:t>, Editions du Conseil de l’Europe, 2</w:t>
      </w:r>
      <w:r w:rsidRPr="00953692">
        <w:rPr>
          <w:rFonts w:cs="Times New Roman"/>
          <w:vertAlign w:val="superscript"/>
          <w:lang w:val="fr-FR"/>
        </w:rPr>
        <w:t>ème</w:t>
      </w:r>
      <w:r w:rsidRPr="00953692">
        <w:rPr>
          <w:rFonts w:cs="Times New Roman"/>
          <w:lang w:val="fr-FR"/>
        </w:rPr>
        <w:t xml:space="preserve"> éd., 2007, p. 51.</w:t>
      </w:r>
    </w:p>
  </w:footnote>
  <w:footnote w:id="200">
    <w:p w14:paraId="16052FF2" w14:textId="2A647333" w:rsidR="00B91672" w:rsidRPr="00953692" w:rsidRDefault="00B91672" w:rsidP="00E009F4">
      <w:pPr>
        <w:pStyle w:val="Notedebasdepage"/>
        <w:spacing w:line="276" w:lineRule="auto"/>
        <w:jc w:val="both"/>
        <w:rPr>
          <w:rFonts w:cs="Times New Roman"/>
          <w:lang w:val="fr-FR"/>
        </w:rPr>
      </w:pPr>
      <w:r w:rsidRPr="00953692">
        <w:rPr>
          <w:rStyle w:val="Appelnotedebasdep"/>
          <w:lang w:val="fr-FR"/>
        </w:rPr>
        <w:t>178</w:t>
      </w:r>
      <w:r w:rsidRPr="00953692">
        <w:rPr>
          <w:rFonts w:cs="Times New Roman"/>
          <w:lang w:val="fr-FR"/>
        </w:rPr>
        <w:t xml:space="preserve"> Lire par exemple l’article 67-G du statut de Rome de la CPI.</w:t>
      </w:r>
    </w:p>
  </w:footnote>
  <w:footnote w:id="201">
    <w:p w14:paraId="7315E75E" w14:textId="45B1E6B4" w:rsidR="00B91672" w:rsidRPr="00953692" w:rsidRDefault="00B91672" w:rsidP="00E009F4">
      <w:pPr>
        <w:pStyle w:val="Notedebasdepage"/>
        <w:spacing w:line="276" w:lineRule="auto"/>
        <w:jc w:val="both"/>
        <w:rPr>
          <w:rFonts w:cs="Times New Roman"/>
          <w:lang w:val="en-US"/>
        </w:rPr>
      </w:pPr>
      <w:r w:rsidRPr="00953692">
        <w:rPr>
          <w:rStyle w:val="Appelnotedebasdep"/>
          <w:lang w:val="en-US"/>
        </w:rPr>
        <w:t>179</w:t>
      </w:r>
      <w:r w:rsidRPr="00953692">
        <w:rPr>
          <w:rFonts w:cs="Times New Roman"/>
          <w:lang w:val="en-US"/>
        </w:rPr>
        <w:t xml:space="preserve"> Edel, F. </w:t>
      </w:r>
      <w:r w:rsidRPr="00953692">
        <w:rPr>
          <w:rFonts w:cs="Times New Roman"/>
          <w:i/>
          <w:iCs/>
          <w:lang w:val="en-US"/>
        </w:rPr>
        <w:t>Op.cit</w:t>
      </w:r>
      <w:r w:rsidRPr="00953692">
        <w:rPr>
          <w:rFonts w:cs="Times New Roman"/>
          <w:lang w:val="en-US"/>
        </w:rPr>
        <w:t>., p. 22.</w:t>
      </w:r>
    </w:p>
  </w:footnote>
  <w:footnote w:id="202">
    <w:p w14:paraId="08DC2C09" w14:textId="4B30D69D" w:rsidR="00B91672" w:rsidRPr="00953692" w:rsidRDefault="00B91672" w:rsidP="00E009F4">
      <w:pPr>
        <w:pStyle w:val="Notedebasdepage"/>
        <w:spacing w:line="276" w:lineRule="auto"/>
        <w:jc w:val="both"/>
        <w:rPr>
          <w:rFonts w:eastAsia="Times New Roman" w:cs="Times New Roman"/>
          <w:lang w:val="fr-FR"/>
        </w:rPr>
      </w:pPr>
      <w:r w:rsidRPr="00953692">
        <w:rPr>
          <w:rStyle w:val="Appelnotedebasdep"/>
          <w:lang w:val="fr-FR"/>
        </w:rPr>
        <w:t>180</w:t>
      </w:r>
      <w:r w:rsidRPr="00953692">
        <w:rPr>
          <w:rFonts w:cs="Times New Roman"/>
          <w:lang w:val="fr-FR"/>
        </w:rPr>
        <w:t xml:space="preserve"> CEDH, Girolami c. Italie, 19 fév. 1991, § 15. Lechner et Hess c. Autriche, 23 avril 1987, § 47 ; Arena, Cormio, Idrocalce S.R.L., Gana c. Italie, 27 fév. 1992, respectivement § 17, § 16, § 18, § 18</w:t>
      </w:r>
      <w:r w:rsidRPr="00953692">
        <w:rPr>
          <w:rFonts w:eastAsia="Times New Roman" w:cs="Times New Roman"/>
          <w:lang w:val="fr-FR"/>
        </w:rPr>
        <w:t>.</w:t>
      </w:r>
      <w:r w:rsidRPr="00953692">
        <w:rPr>
          <w:rFonts w:eastAsia="Times New Roman" w:cs="Times New Roman"/>
          <w:shd w:val="clear" w:color="auto" w:fill="FFFFFF"/>
          <w:lang w:val="fr-FR"/>
        </w:rPr>
        <w:t xml:space="preserve"> « </w:t>
      </w:r>
      <w:r w:rsidRPr="00953692">
        <w:rPr>
          <w:rFonts w:eastAsia="Times New Roman" w:cs="Times New Roman"/>
          <w:i/>
          <w:shd w:val="clear" w:color="auto" w:fill="FFFFFF"/>
          <w:lang w:val="fr-FR"/>
        </w:rPr>
        <w:t>le suspect ne peut pas invoquer la période pendant laquelle il était en fuite, cherchant alors à se soustraire à la justice (…). La Cour estime en conséquence, que la fuite d’un accusé a par elle-même des répercussions sur l’étendue de la garantie offerte par l’article 6 § 1 quant à la durée de la procédure. Lorsqu’un accusé s’enfuit (…), il y a lieu de présumer qu’il ne peut pas se plaindre d’une durée déraisonnable de la procédure pour la période postérieure à sa fuite, à moins qu’il ne fasse état de motifs suffisants de nature à faire écarter cette présomption</w:t>
      </w:r>
      <w:r w:rsidRPr="00953692">
        <w:rPr>
          <w:rFonts w:eastAsia="Times New Roman" w:cs="Times New Roman"/>
          <w:shd w:val="clear" w:color="auto" w:fill="FFFFFF"/>
          <w:lang w:val="fr-FR"/>
        </w:rPr>
        <w:t xml:space="preserve"> ». </w:t>
      </w:r>
      <w:r w:rsidRPr="00953692">
        <w:rPr>
          <w:rFonts w:eastAsia="Times New Roman" w:cs="Times New Roman"/>
          <w:lang w:val="fr-FR"/>
        </w:rPr>
        <w:t>CEDH, Vayiç c. Turquie, nº 18078/02, 20 juin 2006, para. 44.</w:t>
      </w:r>
    </w:p>
  </w:footnote>
  <w:footnote w:id="203">
    <w:p w14:paraId="64D117C2" w14:textId="1FD0D16C" w:rsidR="008B1083" w:rsidRPr="00953692" w:rsidRDefault="008B1083" w:rsidP="00E009F4">
      <w:pPr>
        <w:pStyle w:val="Notedebasdepage"/>
        <w:spacing w:line="276" w:lineRule="auto"/>
        <w:jc w:val="both"/>
        <w:rPr>
          <w:rFonts w:cs="Times New Roman"/>
          <w:lang w:val="fr-FR"/>
        </w:rPr>
      </w:pPr>
      <w:r w:rsidRPr="00953692">
        <w:rPr>
          <w:rStyle w:val="Appelnotedebasdep"/>
          <w:lang w:val="fr-FR"/>
        </w:rPr>
        <w:t>182</w:t>
      </w:r>
      <w:r w:rsidRPr="00953692">
        <w:rPr>
          <w:rFonts w:cs="Times New Roman"/>
          <w:lang w:val="fr-FR"/>
        </w:rPr>
        <w:t xml:space="preserve"> TPIR, Chambre de première instance III, Le Procureur c. Jean-Baptiste Gatete, Jugement portant condamnation, 31 mars 2011, ICTR-2000-61-T, §. 56.</w:t>
      </w:r>
    </w:p>
  </w:footnote>
  <w:footnote w:id="204">
    <w:p w14:paraId="0FDEB979" w14:textId="6303D1BD" w:rsidR="008B1083" w:rsidRPr="00953692" w:rsidRDefault="008B1083" w:rsidP="00E009F4">
      <w:pPr>
        <w:pStyle w:val="Notedebasdepage"/>
        <w:spacing w:line="276" w:lineRule="auto"/>
        <w:jc w:val="both"/>
        <w:rPr>
          <w:rFonts w:cs="Times New Roman"/>
          <w:lang w:val="en-US"/>
        </w:rPr>
      </w:pPr>
      <w:r w:rsidRPr="00953692">
        <w:rPr>
          <w:rStyle w:val="Appelnotedebasdep"/>
          <w:lang w:val="fr-FR"/>
        </w:rPr>
        <w:t>183</w:t>
      </w:r>
      <w:r w:rsidRPr="00953692">
        <w:rPr>
          <w:rFonts w:cs="Times New Roman"/>
          <w:lang w:val="fr-FR"/>
        </w:rPr>
        <w:t xml:space="preserve"> </w:t>
      </w:r>
      <w:r w:rsidRPr="00953692">
        <w:rPr>
          <w:rFonts w:eastAsia="Times New Roman" w:cs="Times New Roman"/>
          <w:lang w:val="fr-FR"/>
        </w:rPr>
        <w:t xml:space="preserve">Voir les « Observations on the legal principles applicable to the determination of a suspect’s fitness », n° ICC-02/11-01/11-228-Corr, 24 août 2012, par. 18; la « Réponse du Représentant légal commun des victimes à la Requête de la Défense du 21 août 2012 », n° ICC-02/11-01/11-230, 24 août 2012, par. 33 ; et la « Réponse du Représentant légal commun des victimes à la Requête de la Défense du 15 novembre 2012 aux fins d'autorisation d'interjeter appel de la Décision sur l'aptitude de M. Gbagbo à prendre part à la procédure à son encontre », n° ICC-02/11-01/11-298, 19 novembre 2012, par. 35. </w:t>
      </w:r>
      <w:r w:rsidRPr="00953692">
        <w:rPr>
          <w:rFonts w:eastAsia="Times New Roman" w:cs="Times New Roman"/>
          <w:lang w:val="en-US"/>
        </w:rPr>
        <w:t>Voir également les « Observations on behalf of victims on the Defence’s document in support of the appeal against Pre-Trial Chamber I’s Decisionon the Defence Challenge to the Jurisdiction of the Court », n° ICC-02/11-01/11-259 OA2, 8 octobre 2012, par. 17.)</w:t>
      </w:r>
    </w:p>
  </w:footnote>
  <w:footnote w:id="205">
    <w:p w14:paraId="32CB6A02" w14:textId="61AC9A1D" w:rsidR="008B1083" w:rsidRPr="00953692" w:rsidRDefault="008B1083" w:rsidP="00E009F4">
      <w:pPr>
        <w:pStyle w:val="Notedebasdepage"/>
        <w:spacing w:line="276" w:lineRule="auto"/>
        <w:jc w:val="both"/>
        <w:rPr>
          <w:rFonts w:cs="Times New Roman"/>
          <w:lang w:val="fr-FR"/>
        </w:rPr>
      </w:pPr>
      <w:r w:rsidRPr="00953692">
        <w:rPr>
          <w:rStyle w:val="Appelnotedebasdep"/>
          <w:lang w:val="fr-FR"/>
        </w:rPr>
        <w:t>183</w:t>
      </w:r>
      <w:r w:rsidRPr="00953692">
        <w:rPr>
          <w:rFonts w:cs="Times New Roman"/>
          <w:lang w:val="fr-FR"/>
        </w:rPr>
        <w:t xml:space="preserve"> TPIY, Chambre de première instance, Le Procureur c. Vojislav Seselj, Décision relative à la requête de l'accusé aux fins de mettre un terme à son procès, Affaire n° : IT-03-67-T, 29 septembre 2011, §. 8.</w:t>
      </w:r>
    </w:p>
  </w:footnote>
  <w:footnote w:id="206">
    <w:p w14:paraId="2E578104" w14:textId="46922B40" w:rsidR="008B1083" w:rsidRPr="00953692" w:rsidRDefault="008B1083" w:rsidP="00E009F4">
      <w:pPr>
        <w:pStyle w:val="Notedebasdepage"/>
        <w:spacing w:line="276" w:lineRule="auto"/>
        <w:jc w:val="both"/>
        <w:rPr>
          <w:rFonts w:cs="Times New Roman"/>
          <w:lang w:val="fr-FR"/>
        </w:rPr>
      </w:pPr>
      <w:r w:rsidRPr="00953692">
        <w:rPr>
          <w:rStyle w:val="Appelnotedebasdep"/>
          <w:lang w:val="fr-FR"/>
        </w:rPr>
        <w:t>184</w:t>
      </w:r>
      <w:r w:rsidRPr="00953692">
        <w:rPr>
          <w:rFonts w:cs="Times New Roman"/>
          <w:lang w:val="fr-FR"/>
        </w:rPr>
        <w:t xml:space="preserve"> Idem, §. 31.</w:t>
      </w:r>
    </w:p>
  </w:footnote>
  <w:footnote w:id="207">
    <w:p w14:paraId="41061E40" w14:textId="2273F6EE" w:rsidR="008B1083" w:rsidRPr="00953692" w:rsidRDefault="008B1083" w:rsidP="00E009F4">
      <w:pPr>
        <w:pStyle w:val="Notedebasdepage"/>
        <w:spacing w:line="276" w:lineRule="auto"/>
        <w:jc w:val="both"/>
        <w:rPr>
          <w:rFonts w:cs="Times New Roman"/>
          <w:lang w:val="fr-FR"/>
        </w:rPr>
      </w:pPr>
      <w:r w:rsidRPr="00953692">
        <w:rPr>
          <w:rStyle w:val="Appelnotedebasdep"/>
          <w:lang w:val="fr-FR"/>
        </w:rPr>
        <w:t>185</w:t>
      </w:r>
      <w:r w:rsidRPr="00953692">
        <w:rPr>
          <w:rFonts w:cs="Times New Roman"/>
          <w:lang w:val="fr-FR"/>
        </w:rPr>
        <w:t xml:space="preserve"> TPIY, Décision du 29 septembre 2011, Opinion individuelle du président de la chambre, le juge Antonetti, relative à la requête de l'accusé Vojislav Seselj aux fins de mettre un terme à son procès, 29 septembre 2011, P. 5, 6, 7.</w:t>
      </w:r>
    </w:p>
  </w:footnote>
  <w:footnote w:id="208">
    <w:p w14:paraId="243D5502" w14:textId="2CF6D428" w:rsidR="008B1083" w:rsidRPr="00953692" w:rsidRDefault="008B1083" w:rsidP="00E009F4">
      <w:pPr>
        <w:pStyle w:val="Notedebasdepage"/>
        <w:spacing w:line="276" w:lineRule="auto"/>
        <w:jc w:val="both"/>
        <w:rPr>
          <w:rFonts w:cs="Times New Roman"/>
          <w:lang w:val="fr-FR"/>
        </w:rPr>
      </w:pPr>
      <w:r w:rsidRPr="00953692">
        <w:rPr>
          <w:rStyle w:val="Appelnotedebasdep"/>
          <w:lang w:val="fr-FR"/>
        </w:rPr>
        <w:t>186</w:t>
      </w:r>
      <w:r w:rsidRPr="00953692">
        <w:rPr>
          <w:rFonts w:cs="Times New Roman"/>
          <w:lang w:val="fr-FR"/>
        </w:rPr>
        <w:t xml:space="preserve"> </w:t>
      </w:r>
      <w:r w:rsidRPr="00953692">
        <w:rPr>
          <w:rFonts w:cs="Times New Roman"/>
          <w:i/>
          <w:iCs/>
          <w:lang w:val="fr-FR"/>
        </w:rPr>
        <w:t>Dans l’affaire Bagosora, ce dernier s’était plaint de la violation de son d’être jugé sans retards excessifs en s’appuyant notamment sur le fait que, « l’ouverture initialement fixée à mars 1998 avait été renvoyé à la suite d’une demande en jonction de sa cause avec celles de 28 autres personnes, introduite par le Procureur, encore que sa requête ait été rejetée, et que l’instance ait finalement été jointe à celles de Kabiligi, de Ntabakuze et de Nsengiyumva. Il a estimé que les procédures engagées aux fins de l’obtention de l’autorisation de joindre les causes des accusés ont eu pour effet de retarder le procès de Bagosora de quatre ans</w:t>
      </w:r>
      <w:r w:rsidRPr="00953692">
        <w:rPr>
          <w:rFonts w:cs="Times New Roman"/>
          <w:lang w:val="fr-FR"/>
        </w:rPr>
        <w:t> ». Voir TPIR, Chambre de première instance I, Le procureur c. Théoneste Bagosora et consorts., Jugement portant condamnation, précité, §. 73. Cependant, le Tribunal a rejeté ce motif estimant que la procédure de jonction d’instances est prévue par le Règlement et qu’elle était justifiée par (…) l’existence d’un lien entre leurs actes. Voir par. 82.</w:t>
      </w:r>
    </w:p>
  </w:footnote>
  <w:footnote w:id="209">
    <w:p w14:paraId="212A03DA" w14:textId="443CFF8B" w:rsidR="008B1083" w:rsidRPr="00953692" w:rsidRDefault="008B1083" w:rsidP="00E009F4">
      <w:pPr>
        <w:pStyle w:val="Notedebasdepage"/>
        <w:spacing w:line="276" w:lineRule="auto"/>
        <w:jc w:val="both"/>
        <w:rPr>
          <w:rFonts w:cs="Times New Roman"/>
          <w:lang w:val="fr-FR"/>
        </w:rPr>
      </w:pPr>
      <w:r w:rsidRPr="00953692">
        <w:rPr>
          <w:rStyle w:val="Appelnotedebasdep"/>
          <w:lang w:val="fr-FR"/>
        </w:rPr>
        <w:t>187</w:t>
      </w:r>
      <w:r w:rsidRPr="00953692">
        <w:rPr>
          <w:rFonts w:cs="Times New Roman"/>
          <w:lang w:val="fr-FR"/>
        </w:rPr>
        <w:t xml:space="preserve"> CPI, Chambre Préliminaire I, Le Procureur c. Jean-Pierre Bemba Gombo, Décision sur la demande d'indemnisation et de dommages-intérêts de M. Bemba, 18 mai 2020, ICC-01/05-01/08, par. 23.</w:t>
      </w:r>
    </w:p>
  </w:footnote>
  <w:footnote w:id="210">
    <w:p w14:paraId="22D422BD" w14:textId="1820BB3A" w:rsidR="008B1083" w:rsidRPr="00953692" w:rsidRDefault="008B1083" w:rsidP="00E009F4">
      <w:pPr>
        <w:pStyle w:val="Notedebasdepage"/>
        <w:spacing w:line="276" w:lineRule="auto"/>
        <w:jc w:val="both"/>
        <w:rPr>
          <w:rFonts w:cs="Times New Roman"/>
          <w:lang w:val="en-US"/>
        </w:rPr>
      </w:pPr>
      <w:r w:rsidRPr="00953692">
        <w:rPr>
          <w:rStyle w:val="Appelnotedebasdep"/>
          <w:lang w:val="en-US"/>
        </w:rPr>
        <w:t>188</w:t>
      </w:r>
      <w:r w:rsidRPr="00953692">
        <w:rPr>
          <w:rFonts w:cs="Times New Roman"/>
          <w:lang w:val="en-US"/>
        </w:rPr>
        <w:t xml:space="preserve"> Idem, par. 29 vi) (Mr Bemba submits that ‘[a] decade, to conclude a single accused case, with one form of liability, and events spanning a five-month period, is not reasonable’ and that, as a consequence, his ‘right to an expeditious trial was violated).</w:t>
      </w:r>
    </w:p>
  </w:footnote>
  <w:footnote w:id="211">
    <w:p w14:paraId="722188B8" w14:textId="76F896CD" w:rsidR="008B1083" w:rsidRPr="00953692" w:rsidRDefault="008B1083" w:rsidP="00E009F4">
      <w:pPr>
        <w:pStyle w:val="Notedebasdepage"/>
        <w:spacing w:line="276" w:lineRule="auto"/>
        <w:jc w:val="both"/>
        <w:rPr>
          <w:rFonts w:cs="Times New Roman"/>
          <w:lang w:val="fr-FR"/>
        </w:rPr>
      </w:pPr>
      <w:r w:rsidRPr="00953692">
        <w:rPr>
          <w:rStyle w:val="Appelnotedebasdep"/>
          <w:lang w:val="fr-FR"/>
        </w:rPr>
        <w:t>189</w:t>
      </w:r>
      <w:r w:rsidRPr="00953692">
        <w:rPr>
          <w:rFonts w:cs="Times New Roman"/>
          <w:lang w:val="fr-FR"/>
        </w:rPr>
        <w:t xml:space="preserve"> Idem, par. 68.</w:t>
      </w:r>
    </w:p>
  </w:footnote>
  <w:footnote w:id="212">
    <w:p w14:paraId="60981CF2" w14:textId="7585D1BC" w:rsidR="008B1083" w:rsidRPr="00953692" w:rsidRDefault="008B1083" w:rsidP="00E009F4">
      <w:pPr>
        <w:pStyle w:val="Notedebasdepage"/>
        <w:spacing w:line="276" w:lineRule="auto"/>
        <w:jc w:val="both"/>
        <w:rPr>
          <w:rFonts w:cs="Times New Roman"/>
          <w:lang w:val="fr-FR"/>
        </w:rPr>
      </w:pPr>
      <w:r w:rsidRPr="00953692">
        <w:rPr>
          <w:rStyle w:val="Appelnotedebasdep"/>
          <w:lang w:val="fr-FR"/>
        </w:rPr>
        <w:t>190</w:t>
      </w:r>
      <w:r w:rsidRPr="00953692">
        <w:rPr>
          <w:rFonts w:cs="Times New Roman"/>
          <w:lang w:val="fr-FR"/>
        </w:rPr>
        <w:t xml:space="preserve"> TPIR, Chambre de première instance III, Jean-Baptiste Gatete, Jugement portant condamnation, §. 63.</w:t>
      </w:r>
    </w:p>
  </w:footnote>
  <w:footnote w:id="213">
    <w:p w14:paraId="6A04ADEE" w14:textId="4FEBEF17" w:rsidR="008B1083" w:rsidRPr="00953692" w:rsidRDefault="008B1083" w:rsidP="00E009F4">
      <w:pPr>
        <w:spacing w:after="0" w:line="276" w:lineRule="auto"/>
        <w:jc w:val="both"/>
        <w:rPr>
          <w:rFonts w:eastAsia="Times New Roman" w:cs="Times New Roman"/>
          <w:sz w:val="20"/>
          <w:szCs w:val="20"/>
          <w:shd w:val="clear" w:color="auto" w:fill="FFFFFF"/>
          <w:lang w:val="fr-FR"/>
        </w:rPr>
      </w:pPr>
      <w:r w:rsidRPr="00953692">
        <w:rPr>
          <w:rStyle w:val="Appelnotedebasdep"/>
          <w:sz w:val="20"/>
          <w:szCs w:val="20"/>
          <w:lang w:val="fr-FR"/>
        </w:rPr>
        <w:t>191</w:t>
      </w:r>
      <w:r w:rsidRPr="00953692">
        <w:rPr>
          <w:rFonts w:cs="Times New Roman"/>
          <w:sz w:val="20"/>
          <w:szCs w:val="20"/>
          <w:lang w:val="fr-FR"/>
        </w:rPr>
        <w:t xml:space="preserve"> V. Opinion individuelle du président de la chambre, le juge Antonetti, relative à la requête de l'accusé Vojislav Seselj aux fins de mettre un terme à son procès, p. 6. </w:t>
      </w:r>
    </w:p>
  </w:footnote>
  <w:footnote w:id="214">
    <w:p w14:paraId="1DBF8B95" w14:textId="40003AB6" w:rsidR="00A5376B" w:rsidRPr="00953692" w:rsidRDefault="00A5376B" w:rsidP="00E009F4">
      <w:pPr>
        <w:pStyle w:val="Notedebasdepage"/>
        <w:spacing w:line="276" w:lineRule="auto"/>
        <w:jc w:val="both"/>
        <w:rPr>
          <w:rFonts w:cs="Times New Roman"/>
          <w:lang w:val="fr-FR"/>
        </w:rPr>
      </w:pPr>
      <w:r w:rsidRPr="00953692">
        <w:rPr>
          <w:rStyle w:val="Appelnotedebasdep"/>
          <w:lang w:val="fr-FR"/>
        </w:rPr>
        <w:t>192</w:t>
      </w:r>
      <w:r w:rsidRPr="00953692">
        <w:rPr>
          <w:rFonts w:cs="Times New Roman"/>
          <w:lang w:val="fr-FR"/>
        </w:rPr>
        <w:t xml:space="preserve"> </w:t>
      </w:r>
      <w:r w:rsidRPr="00953692">
        <w:rPr>
          <w:rFonts w:eastAsia="Times New Roman" w:cs="Times New Roman"/>
          <w:lang w:val="fr-FR"/>
        </w:rPr>
        <w:t>Fauveau Ivanovic N. La durée des procès internationaux et le droit au procès équitable. In: Revue Québécoise de droit international, hors-série octobre 2010. Association internationale des avocats de la défense (AIAD) p. 245.</w:t>
      </w:r>
    </w:p>
  </w:footnote>
  <w:footnote w:id="215">
    <w:p w14:paraId="0A93B74C" w14:textId="37D0CF90" w:rsidR="00A5376B" w:rsidRPr="00953692" w:rsidRDefault="00A5376B" w:rsidP="00E009F4">
      <w:pPr>
        <w:spacing w:after="0" w:line="276" w:lineRule="auto"/>
        <w:jc w:val="both"/>
        <w:rPr>
          <w:rFonts w:cs="Times New Roman"/>
          <w:sz w:val="20"/>
          <w:szCs w:val="20"/>
          <w:shd w:val="clear" w:color="auto" w:fill="FFFFFF"/>
          <w:lang w:val="fr-FR"/>
        </w:rPr>
      </w:pPr>
      <w:r w:rsidRPr="00953692">
        <w:rPr>
          <w:rStyle w:val="Appelnotedebasdep"/>
          <w:sz w:val="20"/>
          <w:szCs w:val="20"/>
          <w:lang w:val="fr-FR"/>
        </w:rPr>
        <w:t>193</w:t>
      </w:r>
      <w:r w:rsidRPr="00953692">
        <w:rPr>
          <w:rFonts w:cs="Times New Roman"/>
          <w:sz w:val="20"/>
          <w:szCs w:val="20"/>
          <w:lang w:val="fr-FR"/>
        </w:rPr>
        <w:t xml:space="preserve"> « </w:t>
      </w:r>
      <w:r w:rsidRPr="00953692">
        <w:rPr>
          <w:rFonts w:cs="Times New Roman"/>
          <w:sz w:val="20"/>
          <w:szCs w:val="20"/>
          <w:shd w:val="clear" w:color="auto" w:fill="FFFFFF"/>
          <w:lang w:val="fr-FR"/>
        </w:rPr>
        <w:t xml:space="preserve">Le contexte international est particulier et tout procès pénal international bien qu’il soit régi par des principes fondamentaux d’une procédure pénale se déroule dans un environnement dans lequel il est parfois difficile de faire valoir les droits de la Défense ». </w:t>
      </w:r>
      <w:r w:rsidRPr="00953692">
        <w:rPr>
          <w:rFonts w:cs="Times New Roman"/>
          <w:sz w:val="20"/>
          <w:szCs w:val="20"/>
          <w:lang w:val="fr-FR"/>
        </w:rPr>
        <w:t xml:space="preserve">V. </w:t>
      </w:r>
      <w:r w:rsidRPr="00953692">
        <w:rPr>
          <w:rFonts w:eastAsia="Times New Roman" w:cs="Times New Roman"/>
          <w:sz w:val="20"/>
          <w:szCs w:val="20"/>
          <w:shd w:val="clear" w:color="auto" w:fill="FFFFFF"/>
          <w:lang w:val="fr-FR"/>
        </w:rPr>
        <w:t>Fauveau Ivanovic, N. Op.cit, note 163, §. 12.</w:t>
      </w:r>
    </w:p>
  </w:footnote>
  <w:footnote w:id="216">
    <w:p w14:paraId="61E9549E" w14:textId="2944A089" w:rsidR="00A5376B" w:rsidRPr="00953692" w:rsidRDefault="00A5376B" w:rsidP="00E009F4">
      <w:pPr>
        <w:pStyle w:val="Notedebasdepage"/>
        <w:spacing w:line="276" w:lineRule="auto"/>
        <w:jc w:val="both"/>
        <w:rPr>
          <w:rFonts w:eastAsia="Times New Roman" w:cs="Times New Roman"/>
          <w:lang w:val="fr-FR"/>
        </w:rPr>
      </w:pPr>
      <w:r w:rsidRPr="00953692">
        <w:rPr>
          <w:rStyle w:val="Appelnotedebasdep"/>
          <w:lang w:val="fr-FR"/>
        </w:rPr>
        <w:t>194</w:t>
      </w:r>
      <w:r w:rsidRPr="00953692">
        <w:rPr>
          <w:rFonts w:cs="Times New Roman"/>
          <w:lang w:val="fr-FR"/>
        </w:rPr>
        <w:t xml:space="preserve"> Ost, F. « Conclusions générales », Le temps, la justice et le droit, Textes réunis par S. Gaboriau et H. Pauliat, Limoges, Pulim, 2004, p. 359. Cité par </w:t>
      </w:r>
      <w:r w:rsidRPr="00953692">
        <w:rPr>
          <w:rFonts w:eastAsia="Times New Roman" w:cs="Times New Roman"/>
          <w:lang w:val="fr-FR"/>
        </w:rPr>
        <w:t xml:space="preserve">Tulkens, F. « Le droit d’être jugé dans un délai raisonnable : les maux et les remèdes », </w:t>
      </w:r>
      <w:r w:rsidRPr="00953692">
        <w:rPr>
          <w:rFonts w:eastAsia="Times New Roman" w:cs="Times New Roman"/>
          <w:i/>
          <w:lang w:val="fr-FR"/>
        </w:rPr>
        <w:t>In</w:t>
      </w:r>
      <w:r w:rsidRPr="00953692">
        <w:rPr>
          <w:rFonts w:eastAsia="Times New Roman" w:cs="Times New Roman"/>
          <w:lang w:val="fr-FR"/>
        </w:rPr>
        <w:t xml:space="preserve"> Remèdes à la durée excessive des procédures : Une nouvelle approche des obligations des Etats-membres du Conseil de l’Europe, Strasbourg, 2006, p. 3.</w:t>
      </w:r>
    </w:p>
  </w:footnote>
  <w:footnote w:id="217">
    <w:p w14:paraId="0BD6CA03" w14:textId="2BE84682" w:rsidR="00A5376B" w:rsidRPr="00953692" w:rsidRDefault="00A5376B" w:rsidP="00E009F4">
      <w:pPr>
        <w:pStyle w:val="Notedebasdepage"/>
        <w:spacing w:line="276" w:lineRule="auto"/>
        <w:jc w:val="both"/>
        <w:rPr>
          <w:rFonts w:cs="Times New Roman"/>
          <w:lang w:val="fr-FR"/>
        </w:rPr>
      </w:pPr>
      <w:r w:rsidRPr="00953692">
        <w:rPr>
          <w:rStyle w:val="Appelnotedebasdep"/>
          <w:lang w:val="fr-FR"/>
        </w:rPr>
        <w:t>194</w:t>
      </w:r>
      <w:r w:rsidRPr="00953692">
        <w:rPr>
          <w:rFonts w:cs="Times New Roman"/>
          <w:lang w:val="fr-FR"/>
        </w:rPr>
        <w:t xml:space="preserve"> </w:t>
      </w:r>
      <w:r w:rsidRPr="00953692">
        <w:rPr>
          <w:rFonts w:eastAsia="Times New Roman" w:cs="Times New Roman"/>
          <w:lang w:val="fr-FR"/>
        </w:rPr>
        <w:t>Tulkens, F. Idem.</w:t>
      </w:r>
    </w:p>
  </w:footnote>
  <w:footnote w:id="218">
    <w:p w14:paraId="46A9B81E" w14:textId="26AD8EA7" w:rsidR="00A5376B" w:rsidRPr="00953692" w:rsidRDefault="00A5376B" w:rsidP="00E009F4">
      <w:pPr>
        <w:pStyle w:val="Notedebasdepage"/>
        <w:spacing w:line="276" w:lineRule="auto"/>
        <w:jc w:val="both"/>
        <w:rPr>
          <w:rFonts w:eastAsia="Times New Roman" w:cs="Times New Roman"/>
          <w:lang w:val="fr-FR"/>
        </w:rPr>
      </w:pPr>
      <w:r w:rsidRPr="00953692">
        <w:rPr>
          <w:rStyle w:val="Appelnotedebasdep"/>
          <w:lang w:val="fr-FR"/>
        </w:rPr>
        <w:t>195</w:t>
      </w:r>
      <w:r w:rsidRPr="00953692">
        <w:rPr>
          <w:rFonts w:cs="Times New Roman"/>
          <w:lang w:val="fr-FR"/>
        </w:rPr>
        <w:t xml:space="preserve"> </w:t>
      </w:r>
      <w:r w:rsidRPr="00953692">
        <w:rPr>
          <w:rFonts w:eastAsia="Times New Roman" w:cs="Times New Roman"/>
          <w:lang w:val="fr-FR"/>
        </w:rPr>
        <w:t xml:space="preserve">Beccaria, C. </w:t>
      </w:r>
      <w:r w:rsidRPr="00953692">
        <w:rPr>
          <w:rFonts w:eastAsia="Times New Roman" w:cs="Times New Roman"/>
          <w:i/>
          <w:lang w:val="fr-FR"/>
        </w:rPr>
        <w:t>Des délits et des peines</w:t>
      </w:r>
      <w:r w:rsidRPr="00953692">
        <w:rPr>
          <w:rFonts w:eastAsia="Times New Roman" w:cs="Times New Roman"/>
          <w:lang w:val="fr-FR"/>
        </w:rPr>
        <w:t>, (1764), GF Flammarion, 1991, p. 44.</w:t>
      </w:r>
    </w:p>
  </w:footnote>
  <w:footnote w:id="219">
    <w:p w14:paraId="1A3E2D64" w14:textId="2C53026C" w:rsidR="00A5376B" w:rsidRPr="00D14A9B" w:rsidRDefault="00A5376B" w:rsidP="00A5376B">
      <w:pPr>
        <w:pStyle w:val="Notedebasdepage"/>
        <w:spacing w:line="276" w:lineRule="auto"/>
        <w:jc w:val="both"/>
        <w:rPr>
          <w:rFonts w:cs="Times New Roman"/>
          <w:lang w:val="en-US"/>
        </w:rPr>
      </w:pPr>
      <w:r w:rsidRPr="00953692">
        <w:rPr>
          <w:rStyle w:val="Appelnotedebasdep"/>
          <w:lang w:val="fr-FR"/>
        </w:rPr>
        <w:t>196</w:t>
      </w:r>
      <w:r w:rsidRPr="00953692">
        <w:rPr>
          <w:rFonts w:cs="Times New Roman"/>
          <w:lang w:val="fr-FR"/>
        </w:rPr>
        <w:t xml:space="preserve"> TPIR, Chambre d’appel, Le procureur c. Jean-Bosco Barayagwiza, Arrêt du 3 novembre 1999, §. </w:t>
      </w:r>
      <w:r w:rsidRPr="00953692">
        <w:rPr>
          <w:rFonts w:cs="Times New Roman"/>
          <w:lang w:val="en-US"/>
        </w:rPr>
        <w:t>77. TPIY, Le Procureur c. Radovan Karadzic, Affaire No IT-95-5/18-AR73.4, original en anglais intitulé «Decision on Karadzic's appeal of the Trial Chamber’s decision on alleged Holhrooke agreement », public, 12 octobre 2009 (&lt;&lt; Décision Karadzié»), par. 45.</w:t>
      </w:r>
    </w:p>
  </w:footnote>
  <w:footnote w:id="220">
    <w:p w14:paraId="3C6D6275" w14:textId="6BF13F0B" w:rsidR="00A5376B" w:rsidRPr="00953692" w:rsidRDefault="00A5376B" w:rsidP="00A5376B">
      <w:pPr>
        <w:pStyle w:val="Notedebasdepage"/>
        <w:spacing w:line="276" w:lineRule="auto"/>
        <w:jc w:val="both"/>
        <w:rPr>
          <w:rFonts w:cs="Times New Roman"/>
          <w:lang w:val="fr-FR"/>
        </w:rPr>
      </w:pPr>
      <w:r w:rsidRPr="00953692">
        <w:rPr>
          <w:rStyle w:val="Appelnotedebasdep"/>
          <w:lang w:val="fr-FR"/>
        </w:rPr>
        <w:t>197</w:t>
      </w:r>
      <w:r w:rsidRPr="00953692">
        <w:rPr>
          <w:lang w:val="fr-FR"/>
        </w:rPr>
        <w:t xml:space="preserve"> </w:t>
      </w:r>
      <w:r w:rsidRPr="00953692">
        <w:rPr>
          <w:rFonts w:cs="Times New Roman"/>
          <w:lang w:val="fr-FR"/>
        </w:rPr>
        <w:t>CPI, Procureur s. Thomas Lubanga, Cour d'appel, Arrêt du 14 décembre 2006, op., §. 36, 37, 39.</w:t>
      </w:r>
    </w:p>
  </w:footnote>
  <w:footnote w:id="221">
    <w:p w14:paraId="00181927" w14:textId="04557FCB" w:rsidR="009E5D3B" w:rsidRPr="00953692" w:rsidRDefault="009E5D3B" w:rsidP="00E009F4">
      <w:pPr>
        <w:spacing w:after="0" w:line="276" w:lineRule="auto"/>
        <w:jc w:val="both"/>
        <w:rPr>
          <w:rFonts w:cs="Times New Roman"/>
          <w:sz w:val="20"/>
          <w:szCs w:val="20"/>
          <w:lang w:val="fr-FR"/>
        </w:rPr>
      </w:pPr>
      <w:r w:rsidRPr="00953692">
        <w:rPr>
          <w:rStyle w:val="Appelnotedebasdep"/>
          <w:rFonts w:cs="Times New Roman"/>
          <w:sz w:val="20"/>
          <w:szCs w:val="20"/>
          <w:lang w:val="fr-FR"/>
        </w:rPr>
        <w:t>198</w:t>
      </w:r>
      <w:r w:rsidRPr="00953692">
        <w:rPr>
          <w:rFonts w:cs="Times New Roman"/>
          <w:sz w:val="20"/>
          <w:szCs w:val="20"/>
          <w:lang w:val="fr-FR"/>
        </w:rPr>
        <w:t xml:space="preserve"> Laronde-Clérac</w:t>
      </w:r>
      <w:r w:rsidR="002D277F" w:rsidRPr="00953692">
        <w:rPr>
          <w:rFonts w:cs="Times New Roman"/>
          <w:sz w:val="20"/>
          <w:szCs w:val="20"/>
          <w:lang w:val="fr-FR"/>
        </w:rPr>
        <w:t>,</w:t>
      </w:r>
      <w:r w:rsidRPr="00953692">
        <w:rPr>
          <w:rFonts w:cs="Times New Roman"/>
          <w:sz w:val="20"/>
          <w:szCs w:val="20"/>
          <w:lang w:val="fr-FR"/>
        </w:rPr>
        <w:t xml:space="preserve"> C. « Fiche 4. Les droits de la défense », dans : , Les indispensables de la procédure pénale. sous la direction de Laronde-Clérac Céline. Paris, Ellipses, « Plein Droit », 2019, p. 29-35. URL : https://www.cairn.info/les-indispensables-de-la-procedure-penale--9782340035126-page-29.htm</w:t>
      </w:r>
    </w:p>
  </w:footnote>
  <w:footnote w:id="222">
    <w:p w14:paraId="159BBD95" w14:textId="5F144C1C"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199</w:t>
      </w:r>
      <w:r w:rsidRPr="00953692">
        <w:rPr>
          <w:rFonts w:cs="Times New Roman"/>
          <w:lang w:val="fr-FR"/>
        </w:rPr>
        <w:t xml:space="preserve"> Viktorsky</w:t>
      </w:r>
      <w:r w:rsidR="002D277F" w:rsidRPr="00953692">
        <w:rPr>
          <w:rFonts w:cs="Times New Roman"/>
          <w:lang w:val="fr-FR"/>
        </w:rPr>
        <w:t>,</w:t>
      </w:r>
      <w:r w:rsidRPr="00953692">
        <w:rPr>
          <w:rFonts w:cs="Times New Roman"/>
          <w:lang w:val="fr-FR"/>
        </w:rPr>
        <w:t xml:space="preserve"> V.I. Procédure pénale russe., M., 1912., P. 4. Borodinova T. G. La partie défenderesse et sa fonction au stade juridictionnel de la procédure pénale. </w:t>
      </w:r>
      <w:r w:rsidRPr="00953692">
        <w:rPr>
          <w:rFonts w:cs="Times New Roman"/>
        </w:rPr>
        <w:t>⸻</w:t>
      </w:r>
      <w:r w:rsidRPr="00953692">
        <w:rPr>
          <w:rFonts w:cs="Times New Roman"/>
          <w:lang w:val="fr-FR"/>
        </w:rPr>
        <w:t xml:space="preserve"> Rostov-sur-le-Don, 2005, P. 16.</w:t>
      </w:r>
    </w:p>
  </w:footnote>
  <w:footnote w:id="223">
    <w:p w14:paraId="3AEBD29B" w14:textId="457B3377"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200</w:t>
      </w:r>
      <w:r w:rsidRPr="00953692">
        <w:rPr>
          <w:rFonts w:cs="Times New Roman"/>
          <w:lang w:val="fr-FR"/>
        </w:rPr>
        <w:t xml:space="preserve"> Gladchenkova, S.V. et Rudakova, I. V. Droit à la défense dans les procédures pénales en Russie : fondements théoriques et aspects spécifiques de mise en œuvre // Bulletin VI du ministère de l'Intérieur de la Russie. 2022. N° 3. P. 209. URL : https://cyberleninka.ru/article/n/pravo-na-zaschitu-v-ugolovnom-protsesse-rossii-teoreticheskie-osnovy-i-otdelnye-aspekty-realizatsii (date d'accès : 11/12/2023).</w:t>
      </w:r>
    </w:p>
  </w:footnote>
  <w:footnote w:id="224">
    <w:p w14:paraId="2F740366" w14:textId="02BFE4E9" w:rsidR="009E5D3B" w:rsidRPr="00953692" w:rsidRDefault="009E5D3B" w:rsidP="00E009F4">
      <w:pPr>
        <w:pStyle w:val="Notedebasdepage"/>
        <w:spacing w:line="276" w:lineRule="auto"/>
        <w:jc w:val="both"/>
        <w:rPr>
          <w:rFonts w:cs="Times New Roman"/>
          <w:lang w:val="en-US"/>
        </w:rPr>
      </w:pPr>
      <w:r w:rsidRPr="00953692">
        <w:rPr>
          <w:rStyle w:val="Appelnotedebasdep"/>
          <w:rFonts w:cs="Times New Roman"/>
          <w:lang w:val="fr-FR"/>
        </w:rPr>
        <w:t>201</w:t>
      </w:r>
      <w:r w:rsidRPr="00953692">
        <w:rPr>
          <w:rFonts w:cs="Times New Roman"/>
          <w:lang w:val="fr-FR"/>
        </w:rPr>
        <w:t xml:space="preserve"> Gérard, P. Chapitre III. Le respect des droits de la défense In : Droit, égalité et idéologie : Contribution à l'étude critique des principes généraux du droit [en ligne]. Bruxelles : Presses de l’Université Saint-Louis, 1981 (généré le 12 novembre 2023). Disponible sur Internet : &lt;http://books.openedition.org/pusl/8109&gt;. </w:t>
      </w:r>
      <w:r w:rsidRPr="00953692">
        <w:rPr>
          <w:rFonts w:cs="Times New Roman"/>
          <w:lang w:val="en-US"/>
        </w:rPr>
        <w:t>ISBN : 9782802804512. DOI : https://doi.org/10.4000/books.pusl.8109.</w:t>
      </w:r>
    </w:p>
  </w:footnote>
  <w:footnote w:id="225">
    <w:p w14:paraId="3E010157" w14:textId="71F69F2E" w:rsidR="00E420AF" w:rsidRPr="00D14A9B" w:rsidRDefault="00E420AF" w:rsidP="00E009F4">
      <w:pPr>
        <w:pStyle w:val="Notedebasdepage"/>
        <w:spacing w:line="276" w:lineRule="auto"/>
        <w:jc w:val="both"/>
        <w:rPr>
          <w:rFonts w:cs="Times New Roman"/>
          <w:lang w:val="en-US"/>
        </w:rPr>
      </w:pPr>
      <w:r w:rsidRPr="00D14A9B">
        <w:rPr>
          <w:rStyle w:val="Appelnotedebasdep"/>
          <w:lang w:val="en-US"/>
        </w:rPr>
        <w:t>202</w:t>
      </w:r>
      <w:r w:rsidRPr="00D14A9B">
        <w:rPr>
          <w:rFonts w:cs="Times New Roman"/>
          <w:lang w:val="en-US"/>
        </w:rPr>
        <w:t xml:space="preserve"> Pradel, J. (1996). Op.cit., p. 517.</w:t>
      </w:r>
    </w:p>
  </w:footnote>
  <w:footnote w:id="226">
    <w:p w14:paraId="20438DFC" w14:textId="66435CEB" w:rsidR="00E420AF" w:rsidRPr="00953692" w:rsidRDefault="00E420AF" w:rsidP="00E009F4">
      <w:pPr>
        <w:pStyle w:val="Notedebasdepage"/>
        <w:spacing w:line="276" w:lineRule="auto"/>
        <w:jc w:val="both"/>
        <w:rPr>
          <w:rFonts w:cs="Times New Roman"/>
          <w:lang w:val="fr-FR"/>
        </w:rPr>
      </w:pPr>
      <w:r w:rsidRPr="00953692">
        <w:rPr>
          <w:rStyle w:val="Appelnotedebasdep"/>
          <w:lang w:val="fr-FR"/>
        </w:rPr>
        <w:t>203</w:t>
      </w:r>
      <w:r w:rsidRPr="00953692">
        <w:rPr>
          <w:rFonts w:cs="Times New Roman"/>
          <w:lang w:val="fr-FR"/>
        </w:rPr>
        <w:t xml:space="preserve"> </w:t>
      </w:r>
      <w:r w:rsidRPr="00953692">
        <w:rPr>
          <w:rFonts w:cs="Times New Roman"/>
          <w:shd w:val="clear" w:color="auto" w:fill="FFFFFF"/>
          <w:lang w:val="fr-FR"/>
        </w:rPr>
        <w:t>Communication n° 1128/2002, </w:t>
      </w:r>
      <w:r w:rsidRPr="00953692">
        <w:rPr>
          <w:rStyle w:val="Accentuation"/>
          <w:rFonts w:cs="Times New Roman"/>
          <w:shd w:val="clear" w:color="auto" w:fill="FFFFFF"/>
          <w:lang w:val="fr-FR"/>
        </w:rPr>
        <w:t>Morais c. Angola</w:t>
      </w:r>
      <w:r w:rsidRPr="00953692">
        <w:rPr>
          <w:rFonts w:cs="Times New Roman"/>
          <w:shd w:val="clear" w:color="auto" w:fill="FFFFFF"/>
          <w:lang w:val="fr-FR"/>
        </w:rPr>
        <w:t>, paragraphe 5.6. Communications similaires n° 349/1989, </w:t>
      </w:r>
      <w:r w:rsidRPr="00953692">
        <w:rPr>
          <w:rStyle w:val="Accentuation"/>
          <w:rFonts w:cs="Times New Roman"/>
          <w:shd w:val="clear" w:color="auto" w:fill="FFFFFF"/>
          <w:lang w:val="fr-FR"/>
        </w:rPr>
        <w:t>Wright c. Jamaïque</w:t>
      </w:r>
      <w:r w:rsidRPr="00953692">
        <w:rPr>
          <w:rFonts w:cs="Times New Roman"/>
          <w:shd w:val="clear" w:color="auto" w:fill="FFFFFF"/>
          <w:lang w:val="fr-FR"/>
        </w:rPr>
        <w:t>, paragraphe 8.4 ; n° 272/1988, </w:t>
      </w:r>
      <w:r w:rsidRPr="00953692">
        <w:rPr>
          <w:rStyle w:val="Accentuation"/>
          <w:rFonts w:cs="Times New Roman"/>
          <w:shd w:val="clear" w:color="auto" w:fill="FFFFFF"/>
          <w:lang w:val="fr-FR"/>
        </w:rPr>
        <w:t>Thomas c. Jamaïque</w:t>
      </w:r>
      <w:r w:rsidRPr="00953692">
        <w:rPr>
          <w:rFonts w:cs="Times New Roman"/>
          <w:shd w:val="clear" w:color="auto" w:fill="FFFFFF"/>
          <w:lang w:val="fr-FR"/>
        </w:rPr>
        <w:t>, paragraphe 11.4 ; n° 230/87, </w:t>
      </w:r>
      <w:r w:rsidRPr="00953692">
        <w:rPr>
          <w:rStyle w:val="Accentuation"/>
          <w:rFonts w:cs="Times New Roman"/>
          <w:shd w:val="clear" w:color="auto" w:fill="FFFFFF"/>
          <w:lang w:val="fr-FR"/>
        </w:rPr>
        <w:t>Henry c. Jamaïque</w:t>
      </w:r>
      <w:r w:rsidRPr="00953692">
        <w:rPr>
          <w:rFonts w:cs="Times New Roman"/>
          <w:shd w:val="clear" w:color="auto" w:fill="FFFFFF"/>
          <w:lang w:val="fr-FR"/>
        </w:rPr>
        <w:t>, paragraphe 8.2 ; No 226/1987 et No 256/1987, </w:t>
      </w:r>
      <w:r w:rsidRPr="00953692">
        <w:rPr>
          <w:rStyle w:val="Accentuation"/>
          <w:rFonts w:cs="Times New Roman"/>
          <w:shd w:val="clear" w:color="auto" w:fill="FFFFFF"/>
          <w:lang w:val="fr-FR"/>
        </w:rPr>
        <w:t>Sawyers, McLean et McLean c. Jamaïque</w:t>
      </w:r>
      <w:r w:rsidRPr="00953692">
        <w:rPr>
          <w:rFonts w:cs="Times New Roman"/>
          <w:shd w:val="clear" w:color="auto" w:fill="FFFFFF"/>
          <w:lang w:val="fr-FR"/>
        </w:rPr>
        <w:t>, paragraphe 13.6.</w:t>
      </w:r>
    </w:p>
  </w:footnote>
  <w:footnote w:id="227">
    <w:p w14:paraId="0FFE8D0A" w14:textId="77AC5E62" w:rsidR="00E420AF" w:rsidRPr="00953692" w:rsidRDefault="00E420AF" w:rsidP="00E009F4">
      <w:pPr>
        <w:pStyle w:val="Notedebasdepage"/>
        <w:spacing w:line="276" w:lineRule="auto"/>
        <w:jc w:val="both"/>
        <w:rPr>
          <w:rFonts w:cs="Times New Roman"/>
          <w:lang w:val="fr-FR"/>
        </w:rPr>
      </w:pPr>
      <w:r w:rsidRPr="00953692">
        <w:rPr>
          <w:rStyle w:val="Appelnotedebasdep"/>
          <w:lang w:val="fr-FR"/>
        </w:rPr>
        <w:t>204</w:t>
      </w:r>
      <w:r w:rsidRPr="00953692">
        <w:rPr>
          <w:rFonts w:cs="Times New Roman"/>
          <w:lang w:val="fr-FR"/>
        </w:rPr>
        <w:t xml:space="preserve"> Les articles 21 (4) (a) du statut actualisé du tribunal pénal international pour l’ex-Yougoslavie de 1993 ; 20 (4) (a) du Statut du tribunal pénal international pour le Rwanda de 1994 ; 17 (4)(a) du Statut du Tribunal Spécial pour la Sierra Leone de 2002 ; 6 (3)(a) du Règlement transitoire de la procédure pénale Timor Oriental ; 15 (a) et 16 (4)(a) du Statut du Tribunal spécial pour le Liban, 2007 ; articles 55 (2) (a) et 67 (1) (a) du Statut de Rome ; article 21-4-a de la Loi n°05/L-053 sur les Chambres spécialisées et les parquets spécialisés du 3 Aout 2015 ; Règle 21 (a) du Règlement intérieur des Chambres extraordinaires au sein des tribunaux cambodgiens (rev.9), 16 janvier 2015 ; Article 21-4-a</w:t>
      </w:r>
      <w:r w:rsidRPr="00953692">
        <w:rPr>
          <w:rFonts w:cs="Times New Roman"/>
          <w:shd w:val="clear" w:color="auto" w:fill="FFFFFF"/>
          <w:lang w:val="fr-FR"/>
        </w:rPr>
        <w:t xml:space="preserve"> du Statut des Chambres africaines extraordinaires au sein des juridictions sénégalaises. </w:t>
      </w:r>
      <w:r w:rsidRPr="00953692">
        <w:rPr>
          <w:rFonts w:cs="Times New Roman"/>
          <w:lang w:val="fr-FR"/>
        </w:rPr>
        <w:t>Article 4-B-a et 5-D-a de la loi précitée portant Règlement de procédure et de preuve devant la Cour Pénale Spéciale de la République Centrafricaine.</w:t>
      </w:r>
    </w:p>
  </w:footnote>
  <w:footnote w:id="228">
    <w:p w14:paraId="7011A5DF" w14:textId="1978EF08" w:rsidR="00E420AF" w:rsidRPr="00953692" w:rsidRDefault="00E420AF" w:rsidP="00E009F4">
      <w:pPr>
        <w:pStyle w:val="Notedebasdepage"/>
        <w:spacing w:line="276" w:lineRule="auto"/>
        <w:jc w:val="both"/>
        <w:rPr>
          <w:rFonts w:cs="Times New Roman"/>
          <w:lang w:val="fr-FR"/>
        </w:rPr>
      </w:pPr>
      <w:r w:rsidRPr="00953692">
        <w:rPr>
          <w:rStyle w:val="Appelnotedebasdep"/>
          <w:lang w:val="fr-FR"/>
        </w:rPr>
        <w:t>205</w:t>
      </w:r>
      <w:r w:rsidRPr="00953692">
        <w:rPr>
          <w:rFonts w:cs="Times New Roman"/>
          <w:lang w:val="fr-FR"/>
        </w:rPr>
        <w:t xml:space="preserve"> TPIY, La Chambre de première instance, Le Procureur c/ Zejnil Delalic Zdravko Mucic alias "PAVO" et Hazim Delic Esad Landzo alias "ZENGA", Décision relative aux requêtes aux fins d'ajournement de la date du procès, 3 février 1997, par. 2. </w:t>
      </w:r>
    </w:p>
  </w:footnote>
  <w:footnote w:id="229">
    <w:p w14:paraId="0E45BBBA" w14:textId="59FC07C8" w:rsidR="00E420AF" w:rsidRPr="00953692" w:rsidRDefault="00E420AF" w:rsidP="00E009F4">
      <w:pPr>
        <w:pStyle w:val="Notedebasdepage"/>
        <w:spacing w:line="276" w:lineRule="auto"/>
        <w:jc w:val="both"/>
        <w:rPr>
          <w:rFonts w:cs="Times New Roman"/>
          <w:lang w:val="fr-FR"/>
        </w:rPr>
      </w:pPr>
      <w:r w:rsidRPr="00953692">
        <w:rPr>
          <w:rStyle w:val="Appelnotedebasdep"/>
          <w:lang w:val="fr-FR"/>
        </w:rPr>
        <w:t>206</w:t>
      </w:r>
      <w:r w:rsidRPr="00953692">
        <w:rPr>
          <w:rFonts w:cs="Times New Roman"/>
          <w:lang w:val="fr-FR"/>
        </w:rPr>
        <w:t xml:space="preserve"> Idem, par. 3.</w:t>
      </w:r>
    </w:p>
  </w:footnote>
  <w:footnote w:id="230">
    <w:p w14:paraId="60723782" w14:textId="5D673D09" w:rsidR="00E420AF" w:rsidRPr="00953692" w:rsidRDefault="00E420AF" w:rsidP="00E009F4">
      <w:pPr>
        <w:pStyle w:val="Notedebasdepage"/>
        <w:spacing w:line="276" w:lineRule="auto"/>
        <w:jc w:val="both"/>
        <w:rPr>
          <w:rFonts w:cs="Times New Roman"/>
          <w:lang w:val="fr-FR"/>
        </w:rPr>
      </w:pPr>
      <w:r w:rsidRPr="00953692">
        <w:rPr>
          <w:rStyle w:val="Appelnotedebasdep"/>
          <w:lang w:val="fr-FR"/>
        </w:rPr>
        <w:t>207</w:t>
      </w:r>
      <w:r w:rsidRPr="00953692">
        <w:rPr>
          <w:rFonts w:cs="Times New Roman"/>
          <w:lang w:val="fr-FR"/>
        </w:rPr>
        <w:t xml:space="preserve"> Ibd., par. 12-18. « L’Accusation a soutenu de prime abord que la Défense a eu amplement le temps depuis la comparution initiale des accusés pour se préparer au procès ».</w:t>
      </w:r>
    </w:p>
  </w:footnote>
  <w:footnote w:id="231">
    <w:p w14:paraId="53D1E35B" w14:textId="2FF1AE30" w:rsidR="00E420AF" w:rsidRPr="00953692" w:rsidRDefault="00E420AF" w:rsidP="00E009F4">
      <w:pPr>
        <w:pStyle w:val="Notedebasdepage"/>
        <w:spacing w:line="276" w:lineRule="auto"/>
        <w:jc w:val="both"/>
        <w:rPr>
          <w:rFonts w:cs="Times New Roman"/>
          <w:lang w:val="fr-FR"/>
        </w:rPr>
      </w:pPr>
      <w:r w:rsidRPr="00953692">
        <w:rPr>
          <w:rStyle w:val="Appelnotedebasdep"/>
          <w:lang w:val="fr-FR"/>
        </w:rPr>
        <w:t>208</w:t>
      </w:r>
      <w:r w:rsidRPr="00953692">
        <w:rPr>
          <w:rFonts w:cs="Times New Roman"/>
          <w:lang w:val="fr-FR"/>
        </w:rPr>
        <w:t xml:space="preserve"> Ibd., par. 19.</w:t>
      </w:r>
    </w:p>
  </w:footnote>
  <w:footnote w:id="232">
    <w:p w14:paraId="725318FE" w14:textId="31797258" w:rsidR="00E420AF" w:rsidRPr="00953692" w:rsidRDefault="00E420AF" w:rsidP="00E009F4">
      <w:pPr>
        <w:pStyle w:val="Notedebasdepage"/>
        <w:spacing w:line="276" w:lineRule="auto"/>
        <w:jc w:val="both"/>
        <w:rPr>
          <w:rFonts w:eastAsia="Times New Roman" w:cs="Times New Roman"/>
          <w:lang w:val="fr-FR" w:eastAsia="ru-RU"/>
        </w:rPr>
      </w:pPr>
      <w:r w:rsidRPr="00953692">
        <w:rPr>
          <w:rStyle w:val="Appelnotedebasdep"/>
          <w:lang w:val="fr-FR"/>
        </w:rPr>
        <w:t>209</w:t>
      </w:r>
      <w:r w:rsidRPr="00953692">
        <w:rPr>
          <w:rFonts w:cs="Times New Roman"/>
          <w:lang w:val="fr-FR"/>
        </w:rPr>
        <w:t xml:space="preserve"> CPI, </w:t>
      </w:r>
      <w:r w:rsidRPr="00953692">
        <w:rPr>
          <w:rFonts w:eastAsia="Times New Roman" w:cs="Times New Roman"/>
          <w:i/>
          <w:lang w:val="fr-FR" w:eastAsia="ru-RU"/>
        </w:rPr>
        <w:t>Document de politique générale relatif à la sélection et à la hiérarchisation des affaires</w:t>
      </w:r>
      <w:r w:rsidRPr="00953692">
        <w:rPr>
          <w:rFonts w:eastAsia="Times New Roman" w:cs="Times New Roman"/>
          <w:lang w:val="fr-FR" w:eastAsia="ru-RU"/>
        </w:rPr>
        <w:t>, septembre 2016, §. 5.</w:t>
      </w:r>
    </w:p>
  </w:footnote>
  <w:footnote w:id="233">
    <w:p w14:paraId="70441F3A" w14:textId="25F54DBF" w:rsidR="00E420AF" w:rsidRPr="00953692" w:rsidRDefault="00E420AF" w:rsidP="00E009F4">
      <w:pPr>
        <w:pStyle w:val="Notedebasdepage"/>
        <w:spacing w:line="276" w:lineRule="auto"/>
        <w:jc w:val="both"/>
        <w:rPr>
          <w:rFonts w:cs="Times New Roman"/>
          <w:lang w:val="fr-FR"/>
        </w:rPr>
      </w:pPr>
      <w:r w:rsidRPr="00953692">
        <w:rPr>
          <w:rStyle w:val="Appelnotedebasdep"/>
          <w:lang w:val="fr-FR"/>
        </w:rPr>
        <w:t>210</w:t>
      </w:r>
      <w:r w:rsidRPr="00953692">
        <w:rPr>
          <w:rFonts w:cs="Times New Roman"/>
          <w:lang w:val="fr-FR"/>
        </w:rPr>
        <w:t xml:space="preserve"> TPIY, La Chambre de première instance, Le Procureur c/ Zejnil Delalic Zdravko Mucic alias "PAVO" et Hazim Delic Esad Landzo alias "ZENGA", Supra, note 185.</w:t>
      </w:r>
    </w:p>
  </w:footnote>
  <w:footnote w:id="234">
    <w:p w14:paraId="45B58B80" w14:textId="527EA4C0" w:rsidR="00E420AF" w:rsidRPr="00953692" w:rsidRDefault="00E420AF" w:rsidP="00E009F4">
      <w:pPr>
        <w:pStyle w:val="Notedebasdepage"/>
        <w:spacing w:line="276" w:lineRule="auto"/>
        <w:jc w:val="both"/>
        <w:rPr>
          <w:rFonts w:eastAsia="Calibri" w:cs="Times New Roman"/>
          <w:lang w:val="fr-FR"/>
        </w:rPr>
      </w:pPr>
      <w:r w:rsidRPr="00953692">
        <w:rPr>
          <w:rStyle w:val="Appelnotedebasdep"/>
          <w:lang w:val="fr-FR"/>
        </w:rPr>
        <w:t>211</w:t>
      </w:r>
      <w:r w:rsidRPr="00953692">
        <w:rPr>
          <w:rFonts w:cs="Times New Roman"/>
          <w:lang w:val="fr-FR"/>
        </w:rPr>
        <w:t xml:space="preserve"> </w:t>
      </w:r>
      <w:r w:rsidRPr="00953692">
        <w:rPr>
          <w:rFonts w:eastAsia="Calibri" w:cs="Times New Roman"/>
          <w:lang w:val="fr-FR"/>
        </w:rPr>
        <w:t>Flamme, J. L'affaire Lubanga au stade préliminaire devant la Cour pénale internationale : Une primeur historique, également pour les droits de l'homme et les droits de la défense ? In : Revue Québécoise de droit international, hors-série octobre 2010. Association internationale des avocats de la défense (AIAD) pp. 148.</w:t>
      </w:r>
    </w:p>
  </w:footnote>
  <w:footnote w:id="235">
    <w:p w14:paraId="254CBE0C" w14:textId="57070C13" w:rsidR="00E420AF" w:rsidRPr="00953692" w:rsidRDefault="00E420AF" w:rsidP="00E009F4">
      <w:pPr>
        <w:pStyle w:val="Notedebasdepage"/>
        <w:spacing w:line="276" w:lineRule="auto"/>
        <w:jc w:val="both"/>
        <w:rPr>
          <w:rFonts w:eastAsia="Times New Roman" w:cs="Times New Roman"/>
          <w:lang w:val="fr-FR"/>
        </w:rPr>
      </w:pPr>
      <w:r w:rsidRPr="00953692">
        <w:rPr>
          <w:rStyle w:val="Appelnotedebasdep"/>
          <w:lang w:val="fr-FR"/>
        </w:rPr>
        <w:t>212</w:t>
      </w:r>
      <w:r w:rsidRPr="00953692">
        <w:rPr>
          <w:rFonts w:cs="Times New Roman"/>
          <w:lang w:val="fr-FR"/>
        </w:rPr>
        <w:t xml:space="preserve"> </w:t>
      </w:r>
      <w:r w:rsidRPr="00953692">
        <w:rPr>
          <w:rFonts w:eastAsia="Calibri" w:cs="Times New Roman"/>
          <w:lang w:val="fr-FR"/>
        </w:rPr>
        <w:t xml:space="preserve">Il faut voir particulièrement ici la période de l’examen préliminaire durant laquelle le Procureur ne reçoit aucune pression sur le plan juridique, venant de qui que ce soit, sur la gestion de son temps d’analyse. V. CPI, </w:t>
      </w:r>
      <w:r w:rsidRPr="00953692">
        <w:rPr>
          <w:rFonts w:eastAsia="Times New Roman" w:cs="Times New Roman"/>
          <w:lang w:val="fr-FR"/>
        </w:rPr>
        <w:t>Situation en République centrafricaine, Rapport de l’Accusation à la suite de la décision de la Chambre préliminaire III du 30 novembre 2006 sollicitant des informations sur l’état d’avancement de l’examen préliminaire de la situation en République centrafricaine, ICC-01/05-7-tFRA, 15 décembre 2006, par. 7 et 8.</w:t>
      </w:r>
    </w:p>
  </w:footnote>
  <w:footnote w:id="236">
    <w:p w14:paraId="1267D8A1" w14:textId="0DD0A402" w:rsidR="00E420AF" w:rsidRPr="00953692" w:rsidRDefault="00E420AF" w:rsidP="00E009F4">
      <w:pPr>
        <w:pStyle w:val="Notedebasdepage"/>
        <w:spacing w:line="276" w:lineRule="auto"/>
        <w:jc w:val="both"/>
        <w:rPr>
          <w:rFonts w:cs="Times New Roman"/>
          <w:lang w:val="fr-FR"/>
        </w:rPr>
      </w:pPr>
      <w:r w:rsidRPr="00953692">
        <w:rPr>
          <w:rStyle w:val="Appelnotedebasdep"/>
          <w:lang w:val="fr-FR"/>
        </w:rPr>
        <w:t>213</w:t>
      </w:r>
      <w:r w:rsidRPr="00953692">
        <w:rPr>
          <w:rFonts w:cs="Times New Roman"/>
          <w:lang w:val="fr-FR"/>
        </w:rPr>
        <w:t xml:space="preserve"> Voir par exemple les article 20-4-e du statut du TPIR, 21-4-e du statut du TPIY et 67-1-e du statut de Rome.</w:t>
      </w:r>
    </w:p>
  </w:footnote>
  <w:footnote w:id="237">
    <w:p w14:paraId="640C2EEC" w14:textId="109083C3" w:rsidR="00E420AF" w:rsidRPr="00953692" w:rsidRDefault="00E420AF" w:rsidP="00E009F4">
      <w:pPr>
        <w:pStyle w:val="Notedebasdepage"/>
        <w:spacing w:line="276" w:lineRule="auto"/>
        <w:jc w:val="both"/>
        <w:rPr>
          <w:rFonts w:cs="Times New Roman"/>
          <w:lang w:val="fr-FR"/>
        </w:rPr>
      </w:pPr>
      <w:r w:rsidRPr="00953692">
        <w:rPr>
          <w:rStyle w:val="Appelnotedebasdep"/>
          <w:lang w:val="fr-FR"/>
        </w:rPr>
        <w:t>214</w:t>
      </w:r>
      <w:r w:rsidRPr="00953692">
        <w:rPr>
          <w:rFonts w:cs="Times New Roman"/>
          <w:lang w:val="fr-FR"/>
        </w:rPr>
        <w:t xml:space="preserve"> TPIR, Chambre d’appel, Ferdinand Nahimana Jean-Bosco Barayagwiza Hassan Ngeze (Appelants) c. Le Procureur (Intimé) Arrêt, 28 novembre 2007 Affaire n° ICTR-99-52-A, §.170.</w:t>
      </w:r>
    </w:p>
  </w:footnote>
  <w:footnote w:id="238">
    <w:p w14:paraId="7E9FA646" w14:textId="30DC85A4" w:rsidR="00E420AF" w:rsidRPr="00953692" w:rsidRDefault="00E420AF" w:rsidP="00E009F4">
      <w:pPr>
        <w:pStyle w:val="Notedebasdepage"/>
        <w:spacing w:line="276" w:lineRule="auto"/>
        <w:jc w:val="both"/>
        <w:rPr>
          <w:rFonts w:cs="Times New Roman"/>
          <w:lang w:val="fr-FR"/>
        </w:rPr>
      </w:pPr>
      <w:r w:rsidRPr="00953692">
        <w:rPr>
          <w:rStyle w:val="Appelnotedebasdep"/>
          <w:lang w:val="fr-FR"/>
        </w:rPr>
        <w:t>215</w:t>
      </w:r>
      <w:r w:rsidRPr="00953692">
        <w:rPr>
          <w:rFonts w:cs="Times New Roman"/>
          <w:lang w:val="fr-FR"/>
        </w:rPr>
        <w:t xml:space="preserve"> Idem, §.171-172.</w:t>
      </w:r>
    </w:p>
  </w:footnote>
  <w:footnote w:id="239">
    <w:p w14:paraId="4068D94E" w14:textId="71FFD072" w:rsidR="00E420AF" w:rsidRPr="00953692" w:rsidRDefault="00E420AF" w:rsidP="00E009F4">
      <w:pPr>
        <w:pStyle w:val="Notedebasdepage"/>
        <w:spacing w:line="276" w:lineRule="auto"/>
        <w:jc w:val="both"/>
        <w:rPr>
          <w:rFonts w:cs="Times New Roman"/>
          <w:lang w:val="fr-FR"/>
        </w:rPr>
      </w:pPr>
      <w:r w:rsidRPr="00953692">
        <w:rPr>
          <w:rStyle w:val="Appelnotedebasdep"/>
          <w:lang w:val="fr-FR"/>
        </w:rPr>
        <w:t>216</w:t>
      </w:r>
      <w:r w:rsidRPr="00953692">
        <w:rPr>
          <w:rFonts w:cs="Times New Roman"/>
          <w:lang w:val="fr-FR"/>
        </w:rPr>
        <w:t xml:space="preserve"> TPIR, Chambre d’appel, Arrêt Ferdinand Nahimana, Jean-Bosco Barayagwiza et Hassan Ngeze, par. 173.</w:t>
      </w:r>
    </w:p>
  </w:footnote>
  <w:footnote w:id="240">
    <w:p w14:paraId="1FD63E66" w14:textId="63448578" w:rsidR="00E420AF" w:rsidRPr="00953692" w:rsidRDefault="00E420AF" w:rsidP="00E009F4">
      <w:pPr>
        <w:pStyle w:val="Notedebasdepage"/>
        <w:spacing w:line="276" w:lineRule="auto"/>
        <w:jc w:val="both"/>
        <w:rPr>
          <w:rFonts w:cs="Times New Roman"/>
          <w:lang w:val="fr-FR"/>
        </w:rPr>
      </w:pPr>
      <w:r w:rsidRPr="00953692">
        <w:rPr>
          <w:rStyle w:val="Appelnotedebasdep"/>
          <w:lang w:val="fr-FR"/>
        </w:rPr>
        <w:t>217</w:t>
      </w:r>
      <w:r w:rsidRPr="00953692">
        <w:rPr>
          <w:rFonts w:cs="Times New Roman"/>
          <w:lang w:val="fr-FR"/>
        </w:rPr>
        <w:t xml:space="preserve"> TPIR, Chambre de première instance, Le Procureur c. Edouard Karemera et Matthieu Ngirumpatse, Jugement portant condamnation, 12 février 2012, ICTR-98 -44-T, §. 82.</w:t>
      </w:r>
    </w:p>
  </w:footnote>
  <w:footnote w:id="241">
    <w:p w14:paraId="29FF7F6F" w14:textId="33D9A65B" w:rsidR="00E420AF" w:rsidRPr="00953692" w:rsidRDefault="00E420AF" w:rsidP="00E009F4">
      <w:pPr>
        <w:pStyle w:val="Notedebasdepage"/>
        <w:spacing w:line="276" w:lineRule="auto"/>
        <w:jc w:val="both"/>
        <w:rPr>
          <w:rFonts w:cs="Times New Roman"/>
          <w:lang w:val="fr-FR"/>
        </w:rPr>
      </w:pPr>
      <w:r w:rsidRPr="00953692">
        <w:rPr>
          <w:rStyle w:val="Appelnotedebasdep"/>
          <w:lang w:val="fr-FR"/>
        </w:rPr>
        <w:t>218</w:t>
      </w:r>
      <w:r w:rsidRPr="00953692">
        <w:rPr>
          <w:rFonts w:cs="Times New Roman"/>
          <w:lang w:val="fr-FR"/>
        </w:rPr>
        <w:t xml:space="preserve"> Idem, par. 85.Voir aussi Le Procureur c. Edouard Karemera, Matthieu Ngirumpatse et Joseph Nzirorera, affaire n° ICTR-98-44- AR73.14, Decision on Mathieu Ngirumpatse's Appealfrom the Trial Chamber Decision of l7 September2008 (Chambre d'appel), 30 janvier 2009.</w:t>
      </w:r>
    </w:p>
  </w:footnote>
  <w:footnote w:id="242">
    <w:p w14:paraId="70073EC6" w14:textId="355FE371" w:rsidR="00E420AF" w:rsidRPr="00953692" w:rsidRDefault="00E420AF" w:rsidP="00E009F4">
      <w:pPr>
        <w:pStyle w:val="Notedebasdepage"/>
        <w:spacing w:line="276" w:lineRule="auto"/>
        <w:jc w:val="both"/>
        <w:rPr>
          <w:rFonts w:cs="Times New Roman"/>
          <w:lang w:val="fr-FR"/>
        </w:rPr>
      </w:pPr>
      <w:r w:rsidRPr="00953692">
        <w:rPr>
          <w:rStyle w:val="Appelnotedebasdep"/>
          <w:lang w:val="fr-FR"/>
        </w:rPr>
        <w:t>219</w:t>
      </w:r>
      <w:r w:rsidRPr="00953692">
        <w:rPr>
          <w:rFonts w:cs="Times New Roman"/>
          <w:lang w:val="fr-FR"/>
        </w:rPr>
        <w:t xml:space="preserve"> La Chambre de première instance I, Le Procureur c. Laurent Gbagbo et Le Procureur c. Charles Blé Goudé, Observations portant sur le temps dont devrait disposer l’accusé pour préparer effectivement et efficacement sa défense, N° : ICC-02/11-01/15, 14 avril 2015, par. 7-8. Pour tenter de convaincre la Chambre, la Défense a argué notamment que : « …l’égalité des armes constitue une condition indispensable à un procès contradictoire, un élément de la notion de procès équitable destiné à offrir à l’accusation et à la Défense les mêmes moyens lorsqu’elles présentent leur cause (CEDH, Rowe et Davis c. Royaume-Uni, requête n°28901/95, arrêt, 16 février 2000, par. 59-61 ; Laukkanen et Manninen c. Finlande, requête n° 50230/99, Arrêt, 3 février 2004, par.34.). La notion de procès équitable, sous tous ses aspects, est étroitement liée au principe d’égalité des armes, qui garantit que chaque partie a la même possibilité de présenter sa cause devant la cour (CEDH, Bulut c. Autriche, requête n°17358/90, Arrêt, 22 février 1996, par.47.). Cette possibilité offerte à chaque partie doit, sans nul doute, leur permettre de présenter leur cause de manière adéquate. L’égalité devant la loi et l’administration de la justice est omniprésente dans l’ensemble du processus judiciaire. C’est un pilier de la justice, un principe fondamental du droit, comme le reconnaît la Cour internationale de Justice » (CIJ, Jugements du Tribunal administratif de l’OIT sur requêtes contre l’UNESCO, avis consultatif 23 octobre 1956, Rapports de la CIJ (1956), p. 77, 84 et suivantes (Kolb R. in Zimmermann A. et al. </w:t>
      </w:r>
      <w:r w:rsidRPr="00953692">
        <w:rPr>
          <w:rFonts w:cs="Times New Roman"/>
          <w:lang w:val="en-US"/>
        </w:rPr>
        <w:t xml:space="preserve">(éd.), The Statute of the International Court of Justice (Oxford University Press, 2006), p. 800,803). </w:t>
      </w:r>
      <w:r w:rsidRPr="00953692">
        <w:rPr>
          <w:rFonts w:cs="Times New Roman"/>
          <w:lang w:val="fr-FR"/>
        </w:rPr>
        <w:t>Parmi les droits dont l’accusé doit disposer pour être traité sur le même plan que l’Accusation, celui de « disposer du temps et des facilités nécessaires à la préparation de sa défense », droit non seulement reconnu par le Statut, mais aussi par tous les Traités relatifs à la protection des droits de l’homme comme découlant du droit au procès équitable.</w:t>
      </w:r>
    </w:p>
  </w:footnote>
  <w:footnote w:id="243">
    <w:p w14:paraId="3A03C86A" w14:textId="33F576DF" w:rsidR="00E420AF" w:rsidRPr="00953692" w:rsidRDefault="00E420AF" w:rsidP="00E009F4">
      <w:pPr>
        <w:pStyle w:val="Notedebasdepage"/>
        <w:spacing w:line="276" w:lineRule="auto"/>
        <w:jc w:val="both"/>
        <w:rPr>
          <w:rFonts w:cs="Times New Roman"/>
          <w:lang w:val="fr-FR"/>
        </w:rPr>
      </w:pPr>
      <w:r w:rsidRPr="00953692">
        <w:rPr>
          <w:rStyle w:val="Appelnotedebasdep"/>
          <w:lang w:val="fr-FR"/>
        </w:rPr>
        <w:t>220</w:t>
      </w:r>
      <w:r w:rsidRPr="00953692">
        <w:rPr>
          <w:rFonts w:cs="Times New Roman"/>
          <w:lang w:val="fr-FR"/>
        </w:rPr>
        <w:t xml:space="preserve"> Idem, p. 70-71.</w:t>
      </w:r>
    </w:p>
  </w:footnote>
  <w:footnote w:id="244">
    <w:p w14:paraId="16B33564" w14:textId="26B7EEC7" w:rsidR="00C631C6" w:rsidRPr="00953692" w:rsidRDefault="00C631C6" w:rsidP="00E009F4">
      <w:pPr>
        <w:pStyle w:val="Notedebasdepage"/>
        <w:spacing w:line="276" w:lineRule="auto"/>
        <w:jc w:val="both"/>
        <w:rPr>
          <w:rFonts w:cs="Times New Roman"/>
          <w:lang w:val="fr-FR"/>
        </w:rPr>
      </w:pPr>
      <w:r w:rsidRPr="00953692">
        <w:rPr>
          <w:rStyle w:val="Appelnotedebasdep"/>
          <w:lang w:val="fr-FR"/>
        </w:rPr>
        <w:t>221</w:t>
      </w:r>
      <w:r w:rsidRPr="00953692">
        <w:rPr>
          <w:rFonts w:cs="Times New Roman"/>
          <w:lang w:val="fr-FR"/>
        </w:rPr>
        <w:t xml:space="preserve"> CPI, La Chambre de première instance I, le Procureur c. Laurent Gbagbo et Charles Blé Goudé, Observations portant sur le temps dont devrait disposer l’accusé pour préparer effectivement et efficacement sa défense, ICC-02/11-01/15, 14 avril 2015, §.12.</w:t>
      </w:r>
    </w:p>
  </w:footnote>
  <w:footnote w:id="245">
    <w:p w14:paraId="15AC2F8C" w14:textId="19641FDE" w:rsidR="00C631C6" w:rsidRPr="00953692" w:rsidRDefault="00C631C6" w:rsidP="00E009F4">
      <w:pPr>
        <w:pStyle w:val="Notedebasdepage"/>
        <w:spacing w:line="276" w:lineRule="auto"/>
        <w:jc w:val="both"/>
        <w:rPr>
          <w:rFonts w:cs="Times New Roman"/>
          <w:lang w:val="fr-FR"/>
        </w:rPr>
      </w:pPr>
      <w:r w:rsidRPr="00953692">
        <w:rPr>
          <w:rStyle w:val="Appelnotedebasdep"/>
          <w:lang w:val="fr-FR"/>
        </w:rPr>
        <w:t>222</w:t>
      </w:r>
      <w:r w:rsidRPr="00953692">
        <w:rPr>
          <w:rFonts w:cs="Times New Roman"/>
          <w:lang w:val="fr-FR"/>
        </w:rPr>
        <w:t xml:space="preserve"> CPI, La Chambre de première instance I, le Procureur c. Laurent Gbagbo et Charles Blé Goudé, par.15.</w:t>
      </w:r>
    </w:p>
  </w:footnote>
  <w:footnote w:id="246">
    <w:p w14:paraId="1BD94E77" w14:textId="51C2D244" w:rsidR="00C631C6" w:rsidRPr="00953692" w:rsidRDefault="00C631C6" w:rsidP="00E009F4">
      <w:pPr>
        <w:pStyle w:val="Notedebasdepage"/>
        <w:spacing w:line="276" w:lineRule="auto"/>
        <w:jc w:val="both"/>
        <w:rPr>
          <w:rFonts w:cs="Times New Roman"/>
          <w:lang w:val="fr-FR"/>
        </w:rPr>
      </w:pPr>
      <w:r w:rsidRPr="00953692">
        <w:rPr>
          <w:rStyle w:val="Appelnotedebasdep"/>
          <w:lang w:val="fr-FR"/>
        </w:rPr>
        <w:t>223</w:t>
      </w:r>
      <w:r w:rsidRPr="00953692">
        <w:rPr>
          <w:rFonts w:cs="Times New Roman"/>
          <w:lang w:val="fr-FR"/>
        </w:rPr>
        <w:t xml:space="preserve"> TPIR, Chambre d’Appel, Augustin Ngirabatware c. Le Procureur, affaire no ICTR-99-54-A, « Decision on Augustin Ngirabatware’s Appeal of Decisions Denying Motions to Vary Trial Date », 12 mai 2009 (« décision Ngirabatware du 12 mai 2009 »), par. 22.</w:t>
      </w:r>
    </w:p>
  </w:footnote>
  <w:footnote w:id="247">
    <w:p w14:paraId="4347F1B3" w14:textId="1B2CBF46" w:rsidR="00C631C6" w:rsidRPr="00953692" w:rsidRDefault="00C631C6" w:rsidP="00E009F4">
      <w:pPr>
        <w:pStyle w:val="Notedebasdepage"/>
        <w:spacing w:line="276" w:lineRule="auto"/>
        <w:jc w:val="both"/>
        <w:rPr>
          <w:rFonts w:cs="Times New Roman"/>
          <w:lang w:val="fr-FR"/>
        </w:rPr>
      </w:pPr>
      <w:r w:rsidRPr="00953692">
        <w:rPr>
          <w:rStyle w:val="Appelnotedebasdep"/>
          <w:lang w:val="fr-FR"/>
        </w:rPr>
        <w:t>224</w:t>
      </w:r>
      <w:r w:rsidRPr="00953692">
        <w:rPr>
          <w:rFonts w:cs="Times New Roman"/>
          <w:lang w:val="fr-FR"/>
        </w:rPr>
        <w:t xml:space="preserve"> V. TPIR, Chambre de première instance I, Le procureur c. Théoneste Bagosora et consorts., Jugement portant condamnation, précité, §. 81.</w:t>
      </w:r>
    </w:p>
  </w:footnote>
  <w:footnote w:id="248">
    <w:p w14:paraId="73CB716C" w14:textId="20B97669" w:rsidR="00C631C6" w:rsidRPr="00953692" w:rsidRDefault="00C631C6" w:rsidP="00E009F4">
      <w:pPr>
        <w:pStyle w:val="Notedebasdepage"/>
        <w:spacing w:line="276" w:lineRule="auto"/>
        <w:jc w:val="both"/>
        <w:rPr>
          <w:rFonts w:cs="Times New Roman"/>
          <w:lang w:val="fr-FR"/>
        </w:rPr>
      </w:pPr>
      <w:r w:rsidRPr="00953692">
        <w:rPr>
          <w:rStyle w:val="Appelnotedebasdep"/>
          <w:lang w:val="fr-FR"/>
        </w:rPr>
        <w:t>225</w:t>
      </w:r>
      <w:r w:rsidRPr="00953692">
        <w:rPr>
          <w:rFonts w:cs="Times New Roman"/>
          <w:lang w:val="fr-FR"/>
        </w:rPr>
        <w:t xml:space="preserve"> Observations précitées, par. 54.</w:t>
      </w:r>
    </w:p>
  </w:footnote>
  <w:footnote w:id="249">
    <w:p w14:paraId="516267A0" w14:textId="759D785F" w:rsidR="00C631C6" w:rsidRPr="00953692" w:rsidRDefault="00C631C6" w:rsidP="00E009F4">
      <w:pPr>
        <w:pStyle w:val="Notedebasdepage"/>
        <w:spacing w:line="276" w:lineRule="auto"/>
        <w:jc w:val="both"/>
        <w:rPr>
          <w:rFonts w:cs="Times New Roman"/>
          <w:lang w:val="fr-FR"/>
        </w:rPr>
      </w:pPr>
      <w:r w:rsidRPr="00953692">
        <w:rPr>
          <w:rStyle w:val="Appelnotedebasdep"/>
          <w:lang w:val="fr-FR"/>
        </w:rPr>
        <w:t>226</w:t>
      </w:r>
      <w:r w:rsidRPr="00953692">
        <w:rPr>
          <w:rFonts w:cs="Times New Roman"/>
          <w:lang w:val="fr-FR"/>
        </w:rPr>
        <w:t xml:space="preserve"> Idem, §. 50.</w:t>
      </w:r>
    </w:p>
  </w:footnote>
  <w:footnote w:id="250">
    <w:p w14:paraId="6D0EB091" w14:textId="015BB171" w:rsidR="00C631C6" w:rsidRPr="00953692" w:rsidRDefault="00C631C6" w:rsidP="00E009F4">
      <w:pPr>
        <w:pStyle w:val="Notedebasdepage"/>
        <w:spacing w:line="276" w:lineRule="auto"/>
        <w:jc w:val="both"/>
        <w:rPr>
          <w:rFonts w:cs="Times New Roman"/>
          <w:lang w:val="fr-FR"/>
        </w:rPr>
      </w:pPr>
      <w:r w:rsidRPr="00953692">
        <w:rPr>
          <w:rStyle w:val="Appelnotedebasdep"/>
          <w:lang w:val="fr-FR"/>
        </w:rPr>
        <w:t>227</w:t>
      </w:r>
      <w:r w:rsidRPr="00953692">
        <w:rPr>
          <w:rFonts w:cs="Times New Roman"/>
          <w:lang w:val="fr-FR"/>
        </w:rPr>
        <w:t xml:space="preserve"> TSL, Juge de la mise en état, Le Procureur c. Salim Jamil Ayyash, Ordonnance de fixant provisoirement la date d’ouverture du procès, STL-18-10/PT/PTJ, 25 février 20214. §. 14.</w:t>
      </w:r>
    </w:p>
  </w:footnote>
  <w:footnote w:id="251">
    <w:p w14:paraId="1498CC62" w14:textId="3787977F" w:rsidR="00C631C6" w:rsidRPr="00953692" w:rsidRDefault="00C631C6" w:rsidP="00E009F4">
      <w:pPr>
        <w:pStyle w:val="Notedebasdepage"/>
        <w:spacing w:line="276" w:lineRule="auto"/>
        <w:jc w:val="both"/>
        <w:rPr>
          <w:rFonts w:cs="Times New Roman"/>
          <w:lang w:val="fr-FR"/>
        </w:rPr>
      </w:pPr>
      <w:r w:rsidRPr="00953692">
        <w:rPr>
          <w:rStyle w:val="Appelnotedebasdep"/>
          <w:lang w:val="fr-FR"/>
        </w:rPr>
        <w:t>228</w:t>
      </w:r>
      <w:r w:rsidRPr="00953692">
        <w:rPr>
          <w:rFonts w:cs="Times New Roman"/>
          <w:lang w:val="fr-FR"/>
        </w:rPr>
        <w:t xml:space="preserve"> Idem, par. 15.</w:t>
      </w:r>
    </w:p>
  </w:footnote>
  <w:footnote w:id="252">
    <w:p w14:paraId="5657FD6B" w14:textId="799FB1B9" w:rsidR="00C631C6" w:rsidRPr="00953692" w:rsidRDefault="00C631C6" w:rsidP="00E009F4">
      <w:pPr>
        <w:pStyle w:val="Notedebasdepage"/>
        <w:spacing w:line="276" w:lineRule="auto"/>
        <w:jc w:val="both"/>
        <w:rPr>
          <w:rFonts w:cs="Times New Roman"/>
          <w:lang w:val="fr-FR"/>
        </w:rPr>
      </w:pPr>
      <w:r w:rsidRPr="00953692">
        <w:rPr>
          <w:rStyle w:val="Appelnotedebasdep"/>
          <w:lang w:val="fr-FR"/>
        </w:rPr>
        <w:t>229</w:t>
      </w:r>
      <w:r w:rsidRPr="00953692">
        <w:rPr>
          <w:rFonts w:cs="Times New Roman"/>
          <w:lang w:val="fr-FR"/>
        </w:rPr>
        <w:t xml:space="preserve"> Observations portant sur le temps dont devrait disposer l’accusé pour préparer effectivement et efficacement sa défense, note 196, p. 6.</w:t>
      </w:r>
    </w:p>
  </w:footnote>
  <w:footnote w:id="253">
    <w:p w14:paraId="1D13A500" w14:textId="71911D70" w:rsidR="00C631C6" w:rsidRPr="00953692" w:rsidRDefault="00C631C6" w:rsidP="00E009F4">
      <w:pPr>
        <w:pStyle w:val="Notedebasdepage"/>
        <w:spacing w:line="276" w:lineRule="auto"/>
        <w:jc w:val="both"/>
        <w:rPr>
          <w:rFonts w:eastAsia="Times New Roman" w:cs="Times New Roman"/>
          <w:lang w:val="fr-FR" w:eastAsia="ru-RU"/>
        </w:rPr>
      </w:pPr>
      <w:r w:rsidRPr="00953692">
        <w:rPr>
          <w:rStyle w:val="Appelnotedebasdep"/>
          <w:lang w:val="fr-FR"/>
        </w:rPr>
        <w:t>230</w:t>
      </w:r>
      <w:r w:rsidRPr="00953692">
        <w:rPr>
          <w:rFonts w:cs="Times New Roman"/>
          <w:lang w:val="fr-FR"/>
        </w:rPr>
        <w:t xml:space="preserve"> …</w:t>
      </w:r>
      <w:r w:rsidRPr="00953692">
        <w:rPr>
          <w:rFonts w:cs="Times New Roman"/>
          <w:i/>
          <w:iCs/>
          <w:lang w:val="fr-FR"/>
        </w:rPr>
        <w:t>U</w:t>
      </w:r>
      <w:r w:rsidRPr="00953692">
        <w:rPr>
          <w:rFonts w:eastAsia="Calibri" w:cs="Times New Roman"/>
          <w:i/>
          <w:iCs/>
          <w:lang w:val="fr-FR"/>
        </w:rPr>
        <w:t>ne conférence de mise en état peut être convoquée par une Chambre de première instance ou par un juge à l’effet d’organiser, entre les parties, des échanges de vues propres à assurer un déroulement rapide de l’instance ; la Chambre d’appel ou un juge de la Chambre d’appel peut convoquer une conférence de mise en état</w:t>
      </w:r>
      <w:r w:rsidRPr="00953692">
        <w:rPr>
          <w:rFonts w:eastAsia="Times New Roman" w:cs="Times New Roman"/>
          <w:i/>
          <w:iCs/>
          <w:shd w:val="clear" w:color="auto" w:fill="FFFFFF"/>
          <w:lang w:val="fr-FR"/>
        </w:rPr>
        <w:t>... Article 65 bis du RPP du TPIY</w:t>
      </w:r>
      <w:r w:rsidRPr="00953692">
        <w:rPr>
          <w:rFonts w:eastAsia="Times New Roman" w:cs="Times New Roman"/>
          <w:shd w:val="clear" w:color="auto" w:fill="FFFFFF"/>
          <w:lang w:val="fr-FR"/>
        </w:rPr>
        <w:t>.</w:t>
      </w:r>
      <w:r w:rsidRPr="00953692">
        <w:rPr>
          <w:rFonts w:eastAsia="Times New Roman" w:cs="Times New Roman"/>
          <w:lang w:val="fr-FR" w:eastAsia="ru-RU"/>
        </w:rPr>
        <w:t xml:space="preserve"> Durant cette conférence, l’organe juridictionnel </w:t>
      </w:r>
      <w:r w:rsidRPr="00953692">
        <w:rPr>
          <w:rFonts w:eastAsia="Times New Roman" w:cs="Times New Roman"/>
          <w:shd w:val="clear" w:color="auto" w:fill="FFFFFF"/>
          <w:lang w:val="fr-FR"/>
        </w:rPr>
        <w:t>« veille à ce qu'il n'y ait pas de retard injustifié dans la procédure et prend toutes les mesures nécessaires pour que l'affaire soit prête pour un procès équitable et rapide ; fixe des délais utiles, notamment en cas de complément d'enquête par le procureur » article 73 bis du RPP du TPIY.</w:t>
      </w:r>
      <w:r w:rsidRPr="00953692">
        <w:rPr>
          <w:rFonts w:eastAsia="Times New Roman" w:cs="Times New Roman"/>
          <w:lang w:val="fr-FR" w:eastAsia="ru-RU"/>
        </w:rPr>
        <w:t xml:space="preserve"> Articles 7, 8, 18 du Statut TSL. Règle 30 du Règlement de la CPI. </w:t>
      </w:r>
    </w:p>
  </w:footnote>
  <w:footnote w:id="254">
    <w:p w14:paraId="7C29EAD6" w14:textId="2D69571C" w:rsidR="00C631C6" w:rsidRPr="00953692" w:rsidRDefault="00C631C6" w:rsidP="00E009F4">
      <w:pPr>
        <w:pStyle w:val="Notedebasdepage"/>
        <w:spacing w:line="276" w:lineRule="auto"/>
        <w:jc w:val="both"/>
        <w:rPr>
          <w:rFonts w:cs="Times New Roman"/>
          <w:lang w:val="fr-FR"/>
        </w:rPr>
      </w:pPr>
      <w:r w:rsidRPr="00953692">
        <w:rPr>
          <w:rStyle w:val="Appelnotedebasdep"/>
          <w:lang w:val="fr-FR"/>
        </w:rPr>
        <w:t>231</w:t>
      </w:r>
      <w:r w:rsidRPr="00953692">
        <w:rPr>
          <w:rFonts w:cs="Times New Roman"/>
          <w:lang w:val="fr-FR"/>
        </w:rPr>
        <w:t xml:space="preserve"> </w:t>
      </w:r>
      <w:r w:rsidRPr="00953692">
        <w:rPr>
          <w:rFonts w:eastAsia="Calibri" w:cs="Times New Roman"/>
          <w:lang w:val="fr" w:eastAsia="ru-RU"/>
        </w:rPr>
        <w:t xml:space="preserve">Borodine S. V., Kuznetsov A. N., Azarov A. P. Procédure pénale dans les positions juridiques de la Cour constitutionnelle de la Fédération de Russie. Au lieu de 1000 minutes de recherche. Moscou : Prospekt, 2022. </w:t>
      </w:r>
      <w:r w:rsidRPr="00953692">
        <w:rPr>
          <w:rFonts w:cs="Times New Roman"/>
          <w:lang w:val="fr-FR"/>
        </w:rPr>
        <w:t>P. 9.</w:t>
      </w:r>
    </w:p>
  </w:footnote>
  <w:footnote w:id="255">
    <w:p w14:paraId="2F634299" w14:textId="0EF660F1" w:rsidR="00C631C6" w:rsidRPr="00953692" w:rsidRDefault="00C631C6" w:rsidP="00E009F4">
      <w:pPr>
        <w:pStyle w:val="Notedebasdepage"/>
        <w:spacing w:line="276" w:lineRule="auto"/>
        <w:jc w:val="both"/>
        <w:rPr>
          <w:rFonts w:cs="Times New Roman"/>
          <w:lang w:val="fr-FR"/>
        </w:rPr>
      </w:pPr>
      <w:r w:rsidRPr="00953692">
        <w:rPr>
          <w:rStyle w:val="Appelnotedebasdep"/>
          <w:lang w:val="fr-FR"/>
        </w:rPr>
        <w:t>232</w:t>
      </w:r>
      <w:r w:rsidRPr="00953692">
        <w:rPr>
          <w:rFonts w:cs="Times New Roman"/>
          <w:lang w:val="fr-FR"/>
        </w:rPr>
        <w:t xml:space="preserve"> TPIY, Chambre de première instance, Le Procureur c/ Sefer Halilovic, Décision relative á la demande de la défense aux fins du report de la conférence préalable au procès, 4 juillet 2003, IT-01-48-PT.</w:t>
      </w:r>
    </w:p>
  </w:footnote>
  <w:footnote w:id="256">
    <w:p w14:paraId="1D2E8039" w14:textId="6E91E0BA" w:rsidR="00C631C6" w:rsidRPr="00953692" w:rsidRDefault="00C631C6" w:rsidP="00E009F4">
      <w:pPr>
        <w:pStyle w:val="Notedebasdepage"/>
        <w:spacing w:line="276" w:lineRule="auto"/>
        <w:jc w:val="both"/>
        <w:rPr>
          <w:rFonts w:cs="Times New Roman"/>
          <w:lang w:val="fr-FR"/>
        </w:rPr>
      </w:pPr>
      <w:r w:rsidRPr="00953692">
        <w:rPr>
          <w:rStyle w:val="Appelnotedebasdep"/>
          <w:lang w:val="fr-FR"/>
        </w:rPr>
        <w:t>233</w:t>
      </w:r>
      <w:r w:rsidRPr="00953692">
        <w:rPr>
          <w:rFonts w:cs="Times New Roman"/>
          <w:lang w:val="fr-FR"/>
        </w:rPr>
        <w:t xml:space="preserve"> CPI, Chambre préliminaire I, Le Procureur contre Laurent Gbagbo, Réponse du Représentant légal commun des victimes à la « Demande d'autorisation d'interjeter appel de la « décision d'ajournement de l'audience de confirmation des charges conformément à l'article 67-7-c-i du Statut » (ICC-02/11-01/11-432-tFRA) du 3 juin 2013 » déposée par la Défense le 25 juin 2013, N° : ICC-02/11-01/11 du 1er juillet 2013, §. 47.</w:t>
      </w:r>
    </w:p>
  </w:footnote>
  <w:footnote w:id="257">
    <w:p w14:paraId="38C7143B" w14:textId="5EB9090C" w:rsidR="00C631C6" w:rsidRPr="00953692" w:rsidRDefault="00C631C6" w:rsidP="00E009F4">
      <w:pPr>
        <w:pStyle w:val="Notedebasdepage"/>
        <w:spacing w:line="276" w:lineRule="auto"/>
        <w:jc w:val="both"/>
        <w:rPr>
          <w:rFonts w:cs="Times New Roman"/>
          <w:lang w:val="fr-FR"/>
        </w:rPr>
      </w:pPr>
      <w:r w:rsidRPr="00953692">
        <w:rPr>
          <w:rStyle w:val="Appelnotedebasdep"/>
          <w:lang w:val="fr-FR"/>
        </w:rPr>
        <w:t>234</w:t>
      </w:r>
      <w:r w:rsidRPr="00953692">
        <w:rPr>
          <w:rFonts w:cs="Times New Roman"/>
          <w:lang w:val="fr-FR"/>
        </w:rPr>
        <w:t xml:space="preserve"> TPIY, Chambre de première instance I, le procureur c/ ante Gotovina, Ivan Čermak, Mladen Markač, décision relative aux requêtes des conseils d’Ivan Čermak et de Mladen Markač aux fins de certification de l’appel envisagé contre la décision rendue par la chambre de première instance le 21 avril 2010 autorisant l’accusation à rouvrir la présentation de ses moyens, 10 mai 2010, IT-06-90-T, par. 1, 3.</w:t>
      </w:r>
    </w:p>
  </w:footnote>
  <w:footnote w:id="258">
    <w:p w14:paraId="2E75709E" w14:textId="684511ED" w:rsidR="00C631C6" w:rsidRPr="00953692" w:rsidRDefault="00C631C6" w:rsidP="00E009F4">
      <w:pPr>
        <w:pStyle w:val="Notedebasdepage"/>
        <w:spacing w:line="276" w:lineRule="auto"/>
        <w:jc w:val="both"/>
        <w:rPr>
          <w:rFonts w:cs="Times New Roman"/>
          <w:lang w:val="en-US"/>
        </w:rPr>
      </w:pPr>
      <w:r w:rsidRPr="00953692">
        <w:rPr>
          <w:rStyle w:val="Appelnotedebasdep"/>
          <w:lang w:val="en-US"/>
        </w:rPr>
        <w:t>235</w:t>
      </w:r>
      <w:r w:rsidRPr="00953692">
        <w:rPr>
          <w:rFonts w:cs="Times New Roman"/>
          <w:lang w:val="en-US"/>
        </w:rPr>
        <w:t xml:space="preserve"> </w:t>
      </w:r>
      <w:r w:rsidRPr="00953692">
        <w:rPr>
          <w:rFonts w:cs="Times New Roman"/>
          <w:i/>
          <w:iCs/>
          <w:lang w:val="en-US"/>
        </w:rPr>
        <w:t>Idem, par. 1.</w:t>
      </w:r>
    </w:p>
  </w:footnote>
  <w:footnote w:id="259">
    <w:p w14:paraId="5682531A" w14:textId="235C4F22" w:rsidR="00C631C6" w:rsidRPr="00953692" w:rsidRDefault="00C631C6" w:rsidP="00E009F4">
      <w:pPr>
        <w:pStyle w:val="Notedebasdepage"/>
        <w:spacing w:line="276" w:lineRule="auto"/>
        <w:jc w:val="both"/>
        <w:rPr>
          <w:rFonts w:cs="Times New Roman"/>
          <w:i/>
          <w:iCs/>
          <w:lang w:val="en-US"/>
        </w:rPr>
      </w:pPr>
      <w:r w:rsidRPr="00953692">
        <w:rPr>
          <w:rStyle w:val="Appelnotedebasdep"/>
          <w:lang w:val="en-US"/>
        </w:rPr>
        <w:t>236</w:t>
      </w:r>
      <w:r w:rsidRPr="00953692">
        <w:rPr>
          <w:rFonts w:cs="Times New Roman"/>
          <w:lang w:val="en-US"/>
        </w:rPr>
        <w:t xml:space="preserve"> </w:t>
      </w:r>
      <w:r w:rsidRPr="00953692">
        <w:rPr>
          <w:rFonts w:cs="Times New Roman"/>
          <w:i/>
          <w:iCs/>
          <w:lang w:val="en-US"/>
        </w:rPr>
        <w:t xml:space="preserve">Ibid. </w:t>
      </w:r>
    </w:p>
  </w:footnote>
  <w:footnote w:id="260">
    <w:p w14:paraId="2FFD5135" w14:textId="5D9D0554" w:rsidR="00C9258D" w:rsidRPr="00953692" w:rsidRDefault="00C9258D" w:rsidP="00E009F4">
      <w:pPr>
        <w:pStyle w:val="Notedebasdepage"/>
        <w:spacing w:line="276" w:lineRule="auto"/>
        <w:jc w:val="both"/>
        <w:rPr>
          <w:rFonts w:cs="Times New Roman"/>
          <w:lang w:val="en-US"/>
        </w:rPr>
      </w:pPr>
      <w:r w:rsidRPr="00953692">
        <w:rPr>
          <w:rStyle w:val="Appelnotedebasdep"/>
          <w:lang w:val="en-US"/>
        </w:rPr>
        <w:t>237</w:t>
      </w:r>
      <w:r w:rsidRPr="00953692">
        <w:rPr>
          <w:rFonts w:cs="Times New Roman"/>
          <w:lang w:val="en-US"/>
        </w:rPr>
        <w:t xml:space="preserve"> </w:t>
      </w:r>
      <w:r w:rsidRPr="00953692">
        <w:rPr>
          <w:rFonts w:cs="Times New Roman"/>
          <w:i/>
          <w:iCs/>
          <w:lang w:val="en-US"/>
        </w:rPr>
        <w:t>Ibid. §. 3.</w:t>
      </w:r>
    </w:p>
  </w:footnote>
  <w:footnote w:id="261">
    <w:p w14:paraId="13EA0BF6" w14:textId="7163356D" w:rsidR="00C9258D" w:rsidRPr="00953692" w:rsidRDefault="00C9258D" w:rsidP="00E009F4">
      <w:pPr>
        <w:pStyle w:val="Notedebasdepage"/>
        <w:spacing w:line="276" w:lineRule="auto"/>
        <w:jc w:val="both"/>
        <w:rPr>
          <w:rFonts w:cs="Times New Roman"/>
          <w:lang w:val="en-US"/>
        </w:rPr>
      </w:pPr>
      <w:r w:rsidRPr="00953692">
        <w:rPr>
          <w:rStyle w:val="Appelnotedebasdep"/>
          <w:lang w:val="en-US"/>
        </w:rPr>
        <w:t>238</w:t>
      </w:r>
      <w:r w:rsidRPr="00953692">
        <w:rPr>
          <w:rFonts w:cs="Times New Roman"/>
          <w:lang w:val="en-US"/>
        </w:rPr>
        <w:t xml:space="preserve"> </w:t>
      </w:r>
      <w:r w:rsidRPr="00953692">
        <w:rPr>
          <w:rFonts w:cs="Times New Roman"/>
          <w:i/>
          <w:iCs/>
          <w:lang w:val="en-US"/>
        </w:rPr>
        <w:t>Ibid. §. 9.</w:t>
      </w:r>
    </w:p>
  </w:footnote>
  <w:footnote w:id="262">
    <w:p w14:paraId="701DD1FF" w14:textId="6EA8FEC4" w:rsidR="00C9258D" w:rsidRPr="00953692" w:rsidRDefault="00C9258D" w:rsidP="00E009F4">
      <w:pPr>
        <w:pStyle w:val="Notedebasdepage"/>
        <w:spacing w:line="276" w:lineRule="auto"/>
        <w:jc w:val="both"/>
        <w:rPr>
          <w:rFonts w:cs="Times New Roman"/>
          <w:lang w:val="en-US"/>
        </w:rPr>
      </w:pPr>
      <w:r w:rsidRPr="00953692">
        <w:rPr>
          <w:rStyle w:val="Appelnotedebasdep"/>
          <w:lang w:val="en-US"/>
        </w:rPr>
        <w:t>239</w:t>
      </w:r>
      <w:r w:rsidRPr="00953692">
        <w:rPr>
          <w:rFonts w:cs="Times New Roman"/>
          <w:lang w:val="en-US"/>
        </w:rPr>
        <w:t xml:space="preserve"> </w:t>
      </w:r>
      <w:r w:rsidRPr="00953692">
        <w:rPr>
          <w:rFonts w:cs="Times New Roman"/>
          <w:i/>
          <w:iCs/>
          <w:lang w:val="en-US"/>
        </w:rPr>
        <w:t>Ibid. §. 9.</w:t>
      </w:r>
    </w:p>
  </w:footnote>
  <w:footnote w:id="263">
    <w:p w14:paraId="25E678F1" w14:textId="0D38687B" w:rsidR="00C9258D" w:rsidRPr="00D14A9B" w:rsidRDefault="00C9258D" w:rsidP="00E009F4">
      <w:pPr>
        <w:pStyle w:val="Notedebasdepage"/>
        <w:spacing w:line="276" w:lineRule="auto"/>
        <w:jc w:val="both"/>
        <w:rPr>
          <w:rFonts w:cs="Times New Roman"/>
          <w:lang w:val="en-US"/>
        </w:rPr>
      </w:pPr>
      <w:r w:rsidRPr="00D14A9B">
        <w:rPr>
          <w:rStyle w:val="Appelnotedebasdep"/>
          <w:lang w:val="en-US"/>
        </w:rPr>
        <w:t>240</w:t>
      </w:r>
      <w:r w:rsidRPr="00D14A9B">
        <w:rPr>
          <w:rFonts w:cs="Times New Roman"/>
          <w:lang w:val="en-US"/>
        </w:rPr>
        <w:t xml:space="preserve"> V. Supra, note 199.</w:t>
      </w:r>
    </w:p>
  </w:footnote>
  <w:footnote w:id="264">
    <w:p w14:paraId="7793EC3D" w14:textId="06EC0245" w:rsidR="00C9258D" w:rsidRPr="00D14A9B" w:rsidRDefault="00C9258D" w:rsidP="00E009F4">
      <w:pPr>
        <w:pStyle w:val="Notedebasdepage"/>
        <w:spacing w:line="276" w:lineRule="auto"/>
        <w:jc w:val="both"/>
        <w:rPr>
          <w:rFonts w:cs="Times New Roman"/>
          <w:lang w:val="en-US"/>
        </w:rPr>
      </w:pPr>
      <w:r w:rsidRPr="00D14A9B">
        <w:rPr>
          <w:rStyle w:val="Appelnotedebasdep"/>
          <w:lang w:val="en-US"/>
        </w:rPr>
        <w:t>241</w:t>
      </w:r>
      <w:r w:rsidRPr="00D14A9B">
        <w:rPr>
          <w:rFonts w:cs="Times New Roman"/>
          <w:lang w:val="en-US"/>
        </w:rPr>
        <w:t xml:space="preserve"> V. Supra, note 170.</w:t>
      </w:r>
    </w:p>
  </w:footnote>
  <w:footnote w:id="265">
    <w:p w14:paraId="4DB75A52" w14:textId="663962E6" w:rsidR="00C9258D" w:rsidRPr="00953692" w:rsidRDefault="00C9258D" w:rsidP="00E009F4">
      <w:pPr>
        <w:pStyle w:val="Notedebasdepage"/>
        <w:spacing w:line="276" w:lineRule="auto"/>
        <w:jc w:val="both"/>
        <w:rPr>
          <w:rFonts w:cs="Times New Roman"/>
          <w:lang w:val="fr-FR"/>
        </w:rPr>
      </w:pPr>
      <w:r w:rsidRPr="00953692">
        <w:rPr>
          <w:rStyle w:val="Appelnotedebasdep"/>
          <w:lang w:val="fr-FR"/>
        </w:rPr>
        <w:t>242</w:t>
      </w:r>
      <w:r w:rsidRPr="00953692">
        <w:rPr>
          <w:rFonts w:cs="Times New Roman"/>
          <w:lang w:val="fr-FR"/>
        </w:rPr>
        <w:t xml:space="preserve"> Opinion individuelle du président de la chambre, le juge Antonetti, relative à la requête de l'accusé Vojislav Seselj aux fins de mettre un terme à son procès, 29 septembre 2011, P.</w:t>
      </w:r>
    </w:p>
  </w:footnote>
  <w:footnote w:id="266">
    <w:p w14:paraId="05435702" w14:textId="16D8B8E9" w:rsidR="00C9258D" w:rsidRPr="00953692" w:rsidRDefault="00C9258D" w:rsidP="00E009F4">
      <w:pPr>
        <w:pStyle w:val="Notedebasdepage"/>
        <w:spacing w:line="276" w:lineRule="auto"/>
        <w:jc w:val="both"/>
        <w:rPr>
          <w:rFonts w:cs="Times New Roman"/>
          <w:lang w:val="fr-FR"/>
        </w:rPr>
      </w:pPr>
      <w:r w:rsidRPr="00953692">
        <w:rPr>
          <w:rStyle w:val="Appelnotedebasdep"/>
          <w:lang w:val="fr-FR"/>
        </w:rPr>
        <w:t>243</w:t>
      </w:r>
      <w:r w:rsidRPr="00953692">
        <w:rPr>
          <w:rFonts w:cs="Times New Roman"/>
          <w:lang w:val="fr-FR"/>
        </w:rPr>
        <w:t xml:space="preserve"> TPIY, Chambre de première instance I, Le Procureur c/ Vojislav Seselj, Décision relative à la commission d’office d’un Conseil, 21 août 2006, IT-03-67-PT, par. 79.</w:t>
      </w:r>
    </w:p>
  </w:footnote>
  <w:footnote w:id="267">
    <w:p w14:paraId="2AB38D22" w14:textId="47ECA374" w:rsidR="00C9258D" w:rsidRPr="00953692" w:rsidRDefault="00C9258D" w:rsidP="00E009F4">
      <w:pPr>
        <w:pStyle w:val="Notedebasdepage"/>
        <w:spacing w:line="276" w:lineRule="auto"/>
        <w:jc w:val="both"/>
        <w:rPr>
          <w:rFonts w:cs="Times New Roman"/>
          <w:lang w:val="fr-FR"/>
        </w:rPr>
      </w:pPr>
      <w:r w:rsidRPr="00953692">
        <w:rPr>
          <w:rStyle w:val="Appelnotedebasdep"/>
          <w:lang w:val="fr-FR"/>
        </w:rPr>
        <w:t>244</w:t>
      </w:r>
      <w:r w:rsidRPr="00953692">
        <w:rPr>
          <w:rFonts w:cs="Times New Roman"/>
          <w:lang w:val="fr-FR"/>
        </w:rPr>
        <w:t xml:space="preserve"> TPIY, Chambre d’Appel, Le Procureur c/ Vojislav Seselj, Décision relative a. l'appel interjeté contre la Décision (no 2) de la Chambre de première instance portant commission d’office d’un Conseil, 8 décembre 2006 IT-03-67-AR73.4, par. 2.</w:t>
      </w:r>
    </w:p>
  </w:footnote>
  <w:footnote w:id="268">
    <w:p w14:paraId="460F02A2" w14:textId="10425666" w:rsidR="00C9258D" w:rsidRPr="00953692" w:rsidRDefault="00C9258D" w:rsidP="00E009F4">
      <w:pPr>
        <w:pStyle w:val="Notedebasdepage"/>
        <w:spacing w:line="276" w:lineRule="auto"/>
        <w:jc w:val="both"/>
        <w:rPr>
          <w:rFonts w:cs="Times New Roman"/>
          <w:lang w:val="fr-FR"/>
        </w:rPr>
      </w:pPr>
      <w:r w:rsidRPr="00953692">
        <w:rPr>
          <w:rStyle w:val="Appelnotedebasdep"/>
          <w:lang w:val="fr-FR"/>
        </w:rPr>
        <w:t>245</w:t>
      </w:r>
      <w:r w:rsidRPr="00953692">
        <w:rPr>
          <w:rFonts w:cs="Times New Roman"/>
          <w:lang w:val="fr-FR"/>
        </w:rPr>
        <w:t xml:space="preserve"> TPIY, Chambre de première instance I, Le Procureur c/ Vojislav Seselj, Ordonnance relative à la commission d’office d’un conseil, d’appoint et à l’ouverture différée du procès, 25 octobre 2006, IT-03-67-PT.</w:t>
      </w:r>
    </w:p>
  </w:footnote>
  <w:footnote w:id="269">
    <w:p w14:paraId="5478AD01" w14:textId="6742A1DA" w:rsidR="00C9258D" w:rsidRPr="00953692" w:rsidRDefault="00C9258D" w:rsidP="00E009F4">
      <w:pPr>
        <w:pStyle w:val="Notedebasdepage"/>
        <w:spacing w:line="276" w:lineRule="auto"/>
        <w:jc w:val="both"/>
        <w:rPr>
          <w:rFonts w:cs="Times New Roman"/>
          <w:lang w:val="fr-FR"/>
        </w:rPr>
      </w:pPr>
      <w:r w:rsidRPr="00953692">
        <w:rPr>
          <w:rStyle w:val="Appelnotedebasdep"/>
          <w:lang w:val="fr-FR"/>
        </w:rPr>
        <w:t>246</w:t>
      </w:r>
      <w:r w:rsidRPr="00953692">
        <w:rPr>
          <w:rFonts w:cs="Times New Roman"/>
          <w:lang w:val="fr-FR"/>
        </w:rPr>
        <w:t xml:space="preserve"> Opinion individuelle du président de la chambre, le juge Antonetti, relative à la requête de l'accusé Vojislav Seselj aux fins de mettre un terme à son procès, 29 septembre 2011.</w:t>
      </w:r>
    </w:p>
  </w:footnote>
  <w:footnote w:id="270">
    <w:p w14:paraId="651DC503" w14:textId="7E0C1FA9" w:rsidR="00C9258D" w:rsidRPr="00953692" w:rsidRDefault="00C9258D" w:rsidP="00E009F4">
      <w:pPr>
        <w:pStyle w:val="Notedebasdepage"/>
        <w:spacing w:line="276" w:lineRule="auto"/>
        <w:jc w:val="both"/>
        <w:rPr>
          <w:rFonts w:cs="Times New Roman"/>
          <w:lang w:val="fr-FR"/>
        </w:rPr>
      </w:pPr>
      <w:r w:rsidRPr="00953692">
        <w:rPr>
          <w:rStyle w:val="Appelnotedebasdep"/>
          <w:lang w:val="fr-FR"/>
        </w:rPr>
        <w:t>246</w:t>
      </w:r>
      <w:r w:rsidRPr="00953692">
        <w:rPr>
          <w:rFonts w:cs="Times New Roman"/>
          <w:lang w:val="fr-FR"/>
        </w:rPr>
        <w:t xml:space="preserve"> Idem, par. 14.</w:t>
      </w:r>
    </w:p>
  </w:footnote>
  <w:footnote w:id="271">
    <w:p w14:paraId="4BECC9AD" w14:textId="7CF7B0FD" w:rsidR="00C9258D" w:rsidRPr="00953692" w:rsidRDefault="00C9258D" w:rsidP="00E009F4">
      <w:pPr>
        <w:pStyle w:val="Notedebasdepage"/>
        <w:spacing w:line="276" w:lineRule="auto"/>
        <w:jc w:val="both"/>
        <w:rPr>
          <w:rFonts w:cs="Times New Roman"/>
          <w:lang w:val="fr-FR"/>
        </w:rPr>
      </w:pPr>
      <w:r w:rsidRPr="00953692">
        <w:rPr>
          <w:rStyle w:val="Appelnotedebasdep"/>
          <w:lang w:val="fr-FR"/>
        </w:rPr>
        <w:t>247</w:t>
      </w:r>
      <w:r w:rsidRPr="00953692">
        <w:rPr>
          <w:rFonts w:cs="Times New Roman"/>
          <w:lang w:val="fr-FR"/>
        </w:rPr>
        <w:t xml:space="preserve"> Ibid, par. 27.</w:t>
      </w:r>
    </w:p>
  </w:footnote>
  <w:footnote w:id="272">
    <w:p w14:paraId="1256883D" w14:textId="04E9B470" w:rsidR="00C9258D" w:rsidRPr="00953692" w:rsidRDefault="00C9258D" w:rsidP="00E009F4">
      <w:pPr>
        <w:pStyle w:val="Notedebasdepage"/>
        <w:spacing w:line="276" w:lineRule="auto"/>
        <w:jc w:val="both"/>
        <w:rPr>
          <w:rFonts w:cs="Times New Roman"/>
          <w:lang w:val="fr-FR"/>
        </w:rPr>
      </w:pPr>
      <w:r w:rsidRPr="00953692">
        <w:rPr>
          <w:rStyle w:val="Appelnotedebasdep"/>
          <w:lang w:val="fr-FR"/>
        </w:rPr>
        <w:t>248</w:t>
      </w:r>
      <w:r w:rsidRPr="00953692">
        <w:rPr>
          <w:rFonts w:cs="Times New Roman"/>
          <w:lang w:val="fr-FR"/>
        </w:rPr>
        <w:t xml:space="preserve"> Ibid., par. 28, 29 et 30.</w:t>
      </w:r>
    </w:p>
  </w:footnote>
  <w:footnote w:id="273">
    <w:p w14:paraId="6948E8A5" w14:textId="72C1EEAC" w:rsidR="00C9258D" w:rsidRPr="00953692" w:rsidRDefault="00C9258D" w:rsidP="00E009F4">
      <w:pPr>
        <w:pStyle w:val="Notedebasdepage"/>
        <w:spacing w:line="276" w:lineRule="auto"/>
        <w:jc w:val="both"/>
        <w:rPr>
          <w:rFonts w:cs="Times New Roman"/>
          <w:lang w:val="fr-FR"/>
        </w:rPr>
      </w:pPr>
      <w:r w:rsidRPr="00953692">
        <w:rPr>
          <w:rStyle w:val="Appelnotedebasdep"/>
          <w:lang w:val="fr-FR"/>
        </w:rPr>
        <w:t>249</w:t>
      </w:r>
      <w:r w:rsidRPr="00953692">
        <w:rPr>
          <w:rFonts w:cs="Times New Roman"/>
          <w:lang w:val="fr-FR"/>
        </w:rPr>
        <w:t xml:space="preserve"> Les articles 21 (4) (a) du statut actualisé du tribunal pénal international pour l’ex-Yougoslavie de 1993 ; 20 (4) (a) du Statut du tribunal pénal international pour le Rwanda de 1994 ; 17 (4)(a) du Statut du Tribunal Spécial pour la Sierra Leone de 2002 ; 6 (3)(a) du Règlement transitoire de la procédure pénale Timor Oriental ; 15 (a) et 16 (4)(a) du Statut du Tribunal spécial pour le Liban, 2007 ; articles 55 (2) (a) et 67 (1) (a) du Statut de Rome ; article 21-4-a de la Loi n°05/L-053 sur les Chambres spécialisées et les parquets spécialisés du 3 Aout 2015 ; Règle 21 (a) du Règlement intérieur des Chambres extraordinaires au sein des tribunaux cambodgiens (rev.9), 16 janvier 2015 ; Article 21-4-a</w:t>
      </w:r>
      <w:r w:rsidRPr="00953692">
        <w:rPr>
          <w:rFonts w:cs="Times New Roman"/>
          <w:shd w:val="clear" w:color="auto" w:fill="FFFFFF"/>
          <w:lang w:val="fr-FR"/>
        </w:rPr>
        <w:t xml:space="preserve"> du Statut des Chambres africaines extraordinaires au sein des juridictions sénégalaises. </w:t>
      </w:r>
      <w:r w:rsidRPr="00953692">
        <w:rPr>
          <w:rFonts w:cs="Times New Roman"/>
          <w:lang w:val="fr-FR"/>
        </w:rPr>
        <w:t>Article 4-B-a et 5-D-a de la loi précitée portant Règlement de procédure et de preuve devant la Cour Pénale Spéciale de la République Centrafricaine.</w:t>
      </w:r>
    </w:p>
  </w:footnote>
  <w:footnote w:id="274">
    <w:p w14:paraId="0CF69DEE" w14:textId="6D2DCD21" w:rsidR="009A566E" w:rsidRPr="00953692" w:rsidRDefault="009A566E" w:rsidP="00E009F4">
      <w:pPr>
        <w:pStyle w:val="Notedebasdepage"/>
        <w:spacing w:line="276" w:lineRule="auto"/>
        <w:jc w:val="both"/>
        <w:rPr>
          <w:rFonts w:cs="Times New Roman"/>
          <w:lang w:val="fr-FR"/>
        </w:rPr>
      </w:pPr>
      <w:r w:rsidRPr="00953692">
        <w:rPr>
          <w:rStyle w:val="Appelnotedebasdep"/>
          <w:lang w:val="fr-FR"/>
        </w:rPr>
        <w:t>250</w:t>
      </w:r>
      <w:r w:rsidRPr="00953692">
        <w:rPr>
          <w:rFonts w:cs="Times New Roman"/>
          <w:lang w:val="fr-FR"/>
        </w:rPr>
        <w:t xml:space="preserve"> Dans la littérature russe, il est aussi souligné cette importance pour le suspect ou l'accusé de disposer d'un ensemble de droits, dont la mise en œuvre lui permet de se défendre personnellement ou recourir à des personnes qualifiées en vue d’une assistance juridique, ainsi que recevoir l'aide à cet égard de la part du plaignant, de l'enquêteur, procureur ou du tribunal. Voir Gladchenkova, S.V. et Rudakova, I. V. Op.cit. 210.</w:t>
      </w:r>
    </w:p>
  </w:footnote>
  <w:footnote w:id="275">
    <w:p w14:paraId="6A3AC694" w14:textId="0F3E54FD" w:rsidR="009A566E" w:rsidRPr="00953692" w:rsidRDefault="009A566E" w:rsidP="00E009F4">
      <w:pPr>
        <w:pStyle w:val="Notedebasdepage"/>
        <w:spacing w:line="276" w:lineRule="auto"/>
        <w:jc w:val="both"/>
        <w:rPr>
          <w:rFonts w:cs="Times New Roman"/>
          <w:lang w:val="fr-FR"/>
        </w:rPr>
      </w:pPr>
      <w:r w:rsidRPr="00953692">
        <w:rPr>
          <w:rStyle w:val="Appelnotedebasdep"/>
          <w:lang w:val="fr-FR"/>
        </w:rPr>
        <w:t>251</w:t>
      </w:r>
      <w:r w:rsidRPr="00953692">
        <w:rPr>
          <w:rFonts w:cs="Times New Roman"/>
          <w:lang w:val="fr-FR"/>
        </w:rPr>
        <w:t xml:space="preserve"> Opinion individuelle du président de la chambre, le juge Antonetti, relative à la requête de l'accusé Vojislav Seselj aux fins de mettre un terme à son procès, 29 septembre 2011.</w:t>
      </w:r>
    </w:p>
  </w:footnote>
  <w:footnote w:id="276">
    <w:p w14:paraId="40DDC6B2" w14:textId="7C3AF408" w:rsidR="009A566E" w:rsidRPr="00953692" w:rsidRDefault="009A566E" w:rsidP="00E009F4">
      <w:pPr>
        <w:pStyle w:val="Notedebasdepage"/>
        <w:spacing w:line="276" w:lineRule="auto"/>
        <w:jc w:val="both"/>
        <w:rPr>
          <w:rFonts w:cs="Times New Roman"/>
          <w:lang w:val="fr-FR"/>
        </w:rPr>
      </w:pPr>
      <w:r w:rsidRPr="00953692">
        <w:rPr>
          <w:rStyle w:val="Appelnotedebasdep"/>
          <w:lang w:val="fr-FR"/>
        </w:rPr>
        <w:t>252</w:t>
      </w:r>
      <w:r w:rsidRPr="00953692">
        <w:rPr>
          <w:rFonts w:cs="Times New Roman"/>
          <w:lang w:val="fr-FR"/>
        </w:rPr>
        <w:t xml:space="preserve"> TPIY, Chambre de première instance, Procureur c. Sefer Halilovic, Décision sur la requête du procureur demandant l'autorisation de modifier l'acte d'accusation, 17 décembre 2004, IT-01-48-PT, par. 26.</w:t>
      </w:r>
    </w:p>
  </w:footnote>
  <w:footnote w:id="277">
    <w:p w14:paraId="7984028E" w14:textId="68F1A99D" w:rsidR="009A566E" w:rsidRPr="00953692" w:rsidRDefault="009A566E" w:rsidP="00E009F4">
      <w:pPr>
        <w:pStyle w:val="Notedebasdepage"/>
        <w:spacing w:line="276" w:lineRule="auto"/>
        <w:jc w:val="both"/>
        <w:rPr>
          <w:rFonts w:cs="Times New Roman"/>
          <w:lang w:val="fr-FR"/>
        </w:rPr>
      </w:pPr>
      <w:r w:rsidRPr="00953692">
        <w:rPr>
          <w:rStyle w:val="Appelnotedebasdep"/>
          <w:lang w:val="fr-FR"/>
        </w:rPr>
        <w:t>253</w:t>
      </w:r>
      <w:r w:rsidRPr="00953692">
        <w:rPr>
          <w:rFonts w:cs="Times New Roman"/>
          <w:lang w:val="fr-FR"/>
        </w:rPr>
        <w:t xml:space="preserve"> Idem, par. 23 et 36-40.</w:t>
      </w:r>
    </w:p>
  </w:footnote>
  <w:footnote w:id="278">
    <w:p w14:paraId="10C7B2DC" w14:textId="71BE6247" w:rsidR="009A566E" w:rsidRPr="00953692" w:rsidRDefault="009A566E" w:rsidP="00E009F4">
      <w:pPr>
        <w:pStyle w:val="Notedebasdepage"/>
        <w:spacing w:line="276" w:lineRule="auto"/>
        <w:jc w:val="both"/>
        <w:rPr>
          <w:rFonts w:cs="Times New Roman"/>
          <w:lang w:val="fr-FR"/>
        </w:rPr>
      </w:pPr>
      <w:r w:rsidRPr="00953692">
        <w:rPr>
          <w:rStyle w:val="Appelnotedebasdep"/>
          <w:lang w:val="fr-FR"/>
        </w:rPr>
        <w:t>254</w:t>
      </w:r>
      <w:r w:rsidRPr="00953692">
        <w:rPr>
          <w:rFonts w:cs="Times New Roman"/>
          <w:lang w:val="fr-FR"/>
        </w:rPr>
        <w:t xml:space="preserve"> Ibid, par. 41.</w:t>
      </w:r>
    </w:p>
  </w:footnote>
  <w:footnote w:id="279">
    <w:p w14:paraId="1B21F7F0" w14:textId="264A33F0" w:rsidR="009A566E" w:rsidRPr="00953692" w:rsidRDefault="009A566E" w:rsidP="00E009F4">
      <w:pPr>
        <w:pStyle w:val="Notedebasdepage"/>
        <w:spacing w:line="276" w:lineRule="auto"/>
        <w:jc w:val="both"/>
        <w:rPr>
          <w:rFonts w:eastAsia="Times New Roman" w:cs="Times New Roman"/>
          <w:lang w:val="fr-FR"/>
        </w:rPr>
      </w:pPr>
      <w:r w:rsidRPr="00953692">
        <w:rPr>
          <w:rStyle w:val="Appelnotedebasdep"/>
          <w:lang w:val="fr-FR"/>
        </w:rPr>
        <w:t>255</w:t>
      </w:r>
      <w:r w:rsidRPr="00953692">
        <w:rPr>
          <w:rFonts w:cs="Times New Roman"/>
          <w:lang w:val="fr-FR"/>
        </w:rPr>
        <w:t xml:space="preserve"> </w:t>
      </w:r>
      <w:r w:rsidRPr="00953692">
        <w:rPr>
          <w:rFonts w:eastAsia="Times New Roman" w:cs="Times New Roman"/>
          <w:lang w:val="fr-FR"/>
        </w:rPr>
        <w:t xml:space="preserve">Etrillard, C. </w:t>
      </w:r>
      <w:r w:rsidRPr="00953692">
        <w:rPr>
          <w:rFonts w:eastAsia="Times New Roman" w:cs="Times New Roman"/>
          <w:i/>
          <w:lang w:val="fr-FR"/>
        </w:rPr>
        <w:t>Le temps dans l’investigation pénale</w:t>
      </w:r>
      <w:r w:rsidRPr="00953692">
        <w:rPr>
          <w:rFonts w:eastAsia="Times New Roman" w:cs="Times New Roman"/>
          <w:lang w:val="fr-FR"/>
        </w:rPr>
        <w:t>, 1</w:t>
      </w:r>
      <w:r w:rsidRPr="00953692">
        <w:rPr>
          <w:rFonts w:eastAsia="Times New Roman" w:cs="Times New Roman"/>
          <w:vertAlign w:val="superscript"/>
          <w:lang w:val="fr-FR"/>
        </w:rPr>
        <w:t>ère</w:t>
      </w:r>
      <w:r w:rsidRPr="00953692">
        <w:rPr>
          <w:rFonts w:eastAsia="Times New Roman" w:cs="Times New Roman"/>
          <w:lang w:val="fr-FR"/>
        </w:rPr>
        <w:t xml:space="preserve"> éd., L’Harmattan, paris, 2004, p.39.</w:t>
      </w:r>
    </w:p>
  </w:footnote>
  <w:footnote w:id="280">
    <w:p w14:paraId="567B5A28" w14:textId="21BF7E2A" w:rsidR="009A566E" w:rsidRPr="00953692" w:rsidRDefault="009A566E" w:rsidP="00E009F4">
      <w:pPr>
        <w:pStyle w:val="Notedebasdepage"/>
        <w:spacing w:line="276" w:lineRule="auto"/>
        <w:jc w:val="both"/>
        <w:rPr>
          <w:rFonts w:cs="Times New Roman"/>
          <w:lang w:val="fr-FR"/>
        </w:rPr>
      </w:pPr>
      <w:r w:rsidRPr="00953692">
        <w:rPr>
          <w:rStyle w:val="Appelnotedebasdep"/>
          <w:lang w:val="fr-FR"/>
        </w:rPr>
        <w:t>256</w:t>
      </w:r>
      <w:r w:rsidRPr="00953692">
        <w:rPr>
          <w:rFonts w:cs="Times New Roman"/>
          <w:lang w:val="fr-FR"/>
        </w:rPr>
        <w:t xml:space="preserve"> V. Jugement portant condamnation, §.58.</w:t>
      </w:r>
    </w:p>
  </w:footnote>
  <w:footnote w:id="281">
    <w:p w14:paraId="79DC3829" w14:textId="0BB3905B" w:rsidR="009A566E" w:rsidRPr="00953692" w:rsidRDefault="009A566E" w:rsidP="00E009F4">
      <w:pPr>
        <w:pStyle w:val="Notedebasdepage"/>
        <w:spacing w:line="276" w:lineRule="auto"/>
        <w:jc w:val="both"/>
        <w:rPr>
          <w:rFonts w:cs="Times New Roman"/>
          <w:lang w:val="fr-FR"/>
        </w:rPr>
      </w:pPr>
      <w:r w:rsidRPr="00953692">
        <w:rPr>
          <w:rStyle w:val="Appelnotedebasdep"/>
          <w:lang w:val="fr-FR"/>
        </w:rPr>
        <w:t>257</w:t>
      </w:r>
      <w:r w:rsidRPr="00953692">
        <w:rPr>
          <w:rFonts w:cs="Times New Roman"/>
          <w:lang w:val="fr-FR"/>
        </w:rPr>
        <w:t xml:space="preserve"> Idem, par. 59 -64.</w:t>
      </w:r>
    </w:p>
  </w:footnote>
  <w:footnote w:id="282">
    <w:p w14:paraId="2F93FB0A" w14:textId="1D6160DE" w:rsidR="009A566E" w:rsidRPr="00953692" w:rsidRDefault="009A566E" w:rsidP="00E009F4">
      <w:pPr>
        <w:pStyle w:val="Notedebasdepage"/>
        <w:spacing w:line="276" w:lineRule="auto"/>
        <w:jc w:val="both"/>
        <w:rPr>
          <w:rFonts w:cs="Times New Roman"/>
          <w:lang w:val="fr-FR"/>
        </w:rPr>
      </w:pPr>
      <w:r w:rsidRPr="00953692">
        <w:rPr>
          <w:rStyle w:val="Appelnotedebasdep"/>
          <w:lang w:val="fr-FR"/>
        </w:rPr>
        <w:t>258</w:t>
      </w:r>
      <w:r w:rsidRPr="00953692">
        <w:rPr>
          <w:rFonts w:cs="Times New Roman"/>
          <w:lang w:val="fr-FR"/>
        </w:rPr>
        <w:t xml:space="preserve"> V. Jugement portant condamnation, §. 63.</w:t>
      </w:r>
    </w:p>
  </w:footnote>
  <w:footnote w:id="283">
    <w:p w14:paraId="663373DB" w14:textId="65B9F3D5" w:rsidR="009A566E" w:rsidRPr="00953692" w:rsidRDefault="009A566E" w:rsidP="00E009F4">
      <w:pPr>
        <w:pStyle w:val="Notedebasdepage"/>
        <w:spacing w:line="276" w:lineRule="auto"/>
        <w:jc w:val="both"/>
        <w:rPr>
          <w:rFonts w:cs="Times New Roman"/>
          <w:lang w:val="fr-FR"/>
        </w:rPr>
      </w:pPr>
      <w:r w:rsidRPr="00953692">
        <w:rPr>
          <w:rStyle w:val="Appelnotedebasdep"/>
          <w:lang w:val="fr-FR"/>
        </w:rPr>
        <w:t>259</w:t>
      </w:r>
      <w:r w:rsidRPr="00953692">
        <w:rPr>
          <w:rFonts w:cs="Times New Roman"/>
          <w:lang w:val="fr-FR"/>
        </w:rPr>
        <w:t xml:space="preserve"> TPIR, Chambre d’appel, Jean-Baptiste Gatete c. Le Procureur, Arrêt, 9 octobre 2012, (ICTR-00-61-A), par.38, 39, 41, 42.</w:t>
      </w:r>
    </w:p>
  </w:footnote>
  <w:footnote w:id="284">
    <w:p w14:paraId="61FDD014" w14:textId="2C2F8EDF" w:rsidR="009A566E" w:rsidRPr="00953692" w:rsidRDefault="009A566E" w:rsidP="00E009F4">
      <w:pPr>
        <w:pStyle w:val="Notedebasdepage"/>
        <w:spacing w:line="276" w:lineRule="auto"/>
        <w:jc w:val="both"/>
        <w:rPr>
          <w:rFonts w:cs="Times New Roman"/>
          <w:lang w:val="fr-FR"/>
        </w:rPr>
      </w:pPr>
      <w:r w:rsidRPr="00953692">
        <w:rPr>
          <w:rStyle w:val="Appelnotedebasdep"/>
          <w:lang w:val="fr-FR"/>
        </w:rPr>
        <w:t>260</w:t>
      </w:r>
      <w:r w:rsidRPr="00953692">
        <w:rPr>
          <w:rFonts w:cs="Times New Roman"/>
          <w:lang w:val="fr-FR"/>
        </w:rPr>
        <w:t xml:space="preserve"> Idem, par. 23.</w:t>
      </w:r>
    </w:p>
  </w:footnote>
  <w:footnote w:id="285">
    <w:p w14:paraId="0F19CFB6" w14:textId="21064F50" w:rsidR="009A566E" w:rsidRPr="00953692" w:rsidRDefault="009A566E" w:rsidP="00E009F4">
      <w:pPr>
        <w:pStyle w:val="Notedebasdepage"/>
        <w:spacing w:line="276" w:lineRule="auto"/>
        <w:jc w:val="both"/>
        <w:rPr>
          <w:rFonts w:cs="Times New Roman"/>
          <w:lang w:val="fr-FR"/>
        </w:rPr>
      </w:pPr>
      <w:r w:rsidRPr="00953692">
        <w:rPr>
          <w:rStyle w:val="Appelnotedebasdep"/>
          <w:lang w:val="fr-FR"/>
        </w:rPr>
        <w:t>261</w:t>
      </w:r>
      <w:r w:rsidRPr="00953692">
        <w:rPr>
          <w:rFonts w:cs="Times New Roman"/>
          <w:lang w:val="fr-FR"/>
        </w:rPr>
        <w:t xml:space="preserve"> TPIR, Chambre D'appel, Ephrem Setako c. Le Procureur, Arrêt, 28 septembre 2011, ICTR-04-81-A, §. 13 et 14.</w:t>
      </w:r>
    </w:p>
  </w:footnote>
  <w:footnote w:id="286">
    <w:p w14:paraId="20F46ABF" w14:textId="4EEA2C26" w:rsidR="009A566E" w:rsidRPr="00953692" w:rsidRDefault="009A566E" w:rsidP="00E009F4">
      <w:pPr>
        <w:pStyle w:val="Notedebasdepage"/>
        <w:spacing w:line="276" w:lineRule="auto"/>
        <w:jc w:val="both"/>
        <w:rPr>
          <w:rFonts w:cs="Times New Roman"/>
          <w:lang w:val="fr-FR"/>
        </w:rPr>
      </w:pPr>
      <w:r w:rsidRPr="00953692">
        <w:rPr>
          <w:rStyle w:val="Appelnotedebasdep"/>
          <w:lang w:val="fr-FR"/>
        </w:rPr>
        <w:t>262</w:t>
      </w:r>
      <w:r w:rsidRPr="00953692">
        <w:rPr>
          <w:rFonts w:cs="Times New Roman"/>
          <w:lang w:val="fr-FR"/>
        </w:rPr>
        <w:t xml:space="preserve"> Arrêt, 28 septembre 2011, §. 14 et 18. Voir aussi Mémoire en réplique de Setako par. 7 ; compte rendu de l’audience d’appel du 29 mars 2011, p. 3 à 7.</w:t>
      </w:r>
    </w:p>
  </w:footnote>
  <w:footnote w:id="287">
    <w:p w14:paraId="77D96C8B" w14:textId="36DB8D75" w:rsidR="009A566E" w:rsidRPr="00953692" w:rsidRDefault="009A566E" w:rsidP="00E009F4">
      <w:pPr>
        <w:pStyle w:val="Notedebasdepage"/>
        <w:spacing w:line="276" w:lineRule="auto"/>
        <w:jc w:val="both"/>
        <w:rPr>
          <w:rFonts w:cs="Times New Roman"/>
          <w:lang w:val="fr-FR"/>
        </w:rPr>
      </w:pPr>
      <w:r w:rsidRPr="00953692">
        <w:rPr>
          <w:rStyle w:val="Appelnotedebasdep"/>
          <w:lang w:val="fr-FR"/>
        </w:rPr>
        <w:t>263</w:t>
      </w:r>
      <w:r w:rsidRPr="00953692">
        <w:rPr>
          <w:rFonts w:cs="Times New Roman"/>
          <w:lang w:val="fr-FR"/>
        </w:rPr>
        <w:t xml:space="preserve"> Arrêt, 28 septembre 2011, supra, note 235, §. §.20 et 21.</w:t>
      </w:r>
    </w:p>
  </w:footnote>
  <w:footnote w:id="288">
    <w:p w14:paraId="694B6C84" w14:textId="71BD05BF" w:rsidR="009A566E" w:rsidRPr="00953692" w:rsidRDefault="009A566E" w:rsidP="00E009F4">
      <w:pPr>
        <w:pStyle w:val="Notedebasdepage"/>
        <w:spacing w:line="276" w:lineRule="auto"/>
        <w:jc w:val="both"/>
        <w:rPr>
          <w:rFonts w:cs="Times New Roman"/>
          <w:lang w:val="fr-FR"/>
        </w:rPr>
      </w:pPr>
      <w:r w:rsidRPr="00953692">
        <w:rPr>
          <w:rStyle w:val="Appelnotedebasdep"/>
          <w:lang w:val="fr-FR"/>
        </w:rPr>
        <w:t>264</w:t>
      </w:r>
      <w:r w:rsidRPr="00953692">
        <w:rPr>
          <w:rFonts w:cs="Times New Roman"/>
          <w:lang w:val="fr-FR"/>
        </w:rPr>
        <w:t xml:space="preserve"> Idem, par. 21.</w:t>
      </w:r>
    </w:p>
  </w:footnote>
  <w:footnote w:id="289">
    <w:p w14:paraId="6164904F" w14:textId="64F3DA0D" w:rsidR="002D277F" w:rsidRPr="00953692" w:rsidRDefault="002D277F" w:rsidP="00E009F4">
      <w:pPr>
        <w:pStyle w:val="Notedebasdepage"/>
        <w:spacing w:line="276" w:lineRule="auto"/>
        <w:jc w:val="both"/>
        <w:rPr>
          <w:rFonts w:cs="Times New Roman"/>
          <w:lang w:val="fr-FR"/>
        </w:rPr>
      </w:pPr>
      <w:r w:rsidRPr="00953692">
        <w:rPr>
          <w:rStyle w:val="Appelnotedebasdep"/>
          <w:lang w:val="fr-FR"/>
        </w:rPr>
        <w:t>265</w:t>
      </w:r>
      <w:r w:rsidRPr="00953692">
        <w:rPr>
          <w:rFonts w:cs="Times New Roman"/>
          <w:lang w:val="fr-FR"/>
        </w:rPr>
        <w:t xml:space="preserve"> Ibid., par. 23.</w:t>
      </w:r>
    </w:p>
  </w:footnote>
  <w:footnote w:id="290">
    <w:p w14:paraId="0B81CDAC" w14:textId="372A441E" w:rsidR="002D277F" w:rsidRPr="00953692" w:rsidRDefault="002D277F" w:rsidP="00E009F4">
      <w:pPr>
        <w:pStyle w:val="Notedebasdepage"/>
        <w:spacing w:line="276" w:lineRule="auto"/>
        <w:jc w:val="both"/>
        <w:rPr>
          <w:rFonts w:cs="Times New Roman"/>
          <w:lang w:val="fr-FR"/>
        </w:rPr>
      </w:pPr>
      <w:r w:rsidRPr="00953692">
        <w:rPr>
          <w:rStyle w:val="Appelnotedebasdep"/>
          <w:lang w:val="fr-FR"/>
        </w:rPr>
        <w:t>266</w:t>
      </w:r>
      <w:r w:rsidRPr="00953692">
        <w:rPr>
          <w:rFonts w:cs="Times New Roman"/>
          <w:lang w:val="fr-FR"/>
        </w:rPr>
        <w:t xml:space="preserve"> Couchez, G. et Lagarde, X. </w:t>
      </w:r>
      <w:r w:rsidRPr="00953692">
        <w:rPr>
          <w:rFonts w:cs="Times New Roman"/>
          <w:i/>
          <w:iCs/>
          <w:lang w:val="fr-FR"/>
        </w:rPr>
        <w:t xml:space="preserve">Procédure civile, </w:t>
      </w:r>
      <w:r w:rsidRPr="00953692">
        <w:rPr>
          <w:rFonts w:cs="Times New Roman"/>
          <w:lang w:val="fr-FR"/>
        </w:rPr>
        <w:t>16</w:t>
      </w:r>
      <w:r w:rsidRPr="00953692">
        <w:rPr>
          <w:rFonts w:cs="Times New Roman"/>
          <w:vertAlign w:val="superscript"/>
          <w:lang w:val="fr-FR"/>
        </w:rPr>
        <w:t>ème</w:t>
      </w:r>
      <w:r w:rsidRPr="00953692">
        <w:rPr>
          <w:rFonts w:cs="Times New Roman"/>
          <w:lang w:val="fr-FR"/>
        </w:rPr>
        <w:t xml:space="preserve"> éd., Sirey, 2011, n° 322.</w:t>
      </w:r>
    </w:p>
  </w:footnote>
  <w:footnote w:id="291">
    <w:p w14:paraId="49E09696" w14:textId="28154937" w:rsidR="002D277F" w:rsidRPr="00D14A9B" w:rsidRDefault="002D277F" w:rsidP="00A91370">
      <w:pPr>
        <w:pStyle w:val="Notedebasdepage"/>
        <w:spacing w:line="276" w:lineRule="auto"/>
        <w:jc w:val="both"/>
        <w:rPr>
          <w:rFonts w:cs="Times New Roman"/>
          <w:lang w:val="fr-FR"/>
        </w:rPr>
      </w:pPr>
      <w:r w:rsidRPr="00953692">
        <w:rPr>
          <w:rStyle w:val="Appelnotedebasdep"/>
          <w:lang w:val="fr-FR"/>
        </w:rPr>
        <w:t>267</w:t>
      </w:r>
      <w:r w:rsidRPr="00953692">
        <w:rPr>
          <w:rFonts w:cs="Times New Roman"/>
          <w:lang w:val="fr-FR"/>
        </w:rPr>
        <w:t xml:space="preserve"> </w:t>
      </w:r>
      <w:r w:rsidR="00A91370" w:rsidRPr="00953692">
        <w:rPr>
          <w:rFonts w:cs="Times New Roman"/>
          <w:lang w:val="fr-FR"/>
        </w:rPr>
        <w:t xml:space="preserve">Ambroise-Castérot C., Combeau C., « La procédure pénale dans la balance : entre secret et transparence », Les Cahiers de la Justice, 2014/3 (N° 3), P. 460. DOI : 10.3917/cdlj.1403.0373. </w:t>
      </w:r>
      <w:r w:rsidR="00A91370" w:rsidRPr="00D14A9B">
        <w:rPr>
          <w:rFonts w:cs="Times New Roman"/>
          <w:lang w:val="fr-FR"/>
        </w:rPr>
        <w:t xml:space="preserve">URL : </w:t>
      </w:r>
      <w:hyperlink r:id="rId6" w:history="1">
        <w:r w:rsidR="00A91370" w:rsidRPr="00D14A9B">
          <w:rPr>
            <w:rStyle w:val="Lienhypertexte"/>
            <w:rFonts w:cs="Times New Roman"/>
            <w:color w:val="auto"/>
            <w:u w:val="none"/>
            <w:lang w:val="fr-FR"/>
          </w:rPr>
          <w:t>https://www.cairn.info/revue-les-cahiers-de-la-justice-2014-3-page-373.htm</w:t>
        </w:r>
      </w:hyperlink>
    </w:p>
  </w:footnote>
  <w:footnote w:id="292">
    <w:p w14:paraId="48892882" w14:textId="4BFA19A0" w:rsidR="00A91370" w:rsidRPr="00953692" w:rsidRDefault="00A91370" w:rsidP="00E009F4">
      <w:pPr>
        <w:pStyle w:val="Notedebasdepage"/>
        <w:spacing w:line="276" w:lineRule="auto"/>
        <w:jc w:val="both"/>
        <w:rPr>
          <w:rFonts w:cs="Times New Roman"/>
          <w:lang w:val="fr-FR"/>
        </w:rPr>
      </w:pPr>
      <w:r w:rsidRPr="00953692">
        <w:rPr>
          <w:rStyle w:val="Appelnotedebasdep"/>
          <w:lang w:val="fr-FR"/>
        </w:rPr>
        <w:t>268</w:t>
      </w:r>
      <w:r w:rsidRPr="00953692">
        <w:rPr>
          <w:rFonts w:cs="Times New Roman"/>
          <w:lang w:val="fr-FR"/>
        </w:rPr>
        <w:t xml:space="preserve"> Idem, p. 375.</w:t>
      </w:r>
    </w:p>
  </w:footnote>
  <w:footnote w:id="293">
    <w:p w14:paraId="37BB67D1" w14:textId="01B67361" w:rsidR="00A91370" w:rsidRPr="00953692" w:rsidRDefault="00A91370" w:rsidP="00E009F4">
      <w:pPr>
        <w:pStyle w:val="Notedebasdepage"/>
        <w:spacing w:line="276" w:lineRule="auto"/>
        <w:jc w:val="both"/>
        <w:rPr>
          <w:rFonts w:cs="Times New Roman"/>
          <w:lang w:val="fr-FR"/>
        </w:rPr>
      </w:pPr>
      <w:r w:rsidRPr="00953692">
        <w:rPr>
          <w:rStyle w:val="Appelnotedebasdep"/>
          <w:lang w:val="fr-FR"/>
        </w:rPr>
        <w:t>269</w:t>
      </w:r>
      <w:r w:rsidRPr="00953692">
        <w:rPr>
          <w:rFonts w:cs="Times New Roman"/>
          <w:lang w:val="fr-FR"/>
        </w:rPr>
        <w:t xml:space="preserve"> </w:t>
      </w:r>
      <w:r w:rsidRPr="00953692">
        <w:rPr>
          <w:rFonts w:cs="Times New Roman"/>
          <w:shd w:val="clear" w:color="auto" w:fill="FFFFFF"/>
          <w:lang w:val="fr-FR"/>
        </w:rPr>
        <w:t>Gavalda-Moulenat C., « Comment renforcer le contradictoire dans le procès pénal français ? A propos du rapport fait au nom de la commission d'enquête chargée de rechercher les causes des dysfonctionnements dans l'affaire dite d'Outreau et de formuler des propositions pour éviter leur renouvellement et de la loi du 5 mars 2007 sur l'équilibre », </w:t>
      </w:r>
      <w:r w:rsidRPr="00953692">
        <w:rPr>
          <w:rFonts w:cs="Times New Roman"/>
          <w:i/>
          <w:iCs/>
          <w:shd w:val="clear" w:color="auto" w:fill="FFFFFF"/>
          <w:lang w:val="fr-FR"/>
        </w:rPr>
        <w:t>Archives de politique criminelle</w:t>
      </w:r>
      <w:r w:rsidRPr="00953692">
        <w:rPr>
          <w:rFonts w:cs="Times New Roman"/>
          <w:shd w:val="clear" w:color="auto" w:fill="FFFFFF"/>
          <w:lang w:val="fr-FR"/>
        </w:rPr>
        <w:t>, 2007/1 (n° 29), p. . DOI : 10.3917/apc.029.0019. URL : https://www.cairn.info/revue-archives-de-politique-criminelle-2007-1-page-19.htm</w:t>
      </w:r>
    </w:p>
  </w:footnote>
  <w:footnote w:id="294">
    <w:p w14:paraId="0A5C5958" w14:textId="6BD3472B" w:rsidR="00A91370" w:rsidRPr="00953692" w:rsidRDefault="00A91370" w:rsidP="00E009F4">
      <w:pPr>
        <w:pStyle w:val="Notedebasdepage"/>
        <w:spacing w:line="276" w:lineRule="auto"/>
        <w:jc w:val="both"/>
        <w:rPr>
          <w:rFonts w:cs="Times New Roman"/>
          <w:lang w:val="fr-FR"/>
        </w:rPr>
      </w:pPr>
      <w:r w:rsidRPr="00953692">
        <w:rPr>
          <w:rStyle w:val="Appelnotedebasdep"/>
          <w:lang w:val="fr-FR"/>
        </w:rPr>
        <w:t>270</w:t>
      </w:r>
      <w:r w:rsidRPr="00953692">
        <w:rPr>
          <w:rFonts w:cs="Times New Roman"/>
          <w:lang w:val="fr-FR"/>
        </w:rPr>
        <w:t xml:space="preserve"> Ribeyre C., La communication du dossier d’instruction aux parties privées, JCP 2006, I, n° 152</w:t>
      </w:r>
    </w:p>
  </w:footnote>
  <w:footnote w:id="295">
    <w:p w14:paraId="66C2CBD0" w14:textId="6A4B1979" w:rsidR="00A91370" w:rsidRPr="00953692" w:rsidRDefault="00A91370" w:rsidP="00E009F4">
      <w:pPr>
        <w:pStyle w:val="Notedebasdepage"/>
        <w:spacing w:line="276" w:lineRule="auto"/>
        <w:jc w:val="both"/>
        <w:rPr>
          <w:rFonts w:cs="Times New Roman"/>
          <w:lang w:val="fr-FR"/>
        </w:rPr>
      </w:pPr>
      <w:r w:rsidRPr="00953692">
        <w:rPr>
          <w:rStyle w:val="Appelnotedebasdep"/>
          <w:lang w:val="fr-FR"/>
        </w:rPr>
        <w:t>271</w:t>
      </w:r>
      <w:r w:rsidRPr="00953692">
        <w:rPr>
          <w:rFonts w:cs="Times New Roman"/>
          <w:lang w:val="fr-FR"/>
        </w:rPr>
        <w:t xml:space="preserve"> Pradel J., La procédure pénale française à l’aube du troisième millénaire, D 2000, Chronique, p 1 et s. ; Ferrari I., L’accès au dossier avant jugement par le prévenu non-assisté, Droit Pénal 1997, Chronique, p 1 et s.</w:t>
      </w:r>
    </w:p>
  </w:footnote>
  <w:footnote w:id="296">
    <w:p w14:paraId="48B25F60" w14:textId="6747BA55" w:rsidR="00A91370" w:rsidRPr="00953692" w:rsidRDefault="00A91370" w:rsidP="00E009F4">
      <w:pPr>
        <w:pStyle w:val="Notedebasdepage"/>
        <w:spacing w:line="276" w:lineRule="auto"/>
        <w:jc w:val="both"/>
        <w:rPr>
          <w:rFonts w:eastAsia="Times New Roman" w:cs="Times New Roman"/>
          <w:lang w:val="fr-FR"/>
        </w:rPr>
      </w:pPr>
      <w:r w:rsidRPr="00953692">
        <w:rPr>
          <w:rStyle w:val="Appelnotedebasdep"/>
          <w:lang w:val="fr-FR"/>
        </w:rPr>
        <w:t>272</w:t>
      </w:r>
      <w:r w:rsidRPr="00953692">
        <w:rPr>
          <w:rFonts w:cs="Times New Roman"/>
          <w:lang w:val="fr-FR"/>
        </w:rPr>
        <w:t xml:space="preserve"> </w:t>
      </w:r>
      <w:r w:rsidRPr="00953692">
        <w:rPr>
          <w:rFonts w:eastAsia="Times New Roman" w:cs="Times New Roman"/>
          <w:lang w:val="fr-FR"/>
        </w:rPr>
        <w:t>Article 19-4 du statut du TPIR et article 20-4 du statut du TPIY : « </w:t>
      </w:r>
      <w:r w:rsidRPr="00953692">
        <w:rPr>
          <w:rFonts w:eastAsia="Times New Roman" w:cs="Times New Roman"/>
          <w:i/>
          <w:lang w:val="fr-FR"/>
        </w:rPr>
        <w:t>Les audiences sont publiques, à moins que la Chambre de première instance décide de les tenir à huis clos conformément à son Règlement de procédure et de preuve</w:t>
      </w:r>
      <w:r w:rsidRPr="00953692">
        <w:rPr>
          <w:rFonts w:eastAsia="Times New Roman" w:cs="Times New Roman"/>
          <w:lang w:val="fr-FR"/>
        </w:rPr>
        <w:t xml:space="preserve"> » ; Norme 20 du Règlement de la CPI.  </w:t>
      </w:r>
      <w:r w:rsidRPr="00953692">
        <w:rPr>
          <w:rFonts w:cs="Times New Roman"/>
          <w:lang w:val="fr-FR"/>
        </w:rPr>
        <w:t>Banat-Berger F. Les documents judiciaires : les modalités de leur communication et leurs délais de communicabilité. In : La Gazette des archives, n°176, 1997. P. 15.</w:t>
      </w:r>
    </w:p>
  </w:footnote>
  <w:footnote w:id="297">
    <w:p w14:paraId="4696C42D" w14:textId="5901ADF8" w:rsidR="00A91370" w:rsidRPr="00953692" w:rsidRDefault="00A91370" w:rsidP="00E009F4">
      <w:pPr>
        <w:pStyle w:val="Notedebasdepage"/>
        <w:spacing w:line="276" w:lineRule="auto"/>
        <w:jc w:val="both"/>
        <w:rPr>
          <w:rFonts w:cs="Times New Roman"/>
          <w:lang w:val="fr-FR"/>
        </w:rPr>
      </w:pPr>
      <w:r w:rsidRPr="00953692">
        <w:rPr>
          <w:rStyle w:val="Appelnotedebasdep"/>
          <w:lang w:val="fr-FR"/>
        </w:rPr>
        <w:t>273</w:t>
      </w:r>
      <w:r w:rsidRPr="00953692">
        <w:rPr>
          <w:rStyle w:val="Appelnotedebasdep"/>
          <w:rFonts w:cs="Times New Roman"/>
          <w:lang w:val="fr-FR"/>
        </w:rPr>
        <w:t xml:space="preserve"> </w:t>
      </w:r>
      <w:r w:rsidRPr="00953692">
        <w:rPr>
          <w:rStyle w:val="uppercase"/>
          <w:rFonts w:cs="Times New Roman"/>
          <w:shd w:val="clear" w:color="auto" w:fill="FFFFFF"/>
          <w:lang w:val="fr-FR"/>
        </w:rPr>
        <w:t>Roure</w:t>
      </w:r>
      <w:r w:rsidRPr="00953692">
        <w:rPr>
          <w:rFonts w:cs="Times New Roman"/>
          <w:shd w:val="clear" w:color="auto" w:fill="FFFFFF"/>
          <w:lang w:val="fr-FR"/>
        </w:rPr>
        <w:t xml:space="preserve"> S., « L'élargissement du principe de publicité des débats judiciaires : une judiciarisation du débat public », </w:t>
      </w:r>
      <w:r w:rsidRPr="00953692">
        <w:rPr>
          <w:rFonts w:cs="Times New Roman"/>
          <w:i/>
          <w:iCs/>
          <w:shd w:val="clear" w:color="auto" w:fill="FFFFFF"/>
          <w:lang w:val="fr-FR"/>
        </w:rPr>
        <w:t>Revue française de droit constitutionnel</w:t>
      </w:r>
      <w:r w:rsidRPr="00953692">
        <w:rPr>
          <w:rFonts w:cs="Times New Roman"/>
          <w:shd w:val="clear" w:color="auto" w:fill="FFFFFF"/>
          <w:lang w:val="fr-FR"/>
        </w:rPr>
        <w:t>, 2006/4 (n° 68), p. 737-779. DOI : 10.3917/rfdc.068.0737. URL : https://www.cairn.info/revue-francaise-de-droit-constitutionnel-2006-4-page-737.htm</w:t>
      </w:r>
    </w:p>
  </w:footnote>
  <w:footnote w:id="298">
    <w:p w14:paraId="5124DD89" w14:textId="28886E77" w:rsidR="00A91370" w:rsidRPr="00953692" w:rsidRDefault="00A91370" w:rsidP="00E009F4">
      <w:pPr>
        <w:spacing w:after="0" w:line="276" w:lineRule="auto"/>
        <w:jc w:val="both"/>
        <w:rPr>
          <w:rFonts w:cs="Times New Roman"/>
          <w:sz w:val="20"/>
          <w:szCs w:val="20"/>
          <w:lang w:val="fr-FR"/>
        </w:rPr>
      </w:pPr>
      <w:r w:rsidRPr="00953692">
        <w:rPr>
          <w:rStyle w:val="Appelnotedebasdep"/>
          <w:sz w:val="20"/>
          <w:szCs w:val="20"/>
          <w:lang w:val="fr-FR"/>
        </w:rPr>
        <w:t>274</w:t>
      </w:r>
      <w:r w:rsidRPr="00953692">
        <w:rPr>
          <w:rFonts w:cs="Times New Roman"/>
          <w:sz w:val="20"/>
          <w:szCs w:val="20"/>
          <w:lang w:val="fr-FR"/>
        </w:rPr>
        <w:t xml:space="preserve"> Les Chambres de la CPI dans leur Guide pratique pour les Chambres (Op.cit., p. 10.) ont associé l’article 67-2 du statut de Rome et la Règle 77 du RPP de la CPI. Les articles 68 de RPP des TPI et l’article 113 du RPP du TSL prévoient tous fondamentalement la même disposition.</w:t>
      </w:r>
    </w:p>
  </w:footnote>
  <w:footnote w:id="299">
    <w:p w14:paraId="577A829E" w14:textId="02D8DB92" w:rsidR="00A91370" w:rsidRPr="00953692" w:rsidRDefault="00A91370" w:rsidP="00E009F4">
      <w:pPr>
        <w:pStyle w:val="Notedebasdepage"/>
        <w:spacing w:line="276" w:lineRule="auto"/>
        <w:jc w:val="both"/>
        <w:rPr>
          <w:rFonts w:cs="Times New Roman"/>
          <w:lang w:val="fr-FR"/>
        </w:rPr>
      </w:pPr>
      <w:r w:rsidRPr="00953692">
        <w:rPr>
          <w:rStyle w:val="Appelnotedebasdep"/>
          <w:lang w:val="fr-FR"/>
        </w:rPr>
        <w:t>275</w:t>
      </w:r>
      <w:r w:rsidRPr="00953692">
        <w:rPr>
          <w:rFonts w:cs="Times New Roman"/>
          <w:lang w:val="fr-FR"/>
        </w:rPr>
        <w:t xml:space="preserve"> Guide pratique pour les Chambres, Op.cit., p. 10.</w:t>
      </w:r>
    </w:p>
  </w:footnote>
  <w:footnote w:id="300">
    <w:p w14:paraId="5EEFC891" w14:textId="0944D4D0" w:rsidR="00A91370" w:rsidRPr="00953692" w:rsidRDefault="00A91370" w:rsidP="00E009F4">
      <w:pPr>
        <w:pStyle w:val="Notedebasdepage"/>
        <w:spacing w:line="276" w:lineRule="auto"/>
        <w:jc w:val="both"/>
        <w:rPr>
          <w:rFonts w:cs="Times New Roman"/>
          <w:lang w:val="fr-FR"/>
        </w:rPr>
      </w:pPr>
      <w:r w:rsidRPr="00953692">
        <w:rPr>
          <w:rStyle w:val="Appelnotedebasdep"/>
          <w:lang w:val="fr-FR"/>
        </w:rPr>
        <w:t>276</w:t>
      </w:r>
      <w:r w:rsidRPr="00953692">
        <w:rPr>
          <w:rFonts w:cs="Times New Roman"/>
          <w:lang w:val="fr-FR"/>
        </w:rPr>
        <w:t xml:space="preserve"> Guide pratique pour les Chambres, </w:t>
      </w:r>
      <w:r w:rsidRPr="00953692">
        <w:rPr>
          <w:rFonts w:cs="Times New Roman"/>
          <w:i/>
          <w:iCs/>
          <w:lang w:val="fr-FR"/>
        </w:rPr>
        <w:t>Op.cit</w:t>
      </w:r>
      <w:r w:rsidRPr="00953692">
        <w:rPr>
          <w:rFonts w:cs="Times New Roman"/>
          <w:lang w:val="fr-FR"/>
        </w:rPr>
        <w:t>., p. 23.</w:t>
      </w:r>
    </w:p>
  </w:footnote>
  <w:footnote w:id="301">
    <w:p w14:paraId="5B32CBCE" w14:textId="7601EFEB" w:rsidR="00A91370" w:rsidRPr="00953692" w:rsidRDefault="00A91370" w:rsidP="00E009F4">
      <w:pPr>
        <w:pStyle w:val="Notedebasdepage"/>
        <w:spacing w:line="276" w:lineRule="auto"/>
        <w:jc w:val="both"/>
        <w:rPr>
          <w:rFonts w:cs="Times New Roman"/>
          <w:lang w:val="fr-FR"/>
        </w:rPr>
      </w:pPr>
      <w:r w:rsidRPr="00953692">
        <w:rPr>
          <w:rStyle w:val="Appelnotedebasdep"/>
          <w:lang w:val="fr-FR"/>
        </w:rPr>
        <w:t>277</w:t>
      </w:r>
      <w:r w:rsidRPr="00953692">
        <w:rPr>
          <w:rFonts w:cs="Times New Roman"/>
          <w:lang w:val="fr-FR"/>
        </w:rPr>
        <w:t xml:space="preserve"> Idem.</w:t>
      </w:r>
    </w:p>
  </w:footnote>
  <w:footnote w:id="302">
    <w:p w14:paraId="36B5A4D1" w14:textId="022F153E" w:rsidR="00A91370" w:rsidRPr="00953692" w:rsidRDefault="00A91370" w:rsidP="00E009F4">
      <w:pPr>
        <w:pStyle w:val="Notedebasdepage"/>
        <w:spacing w:line="276" w:lineRule="auto"/>
        <w:jc w:val="both"/>
        <w:rPr>
          <w:rFonts w:cs="Times New Roman"/>
          <w:lang w:val="fr-FR"/>
        </w:rPr>
      </w:pPr>
      <w:r w:rsidRPr="00953692">
        <w:rPr>
          <w:rStyle w:val="Appelnotedebasdep"/>
          <w:lang w:val="fr-FR"/>
        </w:rPr>
        <w:t>278</w:t>
      </w:r>
      <w:r w:rsidRPr="00953692">
        <w:rPr>
          <w:rFonts w:cs="Times New Roman"/>
          <w:lang w:val="fr-FR"/>
        </w:rPr>
        <w:t xml:space="preserve"> Article 66 du RPP TPY.</w:t>
      </w:r>
    </w:p>
  </w:footnote>
  <w:footnote w:id="303">
    <w:p w14:paraId="11E565F8" w14:textId="59BF6EFD" w:rsidR="00A91370" w:rsidRPr="00953692" w:rsidRDefault="00A91370" w:rsidP="00E009F4">
      <w:pPr>
        <w:pStyle w:val="Notedebasdepage"/>
        <w:spacing w:line="276" w:lineRule="auto"/>
        <w:jc w:val="both"/>
        <w:rPr>
          <w:rFonts w:cs="Times New Roman"/>
          <w:lang w:val="fr-FR"/>
        </w:rPr>
      </w:pPr>
      <w:r w:rsidRPr="00953692">
        <w:rPr>
          <w:rStyle w:val="Appelnotedebasdep"/>
          <w:lang w:val="fr-FR"/>
        </w:rPr>
        <w:t>279</w:t>
      </w:r>
      <w:r w:rsidRPr="00953692">
        <w:rPr>
          <w:rFonts w:cs="Times New Roman"/>
          <w:lang w:val="fr-FR"/>
        </w:rPr>
        <w:t xml:space="preserve"> Article 54 du RPP TPY.</w:t>
      </w:r>
    </w:p>
  </w:footnote>
  <w:footnote w:id="304">
    <w:p w14:paraId="1B371881" w14:textId="527F2444" w:rsidR="00A91370" w:rsidRPr="00953692" w:rsidRDefault="00A91370" w:rsidP="00E009F4">
      <w:pPr>
        <w:pStyle w:val="Notedebasdepage"/>
        <w:spacing w:line="276" w:lineRule="auto"/>
        <w:jc w:val="both"/>
        <w:rPr>
          <w:rFonts w:cs="Times New Roman"/>
          <w:lang w:val="fr-FR"/>
        </w:rPr>
      </w:pPr>
      <w:r w:rsidRPr="00953692">
        <w:rPr>
          <w:rStyle w:val="Appelnotedebasdep"/>
          <w:lang w:val="fr-FR"/>
        </w:rPr>
        <w:t>280 </w:t>
      </w:r>
      <w:r w:rsidRPr="00953692">
        <w:rPr>
          <w:rFonts w:cs="Times New Roman"/>
          <w:lang w:val="fr-FR"/>
        </w:rPr>
        <w:t xml:space="preserve"> Guide pratique pour les Chambres, </w:t>
      </w:r>
      <w:r w:rsidRPr="00953692">
        <w:rPr>
          <w:rFonts w:cs="Times New Roman"/>
          <w:i/>
          <w:iCs/>
          <w:lang w:val="fr-FR"/>
        </w:rPr>
        <w:t>Op.cit</w:t>
      </w:r>
      <w:r w:rsidRPr="00953692">
        <w:rPr>
          <w:rFonts w:cs="Times New Roman"/>
          <w:lang w:val="fr-FR"/>
        </w:rPr>
        <w:t>., p. 23.</w:t>
      </w:r>
    </w:p>
  </w:footnote>
  <w:footnote w:id="305">
    <w:p w14:paraId="472552E5" w14:textId="19080DBE" w:rsidR="00A91370" w:rsidRPr="00953692" w:rsidRDefault="00A91370" w:rsidP="00E009F4">
      <w:pPr>
        <w:pStyle w:val="Notedebasdepage"/>
        <w:spacing w:line="276" w:lineRule="auto"/>
        <w:jc w:val="both"/>
        <w:rPr>
          <w:rFonts w:cs="Times New Roman"/>
          <w:lang w:val="fr-FR"/>
        </w:rPr>
      </w:pPr>
      <w:r w:rsidRPr="00953692">
        <w:rPr>
          <w:rStyle w:val="Appelnotedebasdep"/>
          <w:lang w:val="fr-FR"/>
        </w:rPr>
        <w:t>281</w:t>
      </w:r>
      <w:r w:rsidRPr="00953692">
        <w:rPr>
          <w:rFonts w:cs="Times New Roman"/>
          <w:lang w:val="fr-FR"/>
        </w:rPr>
        <w:t xml:space="preserve"> CPI, Chambre d’appel, Le Procureur c. Germain Katanga et Mathieu Ngudjolo Chui, Arrêt relatif à l’appel interjeté par Germain Katanga contre la Décision relative aux modalités de participation des victimes au stade des débats sur le fond, rendue le 22 janvier 2010 par la Chambre de première instance II, ICC-01/04-01/07, 16 juillet 2010, §. 55.</w:t>
      </w:r>
    </w:p>
  </w:footnote>
  <w:footnote w:id="306">
    <w:p w14:paraId="7DEF85ED" w14:textId="1ECB805C" w:rsidR="00E622A6" w:rsidRPr="00953692" w:rsidRDefault="00E622A6" w:rsidP="00E009F4">
      <w:pPr>
        <w:pStyle w:val="Notedebasdepage"/>
        <w:spacing w:line="276" w:lineRule="auto"/>
        <w:jc w:val="both"/>
        <w:rPr>
          <w:rFonts w:cs="Times New Roman"/>
          <w:lang w:val="fr-FR"/>
        </w:rPr>
      </w:pPr>
      <w:r w:rsidRPr="00953692">
        <w:rPr>
          <w:rStyle w:val="Appelnotedebasdep"/>
          <w:lang w:val="fr-FR"/>
        </w:rPr>
        <w:t>282</w:t>
      </w:r>
      <w:r w:rsidRPr="00953692">
        <w:rPr>
          <w:rFonts w:cs="Times New Roman"/>
          <w:lang w:val="fr-FR"/>
        </w:rPr>
        <w:t xml:space="preserve"> Par exemple devant la CPI, la Règle 81 prévoit en son paragraphe 1 que, « les rapports, mémoires et autres documents internes établis par une partie, ses assistants ou ses représentants dans le cadre de l’enquête ou de la mise en état de l’affaire n’ont pas à être communiqués ». Le point 2 précise qu’en cas des renseignements devant être divulgués, mais dont la divulgation serait nuisible à l’enquête en cours ou à venir, le Procureur peut requérir l’avis de la Chambre saisie. Toutefois, ces pièces ne peuvent être utilisées au procès sans être préalablement communiquées à la Défense. Et le point 3 dispose que, « lorsque des mesures ont été prises pour préserver des renseignements confidentiels conformément aux articles 54, 57, 64, 72 et 93, et assurer la sécurité des témoins, des victimes et des membres de leur famille conformément à l’article 68, les informations y relatives ne sont pas communiquées, si ce n’est dans les conditions prévues dans lesdits articles. Lorsque la communication de ces renseignements peut présenter un risque pour la sécurité du témoin, la Cour prend des mesures pour en aviser à l’avance ce témoin ». L’article 70 des RPP des TPI organise également ce régime d’exception. Le point B) de cet article prévoit que, si le Procureur possède des informations qui lui ont été communiquées à titre confidentiel et dans la mesure où ces informations n’ont été utilisées que dans le seul but de recueillir des éléments de preuve nouveaux, le Procureur ne peut divulguer ces informations initiales et leur source qu’avec le consentement de la personne ou de l’entité les ayant fournies. Ces informations et leur source ne seront en aucun cas utilisées comme moyens de preuve avant d’avoir été communiquées à l’accusé. Cette disposition est similaire à la Règle 82 du RPP de la CPI. Devant le Tribunal spécial pour le Liban, c’est l’article 111 du RPP qui organise ce régime de l’incommunicabilité.</w:t>
      </w:r>
    </w:p>
  </w:footnote>
  <w:footnote w:id="307">
    <w:p w14:paraId="3F9BC3B2" w14:textId="197569A3" w:rsidR="00E622A6" w:rsidRPr="00953692" w:rsidRDefault="00E622A6" w:rsidP="00E009F4">
      <w:pPr>
        <w:pStyle w:val="Notedebasdepage"/>
        <w:spacing w:line="276" w:lineRule="auto"/>
        <w:jc w:val="both"/>
        <w:rPr>
          <w:rFonts w:cs="Times New Roman"/>
          <w:lang w:val="fr-FR"/>
        </w:rPr>
      </w:pPr>
      <w:r w:rsidRPr="00953692">
        <w:rPr>
          <w:rStyle w:val="Appelnotedebasdep"/>
          <w:lang w:val="fr-FR"/>
        </w:rPr>
        <w:t>283</w:t>
      </w:r>
      <w:r w:rsidRPr="00953692">
        <w:rPr>
          <w:rFonts w:cs="Times New Roman"/>
          <w:lang w:val="fr-FR"/>
        </w:rPr>
        <w:t xml:space="preserve"> Article 114 du RPP du TSL « Le Juge de la mise en état ou la Chambre de première instance peut décider d’office ou à la demande de l’une des deux parties ou d’une victime participant à la procédure d’infliger des sanctions à la partie ou à une victime participant à la procédure qui ne s’acquitte pas des obligations de communication que lui impose le Règlement ». L’organe juridictionnel peut, par exemple, écarter les éléments qui n’ont pas été communiqués dans le délai imparti. (V. la Règle 121-8 du RPP de la CPI). On peut voir aussi l’article 71 du statut de Rome.</w:t>
      </w:r>
    </w:p>
  </w:footnote>
  <w:footnote w:id="308">
    <w:p w14:paraId="2F3ABB0B" w14:textId="23C71379" w:rsidR="00E622A6" w:rsidRPr="00953692" w:rsidRDefault="00E622A6" w:rsidP="00E009F4">
      <w:pPr>
        <w:pStyle w:val="Notedebasdepage"/>
        <w:spacing w:line="276" w:lineRule="auto"/>
        <w:jc w:val="both"/>
        <w:rPr>
          <w:rFonts w:cs="Times New Roman"/>
          <w:lang w:val="fr-FR"/>
        </w:rPr>
      </w:pPr>
      <w:r w:rsidRPr="00953692">
        <w:rPr>
          <w:rStyle w:val="Appelnotedebasdep"/>
          <w:lang w:val="fr-FR"/>
        </w:rPr>
        <w:t>284</w:t>
      </w:r>
      <w:r w:rsidRPr="00953692">
        <w:rPr>
          <w:rFonts w:cs="Times New Roman"/>
          <w:lang w:val="fr-FR"/>
        </w:rPr>
        <w:t xml:space="preserve"> TPIR, Chambre de première instance II, Le Procureur c. Pauline Nyiramasuhuko et consorts, Jugement portant condamnation, 24 juin 2011, ICTR-9E-42-T, par. 135.</w:t>
      </w:r>
    </w:p>
  </w:footnote>
  <w:footnote w:id="309">
    <w:p w14:paraId="1F8D2FA2" w14:textId="7E4A910E" w:rsidR="00E622A6" w:rsidRPr="00953692" w:rsidRDefault="00E622A6" w:rsidP="00E009F4">
      <w:pPr>
        <w:pStyle w:val="Notedebasdepage"/>
        <w:spacing w:line="276" w:lineRule="auto"/>
        <w:jc w:val="both"/>
        <w:rPr>
          <w:rFonts w:cs="Times New Roman"/>
          <w:lang w:val="fr-FR"/>
        </w:rPr>
      </w:pPr>
      <w:r w:rsidRPr="00953692">
        <w:rPr>
          <w:rStyle w:val="Appelnotedebasdep"/>
          <w:lang w:val="fr-FR"/>
        </w:rPr>
        <w:t>285</w:t>
      </w:r>
      <w:r w:rsidRPr="00953692">
        <w:rPr>
          <w:rFonts w:cs="Times New Roman"/>
          <w:lang w:val="fr-FR"/>
        </w:rPr>
        <w:t xml:space="preserve"> Idem, par. 138-143. </w:t>
      </w:r>
    </w:p>
  </w:footnote>
  <w:footnote w:id="310">
    <w:p w14:paraId="6B2449E5" w14:textId="05CEAF53" w:rsidR="009E5D3B" w:rsidRPr="00953692" w:rsidRDefault="009E5D3B" w:rsidP="00E009F4">
      <w:pPr>
        <w:pStyle w:val="Notedebasdepage"/>
        <w:spacing w:line="276" w:lineRule="auto"/>
        <w:jc w:val="both"/>
        <w:rPr>
          <w:rFonts w:cs="Times New Roman"/>
          <w:lang w:val="fr-FR"/>
        </w:rPr>
      </w:pPr>
      <w:r w:rsidRPr="00953692">
        <w:rPr>
          <w:rStyle w:val="Appelnotedebasdep"/>
          <w:rFonts w:cs="Times New Roman"/>
          <w:lang w:val="fr-FR"/>
        </w:rPr>
        <w:t>253</w:t>
      </w:r>
      <w:r w:rsidRPr="00953692">
        <w:rPr>
          <w:rFonts w:cs="Times New Roman"/>
          <w:lang w:val="fr-FR"/>
        </w:rPr>
        <w:t xml:space="preserve"> V. Arrêt précité, note 76, par. 353.</w:t>
      </w:r>
    </w:p>
  </w:footnote>
  <w:footnote w:id="311">
    <w:p w14:paraId="291DFEC0" w14:textId="51B153A6" w:rsidR="00E622A6" w:rsidRPr="00953692" w:rsidRDefault="00E622A6" w:rsidP="00E009F4">
      <w:pPr>
        <w:pStyle w:val="Notedebasdepage"/>
        <w:spacing w:line="276" w:lineRule="auto"/>
        <w:jc w:val="both"/>
        <w:rPr>
          <w:rFonts w:cs="Times New Roman"/>
          <w:lang w:val="fr-FR"/>
        </w:rPr>
      </w:pPr>
      <w:r w:rsidRPr="00953692">
        <w:rPr>
          <w:rStyle w:val="Appelnotedebasdep"/>
          <w:lang w:val="fr-FR"/>
        </w:rPr>
        <w:t>286</w:t>
      </w:r>
      <w:r w:rsidRPr="00953692">
        <w:rPr>
          <w:rFonts w:cs="Times New Roman"/>
          <w:lang w:val="fr-FR"/>
        </w:rPr>
        <w:t xml:space="preserve"> V. Arrêt précité, note 76, par. 372.</w:t>
      </w:r>
    </w:p>
  </w:footnote>
  <w:footnote w:id="312">
    <w:p w14:paraId="0E0008DB" w14:textId="34734BA0" w:rsidR="00E622A6" w:rsidRPr="00953692" w:rsidRDefault="00E622A6" w:rsidP="00E009F4">
      <w:pPr>
        <w:pStyle w:val="Notedebasdepage"/>
        <w:spacing w:line="276" w:lineRule="auto"/>
        <w:jc w:val="both"/>
        <w:rPr>
          <w:rFonts w:cs="Times New Roman"/>
          <w:lang w:val="fr-FR"/>
        </w:rPr>
      </w:pPr>
      <w:r w:rsidRPr="00953692">
        <w:rPr>
          <w:rStyle w:val="Appelnotedebasdep"/>
          <w:lang w:val="fr-FR"/>
        </w:rPr>
        <w:t>287</w:t>
      </w:r>
      <w:r w:rsidRPr="00953692">
        <w:rPr>
          <w:rFonts w:cs="Times New Roman"/>
          <w:lang w:val="fr-FR"/>
        </w:rPr>
        <w:t xml:space="preserve"> Idem, par. 378. </w:t>
      </w:r>
    </w:p>
  </w:footnote>
  <w:footnote w:id="313">
    <w:p w14:paraId="77267ED7" w14:textId="755479D1" w:rsidR="00E622A6" w:rsidRPr="00953692" w:rsidRDefault="00E622A6" w:rsidP="00E009F4">
      <w:pPr>
        <w:spacing w:after="0" w:line="276" w:lineRule="auto"/>
        <w:jc w:val="both"/>
        <w:rPr>
          <w:rFonts w:eastAsia="Calibri" w:cs="Times New Roman"/>
          <w:sz w:val="20"/>
          <w:szCs w:val="20"/>
          <w:lang w:val="fr-FR"/>
        </w:rPr>
      </w:pPr>
      <w:r w:rsidRPr="00953692">
        <w:rPr>
          <w:rStyle w:val="Appelnotedebasdep"/>
          <w:sz w:val="20"/>
          <w:szCs w:val="20"/>
          <w:lang w:val="fr-FR"/>
        </w:rPr>
        <w:t>288</w:t>
      </w:r>
      <w:r w:rsidRPr="00953692">
        <w:rPr>
          <w:rFonts w:cs="Times New Roman"/>
          <w:sz w:val="20"/>
          <w:szCs w:val="20"/>
          <w:lang w:val="fr-FR"/>
        </w:rPr>
        <w:t xml:space="preserve"> Deuxième rapport de la Cour sur l’élaboration d’indicateurs de résultats pour la Cour pénale internationale, 11 novembre 2016, P. 8. En réalité, </w:t>
      </w:r>
      <w:r w:rsidRPr="00953692">
        <w:rPr>
          <w:rFonts w:eastAsia="Times New Roman" w:cs="Times New Roman"/>
          <w:sz w:val="20"/>
          <w:szCs w:val="20"/>
          <w:lang w:val="fr-FR"/>
        </w:rPr>
        <w:t>la justice n’a guère d’intérêt si elle ne va pas vite. Déjà en 1863 Faustin Hélie disait «</w:t>
      </w:r>
      <w:r w:rsidRPr="00953692">
        <w:rPr>
          <w:rFonts w:eastAsia="Calibri" w:cs="Times New Roman"/>
          <w:sz w:val="20"/>
          <w:szCs w:val="20"/>
          <w:lang w:val="fr-FR"/>
        </w:rPr>
        <w:t xml:space="preserve"> </w:t>
      </w:r>
      <w:r w:rsidRPr="00953692">
        <w:rPr>
          <w:rFonts w:eastAsia="Calibri" w:cs="Times New Roman"/>
          <w:i/>
          <w:sz w:val="20"/>
          <w:szCs w:val="20"/>
          <w:lang w:val="fr-FR"/>
        </w:rPr>
        <w:t>la peine, trop longtemps attendue, prend quelque chose de cruel et même d’injuste ».</w:t>
      </w:r>
      <w:r w:rsidRPr="00953692">
        <w:rPr>
          <w:rFonts w:eastAsia="Calibri" w:cs="Times New Roman"/>
          <w:sz w:val="20"/>
          <w:szCs w:val="20"/>
          <w:lang w:val="fr-FR"/>
        </w:rPr>
        <w:t xml:space="preserve"> (</w:t>
      </w:r>
      <w:r w:rsidRPr="00953692">
        <w:rPr>
          <w:rFonts w:eastAsia="Times New Roman" w:cs="Times New Roman"/>
          <w:sz w:val="20"/>
          <w:szCs w:val="20"/>
          <w:lang w:val="fr-FR"/>
        </w:rPr>
        <w:t xml:space="preserve">Hélie, F. </w:t>
      </w:r>
      <w:r w:rsidRPr="00953692">
        <w:rPr>
          <w:rFonts w:eastAsia="Times New Roman" w:cs="Times New Roman"/>
          <w:i/>
          <w:sz w:val="20"/>
          <w:szCs w:val="20"/>
          <w:lang w:val="fr-FR"/>
        </w:rPr>
        <w:t>Traité de l’instruction criminelle ou théorie du code d’instruction criminelle</w:t>
      </w:r>
      <w:r w:rsidRPr="00953692">
        <w:rPr>
          <w:rFonts w:eastAsia="Times New Roman" w:cs="Times New Roman"/>
          <w:sz w:val="20"/>
          <w:szCs w:val="20"/>
          <w:lang w:val="fr-FR"/>
        </w:rPr>
        <w:t xml:space="preserve">, T.I, Bruxelles, Bruylant, 1863, p. 214.) </w:t>
      </w:r>
      <w:r w:rsidRPr="00953692">
        <w:rPr>
          <w:rFonts w:eastAsia="Calibri" w:cs="Times New Roman"/>
          <w:sz w:val="20"/>
          <w:szCs w:val="20"/>
          <w:lang w:val="fr-FR"/>
        </w:rPr>
        <w:t xml:space="preserve">Il est vrai que l’auteur fit allusion à la réactivité de la justice face à l’oubli, il est possible d’utiliser cette affirmation dans le cadre d’un délai raisonnable du procès, pour insister sur le fait qu’il ne </w:t>
      </w:r>
      <w:r w:rsidRPr="00953692">
        <w:rPr>
          <w:rFonts w:eastAsia="Times New Roman" w:cs="Times New Roman"/>
          <w:sz w:val="20"/>
          <w:szCs w:val="20"/>
          <w:lang w:val="fr-FR"/>
        </w:rPr>
        <w:t>faut pas seulement commencer et poser les actes d’instructions pour éviter la prescription, mais il faut aussi les achever, éclater la vérité, réparer les dommages causés par les crimes et instaurer la paix sociale, et ce, rapidement.</w:t>
      </w:r>
    </w:p>
  </w:footnote>
  <w:footnote w:id="314">
    <w:p w14:paraId="523E53DA" w14:textId="08B33370" w:rsidR="00E622A6" w:rsidRPr="00953692" w:rsidRDefault="00E622A6" w:rsidP="00E009F4">
      <w:pPr>
        <w:pStyle w:val="Notedebasdepage"/>
        <w:spacing w:line="276" w:lineRule="auto"/>
        <w:jc w:val="both"/>
        <w:rPr>
          <w:rFonts w:cs="Times New Roman"/>
          <w:lang w:val="fr-FR"/>
        </w:rPr>
      </w:pPr>
      <w:r w:rsidRPr="00953692">
        <w:rPr>
          <w:rStyle w:val="Appelnotedebasdep"/>
          <w:lang w:val="fr-FR"/>
        </w:rPr>
        <w:t>289</w:t>
      </w:r>
      <w:r w:rsidRPr="00953692">
        <w:rPr>
          <w:rFonts w:cs="Times New Roman"/>
          <w:lang w:val="fr-FR"/>
        </w:rPr>
        <w:t xml:space="preserve"> CPI, Chambre de première instance I, Le Procureur c. Thomas Lubanga, Décision relative à la requête urgente du Procureur aux fins de modification du délai de communication de l’identité de l’intermédiaire 143 ou de suspension de l’instance dans l’attente de consultations plus approfondies avec l’Unité d’aide aux victimes et aux témoins, 8 juillet 2010, ICC-01/04-01/06-2517-Conf-tFRA., par. 5-12</w:t>
      </w:r>
    </w:p>
  </w:footnote>
  <w:footnote w:id="315">
    <w:p w14:paraId="290BA9CE" w14:textId="0E3976D4" w:rsidR="00E622A6" w:rsidRPr="00953692" w:rsidRDefault="00E622A6" w:rsidP="00E009F4">
      <w:pPr>
        <w:pStyle w:val="Notedebasdepage"/>
        <w:spacing w:line="276" w:lineRule="auto"/>
        <w:jc w:val="both"/>
        <w:rPr>
          <w:rFonts w:cs="Times New Roman"/>
          <w:lang w:val="fr-FR"/>
        </w:rPr>
      </w:pPr>
      <w:r w:rsidRPr="00953692">
        <w:rPr>
          <w:rStyle w:val="Appelnotedebasdep"/>
          <w:lang w:val="fr-FR"/>
        </w:rPr>
        <w:t>290</w:t>
      </w:r>
      <w:r w:rsidRPr="00953692">
        <w:rPr>
          <w:rFonts w:cs="Times New Roman"/>
          <w:lang w:val="fr-FR"/>
        </w:rPr>
        <w:t xml:space="preserve"> Idem, par. 13.</w:t>
      </w:r>
    </w:p>
  </w:footnote>
  <w:footnote w:id="316">
    <w:p w14:paraId="1CF83A94" w14:textId="1B4D6016" w:rsidR="00E622A6" w:rsidRPr="00953692" w:rsidRDefault="00E622A6" w:rsidP="00E009F4">
      <w:pPr>
        <w:pStyle w:val="Notedebasdepage"/>
        <w:spacing w:line="276" w:lineRule="auto"/>
        <w:jc w:val="both"/>
        <w:rPr>
          <w:rFonts w:cs="Times New Roman"/>
          <w:lang w:val="en-US"/>
        </w:rPr>
      </w:pPr>
      <w:r w:rsidRPr="00953692">
        <w:rPr>
          <w:rStyle w:val="Appelnotedebasdep"/>
          <w:lang w:val="fr-FR"/>
        </w:rPr>
        <w:t>291</w:t>
      </w:r>
      <w:r w:rsidRPr="00953692">
        <w:rPr>
          <w:rFonts w:cs="Times New Roman"/>
          <w:lang w:val="fr-FR"/>
        </w:rPr>
        <w:t xml:space="preserve"> Les juridictions pénales internationales permettent à ce qu’une procédure régulière soit suspendue dès le moment où il devient impossible d’en assurer l’équité. L’analyse de leurs décisions montre qu’il s’agit d’un cas extrême que les juges utilisent pour sanctionner notamment les retards imputables principalement aux organes judiciaires. C’est en effet, le sens à donner à la décision de la Chambre de première instance. TPIR, Chambre d’appel, Le procureur c. Jean-Bosco Barayagwiza, Arrêt du 3 novembre 1999, §. </w:t>
      </w:r>
      <w:r w:rsidRPr="00953692">
        <w:rPr>
          <w:rFonts w:cs="Times New Roman"/>
          <w:lang w:val="en-US"/>
        </w:rPr>
        <w:t>77.; Le Procureur c. Radovan Karadzic, Affaire No IT-95-5/18-AR73.4, original en anglais intitulé «Decision on Karadzic's appeal of the Trial Chamber’s decision on alleged Holhrooke agreement », public, 12 octobre 2009 (&lt;&lt; Décision KaradZié»), par. 45. Voir aussi, ICC, The Appeals Chamber, The Prosecutor v. Thomas Lubanga Dyilo, Judgment on the Appeal of Mr. Thomas Lubanga Dyilo against the Decision on the Defence Challenge to the Jurisdiction of the Court pursuant to article 19 (2) (a) of the Statute of 3 October 2006, 14 December 2006, ICC-01/04-01/06 (OA4), par. 36-39.</w:t>
      </w:r>
    </w:p>
  </w:footnote>
  <w:footnote w:id="317">
    <w:p w14:paraId="48514848" w14:textId="25C73435" w:rsidR="00E622A6" w:rsidRPr="00953692" w:rsidRDefault="00E622A6" w:rsidP="00E009F4">
      <w:pPr>
        <w:pStyle w:val="Notedebasdepage"/>
        <w:spacing w:line="276" w:lineRule="auto"/>
        <w:jc w:val="both"/>
        <w:rPr>
          <w:rFonts w:cs="Times New Roman"/>
          <w:lang w:val="fr-FR"/>
        </w:rPr>
      </w:pPr>
      <w:r w:rsidRPr="00953692">
        <w:rPr>
          <w:rStyle w:val="Appelnotedebasdep"/>
          <w:lang w:val="fr-FR"/>
        </w:rPr>
        <w:t>292</w:t>
      </w:r>
      <w:r w:rsidRPr="00953692">
        <w:rPr>
          <w:rFonts w:cs="Times New Roman"/>
          <w:lang w:val="fr-FR"/>
        </w:rPr>
        <w:t xml:space="preserve"> ICC-01/04-01/06-T-314-ENG, p. 17, ligne 8 à p. 22, ligne 8.</w:t>
      </w:r>
    </w:p>
  </w:footnote>
  <w:footnote w:id="318">
    <w:p w14:paraId="23DB0EF4" w14:textId="5AB7C821" w:rsidR="00E622A6" w:rsidRPr="00953692" w:rsidRDefault="00E622A6" w:rsidP="00E009F4">
      <w:pPr>
        <w:pStyle w:val="Notedebasdepage"/>
        <w:spacing w:line="276" w:lineRule="auto"/>
        <w:jc w:val="both"/>
        <w:rPr>
          <w:rFonts w:cs="Times New Roman"/>
          <w:lang w:val="fr-FR"/>
        </w:rPr>
      </w:pPr>
      <w:r w:rsidRPr="00953692">
        <w:rPr>
          <w:rStyle w:val="Appelnotedebasdep"/>
          <w:lang w:val="fr-FR"/>
        </w:rPr>
        <w:t>293</w:t>
      </w:r>
      <w:r w:rsidRPr="00953692">
        <w:rPr>
          <w:rFonts w:cs="Times New Roman"/>
          <w:lang w:val="fr-FR"/>
        </w:rPr>
        <w:t xml:space="preserve"> CPI, Chambre d’Appel, Le Procureur c. Thomas Lubanga, Arrêt relatif à l’appel interjeté par le Procureur contre la décision rendue par la Chambre de première instance I le 8 juillet 2010, intitulée « Décision relative à la requête urgente du Procureur aux fins de modification du délai de communication de l’identité de l’intermédiaire 143 ou de suspension de l’instance dans l’attente de consultations plus approfondies avec l’Unité d’aide aux victimes et aux témoins » par. 34.</w:t>
      </w:r>
    </w:p>
  </w:footnote>
  <w:footnote w:id="319">
    <w:p w14:paraId="18B5E647" w14:textId="5938AADF" w:rsidR="00E622A6" w:rsidRPr="00953692" w:rsidRDefault="00E622A6" w:rsidP="00E009F4">
      <w:pPr>
        <w:pStyle w:val="Notedebasdepage"/>
        <w:spacing w:line="276" w:lineRule="auto"/>
        <w:jc w:val="both"/>
        <w:rPr>
          <w:rFonts w:cs="Times New Roman"/>
          <w:lang w:val="fr-FR"/>
        </w:rPr>
      </w:pPr>
      <w:r w:rsidRPr="00953692">
        <w:rPr>
          <w:rStyle w:val="Appelnotedebasdep"/>
          <w:lang w:val="fr-FR"/>
        </w:rPr>
        <w:t>294</w:t>
      </w:r>
      <w:r w:rsidRPr="00953692">
        <w:rPr>
          <w:rFonts w:cs="Times New Roman"/>
          <w:lang w:val="fr-FR"/>
        </w:rPr>
        <w:t xml:space="preserve"> </w:t>
      </w:r>
      <w:r w:rsidRPr="00953692">
        <w:rPr>
          <w:rFonts w:cs="Times New Roman"/>
          <w:i/>
          <w:iCs/>
          <w:lang w:val="fr-FR"/>
        </w:rPr>
        <w:t>Idem,</w:t>
      </w:r>
      <w:r w:rsidRPr="00953692">
        <w:rPr>
          <w:rFonts w:cs="Times New Roman"/>
          <w:lang w:val="fr-FR"/>
        </w:rPr>
        <w:t xml:space="preserve"> par.58.</w:t>
      </w:r>
    </w:p>
  </w:footnote>
  <w:footnote w:id="320">
    <w:p w14:paraId="31208456" w14:textId="69EC9D3E" w:rsidR="00E622A6" w:rsidRPr="00953692" w:rsidRDefault="00E622A6" w:rsidP="00E009F4">
      <w:pPr>
        <w:pStyle w:val="Notedebasdepage"/>
        <w:spacing w:line="276" w:lineRule="auto"/>
        <w:jc w:val="both"/>
        <w:rPr>
          <w:rFonts w:cs="Times New Roman"/>
          <w:lang w:val="fr-FR"/>
        </w:rPr>
      </w:pPr>
      <w:r w:rsidRPr="00953692">
        <w:rPr>
          <w:rStyle w:val="Appelnotedebasdep"/>
          <w:lang w:val="fr-FR"/>
        </w:rPr>
        <w:t>295</w:t>
      </w:r>
      <w:r w:rsidRPr="00953692">
        <w:rPr>
          <w:rFonts w:cs="Times New Roman"/>
          <w:lang w:val="fr-FR"/>
        </w:rPr>
        <w:t xml:space="preserve"> </w:t>
      </w:r>
      <w:r w:rsidRPr="00953692">
        <w:rPr>
          <w:rFonts w:cs="Times New Roman"/>
          <w:i/>
          <w:iCs/>
          <w:lang w:val="fr-FR"/>
        </w:rPr>
        <w:t>Ibid.</w:t>
      </w:r>
      <w:r w:rsidRPr="00953692">
        <w:rPr>
          <w:rFonts w:cs="Times New Roman"/>
          <w:lang w:val="fr-FR"/>
        </w:rPr>
        <w:t xml:space="preserve"> §. 60.</w:t>
      </w:r>
    </w:p>
  </w:footnote>
  <w:footnote w:id="321">
    <w:p w14:paraId="679EC797" w14:textId="0D00572C" w:rsidR="00E622A6" w:rsidRPr="00953692" w:rsidRDefault="00E622A6" w:rsidP="00E009F4">
      <w:pPr>
        <w:pStyle w:val="Notedebasdepage"/>
        <w:spacing w:line="276" w:lineRule="auto"/>
        <w:jc w:val="both"/>
        <w:rPr>
          <w:rFonts w:cs="Times New Roman"/>
          <w:lang w:val="fr-FR"/>
        </w:rPr>
      </w:pPr>
      <w:r w:rsidRPr="00953692">
        <w:rPr>
          <w:rStyle w:val="Appelnotedebasdep"/>
          <w:lang w:val="fr-FR"/>
        </w:rPr>
        <w:t>296</w:t>
      </w:r>
      <w:r w:rsidRPr="00953692">
        <w:rPr>
          <w:rFonts w:cs="Times New Roman"/>
          <w:lang w:val="fr-FR"/>
        </w:rPr>
        <w:t xml:space="preserve"> </w:t>
      </w:r>
      <w:r w:rsidRPr="00953692">
        <w:rPr>
          <w:rFonts w:cs="Times New Roman"/>
          <w:i/>
          <w:iCs/>
          <w:lang w:val="fr-FR"/>
        </w:rPr>
        <w:t>Ibid.</w:t>
      </w:r>
      <w:r w:rsidRPr="00953692">
        <w:rPr>
          <w:rFonts w:cs="Times New Roman"/>
          <w:lang w:val="fr-FR"/>
        </w:rPr>
        <w:t xml:space="preserve"> §. 60-63.</w:t>
      </w:r>
    </w:p>
  </w:footnote>
  <w:footnote w:id="322">
    <w:p w14:paraId="2FC7752B" w14:textId="355D5B2B" w:rsidR="00E622A6" w:rsidRPr="00953692" w:rsidRDefault="00E622A6" w:rsidP="00E009F4">
      <w:pPr>
        <w:shd w:val="clear" w:color="auto" w:fill="FFFFFF"/>
        <w:spacing w:line="276" w:lineRule="auto"/>
        <w:jc w:val="both"/>
        <w:rPr>
          <w:rFonts w:cs="Times New Roman"/>
          <w:sz w:val="20"/>
          <w:szCs w:val="20"/>
          <w:shd w:val="clear" w:color="auto" w:fill="FFFFFF"/>
          <w:lang w:val="fr-FR"/>
        </w:rPr>
      </w:pPr>
      <w:r w:rsidRPr="00953692">
        <w:rPr>
          <w:rStyle w:val="Appelnotedebasdep"/>
          <w:sz w:val="20"/>
          <w:szCs w:val="20"/>
          <w:lang w:val="fr-FR"/>
        </w:rPr>
        <w:t>297</w:t>
      </w:r>
      <w:r w:rsidRPr="00953692">
        <w:rPr>
          <w:rFonts w:cs="Times New Roman"/>
          <w:sz w:val="20"/>
          <w:szCs w:val="20"/>
          <w:lang w:val="fr-FR"/>
        </w:rPr>
        <w:t xml:space="preserve"> TPIR, </w:t>
      </w:r>
      <w:r w:rsidRPr="00953692">
        <w:rPr>
          <w:rFonts w:eastAsia="Times New Roman" w:cs="Times New Roman"/>
          <w:sz w:val="20"/>
          <w:szCs w:val="20"/>
          <w:lang w:val="fr-FR" w:eastAsia="ru-RU"/>
        </w:rPr>
        <w:t xml:space="preserve">le Procureur c. Sylvain Nsabimana et Alphonse Nteziryayo, Décision relative à la requête urgente du procureur tendant à faire enjoindre à la défense de se conformer à la décision rendue par la chambre de première instance le 17 août 2006, (affaire n° ICTR-97-29-T), </w:t>
      </w:r>
      <w:r w:rsidRPr="00953692">
        <w:rPr>
          <w:rFonts w:cs="Times New Roman"/>
          <w:sz w:val="20"/>
          <w:szCs w:val="20"/>
          <w:shd w:val="clear" w:color="auto" w:fill="FFFFFF"/>
          <w:lang w:val="fr-FR"/>
        </w:rPr>
        <w:t>5 septembre 2006, §. 15-17.</w:t>
      </w:r>
    </w:p>
  </w:footnote>
  <w:footnote w:id="323">
    <w:p w14:paraId="44FB5B6E" w14:textId="122DF4D4" w:rsidR="00E622A6" w:rsidRPr="00953692" w:rsidRDefault="00E622A6" w:rsidP="00E009F4">
      <w:pPr>
        <w:pStyle w:val="Notedebasdepage"/>
        <w:spacing w:line="276" w:lineRule="auto"/>
        <w:jc w:val="both"/>
        <w:rPr>
          <w:rFonts w:cs="Times New Roman"/>
          <w:lang w:val="fr-FR"/>
        </w:rPr>
      </w:pPr>
      <w:r w:rsidRPr="00953692">
        <w:rPr>
          <w:rStyle w:val="Appelnotedebasdep"/>
          <w:lang w:val="fr-FR"/>
        </w:rPr>
        <w:t>298</w:t>
      </w:r>
      <w:r w:rsidRPr="00953692">
        <w:rPr>
          <w:rFonts w:cs="Times New Roman"/>
          <w:lang w:val="fr-FR"/>
        </w:rPr>
        <w:t xml:space="preserve"> Article 8 de la déclaration universelle des droits de l’homme de 1948.</w:t>
      </w:r>
    </w:p>
  </w:footnote>
  <w:footnote w:id="324">
    <w:p w14:paraId="3170DDCA" w14:textId="248BFECC"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299</w:t>
      </w:r>
      <w:r w:rsidRPr="00953692">
        <w:rPr>
          <w:rFonts w:cs="Times New Roman"/>
          <w:lang w:val="fr-FR"/>
        </w:rPr>
        <w:t xml:space="preserve"> Le Bot, O. le droit au recours comme garantie des droits fondamentaux : L’article 8 de la déclaration universelle des droits de l’homme, in CRDF n° 7, 2009, p. 107-116.</w:t>
      </w:r>
    </w:p>
  </w:footnote>
  <w:footnote w:id="325">
    <w:p w14:paraId="4FD189CC" w14:textId="35FE4913" w:rsidR="00A3146F" w:rsidRPr="00953692" w:rsidRDefault="00A3146F" w:rsidP="00E009F4">
      <w:pPr>
        <w:spacing w:after="0" w:line="276" w:lineRule="auto"/>
        <w:jc w:val="both"/>
        <w:rPr>
          <w:rFonts w:eastAsia="Times New Roman" w:cs="Times New Roman"/>
          <w:sz w:val="20"/>
          <w:szCs w:val="20"/>
          <w:lang w:val="fr-FR" w:eastAsia="ru-RU"/>
        </w:rPr>
      </w:pPr>
      <w:r w:rsidRPr="00953692">
        <w:rPr>
          <w:rStyle w:val="Appelnotedebasdep"/>
          <w:sz w:val="20"/>
          <w:szCs w:val="20"/>
          <w:lang w:val="fr-FR"/>
        </w:rPr>
        <w:t>300</w:t>
      </w:r>
      <w:r w:rsidRPr="00953692">
        <w:rPr>
          <w:rFonts w:cs="Times New Roman"/>
          <w:sz w:val="20"/>
          <w:szCs w:val="20"/>
          <w:lang w:val="fr-FR"/>
        </w:rPr>
        <w:t xml:space="preserve"> Anne-Marie </w:t>
      </w:r>
      <w:r w:rsidRPr="00953692">
        <w:rPr>
          <w:rFonts w:eastAsia="Times New Roman" w:cs="Times New Roman"/>
          <w:sz w:val="20"/>
          <w:szCs w:val="20"/>
          <w:lang w:val="fr-FR" w:eastAsia="ru-RU"/>
        </w:rPr>
        <w:t xml:space="preserve">LA ROSA, </w:t>
      </w:r>
      <w:r w:rsidRPr="00953692">
        <w:rPr>
          <w:rFonts w:eastAsia="Times New Roman" w:cs="Times New Roman"/>
          <w:i/>
          <w:iCs/>
          <w:sz w:val="20"/>
          <w:szCs w:val="20"/>
          <w:lang w:val="fr-FR" w:eastAsia="ru-RU"/>
        </w:rPr>
        <w:t>Chapitre </w:t>
      </w:r>
      <w:r w:rsidRPr="00953692">
        <w:rPr>
          <w:rFonts w:eastAsia="Times New Roman" w:cs="Times New Roman"/>
          <w:i/>
          <w:iCs/>
          <w:sz w:val="20"/>
          <w:szCs w:val="20"/>
          <w:lang w:val="de-DE" w:eastAsia="ru-RU"/>
        </w:rPr>
        <w:t>VI. </w:t>
      </w:r>
      <w:r w:rsidRPr="00953692">
        <w:rPr>
          <w:rFonts w:eastAsia="Times New Roman" w:cs="Times New Roman"/>
          <w:i/>
          <w:iCs/>
          <w:sz w:val="20"/>
          <w:szCs w:val="20"/>
          <w:lang w:val="fr-FR" w:eastAsia="ru-RU"/>
        </w:rPr>
        <w:t>Contestation des décisions de première instance</w:t>
      </w:r>
      <w:r w:rsidRPr="00953692">
        <w:rPr>
          <w:rFonts w:eastAsia="Times New Roman" w:cs="Times New Roman"/>
          <w:sz w:val="20"/>
          <w:szCs w:val="20"/>
          <w:lang w:val="fr-FR" w:eastAsia="ru-RU"/>
        </w:rPr>
        <w:t> In : </w:t>
      </w:r>
      <w:r w:rsidRPr="00953692">
        <w:rPr>
          <w:rFonts w:eastAsia="Times New Roman" w:cs="Times New Roman"/>
          <w:i/>
          <w:iCs/>
          <w:sz w:val="20"/>
          <w:szCs w:val="20"/>
          <w:lang w:val="fr-FR" w:eastAsia="ru-RU"/>
        </w:rPr>
        <w:t>Juridictions pénales internationales : La procédure et la preuve</w:t>
      </w:r>
      <w:r w:rsidRPr="00953692">
        <w:rPr>
          <w:rFonts w:eastAsia="Times New Roman" w:cs="Times New Roman"/>
          <w:sz w:val="20"/>
          <w:szCs w:val="20"/>
          <w:lang w:val="fr-FR" w:eastAsia="ru-RU"/>
        </w:rPr>
        <w:t xml:space="preserve"> [en ligne]. Genève : Graduate Institute Publications, 2003 (généré le 19 mars 2022). Disponible sur Internet : &lt;http://books.openedition.org/iheid/579&gt;. ISBN : 9782940503414. DOI : </w:t>
      </w:r>
      <w:hyperlink r:id="rId7" w:history="1">
        <w:r w:rsidRPr="00953692">
          <w:rPr>
            <w:rStyle w:val="Lienhypertexte"/>
            <w:rFonts w:eastAsia="Times New Roman" w:cs="Times New Roman"/>
            <w:color w:val="auto"/>
            <w:sz w:val="20"/>
            <w:szCs w:val="20"/>
            <w:u w:val="none"/>
            <w:lang w:val="fr-FR" w:eastAsia="ru-RU"/>
          </w:rPr>
          <w:t>https://doi.org/10.4000/books.iheid.579</w:t>
        </w:r>
      </w:hyperlink>
      <w:r w:rsidRPr="00953692">
        <w:rPr>
          <w:rFonts w:eastAsia="Times New Roman" w:cs="Times New Roman"/>
          <w:sz w:val="20"/>
          <w:szCs w:val="20"/>
          <w:lang w:val="fr-FR" w:eastAsia="ru-RU"/>
        </w:rPr>
        <w:t>. §. 3.</w:t>
      </w:r>
    </w:p>
  </w:footnote>
  <w:footnote w:id="326">
    <w:p w14:paraId="4210C8B7" w14:textId="5F6D2BF1"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301</w:t>
      </w:r>
      <w:r w:rsidRPr="00953692">
        <w:rPr>
          <w:rFonts w:cs="Times New Roman"/>
          <w:lang w:val="fr-FR"/>
        </w:rPr>
        <w:t xml:space="preserve"> Picotte, J. Juridictionnaire recueil des difficultés et des ressources du français juridique, CTTJ, Faculté de droit, Université de Moncton, 2018 p. 1892.</w:t>
      </w:r>
    </w:p>
  </w:footnote>
  <w:footnote w:id="327">
    <w:p w14:paraId="1C093348" w14:textId="4CC74EAC" w:rsidR="00A3146F" w:rsidRPr="00953692" w:rsidRDefault="00A3146F" w:rsidP="00E009F4">
      <w:pPr>
        <w:spacing w:after="0" w:line="276" w:lineRule="auto"/>
        <w:jc w:val="both"/>
        <w:rPr>
          <w:rFonts w:cs="Times New Roman"/>
          <w:sz w:val="20"/>
          <w:szCs w:val="20"/>
          <w:shd w:val="clear" w:color="auto" w:fill="FFFFFF"/>
          <w:lang w:val="fr-FR"/>
        </w:rPr>
      </w:pPr>
      <w:r w:rsidRPr="00953692">
        <w:rPr>
          <w:rStyle w:val="Appelnotedebasdep"/>
          <w:sz w:val="20"/>
          <w:szCs w:val="20"/>
          <w:lang w:val="fr-FR"/>
        </w:rPr>
        <w:t>302</w:t>
      </w:r>
      <w:r w:rsidRPr="00953692">
        <w:rPr>
          <w:rFonts w:cs="Times New Roman"/>
          <w:sz w:val="20"/>
          <w:szCs w:val="20"/>
          <w:lang w:val="fr-FR"/>
        </w:rPr>
        <w:t xml:space="preserve"> Idem, p. 1893.</w:t>
      </w:r>
    </w:p>
  </w:footnote>
  <w:footnote w:id="328">
    <w:p w14:paraId="03C9FDF7" w14:textId="51FE994C"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303</w:t>
      </w:r>
      <w:r w:rsidRPr="00953692">
        <w:rPr>
          <w:rFonts w:cs="Times New Roman"/>
          <w:lang w:val="fr-FR"/>
        </w:rPr>
        <w:t xml:space="preserve"> La Rosa, A-M. Chapitre VI. Contestation des décisions de première instance, §.8.</w:t>
      </w:r>
    </w:p>
  </w:footnote>
  <w:footnote w:id="329">
    <w:p w14:paraId="41C3C6C0" w14:textId="433E1094"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304</w:t>
      </w:r>
      <w:r w:rsidRPr="00953692">
        <w:rPr>
          <w:rFonts w:cs="Times New Roman"/>
          <w:lang w:val="fr-FR"/>
        </w:rPr>
        <w:t xml:space="preserve"> Jugement portant condamnation, supra note 193, par. 38.</w:t>
      </w:r>
    </w:p>
  </w:footnote>
  <w:footnote w:id="330">
    <w:p w14:paraId="405560E6" w14:textId="2831767C"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305</w:t>
      </w:r>
      <w:r w:rsidRPr="00953692">
        <w:rPr>
          <w:rFonts w:cs="Times New Roman"/>
          <w:lang w:val="fr-FR"/>
        </w:rPr>
        <w:t xml:space="preserve"> Opinion individuelle du président de la Chambre, le juge Antonetti, relative à la requête de l'accusé Vojislav Seselj aux fins de mettre un terme à son procès, p. 4. Décision du 29 septembre 2011 précitée, §. 31.</w:t>
      </w:r>
    </w:p>
  </w:footnote>
  <w:footnote w:id="331">
    <w:p w14:paraId="420A18B7" w14:textId="571C854C"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306</w:t>
      </w:r>
      <w:r w:rsidRPr="00953692">
        <w:rPr>
          <w:rFonts w:cs="Times New Roman"/>
          <w:lang w:val="fr-FR"/>
        </w:rPr>
        <w:t xml:space="preserve"> Le procureur c. Théoneste Bagosora et consorts., Jugement portant condamnation, précité, §. 78.</w:t>
      </w:r>
    </w:p>
  </w:footnote>
  <w:footnote w:id="332">
    <w:p w14:paraId="5D6546C4" w14:textId="140F4B4B"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307</w:t>
      </w:r>
      <w:r w:rsidRPr="00953692">
        <w:rPr>
          <w:rFonts w:cs="Times New Roman"/>
          <w:lang w:val="fr-FR"/>
        </w:rPr>
        <w:t xml:space="preserve"> Le Procureur c. Edouard Karemera et Matthieu Ngirumpatse, Jugement portant condamnation, précité, §. 38. </w:t>
      </w:r>
    </w:p>
  </w:footnote>
  <w:footnote w:id="333">
    <w:p w14:paraId="7ACD3C01" w14:textId="12CE0988"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308</w:t>
      </w:r>
      <w:r w:rsidRPr="00953692">
        <w:rPr>
          <w:rFonts w:cs="Times New Roman"/>
          <w:lang w:val="fr-FR"/>
        </w:rPr>
        <w:t xml:space="preserve"> Art. 64-6-f du Statut de Rome précité.</w:t>
      </w:r>
    </w:p>
  </w:footnote>
  <w:footnote w:id="334">
    <w:p w14:paraId="68689025" w14:textId="4C367A18"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309</w:t>
      </w:r>
      <w:r w:rsidRPr="00953692">
        <w:rPr>
          <w:rFonts w:cs="Times New Roman"/>
          <w:lang w:val="fr-FR"/>
        </w:rPr>
        <w:t xml:space="preserve"> TPIR, Chambre de première instance II, Le Procureur c. Arsène Shalom Ntahobali, Décision relative à la requête de Ntahobali en certification d'appel de la décision du 9 décembre 2008 concernant le témoin à charge QCB, 14 janvier 2009, Affaire n° ICTR-97-21-T Jonction d'instances n° ICTR-98-42-T, par. 1</w:t>
      </w:r>
    </w:p>
  </w:footnote>
  <w:footnote w:id="335">
    <w:p w14:paraId="2E4D5349" w14:textId="3D81731C" w:rsidR="00A3146F" w:rsidRPr="00953692" w:rsidRDefault="00A3146F" w:rsidP="00E009F4">
      <w:pPr>
        <w:pStyle w:val="Notedebasdepage"/>
        <w:spacing w:line="276" w:lineRule="auto"/>
        <w:jc w:val="both"/>
        <w:rPr>
          <w:rFonts w:cs="Times New Roman"/>
          <w:lang w:val="en-US"/>
        </w:rPr>
      </w:pPr>
      <w:r w:rsidRPr="00953692">
        <w:rPr>
          <w:rStyle w:val="Appelnotedebasdep"/>
          <w:lang w:val="en-US"/>
        </w:rPr>
        <w:t>310</w:t>
      </w:r>
      <w:r w:rsidRPr="00953692">
        <w:rPr>
          <w:rFonts w:cs="Times New Roman"/>
          <w:lang w:val="en-US"/>
        </w:rPr>
        <w:t xml:space="preserve"> </w:t>
      </w:r>
      <w:r w:rsidRPr="00953692">
        <w:rPr>
          <w:rFonts w:cs="Times New Roman"/>
          <w:i/>
          <w:iCs/>
          <w:lang w:val="en-US"/>
        </w:rPr>
        <w:t>Idem,</w:t>
      </w:r>
      <w:r w:rsidRPr="00953692">
        <w:rPr>
          <w:rFonts w:cs="Times New Roman"/>
          <w:lang w:val="en-US"/>
        </w:rPr>
        <w:t xml:space="preserve"> par. 5.</w:t>
      </w:r>
    </w:p>
  </w:footnote>
  <w:footnote w:id="336">
    <w:p w14:paraId="5FE46DFB" w14:textId="6781F01B" w:rsidR="00A3146F" w:rsidRPr="00953692" w:rsidRDefault="00A3146F" w:rsidP="00E009F4">
      <w:pPr>
        <w:pStyle w:val="Notedebasdepage"/>
        <w:spacing w:line="276" w:lineRule="auto"/>
        <w:jc w:val="both"/>
        <w:rPr>
          <w:rFonts w:cs="Times New Roman"/>
          <w:lang w:val="en-US"/>
        </w:rPr>
      </w:pPr>
      <w:r w:rsidRPr="00953692">
        <w:rPr>
          <w:rStyle w:val="Appelnotedebasdep"/>
          <w:lang w:val="en-US"/>
        </w:rPr>
        <w:t>311</w:t>
      </w:r>
      <w:r w:rsidRPr="00953692">
        <w:rPr>
          <w:rFonts w:cs="Times New Roman"/>
          <w:lang w:val="en-US"/>
        </w:rPr>
        <w:t xml:space="preserve"> </w:t>
      </w:r>
      <w:r w:rsidRPr="00953692">
        <w:rPr>
          <w:rFonts w:cs="Times New Roman"/>
          <w:i/>
          <w:iCs/>
          <w:lang w:val="en-US"/>
        </w:rPr>
        <w:t>Ibid.</w:t>
      </w:r>
      <w:r w:rsidRPr="00953692">
        <w:rPr>
          <w:rFonts w:cs="Times New Roman"/>
          <w:lang w:val="en-US"/>
        </w:rPr>
        <w:t>, par. 9-11.</w:t>
      </w:r>
    </w:p>
  </w:footnote>
  <w:footnote w:id="337">
    <w:p w14:paraId="31A48B3C" w14:textId="79658379" w:rsidR="00A3146F" w:rsidRPr="00953692" w:rsidRDefault="00A3146F" w:rsidP="00E009F4">
      <w:pPr>
        <w:pStyle w:val="Notedebasdepage"/>
        <w:spacing w:line="276" w:lineRule="auto"/>
        <w:jc w:val="both"/>
        <w:rPr>
          <w:rFonts w:cs="Times New Roman"/>
          <w:lang w:val="fr-FR"/>
        </w:rPr>
      </w:pPr>
      <w:r w:rsidRPr="00953692">
        <w:rPr>
          <w:rStyle w:val="Appelnotedebasdep"/>
          <w:lang w:val="en-US"/>
        </w:rPr>
        <w:t>312</w:t>
      </w:r>
      <w:r w:rsidRPr="00953692">
        <w:rPr>
          <w:rFonts w:cs="Times New Roman"/>
          <w:lang w:val="en-US"/>
        </w:rPr>
        <w:t xml:space="preserve"> The Prosecutor v. Arsène Shalom Ntahobali, Decision on Ntahobali’s motion for certification to appeal the 20 November 2008 Decision concerning the recall of prosecution witness QCB, 9 December 2008, ICTR-97-2 1 -T Joint Case No. </w:t>
      </w:r>
      <w:r w:rsidRPr="00953692">
        <w:rPr>
          <w:rFonts w:cs="Times New Roman"/>
          <w:lang w:val="fr-FR"/>
        </w:rPr>
        <w:t>ICTR-98-42-T, par. 17.</w:t>
      </w:r>
    </w:p>
  </w:footnote>
  <w:footnote w:id="338">
    <w:p w14:paraId="1A7B7A9C" w14:textId="2FA92E1E"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313</w:t>
      </w:r>
      <w:r w:rsidRPr="00953692">
        <w:rPr>
          <w:rFonts w:cs="Times New Roman"/>
          <w:lang w:val="fr-FR"/>
        </w:rPr>
        <w:t xml:space="preserve"> La Rosa, Anne-Marie. Chapitre VI. Contestation des décisions de première instance, par. 9.</w:t>
      </w:r>
    </w:p>
  </w:footnote>
  <w:footnote w:id="339">
    <w:p w14:paraId="2B5ABF5A" w14:textId="661F028B"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314</w:t>
      </w:r>
      <w:r w:rsidRPr="00953692">
        <w:rPr>
          <w:rFonts w:cs="Times New Roman"/>
          <w:lang w:val="fr-FR"/>
        </w:rPr>
        <w:t xml:space="preserve"> Guichard, S. et Debard, T. </w:t>
      </w:r>
      <w:r w:rsidRPr="00953692">
        <w:rPr>
          <w:rFonts w:cs="Times New Roman"/>
          <w:i/>
          <w:iCs/>
          <w:lang w:val="fr-FR"/>
        </w:rPr>
        <w:t>Lexique des termes juridiques</w:t>
      </w:r>
      <w:r w:rsidRPr="00953692">
        <w:rPr>
          <w:rFonts w:cs="Times New Roman"/>
          <w:lang w:val="fr-FR"/>
        </w:rPr>
        <w:t>, 25</w:t>
      </w:r>
      <w:r w:rsidRPr="00953692">
        <w:rPr>
          <w:rFonts w:cs="Times New Roman"/>
          <w:vertAlign w:val="superscript"/>
          <w:lang w:val="fr-FR"/>
        </w:rPr>
        <w:t>ème</w:t>
      </w:r>
      <w:r w:rsidRPr="00953692">
        <w:rPr>
          <w:rFonts w:cs="Times New Roman"/>
          <w:lang w:val="fr-FR"/>
        </w:rPr>
        <w:t xml:space="preserve"> éd., Dalloz, Paris, p. 1163.</w:t>
      </w:r>
    </w:p>
  </w:footnote>
  <w:footnote w:id="340">
    <w:p w14:paraId="47AA5158" w14:textId="10EAB8B0"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315</w:t>
      </w:r>
      <w:r w:rsidRPr="00953692">
        <w:rPr>
          <w:rFonts w:cs="Times New Roman"/>
          <w:lang w:val="fr-FR"/>
        </w:rPr>
        <w:t xml:space="preserve"> La Rosa, Anne-Marie. Chapitre VI. Contestation des décisions de première instance, par. 10.</w:t>
      </w:r>
    </w:p>
  </w:footnote>
  <w:footnote w:id="341">
    <w:p w14:paraId="465A4F8A" w14:textId="37513C3B"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316</w:t>
      </w:r>
      <w:r w:rsidRPr="00953692">
        <w:rPr>
          <w:rFonts w:cs="Times New Roman"/>
          <w:lang w:val="fr-FR"/>
        </w:rPr>
        <w:t xml:space="preserve"> Article 72 du </w:t>
      </w:r>
      <w:r w:rsidRPr="00953692">
        <w:rPr>
          <w:rFonts w:cs="Times New Roman"/>
          <w:shd w:val="clear" w:color="auto" w:fill="FFFFFF"/>
          <w:lang w:val="fr-FR"/>
        </w:rPr>
        <w:t>RPP du TPIY.</w:t>
      </w:r>
    </w:p>
  </w:footnote>
  <w:footnote w:id="342">
    <w:p w14:paraId="41D9FC17" w14:textId="7BE750D7"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317</w:t>
      </w:r>
      <w:r w:rsidRPr="00953692">
        <w:rPr>
          <w:rFonts w:cs="Times New Roman"/>
          <w:lang w:val="fr-FR"/>
        </w:rPr>
        <w:t xml:space="preserve"> La Rosa, Anne-Marie. Chapitre VI. Contestation des décisions de première instance, par. 10.</w:t>
      </w:r>
    </w:p>
  </w:footnote>
  <w:footnote w:id="343">
    <w:p w14:paraId="600B1871" w14:textId="6179C6FF"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318</w:t>
      </w:r>
      <w:r w:rsidRPr="00953692">
        <w:rPr>
          <w:rFonts w:cs="Times New Roman"/>
          <w:lang w:val="fr-FR"/>
        </w:rPr>
        <w:t xml:space="preserve"> Article 81-3-c-ii du statut de Rome.</w:t>
      </w:r>
    </w:p>
  </w:footnote>
  <w:footnote w:id="344">
    <w:p w14:paraId="72CEE908" w14:textId="42B67944"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319</w:t>
      </w:r>
      <w:r w:rsidRPr="00953692">
        <w:rPr>
          <w:rFonts w:cs="Times New Roman"/>
          <w:lang w:val="fr-FR"/>
        </w:rPr>
        <w:t xml:space="preserve"> Article 82-1-a du statut de Rome.</w:t>
      </w:r>
    </w:p>
  </w:footnote>
  <w:footnote w:id="345">
    <w:p w14:paraId="5630F179" w14:textId="098E64C7"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320</w:t>
      </w:r>
      <w:r w:rsidRPr="00953692">
        <w:rPr>
          <w:rFonts w:cs="Times New Roman"/>
          <w:lang w:val="fr-FR"/>
        </w:rPr>
        <w:t xml:space="preserve"> Article 82-1-b du statut de Rome.</w:t>
      </w:r>
    </w:p>
  </w:footnote>
  <w:footnote w:id="346">
    <w:p w14:paraId="2177B999" w14:textId="511790FA"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321</w:t>
      </w:r>
      <w:r w:rsidRPr="00953692">
        <w:rPr>
          <w:rFonts w:cs="Times New Roman"/>
          <w:lang w:val="fr-FR"/>
        </w:rPr>
        <w:t xml:space="preserve"> Article 82-1-c, art. 56-3-a du statut de Rome.</w:t>
      </w:r>
    </w:p>
  </w:footnote>
  <w:footnote w:id="347">
    <w:p w14:paraId="32DCE109" w14:textId="6818D17B"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322</w:t>
      </w:r>
      <w:r w:rsidRPr="00953692">
        <w:rPr>
          <w:rFonts w:cs="Times New Roman"/>
          <w:lang w:val="fr-FR"/>
        </w:rPr>
        <w:t xml:space="preserve"> Article 82-1-d du statut de Rome.</w:t>
      </w:r>
    </w:p>
  </w:footnote>
  <w:footnote w:id="348">
    <w:p w14:paraId="42890714" w14:textId="2AAD6A00" w:rsidR="00A3146F" w:rsidRPr="00953692" w:rsidRDefault="00A3146F" w:rsidP="00E009F4">
      <w:pPr>
        <w:pStyle w:val="Notedebasdepage"/>
        <w:spacing w:line="276" w:lineRule="auto"/>
        <w:jc w:val="both"/>
        <w:rPr>
          <w:rFonts w:cs="Times New Roman"/>
          <w:lang w:val="fr-FR"/>
        </w:rPr>
      </w:pPr>
      <w:r w:rsidRPr="00953692">
        <w:rPr>
          <w:rStyle w:val="Appelnotedebasdep"/>
          <w:lang w:val="fr-FR"/>
        </w:rPr>
        <w:t>323</w:t>
      </w:r>
      <w:r w:rsidRPr="00953692">
        <w:rPr>
          <w:rFonts w:cs="Times New Roman"/>
          <w:lang w:val="fr-FR"/>
        </w:rPr>
        <w:t xml:space="preserve"> Article 133 du RPP de la CPS Centrafricaine.</w:t>
      </w:r>
    </w:p>
  </w:footnote>
  <w:footnote w:id="349">
    <w:p w14:paraId="5A5DA4AE" w14:textId="1DBD241B" w:rsidR="00527DC5" w:rsidRPr="00953692" w:rsidRDefault="00527DC5" w:rsidP="00E009F4">
      <w:pPr>
        <w:pStyle w:val="Notedebasdepage"/>
        <w:spacing w:line="276" w:lineRule="auto"/>
        <w:jc w:val="both"/>
        <w:rPr>
          <w:rFonts w:cs="Times New Roman"/>
          <w:lang w:val="fr-FR"/>
        </w:rPr>
      </w:pPr>
      <w:r w:rsidRPr="00953692">
        <w:rPr>
          <w:rStyle w:val="Appelnotedebasdep"/>
          <w:lang w:val="fr-FR"/>
        </w:rPr>
        <w:t>324</w:t>
      </w:r>
      <w:r w:rsidRPr="00953692">
        <w:rPr>
          <w:rFonts w:cs="Times New Roman"/>
          <w:lang w:val="fr-FR"/>
        </w:rPr>
        <w:t xml:space="preserve"> Article 133 B du RPP de la CPS Centrafricaine.</w:t>
      </w:r>
    </w:p>
  </w:footnote>
  <w:footnote w:id="350">
    <w:p w14:paraId="0389043C" w14:textId="7E7D8950" w:rsidR="00527DC5" w:rsidRPr="00953692" w:rsidRDefault="00527DC5" w:rsidP="00E009F4">
      <w:pPr>
        <w:pStyle w:val="Notedebasdepage"/>
        <w:spacing w:line="276" w:lineRule="auto"/>
        <w:jc w:val="both"/>
        <w:rPr>
          <w:rFonts w:cs="Times New Roman"/>
          <w:lang w:val="fr-FR"/>
        </w:rPr>
      </w:pPr>
      <w:r w:rsidRPr="00953692">
        <w:rPr>
          <w:rStyle w:val="Appelnotedebasdep"/>
          <w:lang w:val="fr-FR"/>
        </w:rPr>
        <w:t>325</w:t>
      </w:r>
      <w:r w:rsidRPr="00953692">
        <w:rPr>
          <w:rFonts w:cs="Times New Roman"/>
          <w:lang w:val="fr-FR"/>
        </w:rPr>
        <w:t xml:space="preserve"> Voir par exemple l’article 104-4-§3 du RPP du CETC.</w:t>
      </w:r>
    </w:p>
  </w:footnote>
  <w:footnote w:id="351">
    <w:p w14:paraId="6042461B" w14:textId="5EF38139" w:rsidR="00527DC5" w:rsidRPr="00953692" w:rsidRDefault="00527DC5" w:rsidP="00E009F4">
      <w:pPr>
        <w:pStyle w:val="Notedebasdepage"/>
        <w:spacing w:line="276" w:lineRule="auto"/>
        <w:jc w:val="both"/>
        <w:rPr>
          <w:rFonts w:cs="Times New Roman"/>
          <w:lang w:val="fr-FR"/>
        </w:rPr>
      </w:pPr>
      <w:r w:rsidRPr="00953692">
        <w:rPr>
          <w:rStyle w:val="Appelnotedebasdep"/>
          <w:lang w:val="en-US"/>
        </w:rPr>
        <w:t>326</w:t>
      </w:r>
      <w:r w:rsidRPr="00953692">
        <w:rPr>
          <w:rFonts w:cs="Times New Roman"/>
          <w:lang w:val="en-US"/>
        </w:rPr>
        <w:t xml:space="preserve"> TPIY, The Appeals Chamber, Prosecutor v. Zejnil Delalic, Zdravko Mucic (aka “PAVO”), Hazim Delic and Esad Landžo (aka “ZENGA”), Judgement, 20 February 2001, IT-96-21-A, par. 122. </w:t>
      </w:r>
      <w:r w:rsidRPr="00953692">
        <w:rPr>
          <w:rFonts w:cs="Times New Roman"/>
          <w:lang w:val="fr-FR"/>
        </w:rPr>
        <w:t>« </w:t>
      </w:r>
      <w:r w:rsidRPr="00953692">
        <w:rPr>
          <w:rFonts w:cs="Times New Roman"/>
          <w:i/>
          <w:iCs/>
          <w:lang w:val="fr-FR"/>
        </w:rPr>
        <w:t>La Chambre d'appel est d'avis qu'il n'y a aucune raison pour que les décisions interlocutoires de la Chambre d'appel soient considérées, par principe, comme ayant une moindre statut qu'une décision définitive en appel. Le but d'un appel, qu'il soit interlocutoire ou définitif, est de trancher les questions soulevées avec irrévocabilité</w:t>
      </w:r>
      <w:r w:rsidRPr="00953692">
        <w:rPr>
          <w:rFonts w:cs="Times New Roman"/>
          <w:lang w:val="fr-FR"/>
        </w:rPr>
        <w:t> ».</w:t>
      </w:r>
    </w:p>
  </w:footnote>
  <w:footnote w:id="352">
    <w:p w14:paraId="36658A25" w14:textId="1D29D9EF" w:rsidR="00527DC5" w:rsidRPr="00953692" w:rsidRDefault="00527DC5" w:rsidP="00E009F4">
      <w:pPr>
        <w:pStyle w:val="Notedebasdepage"/>
        <w:spacing w:line="276" w:lineRule="auto"/>
        <w:jc w:val="both"/>
        <w:rPr>
          <w:rFonts w:cs="Times New Roman"/>
          <w:lang w:val="fr-FR"/>
        </w:rPr>
      </w:pPr>
      <w:r w:rsidRPr="00953692">
        <w:rPr>
          <w:rStyle w:val="Appelnotedebasdep"/>
          <w:lang w:val="fr-FR"/>
        </w:rPr>
        <w:t>327</w:t>
      </w:r>
      <w:r w:rsidRPr="00953692">
        <w:rPr>
          <w:rFonts w:cs="Times New Roman"/>
          <w:lang w:val="fr-FR"/>
        </w:rPr>
        <w:t xml:space="preserve"> TPIY, Chambre de première instance I, Le procureur c/ ante Gotovina, Ivan Čermak, Mladen Markač, Décision du 10 mai 2010, IT-06-90-T, Supra, note 208, par. 9.</w:t>
      </w:r>
    </w:p>
  </w:footnote>
  <w:footnote w:id="353">
    <w:p w14:paraId="291F727D" w14:textId="48C9F2A7" w:rsidR="00527DC5" w:rsidRPr="00953692" w:rsidRDefault="00527DC5" w:rsidP="00E009F4">
      <w:pPr>
        <w:pStyle w:val="Notedebasdepage"/>
        <w:spacing w:line="276" w:lineRule="auto"/>
        <w:jc w:val="both"/>
        <w:rPr>
          <w:rFonts w:cs="Times New Roman"/>
          <w:lang w:val="fr-FR"/>
        </w:rPr>
      </w:pPr>
      <w:r w:rsidRPr="00953692">
        <w:rPr>
          <w:rStyle w:val="Appelnotedebasdep"/>
          <w:lang w:val="fr-FR"/>
        </w:rPr>
        <w:t>328</w:t>
      </w:r>
      <w:r w:rsidRPr="00953692">
        <w:rPr>
          <w:rFonts w:cs="Times New Roman"/>
          <w:lang w:val="fr-FR"/>
        </w:rPr>
        <w:t xml:space="preserve"> TPIY, Chambre de Première Instance III, Le Procureur c/ Vojislav Seselj, Décision relative à la requête de l'accusé aux fins de mettre un terme à son procès, 29 septembre 2011, IT-03-67-T, par. 28.</w:t>
      </w:r>
    </w:p>
  </w:footnote>
  <w:footnote w:id="354">
    <w:p w14:paraId="7787D8FB" w14:textId="3BB576BF" w:rsidR="00527DC5" w:rsidRPr="00953692" w:rsidRDefault="00527DC5" w:rsidP="00E009F4">
      <w:pPr>
        <w:pStyle w:val="Notedebasdepage"/>
        <w:spacing w:line="276" w:lineRule="auto"/>
        <w:jc w:val="both"/>
        <w:rPr>
          <w:rFonts w:cs="Times New Roman"/>
          <w:lang w:val="fr-FR"/>
        </w:rPr>
      </w:pPr>
      <w:r w:rsidRPr="00953692">
        <w:rPr>
          <w:rStyle w:val="Appelnotedebasdep"/>
          <w:lang w:val="fr-FR"/>
        </w:rPr>
        <w:t>329</w:t>
      </w:r>
      <w:r w:rsidRPr="00953692">
        <w:rPr>
          <w:rFonts w:cs="Times New Roman"/>
          <w:lang w:val="fr-FR"/>
        </w:rPr>
        <w:t xml:space="preserve"> Opinion individuelle du président de la chambre, le juge Antonetti, relative à la requête de l'accusé Vojislav Seselj aux fins de mettre un terme à son procès, 29 septembre 2011, P. 7.</w:t>
      </w:r>
    </w:p>
  </w:footnote>
  <w:footnote w:id="355">
    <w:p w14:paraId="537A91A1" w14:textId="42ECD5E4" w:rsidR="00527DC5" w:rsidRPr="00953692" w:rsidRDefault="00527DC5" w:rsidP="00E009F4">
      <w:pPr>
        <w:pStyle w:val="Notedebasdepage"/>
        <w:spacing w:line="276" w:lineRule="auto"/>
        <w:jc w:val="both"/>
        <w:rPr>
          <w:rFonts w:cs="Times New Roman"/>
          <w:lang w:val="fr-FR"/>
        </w:rPr>
      </w:pPr>
      <w:r w:rsidRPr="00953692">
        <w:rPr>
          <w:rStyle w:val="Appelnotedebasdep"/>
          <w:lang w:val="fr-FR"/>
        </w:rPr>
        <w:t>330</w:t>
      </w:r>
      <w:r w:rsidRPr="00953692">
        <w:rPr>
          <w:rFonts w:cs="Times New Roman"/>
          <w:lang w:val="fr-FR"/>
        </w:rPr>
        <w:t xml:space="preserve"> Mezyaev A.B. Le droit d'appel dans les procédures pénales internationales modernes, </w:t>
      </w:r>
      <w:r w:rsidRPr="00953692">
        <w:rPr>
          <w:rFonts w:cs="Times New Roman"/>
          <w:i/>
          <w:iCs/>
          <w:lang w:val="fr-FR"/>
        </w:rPr>
        <w:t>In</w:t>
      </w:r>
      <w:r w:rsidRPr="00953692">
        <w:rPr>
          <w:rFonts w:cs="Times New Roman"/>
          <w:lang w:val="fr-FR"/>
        </w:rPr>
        <w:t xml:space="preserve"> revue Droit international public et privé, n° 3, P. 31-35.</w:t>
      </w:r>
    </w:p>
  </w:footnote>
  <w:footnote w:id="356">
    <w:p w14:paraId="460BFE8B" w14:textId="246CE707" w:rsidR="00527DC5" w:rsidRPr="00953692" w:rsidRDefault="00527DC5" w:rsidP="00E009F4">
      <w:pPr>
        <w:pStyle w:val="Notedebasdepage"/>
        <w:spacing w:line="276" w:lineRule="auto"/>
        <w:jc w:val="both"/>
        <w:rPr>
          <w:rFonts w:cs="Times New Roman"/>
          <w:lang w:val="fr-FR"/>
        </w:rPr>
      </w:pPr>
      <w:r w:rsidRPr="00953692">
        <w:rPr>
          <w:rStyle w:val="Appelnotedebasdep"/>
          <w:lang w:val="fr-FR"/>
        </w:rPr>
        <w:t>331</w:t>
      </w:r>
      <w:r w:rsidRPr="00953692">
        <w:rPr>
          <w:rFonts w:cs="Times New Roman"/>
          <w:lang w:val="fr-FR"/>
        </w:rPr>
        <w:t xml:space="preserve"> La Rosa, A-M. Chapitre VI. Contestation des décisions de première instance, par. 7.</w:t>
      </w:r>
    </w:p>
  </w:footnote>
  <w:footnote w:id="357">
    <w:p w14:paraId="0E134EE8" w14:textId="02925433" w:rsidR="00527DC5" w:rsidRPr="00953692" w:rsidRDefault="00527DC5" w:rsidP="00E009F4">
      <w:pPr>
        <w:pStyle w:val="Notedebasdepage"/>
        <w:spacing w:line="276" w:lineRule="auto"/>
        <w:jc w:val="both"/>
        <w:rPr>
          <w:rFonts w:cs="Times New Roman"/>
          <w:lang w:val="fr-FR"/>
        </w:rPr>
      </w:pPr>
      <w:r w:rsidRPr="00953692">
        <w:rPr>
          <w:rStyle w:val="Appelnotedebasdep"/>
          <w:lang w:val="fr-FR"/>
        </w:rPr>
        <w:t>332</w:t>
      </w:r>
      <w:r w:rsidRPr="00953692">
        <w:rPr>
          <w:rFonts w:cs="Times New Roman"/>
          <w:lang w:val="fr-FR"/>
        </w:rPr>
        <w:t xml:space="preserve"> Article 26 du statut du TMI de Nuremberg.  « La décision du Tribunal relative à la culpabilité ou à l'innocence de tout accusé devra être motivée et sera définitive et non susceptible de révision ».</w:t>
      </w:r>
    </w:p>
  </w:footnote>
  <w:footnote w:id="358">
    <w:p w14:paraId="788E3AF1" w14:textId="384F32C0" w:rsidR="00527DC5" w:rsidRPr="00953692" w:rsidRDefault="00527DC5" w:rsidP="00E009F4">
      <w:pPr>
        <w:pStyle w:val="Notedebasdepage"/>
        <w:spacing w:line="276" w:lineRule="auto"/>
        <w:jc w:val="both"/>
        <w:rPr>
          <w:rFonts w:eastAsia="Times New Roman" w:cs="Times New Roman"/>
          <w:lang w:val="fr-FR" w:eastAsia="ru-RU"/>
        </w:rPr>
      </w:pPr>
      <w:r w:rsidRPr="00953692">
        <w:rPr>
          <w:rStyle w:val="Appelnotedebasdep"/>
          <w:lang w:val="fr-FR"/>
        </w:rPr>
        <w:t>333</w:t>
      </w:r>
      <w:r w:rsidRPr="00953692">
        <w:rPr>
          <w:rFonts w:cs="Times New Roman"/>
          <w:lang w:val="fr-FR"/>
        </w:rPr>
        <w:t xml:space="preserve"> </w:t>
      </w:r>
      <w:r w:rsidRPr="00953692">
        <w:rPr>
          <w:rFonts w:eastAsia="Times New Roman" w:cs="Times New Roman"/>
          <w:lang w:val="fr-FR" w:eastAsia="ru-RU"/>
        </w:rPr>
        <w:t>Article 25 du statut du TPIY et article 24 du statut du TPIR. ; Article 81 du statut de Rome.</w:t>
      </w:r>
    </w:p>
  </w:footnote>
  <w:footnote w:id="359">
    <w:p w14:paraId="73A81238" w14:textId="028317CD" w:rsidR="00527DC5" w:rsidRPr="00953692" w:rsidRDefault="00527DC5" w:rsidP="00E009F4">
      <w:pPr>
        <w:pStyle w:val="Notedebasdepage"/>
        <w:spacing w:line="276" w:lineRule="auto"/>
        <w:jc w:val="both"/>
        <w:rPr>
          <w:rFonts w:cs="Times New Roman"/>
          <w:lang w:val="fr-FR"/>
        </w:rPr>
      </w:pPr>
      <w:r w:rsidRPr="00953692">
        <w:rPr>
          <w:rStyle w:val="Appelnotedebasdep"/>
          <w:lang w:val="fr-FR"/>
        </w:rPr>
        <w:t>334</w:t>
      </w:r>
      <w:r w:rsidRPr="00953692">
        <w:rPr>
          <w:rFonts w:cs="Times New Roman"/>
          <w:lang w:val="fr-FR"/>
        </w:rPr>
        <w:t xml:space="preserve"> Le congolais Germain KATANGA, a été interpellé par la République Démocratique du Congo puis remis à la Cour Pénale Internationale le 17/10/2007, puis condamné par la chambre de première instance le 23/05/2014 à une peine de 12 ans d’emprisonnement et qui a renoncé à son droit de faire appel (le procureur aussi). Il est renvoyé au Congo où il est détenu pour d’autres poursuites ;</w:t>
      </w:r>
    </w:p>
  </w:footnote>
  <w:footnote w:id="360">
    <w:p w14:paraId="5A0B9B6C" w14:textId="49B99EDB" w:rsidR="00527DC5" w:rsidRPr="00953692" w:rsidRDefault="00527DC5" w:rsidP="00E009F4">
      <w:pPr>
        <w:pStyle w:val="Notedebasdepage"/>
        <w:spacing w:line="276" w:lineRule="auto"/>
        <w:jc w:val="both"/>
        <w:rPr>
          <w:rFonts w:cs="Times New Roman"/>
          <w:lang w:val="fr-FR"/>
        </w:rPr>
      </w:pPr>
      <w:r w:rsidRPr="00953692">
        <w:rPr>
          <w:rStyle w:val="Appelnotedebasdep"/>
          <w:lang w:val="fr-FR"/>
        </w:rPr>
        <w:t>335</w:t>
      </w:r>
      <w:r w:rsidRPr="00953692">
        <w:rPr>
          <w:rFonts w:cs="Times New Roman"/>
          <w:lang w:val="fr-FR"/>
        </w:rPr>
        <w:t xml:space="preserve"> Tasoki Manzele J-M. Cours de procédure pénale, inédit., Faculté de Droit de l’Unikin, 2013-2014, P. 137.</w:t>
      </w:r>
    </w:p>
  </w:footnote>
  <w:footnote w:id="361">
    <w:p w14:paraId="48271F65" w14:textId="6F9CB029" w:rsidR="00527DC5" w:rsidRPr="00953692" w:rsidRDefault="00527DC5" w:rsidP="00E009F4">
      <w:pPr>
        <w:pStyle w:val="Notedebasdepage"/>
        <w:spacing w:line="276" w:lineRule="auto"/>
        <w:jc w:val="both"/>
        <w:rPr>
          <w:rFonts w:cs="Times New Roman"/>
          <w:lang w:val="fr-FR"/>
        </w:rPr>
      </w:pPr>
      <w:r w:rsidRPr="00953692">
        <w:rPr>
          <w:rStyle w:val="Appelnotedebasdep"/>
          <w:lang w:val="fr-FR"/>
        </w:rPr>
        <w:t>336 </w:t>
      </w:r>
      <w:r w:rsidRPr="00953692">
        <w:rPr>
          <w:rFonts w:cs="Times New Roman"/>
          <w:lang w:val="fr-FR"/>
        </w:rPr>
        <w:t xml:space="preserve"> Luzolo Bambi Lessa Emmanuel J. et Bayona Ba Meya Nicolas A. </w:t>
      </w:r>
      <w:r w:rsidRPr="00953692">
        <w:rPr>
          <w:rFonts w:cs="Times New Roman"/>
          <w:i/>
          <w:iCs/>
          <w:lang w:val="fr-FR"/>
        </w:rPr>
        <w:t>Manuel de procédure pénale</w:t>
      </w:r>
      <w:r w:rsidRPr="00953692">
        <w:rPr>
          <w:rFonts w:cs="Times New Roman"/>
          <w:lang w:val="fr-FR"/>
        </w:rPr>
        <w:t>, PUC, 2011, P. 479.</w:t>
      </w:r>
    </w:p>
  </w:footnote>
  <w:footnote w:id="362">
    <w:p w14:paraId="620A9BED" w14:textId="1C7F8425" w:rsidR="00527DC5" w:rsidRPr="00953692" w:rsidRDefault="00527DC5" w:rsidP="00E009F4">
      <w:pPr>
        <w:pStyle w:val="Notedebasdepage"/>
        <w:spacing w:line="276" w:lineRule="auto"/>
        <w:jc w:val="both"/>
        <w:rPr>
          <w:rFonts w:cs="Times New Roman"/>
          <w:lang w:val="en-US"/>
        </w:rPr>
      </w:pPr>
      <w:r w:rsidRPr="00953692">
        <w:rPr>
          <w:rStyle w:val="Appelnotedebasdep"/>
          <w:lang w:val="en-US"/>
        </w:rPr>
        <w:t>337</w:t>
      </w:r>
      <w:r w:rsidRPr="00953692">
        <w:rPr>
          <w:rFonts w:eastAsia="Times New Roman" w:cs="Times New Roman"/>
          <w:lang w:val="en-US"/>
        </w:rPr>
        <w:t xml:space="preserve"> Wane B-B, Op.cit., </w:t>
      </w:r>
      <w:r w:rsidRPr="00953692">
        <w:rPr>
          <w:rFonts w:cs="Times New Roman"/>
          <w:lang w:val="en-US"/>
        </w:rPr>
        <w:t xml:space="preserve"> p. 219.</w:t>
      </w:r>
    </w:p>
  </w:footnote>
  <w:footnote w:id="363">
    <w:p w14:paraId="43B6798B" w14:textId="1AA22D85" w:rsidR="00527DC5" w:rsidRPr="00953692" w:rsidRDefault="00527DC5" w:rsidP="00E009F4">
      <w:pPr>
        <w:pStyle w:val="Notedebasdepage"/>
        <w:spacing w:line="276" w:lineRule="auto"/>
        <w:jc w:val="both"/>
        <w:rPr>
          <w:rFonts w:cs="Times New Roman"/>
          <w:i/>
          <w:iCs/>
          <w:lang w:val="fr-FR"/>
        </w:rPr>
      </w:pPr>
      <w:r w:rsidRPr="00953692">
        <w:rPr>
          <w:rStyle w:val="Appelnotedebasdep"/>
          <w:lang w:val="fr-FR"/>
        </w:rPr>
        <w:t>338</w:t>
      </w:r>
      <w:r w:rsidRPr="00953692">
        <w:rPr>
          <w:rFonts w:cs="Times New Roman"/>
          <w:lang w:val="fr-FR"/>
        </w:rPr>
        <w:t xml:space="preserve"> Voir aussi la Règle 105 des CETC : </w:t>
      </w:r>
      <w:r w:rsidRPr="00953692">
        <w:rPr>
          <w:rFonts w:cs="Times New Roman"/>
          <w:i/>
          <w:iCs/>
          <w:lang w:val="fr-FR"/>
        </w:rPr>
        <w:t>a) ...l’existence d’une erreur sur un point de droit qui invalide la décision, ou ; b) ...l’existence d’une erreur manifeste d’appréciation par la Chambre de première instance qui entraîne un préjudice pour l’appelant, ou; c)  ...l’existence d’une erreur de fait et préciser en quoi elle entraîne une erreur judiciaire.</w:t>
      </w:r>
    </w:p>
  </w:footnote>
  <w:footnote w:id="364">
    <w:p w14:paraId="2391DAF1" w14:textId="63B16D4B" w:rsidR="00527DC5" w:rsidRPr="00953692" w:rsidRDefault="00527DC5" w:rsidP="00E009F4">
      <w:pPr>
        <w:pStyle w:val="Notedebasdepage"/>
        <w:spacing w:line="276" w:lineRule="auto"/>
        <w:jc w:val="both"/>
        <w:rPr>
          <w:rFonts w:cs="Times New Roman"/>
          <w:lang w:val="fr-FR"/>
        </w:rPr>
      </w:pPr>
      <w:r w:rsidRPr="00953692">
        <w:rPr>
          <w:rStyle w:val="Appelnotedebasdep"/>
          <w:lang w:val="fr-FR"/>
        </w:rPr>
        <w:t>339</w:t>
      </w:r>
      <w:r w:rsidRPr="00953692">
        <w:rPr>
          <w:rFonts w:cs="Times New Roman"/>
          <w:lang w:val="fr-FR"/>
        </w:rPr>
        <w:t xml:space="preserve"> Article 81-1-b) du statut de Rome de la CPI.</w:t>
      </w:r>
    </w:p>
  </w:footnote>
  <w:footnote w:id="365">
    <w:p w14:paraId="22841318" w14:textId="1C9E6344" w:rsidR="00527DC5" w:rsidRPr="00953692" w:rsidRDefault="00527DC5" w:rsidP="00E009F4">
      <w:pPr>
        <w:pStyle w:val="Notedebasdepage"/>
        <w:spacing w:line="276" w:lineRule="auto"/>
        <w:jc w:val="both"/>
        <w:rPr>
          <w:rFonts w:cs="Times New Roman"/>
          <w:lang w:val="fr-FR"/>
        </w:rPr>
      </w:pPr>
      <w:r w:rsidRPr="00953692">
        <w:rPr>
          <w:rStyle w:val="Appelnotedebasdep"/>
          <w:lang w:val="fr-FR"/>
        </w:rPr>
        <w:t>340</w:t>
      </w:r>
      <w:r w:rsidRPr="00953692">
        <w:rPr>
          <w:rFonts w:cs="Times New Roman"/>
          <w:lang w:val="fr-FR"/>
        </w:rPr>
        <w:t xml:space="preserve"> TPIY, Chambre d’appel, Le Procureur c/ Vidoje Blagojević et Dragan Jokić, Arrêt, 9 mai 2007, IT-02-60-A §. 9.</w:t>
      </w:r>
    </w:p>
  </w:footnote>
  <w:footnote w:id="366">
    <w:p w14:paraId="2A953179" w14:textId="4F05AD27" w:rsidR="00527DC5" w:rsidRPr="00953692" w:rsidRDefault="00527DC5" w:rsidP="00E009F4">
      <w:pPr>
        <w:pStyle w:val="Notedebasdepage"/>
        <w:spacing w:line="276" w:lineRule="auto"/>
        <w:jc w:val="both"/>
        <w:rPr>
          <w:rFonts w:cs="Times New Roman"/>
          <w:lang w:val="fr-FR"/>
        </w:rPr>
      </w:pPr>
      <w:r w:rsidRPr="00953692">
        <w:rPr>
          <w:rStyle w:val="Appelnotedebasdep"/>
          <w:lang w:val="fr-FR"/>
        </w:rPr>
        <w:t>341</w:t>
      </w:r>
      <w:r w:rsidRPr="00953692">
        <w:rPr>
          <w:rFonts w:cs="Times New Roman"/>
          <w:lang w:val="fr-FR"/>
        </w:rPr>
        <w:t xml:space="preserve"> Idem.</w:t>
      </w:r>
    </w:p>
  </w:footnote>
  <w:footnote w:id="367">
    <w:p w14:paraId="0445BC09" w14:textId="58766A0F" w:rsidR="00414279" w:rsidRPr="00953692" w:rsidRDefault="00414279" w:rsidP="00E009F4">
      <w:pPr>
        <w:pStyle w:val="Notedebasdepage"/>
        <w:spacing w:line="276" w:lineRule="auto"/>
        <w:jc w:val="both"/>
        <w:rPr>
          <w:rFonts w:cs="Times New Roman"/>
          <w:lang w:val="fr-FR"/>
        </w:rPr>
      </w:pPr>
      <w:r w:rsidRPr="00953692">
        <w:rPr>
          <w:rStyle w:val="Appelnotedebasdep"/>
          <w:lang w:val="fr-FR"/>
        </w:rPr>
        <w:t>342</w:t>
      </w:r>
      <w:r w:rsidRPr="00953692">
        <w:rPr>
          <w:rFonts w:cs="Times New Roman"/>
          <w:lang w:val="fr-FR"/>
        </w:rPr>
        <w:t xml:space="preserve"> La Rosa, Anne-Marie. Chapitre VI. Contestation des décisions de première instance, par. 8.</w:t>
      </w:r>
    </w:p>
  </w:footnote>
  <w:footnote w:id="368">
    <w:p w14:paraId="0D182780" w14:textId="2D1CC132" w:rsidR="00414279" w:rsidRPr="00953692" w:rsidRDefault="00414279" w:rsidP="00E009F4">
      <w:pPr>
        <w:pStyle w:val="Notedebasdepage"/>
        <w:spacing w:line="276" w:lineRule="auto"/>
        <w:jc w:val="both"/>
        <w:rPr>
          <w:rFonts w:eastAsia="Times New Roman" w:cs="Times New Roman"/>
          <w:lang w:val="fr-FR" w:eastAsia="ru-RU"/>
        </w:rPr>
      </w:pPr>
      <w:r w:rsidRPr="00953692">
        <w:rPr>
          <w:rStyle w:val="Appelnotedebasdep"/>
          <w:lang w:val="fr-FR"/>
        </w:rPr>
        <w:t>343</w:t>
      </w:r>
      <w:r w:rsidRPr="00953692">
        <w:rPr>
          <w:rFonts w:cs="Times New Roman"/>
          <w:lang w:val="fr-FR"/>
        </w:rPr>
        <w:t xml:space="preserve"> Voir par exemple la Règle 108-4. Du Règlement des CETC : « La Chambre de la Cour suprême statue sur les appels formés contre un jugement dans un délai raisonnable ».</w:t>
      </w:r>
      <w:r w:rsidRPr="00953692">
        <w:rPr>
          <w:rFonts w:eastAsia="Times New Roman" w:cs="Times New Roman"/>
          <w:lang w:val="fr-FR" w:eastAsia="ru-RU"/>
        </w:rPr>
        <w:t xml:space="preserve"> Belyakova A.V. La catégorie juridique de "délai raisonnable" dans le système des délais de procédure en matière civile et processus d'arbitrage // Avocat. 2014. N° 2. P. 14. Kudryavtseva A.V., Smirnov V.P. Préparation et nomination d'une audience devant l'instance d'appel // Problèmes réels de procédure pénale et de criminalistique en Russie et dans les pays de la CEI // Matériaux de la pratique scientifique internationale. conf., dédiée 85e anniversaire de la naissance du professeur Yu.D. Merde. Tcheliabinsk : Tsitsero, 2014, partie 1, P. 103.</w:t>
      </w:r>
    </w:p>
  </w:footnote>
  <w:footnote w:id="369">
    <w:p w14:paraId="79EABEA3" w14:textId="4C368F69" w:rsidR="00414279" w:rsidRPr="00953692" w:rsidRDefault="00414279" w:rsidP="00E009F4">
      <w:pPr>
        <w:pStyle w:val="Notedebasdepage"/>
        <w:spacing w:line="276" w:lineRule="auto"/>
        <w:jc w:val="both"/>
        <w:rPr>
          <w:rFonts w:cs="Times New Roman"/>
          <w:lang w:val="fr-FR"/>
        </w:rPr>
      </w:pPr>
      <w:r w:rsidRPr="00953692">
        <w:rPr>
          <w:rStyle w:val="Appelnotedebasdep"/>
          <w:lang w:val="fr-FR"/>
        </w:rPr>
        <w:t>345</w:t>
      </w:r>
      <w:r w:rsidRPr="00953692">
        <w:rPr>
          <w:rFonts w:cs="Times New Roman"/>
          <w:lang w:val="fr-FR"/>
        </w:rPr>
        <w:t xml:space="preserve"> TPIR, Chambre d’appel, Le procureur c. Pauline NYIRAl\IASUIIUKO, Arsène Shalom Ntahobali et consorts, ARRET n° ICTR- 98-42-A 14 decembre 2015, par. 379-380.</w:t>
      </w:r>
    </w:p>
  </w:footnote>
  <w:footnote w:id="370">
    <w:p w14:paraId="09CCC248" w14:textId="6DA5B5B0" w:rsidR="00414279" w:rsidRPr="00953692" w:rsidRDefault="00414279" w:rsidP="00E009F4">
      <w:pPr>
        <w:pStyle w:val="Notedebasdepage"/>
        <w:spacing w:line="276" w:lineRule="auto"/>
        <w:jc w:val="both"/>
        <w:rPr>
          <w:rFonts w:cs="Times New Roman"/>
          <w:lang w:val="fr-FR"/>
        </w:rPr>
      </w:pPr>
      <w:r w:rsidRPr="00953692">
        <w:rPr>
          <w:rStyle w:val="Appelnotedebasdep"/>
          <w:lang w:val="fr-FR"/>
        </w:rPr>
        <w:t>346</w:t>
      </w:r>
      <w:r w:rsidRPr="00953692">
        <w:rPr>
          <w:rFonts w:cs="Times New Roman"/>
          <w:lang w:val="fr-FR"/>
        </w:rPr>
        <w:t xml:space="preserve"> Article 83 du statut de Rome de la CPI. « … aux fins des procédures visées à l'article 81 et au présent article, la Chambre d'appel a tous les pouvoirs de la Chambre de première instance ».</w:t>
      </w:r>
    </w:p>
  </w:footnote>
  <w:footnote w:id="371">
    <w:p w14:paraId="4BFE689A" w14:textId="167F7D65" w:rsidR="00414279" w:rsidRPr="00953692" w:rsidRDefault="00414279" w:rsidP="00E009F4">
      <w:pPr>
        <w:pStyle w:val="Notedebasdepage"/>
        <w:spacing w:line="276" w:lineRule="auto"/>
        <w:jc w:val="both"/>
        <w:rPr>
          <w:rFonts w:cs="Times New Roman"/>
          <w:lang w:val="fr-FR"/>
        </w:rPr>
      </w:pPr>
      <w:r w:rsidRPr="00953692">
        <w:rPr>
          <w:rStyle w:val="Appelnotedebasdep"/>
          <w:lang w:val="fr-FR"/>
        </w:rPr>
        <w:t>347</w:t>
      </w:r>
      <w:r w:rsidRPr="00953692">
        <w:rPr>
          <w:lang w:val="fr-FR"/>
        </w:rPr>
        <w:t xml:space="preserve"> </w:t>
      </w:r>
      <w:r w:rsidRPr="00953692">
        <w:rPr>
          <w:rFonts w:eastAsia="Times New Roman" w:cs="Times New Roman"/>
          <w:b/>
          <w:shd w:val="clear" w:color="auto" w:fill="FFFFFF"/>
          <w:lang w:val="fr-FR"/>
        </w:rPr>
        <w:t> </w:t>
      </w:r>
      <w:r w:rsidRPr="00953692">
        <w:rPr>
          <w:rFonts w:eastAsia="Times New Roman" w:cs="Times New Roman"/>
          <w:shd w:val="clear" w:color="auto" w:fill="FFFFFF"/>
          <w:lang w:val="fr-FR"/>
        </w:rPr>
        <w:t>Fauveau Ivanovic, N. « Quelle réalité pour les droits de la défense au sein de la Cour pénale internationale ? », </w:t>
      </w:r>
      <w:r w:rsidRPr="00953692">
        <w:rPr>
          <w:rFonts w:eastAsia="Times New Roman" w:cs="Times New Roman"/>
          <w:i/>
          <w:shd w:val="clear" w:color="auto" w:fill="FFFFFF"/>
          <w:lang w:val="fr-FR"/>
        </w:rPr>
        <w:t xml:space="preserve">in </w:t>
      </w:r>
      <w:r w:rsidRPr="00953692">
        <w:rPr>
          <w:rFonts w:eastAsia="Times New Roman" w:cs="Times New Roman"/>
          <w:bCs/>
          <w:iCs/>
          <w:spacing w:val="10"/>
          <w:shd w:val="clear" w:color="auto" w:fill="FFFFFF"/>
          <w:lang w:val="fr-FR"/>
        </w:rPr>
        <w:t>La Revue des droits de l’homme</w:t>
      </w:r>
      <w:r w:rsidRPr="00953692">
        <w:rPr>
          <w:rFonts w:eastAsia="Times New Roman" w:cs="Times New Roman"/>
          <w:shd w:val="clear" w:color="auto" w:fill="FFFFFF"/>
          <w:lang w:val="fr-FR"/>
        </w:rPr>
        <w:t> [Online], 5 | 2014, Online since 27 May 2014, connection on 13 February 2020, §. 22.</w:t>
      </w:r>
    </w:p>
  </w:footnote>
  <w:footnote w:id="372">
    <w:p w14:paraId="430259C8" w14:textId="56EAFFF3" w:rsidR="00414279" w:rsidRPr="00953692" w:rsidRDefault="00414279" w:rsidP="00E009F4">
      <w:pPr>
        <w:pStyle w:val="Notedebasdepage"/>
        <w:spacing w:line="276" w:lineRule="auto"/>
        <w:jc w:val="both"/>
        <w:rPr>
          <w:rFonts w:cs="Times New Roman"/>
          <w:lang w:val="fr-FR"/>
        </w:rPr>
      </w:pPr>
      <w:r w:rsidRPr="00953692">
        <w:rPr>
          <w:rStyle w:val="Appelnotedebasdep"/>
          <w:lang w:val="fr-FR"/>
        </w:rPr>
        <w:t>348</w:t>
      </w:r>
      <w:r w:rsidRPr="00953692">
        <w:rPr>
          <w:rFonts w:cs="Times New Roman"/>
          <w:lang w:val="fr-FR"/>
        </w:rPr>
        <w:t xml:space="preserve"> </w:t>
      </w:r>
      <w:r w:rsidRPr="00953692">
        <w:rPr>
          <w:rFonts w:cs="Times New Roman"/>
          <w:i/>
          <w:iCs/>
          <w:lang w:val="fr-FR"/>
        </w:rPr>
        <w:t>Idem,</w:t>
      </w:r>
      <w:r w:rsidRPr="00953692">
        <w:rPr>
          <w:rFonts w:cs="Times New Roman"/>
          <w:lang w:val="fr-FR"/>
        </w:rPr>
        <w:t xml:space="preserve"> §. 21.</w:t>
      </w:r>
    </w:p>
  </w:footnote>
  <w:footnote w:id="373">
    <w:p w14:paraId="314AB091" w14:textId="4EAAE2A3" w:rsidR="00414279" w:rsidRPr="00953692" w:rsidRDefault="00414279" w:rsidP="00E009F4">
      <w:pPr>
        <w:pStyle w:val="Notedebasdepage"/>
        <w:spacing w:line="276" w:lineRule="auto"/>
        <w:jc w:val="both"/>
        <w:rPr>
          <w:rFonts w:cs="Times New Roman"/>
          <w:i/>
          <w:iCs/>
          <w:lang w:val="fr-FR"/>
        </w:rPr>
      </w:pPr>
      <w:r w:rsidRPr="00953692">
        <w:rPr>
          <w:rStyle w:val="Appelnotedebasdep"/>
          <w:lang w:val="fr-FR"/>
        </w:rPr>
        <w:t>349</w:t>
      </w:r>
      <w:r w:rsidRPr="00953692">
        <w:rPr>
          <w:rFonts w:cs="Times New Roman"/>
          <w:lang w:val="fr-FR"/>
        </w:rPr>
        <w:t xml:space="preserve"> </w:t>
      </w:r>
      <w:r w:rsidRPr="00953692">
        <w:rPr>
          <w:rFonts w:cs="Times New Roman"/>
          <w:i/>
          <w:iCs/>
          <w:lang w:val="fr-FR"/>
        </w:rPr>
        <w:t>Ibid.</w:t>
      </w:r>
    </w:p>
  </w:footnote>
  <w:footnote w:id="374">
    <w:p w14:paraId="1EA5D8DE" w14:textId="188C3C95" w:rsidR="00414279" w:rsidRPr="00953692" w:rsidRDefault="00414279" w:rsidP="00E009F4">
      <w:pPr>
        <w:pStyle w:val="Notedebasdepage"/>
        <w:spacing w:line="276" w:lineRule="auto"/>
        <w:jc w:val="both"/>
        <w:rPr>
          <w:rFonts w:eastAsia="Times New Roman" w:cs="Times New Roman"/>
          <w:lang w:val="fr-FR"/>
        </w:rPr>
      </w:pPr>
      <w:r w:rsidRPr="00953692">
        <w:rPr>
          <w:rStyle w:val="Appelnotedebasdep"/>
          <w:lang w:val="fr-FR"/>
        </w:rPr>
        <w:t>350</w:t>
      </w:r>
      <w:r w:rsidRPr="00953692">
        <w:rPr>
          <w:rFonts w:cs="Times New Roman"/>
          <w:lang w:val="fr-FR"/>
        </w:rPr>
        <w:t xml:space="preserve"> </w:t>
      </w:r>
      <w:r w:rsidRPr="00953692">
        <w:rPr>
          <w:rFonts w:eastAsia="Times New Roman" w:cs="Times New Roman"/>
          <w:lang w:val="fr-FR"/>
        </w:rPr>
        <w:t xml:space="preserve">Mihman, A. </w:t>
      </w:r>
      <w:r w:rsidRPr="00953692">
        <w:rPr>
          <w:rFonts w:eastAsia="Times New Roman" w:cs="Times New Roman"/>
          <w:i/>
          <w:iCs/>
          <w:lang w:val="fr-FR"/>
        </w:rPr>
        <w:t>Contribution à l'étude du temps dans procédure pénale : Pour une approche unitaire du temps de la réponse pénale</w:t>
      </w:r>
      <w:r w:rsidRPr="00953692">
        <w:rPr>
          <w:rFonts w:eastAsia="Times New Roman" w:cs="Times New Roman"/>
          <w:lang w:val="fr-FR"/>
        </w:rPr>
        <w:t>, Thèse de Doctorat, Université Paris-Sud 11, 2007, p. 19.</w:t>
      </w:r>
    </w:p>
  </w:footnote>
  <w:footnote w:id="375">
    <w:p w14:paraId="765F60E3" w14:textId="47E12A76" w:rsidR="00414279" w:rsidRPr="00953692" w:rsidRDefault="00414279" w:rsidP="00E009F4">
      <w:pPr>
        <w:pStyle w:val="Notedebasdepage"/>
        <w:spacing w:line="276" w:lineRule="auto"/>
        <w:jc w:val="both"/>
        <w:rPr>
          <w:rFonts w:cs="Times New Roman"/>
          <w:lang w:val="fr-FR"/>
        </w:rPr>
      </w:pPr>
      <w:r w:rsidRPr="00953692">
        <w:rPr>
          <w:rStyle w:val="Appelnotedebasdep"/>
          <w:lang w:val="fr-FR"/>
        </w:rPr>
        <w:t>351</w:t>
      </w:r>
      <w:r w:rsidRPr="00953692">
        <w:rPr>
          <w:rFonts w:cs="Times New Roman"/>
          <w:lang w:val="fr-FR"/>
        </w:rPr>
        <w:t xml:space="preserve"> Il s’agit donc de l’obligation d’agir avec célérité. « </w:t>
      </w:r>
      <w:r w:rsidRPr="00953692">
        <w:rPr>
          <w:rFonts w:eastAsia="Times New Roman" w:cs="Times New Roman"/>
          <w:lang w:val="fr-FR"/>
        </w:rPr>
        <w:t>La célérité de la justice répond à « </w:t>
      </w:r>
      <w:r w:rsidRPr="00953692">
        <w:rPr>
          <w:rFonts w:eastAsia="Times New Roman" w:cs="Times New Roman"/>
          <w:i/>
          <w:lang w:val="fr-FR"/>
        </w:rPr>
        <w:t>la promptitude, la rapidité et la faculté d’une justice de rendre ses décisions. Elle se mesure donc au temps mis pour juger une affaire </w:t>
      </w:r>
      <w:r w:rsidRPr="00953692">
        <w:rPr>
          <w:rFonts w:eastAsia="Times New Roman" w:cs="Times New Roman"/>
          <w:lang w:val="fr-FR"/>
        </w:rPr>
        <w:t>».</w:t>
      </w:r>
      <w:r w:rsidRPr="00953692">
        <w:rPr>
          <w:rFonts w:cs="Times New Roman"/>
          <w:lang w:val="fr-FR"/>
        </w:rPr>
        <w:t xml:space="preserve"> Guichard, S. et Debard, T. </w:t>
      </w:r>
      <w:r w:rsidRPr="00953692">
        <w:rPr>
          <w:rFonts w:cs="Times New Roman"/>
          <w:i/>
          <w:lang w:val="fr-FR"/>
        </w:rPr>
        <w:t>Op.cit.,</w:t>
      </w:r>
      <w:r w:rsidRPr="00953692">
        <w:rPr>
          <w:rFonts w:eastAsia="Times New Roman" w:cs="Times New Roman"/>
          <w:bCs/>
          <w:spacing w:val="15"/>
          <w:kern w:val="36"/>
          <w:lang w:val="fr-FR" w:eastAsia="fr-FR"/>
        </w:rPr>
        <w:t xml:space="preserve"> </w:t>
      </w:r>
      <w:r w:rsidRPr="00953692">
        <w:rPr>
          <w:rFonts w:cs="Times New Roman"/>
          <w:lang w:val="fr-FR"/>
        </w:rPr>
        <w:t>p. 343.</w:t>
      </w:r>
    </w:p>
  </w:footnote>
  <w:footnote w:id="376">
    <w:p w14:paraId="3ED06A96" w14:textId="11E0A245" w:rsidR="00414279" w:rsidRPr="00953692" w:rsidRDefault="00414279" w:rsidP="00E009F4">
      <w:pPr>
        <w:pStyle w:val="Notedebasdepage"/>
        <w:spacing w:line="276" w:lineRule="auto"/>
        <w:jc w:val="both"/>
        <w:rPr>
          <w:rFonts w:cs="Times New Roman"/>
          <w:lang w:val="en-US"/>
        </w:rPr>
      </w:pPr>
      <w:r w:rsidRPr="00953692">
        <w:rPr>
          <w:rStyle w:val="Appelnotedebasdep"/>
        </w:rPr>
        <w:t>352</w:t>
      </w:r>
      <w:r w:rsidRPr="00953692">
        <w:rPr>
          <w:rFonts w:cs="Times New Roman"/>
          <w:lang w:val="en-US"/>
        </w:rPr>
        <w:t xml:space="preserve"> Etrillard, C. </w:t>
      </w:r>
      <w:r w:rsidRPr="00953692">
        <w:rPr>
          <w:rFonts w:cs="Times New Roman"/>
          <w:i/>
          <w:iCs/>
          <w:lang w:val="en-US"/>
        </w:rPr>
        <w:t>Op.cit.</w:t>
      </w:r>
      <w:r w:rsidRPr="00953692">
        <w:rPr>
          <w:rFonts w:cs="Times New Roman"/>
          <w:lang w:val="en-US"/>
        </w:rPr>
        <w:t>, p. 282.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65AD"/>
    <w:multiLevelType w:val="hybridMultilevel"/>
    <w:tmpl w:val="0B041BBA"/>
    <w:lvl w:ilvl="0" w:tplc="F336FCE8">
      <w:start w:val="1"/>
      <w:numFmt w:val="decimal"/>
      <w:lvlText w:val="%1."/>
      <w:lvlJc w:val="left"/>
      <w:pPr>
        <w:ind w:left="16188" w:hanging="360"/>
      </w:pPr>
      <w:rPr>
        <w:rFonts w:hint="default"/>
      </w:rPr>
    </w:lvl>
    <w:lvl w:ilvl="1" w:tplc="04190019" w:tentative="1">
      <w:start w:val="1"/>
      <w:numFmt w:val="lowerLetter"/>
      <w:lvlText w:val="%2."/>
      <w:lvlJc w:val="left"/>
      <w:pPr>
        <w:ind w:left="16908" w:hanging="360"/>
      </w:pPr>
    </w:lvl>
    <w:lvl w:ilvl="2" w:tplc="0419001B" w:tentative="1">
      <w:start w:val="1"/>
      <w:numFmt w:val="lowerRoman"/>
      <w:lvlText w:val="%3."/>
      <w:lvlJc w:val="right"/>
      <w:pPr>
        <w:ind w:left="17628" w:hanging="180"/>
      </w:pPr>
    </w:lvl>
    <w:lvl w:ilvl="3" w:tplc="0419000F" w:tentative="1">
      <w:start w:val="1"/>
      <w:numFmt w:val="decimal"/>
      <w:lvlText w:val="%4."/>
      <w:lvlJc w:val="left"/>
      <w:pPr>
        <w:ind w:left="18348" w:hanging="360"/>
      </w:pPr>
    </w:lvl>
    <w:lvl w:ilvl="4" w:tplc="04190019" w:tentative="1">
      <w:start w:val="1"/>
      <w:numFmt w:val="lowerLetter"/>
      <w:lvlText w:val="%5."/>
      <w:lvlJc w:val="left"/>
      <w:pPr>
        <w:ind w:left="19068" w:hanging="360"/>
      </w:pPr>
    </w:lvl>
    <w:lvl w:ilvl="5" w:tplc="0419001B" w:tentative="1">
      <w:start w:val="1"/>
      <w:numFmt w:val="lowerRoman"/>
      <w:lvlText w:val="%6."/>
      <w:lvlJc w:val="right"/>
      <w:pPr>
        <w:ind w:left="19788" w:hanging="180"/>
      </w:pPr>
    </w:lvl>
    <w:lvl w:ilvl="6" w:tplc="0419000F" w:tentative="1">
      <w:start w:val="1"/>
      <w:numFmt w:val="decimal"/>
      <w:lvlText w:val="%7."/>
      <w:lvlJc w:val="left"/>
      <w:pPr>
        <w:ind w:left="20508" w:hanging="360"/>
      </w:pPr>
    </w:lvl>
    <w:lvl w:ilvl="7" w:tplc="04190019" w:tentative="1">
      <w:start w:val="1"/>
      <w:numFmt w:val="lowerLetter"/>
      <w:lvlText w:val="%8."/>
      <w:lvlJc w:val="left"/>
      <w:pPr>
        <w:ind w:left="21228" w:hanging="360"/>
      </w:pPr>
    </w:lvl>
    <w:lvl w:ilvl="8" w:tplc="0419001B" w:tentative="1">
      <w:start w:val="1"/>
      <w:numFmt w:val="lowerRoman"/>
      <w:lvlText w:val="%9."/>
      <w:lvlJc w:val="right"/>
      <w:pPr>
        <w:ind w:left="21948" w:hanging="180"/>
      </w:pPr>
    </w:lvl>
  </w:abstractNum>
  <w:abstractNum w:abstractNumId="1" w15:restartNumberingAfterBreak="0">
    <w:nsid w:val="0874708D"/>
    <w:multiLevelType w:val="hybridMultilevel"/>
    <w:tmpl w:val="9C5CF1A4"/>
    <w:lvl w:ilvl="0" w:tplc="0D56EF8E">
      <w:start w:val="1"/>
      <w:numFmt w:val="decimal"/>
      <w:lvlText w:val="%1."/>
      <w:lvlJc w:val="left"/>
      <w:pPr>
        <w:ind w:left="1494" w:hanging="360"/>
      </w:pPr>
      <w:rPr>
        <w:rFonts w:hint="default"/>
        <w:i/>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09CE6548"/>
    <w:multiLevelType w:val="hybridMultilevel"/>
    <w:tmpl w:val="57C488F4"/>
    <w:lvl w:ilvl="0" w:tplc="926E25A8">
      <w:start w:val="1"/>
      <w:numFmt w:val="upperLetter"/>
      <w:lvlText w:val="%1."/>
      <w:lvlJc w:val="left"/>
      <w:pPr>
        <w:ind w:left="1494" w:hanging="360"/>
      </w:pPr>
      <w:rPr>
        <w:rFonts w:hint="default"/>
        <w:i/>
        <w:u w:val="none"/>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0D1E5E97"/>
    <w:multiLevelType w:val="hybridMultilevel"/>
    <w:tmpl w:val="46FEE9C0"/>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5E94AAB"/>
    <w:multiLevelType w:val="hybridMultilevel"/>
    <w:tmpl w:val="94D6665C"/>
    <w:lvl w:ilvl="0" w:tplc="04190015">
      <w:start w:val="1"/>
      <w:numFmt w:val="upperLetter"/>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9B562E"/>
    <w:multiLevelType w:val="hybridMultilevel"/>
    <w:tmpl w:val="B666F958"/>
    <w:lvl w:ilvl="0" w:tplc="0419000F">
      <w:start w:val="1"/>
      <w:numFmt w:val="decimal"/>
      <w:lvlText w:val="%1."/>
      <w:lvlJc w:val="left"/>
      <w:pPr>
        <w:ind w:left="1352" w:hanging="360"/>
      </w:p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6" w15:restartNumberingAfterBreak="0">
    <w:nsid w:val="19B27330"/>
    <w:multiLevelType w:val="hybridMultilevel"/>
    <w:tmpl w:val="9AB236EA"/>
    <w:lvl w:ilvl="0" w:tplc="10EEEC4C">
      <w:start w:val="1"/>
      <w:numFmt w:val="upp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15:restartNumberingAfterBreak="0">
    <w:nsid w:val="1E0B4A6F"/>
    <w:multiLevelType w:val="hybridMultilevel"/>
    <w:tmpl w:val="6AC0A426"/>
    <w:lvl w:ilvl="0" w:tplc="E7A41EF8">
      <w:start w:val="1"/>
      <w:numFmt w:val="upp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15:restartNumberingAfterBreak="0">
    <w:nsid w:val="211F6035"/>
    <w:multiLevelType w:val="hybridMultilevel"/>
    <w:tmpl w:val="4C06FFB4"/>
    <w:lvl w:ilvl="0" w:tplc="F0F23C3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 w15:restartNumberingAfterBreak="0">
    <w:nsid w:val="21EE7199"/>
    <w:multiLevelType w:val="hybridMultilevel"/>
    <w:tmpl w:val="82602E66"/>
    <w:lvl w:ilvl="0" w:tplc="441E9380">
      <w:start w:val="1"/>
      <w:numFmt w:val="upperLetter"/>
      <w:lvlText w:val="%1."/>
      <w:lvlJc w:val="left"/>
      <w:pPr>
        <w:ind w:left="1494" w:hanging="360"/>
      </w:pPr>
      <w:rPr>
        <w:rFonts w:hint="default"/>
        <w:i/>
        <w:iCs/>
        <w:sz w:val="24"/>
        <w:szCs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25C41B23"/>
    <w:multiLevelType w:val="hybridMultilevel"/>
    <w:tmpl w:val="ED70886C"/>
    <w:lvl w:ilvl="0" w:tplc="149A949A">
      <w:start w:val="1"/>
      <w:numFmt w:val="decimal"/>
      <w:lvlText w:val="%1."/>
      <w:lvlJc w:val="left"/>
      <w:pPr>
        <w:ind w:left="1352"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872E52"/>
    <w:multiLevelType w:val="hybridMultilevel"/>
    <w:tmpl w:val="65BA102E"/>
    <w:lvl w:ilvl="0" w:tplc="0419000F">
      <w:start w:val="1"/>
      <w:numFmt w:val="decimal"/>
      <w:lvlText w:val="%1."/>
      <w:lvlJc w:val="left"/>
      <w:pPr>
        <w:ind w:left="1352" w:hanging="360"/>
      </w:p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2" w15:restartNumberingAfterBreak="0">
    <w:nsid w:val="2ABB13E4"/>
    <w:multiLevelType w:val="hybridMultilevel"/>
    <w:tmpl w:val="9B3E16D8"/>
    <w:lvl w:ilvl="0" w:tplc="0419000F">
      <w:start w:val="1"/>
      <w:numFmt w:val="decimal"/>
      <w:lvlText w:val="%1."/>
      <w:lvlJc w:val="left"/>
      <w:pPr>
        <w:ind w:left="1210"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3" w15:restartNumberingAfterBreak="0">
    <w:nsid w:val="2E1E6770"/>
    <w:multiLevelType w:val="hybridMultilevel"/>
    <w:tmpl w:val="14BCBC50"/>
    <w:lvl w:ilvl="0" w:tplc="EE82A910">
      <w:start w:val="1"/>
      <w:numFmt w:val="decimal"/>
      <w:lvlText w:val="%1."/>
      <w:lvlJc w:val="left"/>
      <w:pPr>
        <w:ind w:left="1069" w:hanging="360"/>
      </w:pPr>
      <w:rPr>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E577A23"/>
    <w:multiLevelType w:val="hybridMultilevel"/>
    <w:tmpl w:val="3350E712"/>
    <w:lvl w:ilvl="0" w:tplc="0E2E49C2">
      <w:start w:val="1"/>
      <w:numFmt w:val="upperLetter"/>
      <w:lvlText w:val="%1."/>
      <w:lvlJc w:val="left"/>
      <w:pPr>
        <w:ind w:left="1069"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5" w15:restartNumberingAfterBreak="0">
    <w:nsid w:val="2F370BFA"/>
    <w:multiLevelType w:val="hybridMultilevel"/>
    <w:tmpl w:val="CC0807FA"/>
    <w:lvl w:ilvl="0" w:tplc="A9B29A6C">
      <w:start w:val="1"/>
      <w:numFmt w:val="low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15:restartNumberingAfterBreak="0">
    <w:nsid w:val="31EC5D67"/>
    <w:multiLevelType w:val="hybridMultilevel"/>
    <w:tmpl w:val="F09C52C4"/>
    <w:lvl w:ilvl="0" w:tplc="A6883438">
      <w:start w:val="1"/>
      <w:numFmt w:val="upperLetter"/>
      <w:lvlText w:val="%1."/>
      <w:lvlJc w:val="left"/>
      <w:pPr>
        <w:ind w:left="1494" w:hanging="360"/>
      </w:pPr>
      <w:rPr>
        <w:rFonts w:hint="default"/>
        <w:i/>
        <w:iCs w:val="0"/>
        <w:color w:val="auto"/>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3AAA4C09"/>
    <w:multiLevelType w:val="hybridMultilevel"/>
    <w:tmpl w:val="59765E5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C9C7819"/>
    <w:multiLevelType w:val="hybridMultilevel"/>
    <w:tmpl w:val="408455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3E237321"/>
    <w:multiLevelType w:val="hybridMultilevel"/>
    <w:tmpl w:val="5AE6C358"/>
    <w:lvl w:ilvl="0" w:tplc="03C4E130">
      <w:start w:val="1"/>
      <w:numFmt w:val="upp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41C32738"/>
    <w:multiLevelType w:val="hybridMultilevel"/>
    <w:tmpl w:val="26D2A67E"/>
    <w:lvl w:ilvl="0" w:tplc="49689066">
      <w:start w:val="1"/>
      <w:numFmt w:val="lowerRoman"/>
      <w:lvlText w:val="%1)"/>
      <w:lvlJc w:val="left"/>
      <w:pPr>
        <w:ind w:left="2214" w:hanging="72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1" w15:restartNumberingAfterBreak="0">
    <w:nsid w:val="48633D1A"/>
    <w:multiLevelType w:val="hybridMultilevel"/>
    <w:tmpl w:val="FFE47310"/>
    <w:lvl w:ilvl="0" w:tplc="4148ED9C">
      <w:start w:val="1"/>
      <w:numFmt w:val="upp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15:restartNumberingAfterBreak="0">
    <w:nsid w:val="50145AEB"/>
    <w:multiLevelType w:val="hybridMultilevel"/>
    <w:tmpl w:val="781E7558"/>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15:restartNumberingAfterBreak="0">
    <w:nsid w:val="50894FC1"/>
    <w:multiLevelType w:val="hybridMultilevel"/>
    <w:tmpl w:val="7C8C986A"/>
    <w:lvl w:ilvl="0" w:tplc="8E90977E">
      <w:start w:val="1"/>
      <w:numFmt w:val="upperLetter"/>
      <w:lvlText w:val="%1."/>
      <w:lvlJc w:val="left"/>
      <w:pPr>
        <w:ind w:left="1494" w:hanging="360"/>
      </w:pPr>
      <w:rPr>
        <w:i/>
        <w:iCs/>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4" w15:restartNumberingAfterBreak="0">
    <w:nsid w:val="511F6A52"/>
    <w:multiLevelType w:val="hybridMultilevel"/>
    <w:tmpl w:val="4C9C78C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1545A2A"/>
    <w:multiLevelType w:val="hybridMultilevel"/>
    <w:tmpl w:val="D04C6972"/>
    <w:lvl w:ilvl="0" w:tplc="0B343A9C">
      <w:start w:val="1"/>
      <w:numFmt w:val="upp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6" w15:restartNumberingAfterBreak="0">
    <w:nsid w:val="56030357"/>
    <w:multiLevelType w:val="hybridMultilevel"/>
    <w:tmpl w:val="7DD82AF4"/>
    <w:lvl w:ilvl="0" w:tplc="03C4E130">
      <w:start w:val="1"/>
      <w:numFmt w:val="upp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7" w15:restartNumberingAfterBreak="0">
    <w:nsid w:val="5AF12311"/>
    <w:multiLevelType w:val="hybridMultilevel"/>
    <w:tmpl w:val="EF74F77C"/>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5E2B6B66"/>
    <w:multiLevelType w:val="hybridMultilevel"/>
    <w:tmpl w:val="795C212E"/>
    <w:lvl w:ilvl="0" w:tplc="04190015">
      <w:start w:val="1"/>
      <w:numFmt w:val="upp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6FD3E74"/>
    <w:multiLevelType w:val="hybridMultilevel"/>
    <w:tmpl w:val="6150B9D8"/>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99837E7"/>
    <w:multiLevelType w:val="hybridMultilevel"/>
    <w:tmpl w:val="B400DDFE"/>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6B586D3E"/>
    <w:multiLevelType w:val="hybridMultilevel"/>
    <w:tmpl w:val="80E6A06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6D907972"/>
    <w:multiLevelType w:val="hybridMultilevel"/>
    <w:tmpl w:val="DA382A7A"/>
    <w:lvl w:ilvl="0" w:tplc="DC6006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69212B"/>
    <w:multiLevelType w:val="hybridMultilevel"/>
    <w:tmpl w:val="6C0C9D8E"/>
    <w:lvl w:ilvl="0" w:tplc="5E60E660">
      <w:start w:val="1"/>
      <w:numFmt w:val="lowerRoman"/>
      <w:lvlText w:val="%1)"/>
      <w:lvlJc w:val="left"/>
      <w:pPr>
        <w:ind w:left="1854" w:hanging="72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4" w15:restartNumberingAfterBreak="0">
    <w:nsid w:val="7AC51C65"/>
    <w:multiLevelType w:val="hybridMultilevel"/>
    <w:tmpl w:val="0344C04A"/>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5" w15:restartNumberingAfterBreak="0">
    <w:nsid w:val="7D533BA6"/>
    <w:multiLevelType w:val="hybridMultilevel"/>
    <w:tmpl w:val="40D22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8"/>
  </w:num>
  <w:num w:numId="3">
    <w:abstractNumId w:val="33"/>
  </w:num>
  <w:num w:numId="4">
    <w:abstractNumId w:val="15"/>
  </w:num>
  <w:num w:numId="5">
    <w:abstractNumId w:val="20"/>
  </w:num>
  <w:num w:numId="6">
    <w:abstractNumId w:val="25"/>
  </w:num>
  <w:num w:numId="7">
    <w:abstractNumId w:val="26"/>
  </w:num>
  <w:num w:numId="8">
    <w:abstractNumId w:val="19"/>
  </w:num>
  <w:num w:numId="9">
    <w:abstractNumId w:val="2"/>
  </w:num>
  <w:num w:numId="10">
    <w:abstractNumId w:val="22"/>
  </w:num>
  <w:num w:numId="11">
    <w:abstractNumId w:val="23"/>
  </w:num>
  <w:num w:numId="12">
    <w:abstractNumId w:val="16"/>
  </w:num>
  <w:num w:numId="13">
    <w:abstractNumId w:val="9"/>
  </w:num>
  <w:num w:numId="14">
    <w:abstractNumId w:val="6"/>
  </w:num>
  <w:num w:numId="15">
    <w:abstractNumId w:val="1"/>
  </w:num>
  <w:num w:numId="16">
    <w:abstractNumId w:val="32"/>
  </w:num>
  <w:num w:numId="17">
    <w:abstractNumId w:val="4"/>
  </w:num>
  <w:num w:numId="18">
    <w:abstractNumId w:val="28"/>
  </w:num>
  <w:num w:numId="19">
    <w:abstractNumId w:val="31"/>
  </w:num>
  <w:num w:numId="20">
    <w:abstractNumId w:val="18"/>
  </w:num>
  <w:num w:numId="21">
    <w:abstractNumId w:val="29"/>
  </w:num>
  <w:num w:numId="22">
    <w:abstractNumId w:val="17"/>
  </w:num>
  <w:num w:numId="23">
    <w:abstractNumId w:val="27"/>
  </w:num>
  <w:num w:numId="24">
    <w:abstractNumId w:val="3"/>
  </w:num>
  <w:num w:numId="25">
    <w:abstractNumId w:val="11"/>
  </w:num>
  <w:num w:numId="26">
    <w:abstractNumId w:val="5"/>
  </w:num>
  <w:num w:numId="27">
    <w:abstractNumId w:val="10"/>
  </w:num>
  <w:num w:numId="28">
    <w:abstractNumId w:val="24"/>
  </w:num>
  <w:num w:numId="29">
    <w:abstractNumId w:val="13"/>
  </w:num>
  <w:num w:numId="30">
    <w:abstractNumId w:val="12"/>
  </w:num>
  <w:num w:numId="31">
    <w:abstractNumId w:val="30"/>
  </w:num>
  <w:num w:numId="32">
    <w:abstractNumId w:val="7"/>
  </w:num>
  <w:num w:numId="33">
    <w:abstractNumId w:val="0"/>
  </w:num>
  <w:num w:numId="34">
    <w:abstractNumId w:val="34"/>
  </w:num>
  <w:num w:numId="35">
    <w:abstractNumId w:val="21"/>
  </w:num>
  <w:num w:numId="36">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65"/>
    <w:rsid w:val="000002BA"/>
    <w:rsid w:val="00000D83"/>
    <w:rsid w:val="00001022"/>
    <w:rsid w:val="000014D9"/>
    <w:rsid w:val="00001B3B"/>
    <w:rsid w:val="00001CDB"/>
    <w:rsid w:val="00001E53"/>
    <w:rsid w:val="00002B7A"/>
    <w:rsid w:val="00002D14"/>
    <w:rsid w:val="0000323E"/>
    <w:rsid w:val="00003294"/>
    <w:rsid w:val="000032CB"/>
    <w:rsid w:val="000036B7"/>
    <w:rsid w:val="000037C2"/>
    <w:rsid w:val="00003BD4"/>
    <w:rsid w:val="00004303"/>
    <w:rsid w:val="0000485A"/>
    <w:rsid w:val="0000497B"/>
    <w:rsid w:val="00004DC1"/>
    <w:rsid w:val="000054D1"/>
    <w:rsid w:val="00006332"/>
    <w:rsid w:val="000064D8"/>
    <w:rsid w:val="000065E1"/>
    <w:rsid w:val="00006F31"/>
    <w:rsid w:val="00006F88"/>
    <w:rsid w:val="00006FB6"/>
    <w:rsid w:val="000071B1"/>
    <w:rsid w:val="00007970"/>
    <w:rsid w:val="00007A61"/>
    <w:rsid w:val="00007FD2"/>
    <w:rsid w:val="00010BF3"/>
    <w:rsid w:val="00010F45"/>
    <w:rsid w:val="000110F0"/>
    <w:rsid w:val="00011A93"/>
    <w:rsid w:val="000122A4"/>
    <w:rsid w:val="00012669"/>
    <w:rsid w:val="00012BCD"/>
    <w:rsid w:val="00012F0E"/>
    <w:rsid w:val="000138D0"/>
    <w:rsid w:val="00013B30"/>
    <w:rsid w:val="00013BCB"/>
    <w:rsid w:val="00013DC3"/>
    <w:rsid w:val="00013DF0"/>
    <w:rsid w:val="00014047"/>
    <w:rsid w:val="00014050"/>
    <w:rsid w:val="0001422E"/>
    <w:rsid w:val="0001426B"/>
    <w:rsid w:val="00014E27"/>
    <w:rsid w:val="00015002"/>
    <w:rsid w:val="00015090"/>
    <w:rsid w:val="0001509F"/>
    <w:rsid w:val="00015BE3"/>
    <w:rsid w:val="000163DA"/>
    <w:rsid w:val="00016806"/>
    <w:rsid w:val="00016D78"/>
    <w:rsid w:val="000173E7"/>
    <w:rsid w:val="000200C3"/>
    <w:rsid w:val="00020F48"/>
    <w:rsid w:val="00021D4C"/>
    <w:rsid w:val="00021FA6"/>
    <w:rsid w:val="00021FBF"/>
    <w:rsid w:val="00022A6B"/>
    <w:rsid w:val="00022B43"/>
    <w:rsid w:val="00022CBB"/>
    <w:rsid w:val="0002311A"/>
    <w:rsid w:val="0002315A"/>
    <w:rsid w:val="000231D3"/>
    <w:rsid w:val="00023201"/>
    <w:rsid w:val="0002324D"/>
    <w:rsid w:val="00023AA1"/>
    <w:rsid w:val="00024A0D"/>
    <w:rsid w:val="00026249"/>
    <w:rsid w:val="00026760"/>
    <w:rsid w:val="00026CC7"/>
    <w:rsid w:val="00026E5E"/>
    <w:rsid w:val="0002734E"/>
    <w:rsid w:val="000274BD"/>
    <w:rsid w:val="000277B4"/>
    <w:rsid w:val="00027CCF"/>
    <w:rsid w:val="00030194"/>
    <w:rsid w:val="000304DF"/>
    <w:rsid w:val="00030514"/>
    <w:rsid w:val="00030B5A"/>
    <w:rsid w:val="00030BE3"/>
    <w:rsid w:val="00032372"/>
    <w:rsid w:val="0003249B"/>
    <w:rsid w:val="0003273C"/>
    <w:rsid w:val="00032CA2"/>
    <w:rsid w:val="00032D7E"/>
    <w:rsid w:val="00032E01"/>
    <w:rsid w:val="00032FD1"/>
    <w:rsid w:val="00033056"/>
    <w:rsid w:val="000336EF"/>
    <w:rsid w:val="00033AD7"/>
    <w:rsid w:val="000340EB"/>
    <w:rsid w:val="0003420D"/>
    <w:rsid w:val="00034725"/>
    <w:rsid w:val="000347F4"/>
    <w:rsid w:val="000349F6"/>
    <w:rsid w:val="00034AE4"/>
    <w:rsid w:val="00034D85"/>
    <w:rsid w:val="00035109"/>
    <w:rsid w:val="00035171"/>
    <w:rsid w:val="000355B0"/>
    <w:rsid w:val="00035A67"/>
    <w:rsid w:val="00035C55"/>
    <w:rsid w:val="00035CD0"/>
    <w:rsid w:val="00035DDF"/>
    <w:rsid w:val="000366DD"/>
    <w:rsid w:val="000367A1"/>
    <w:rsid w:val="00036E0A"/>
    <w:rsid w:val="0003729D"/>
    <w:rsid w:val="00037432"/>
    <w:rsid w:val="00037926"/>
    <w:rsid w:val="00037931"/>
    <w:rsid w:val="00040101"/>
    <w:rsid w:val="000401F6"/>
    <w:rsid w:val="00040A7E"/>
    <w:rsid w:val="00040D92"/>
    <w:rsid w:val="00041004"/>
    <w:rsid w:val="0004177E"/>
    <w:rsid w:val="000418D1"/>
    <w:rsid w:val="0004285A"/>
    <w:rsid w:val="00042C9C"/>
    <w:rsid w:val="00042E6C"/>
    <w:rsid w:val="000432B0"/>
    <w:rsid w:val="00043439"/>
    <w:rsid w:val="000434D0"/>
    <w:rsid w:val="000439F0"/>
    <w:rsid w:val="00044107"/>
    <w:rsid w:val="000458C8"/>
    <w:rsid w:val="00046016"/>
    <w:rsid w:val="000464F4"/>
    <w:rsid w:val="0004654C"/>
    <w:rsid w:val="0004699A"/>
    <w:rsid w:val="0004789E"/>
    <w:rsid w:val="00050747"/>
    <w:rsid w:val="000513C6"/>
    <w:rsid w:val="0005160D"/>
    <w:rsid w:val="00051C5F"/>
    <w:rsid w:val="00051F90"/>
    <w:rsid w:val="00052238"/>
    <w:rsid w:val="000528FC"/>
    <w:rsid w:val="00052B48"/>
    <w:rsid w:val="00053702"/>
    <w:rsid w:val="00053779"/>
    <w:rsid w:val="00053985"/>
    <w:rsid w:val="00053C7F"/>
    <w:rsid w:val="000541AA"/>
    <w:rsid w:val="0005482B"/>
    <w:rsid w:val="00054EFD"/>
    <w:rsid w:val="000551B2"/>
    <w:rsid w:val="00055223"/>
    <w:rsid w:val="000552BC"/>
    <w:rsid w:val="00055EE4"/>
    <w:rsid w:val="000564F6"/>
    <w:rsid w:val="00057A43"/>
    <w:rsid w:val="000600F5"/>
    <w:rsid w:val="00060289"/>
    <w:rsid w:val="0006076D"/>
    <w:rsid w:val="00060A84"/>
    <w:rsid w:val="00060DF2"/>
    <w:rsid w:val="00060EFE"/>
    <w:rsid w:val="000619C4"/>
    <w:rsid w:val="00061D52"/>
    <w:rsid w:val="0006216C"/>
    <w:rsid w:val="0006261F"/>
    <w:rsid w:val="000626DD"/>
    <w:rsid w:val="0006324C"/>
    <w:rsid w:val="000635B9"/>
    <w:rsid w:val="00064377"/>
    <w:rsid w:val="0006498F"/>
    <w:rsid w:val="00064B51"/>
    <w:rsid w:val="00064B72"/>
    <w:rsid w:val="000650A1"/>
    <w:rsid w:val="00065243"/>
    <w:rsid w:val="00065AAD"/>
    <w:rsid w:val="00065C7D"/>
    <w:rsid w:val="00065E60"/>
    <w:rsid w:val="00065F74"/>
    <w:rsid w:val="000660E8"/>
    <w:rsid w:val="000661A6"/>
    <w:rsid w:val="00066267"/>
    <w:rsid w:val="00067065"/>
    <w:rsid w:val="00067374"/>
    <w:rsid w:val="00067929"/>
    <w:rsid w:val="00070825"/>
    <w:rsid w:val="00070AF5"/>
    <w:rsid w:val="00071C71"/>
    <w:rsid w:val="00071CF2"/>
    <w:rsid w:val="000724D4"/>
    <w:rsid w:val="00072A20"/>
    <w:rsid w:val="00072A63"/>
    <w:rsid w:val="00072F1D"/>
    <w:rsid w:val="0007387B"/>
    <w:rsid w:val="00074D50"/>
    <w:rsid w:val="00074F0F"/>
    <w:rsid w:val="00075916"/>
    <w:rsid w:val="00075AA8"/>
    <w:rsid w:val="00075C6E"/>
    <w:rsid w:val="00075EE9"/>
    <w:rsid w:val="0007604F"/>
    <w:rsid w:val="00076635"/>
    <w:rsid w:val="00076693"/>
    <w:rsid w:val="000769C8"/>
    <w:rsid w:val="00076ABA"/>
    <w:rsid w:val="00076BB2"/>
    <w:rsid w:val="00076EE4"/>
    <w:rsid w:val="00076F2B"/>
    <w:rsid w:val="00077603"/>
    <w:rsid w:val="0007787A"/>
    <w:rsid w:val="0008008F"/>
    <w:rsid w:val="00080121"/>
    <w:rsid w:val="0008020D"/>
    <w:rsid w:val="00080F42"/>
    <w:rsid w:val="000812B2"/>
    <w:rsid w:val="000812FD"/>
    <w:rsid w:val="00082941"/>
    <w:rsid w:val="00082A9F"/>
    <w:rsid w:val="00082BD5"/>
    <w:rsid w:val="0008300C"/>
    <w:rsid w:val="000830B2"/>
    <w:rsid w:val="00083693"/>
    <w:rsid w:val="00083933"/>
    <w:rsid w:val="00083D67"/>
    <w:rsid w:val="0008463B"/>
    <w:rsid w:val="000847CC"/>
    <w:rsid w:val="00084BB6"/>
    <w:rsid w:val="00084D0F"/>
    <w:rsid w:val="000850A4"/>
    <w:rsid w:val="0008522C"/>
    <w:rsid w:val="000855A3"/>
    <w:rsid w:val="00085636"/>
    <w:rsid w:val="000863AD"/>
    <w:rsid w:val="00086751"/>
    <w:rsid w:val="000867DF"/>
    <w:rsid w:val="000872CE"/>
    <w:rsid w:val="00087730"/>
    <w:rsid w:val="00087B72"/>
    <w:rsid w:val="00087EA3"/>
    <w:rsid w:val="0009049B"/>
    <w:rsid w:val="00090628"/>
    <w:rsid w:val="0009090E"/>
    <w:rsid w:val="00090A57"/>
    <w:rsid w:val="00090F57"/>
    <w:rsid w:val="0009130E"/>
    <w:rsid w:val="000918CD"/>
    <w:rsid w:val="00091F60"/>
    <w:rsid w:val="00092668"/>
    <w:rsid w:val="00092D75"/>
    <w:rsid w:val="00093011"/>
    <w:rsid w:val="0009356A"/>
    <w:rsid w:val="0009372F"/>
    <w:rsid w:val="00093808"/>
    <w:rsid w:val="00093FEE"/>
    <w:rsid w:val="00094255"/>
    <w:rsid w:val="000944E1"/>
    <w:rsid w:val="00094714"/>
    <w:rsid w:val="00094B42"/>
    <w:rsid w:val="00094E3B"/>
    <w:rsid w:val="00095050"/>
    <w:rsid w:val="00095181"/>
    <w:rsid w:val="000951CA"/>
    <w:rsid w:val="0009580C"/>
    <w:rsid w:val="000959BA"/>
    <w:rsid w:val="00095D8C"/>
    <w:rsid w:val="000963BB"/>
    <w:rsid w:val="000967B1"/>
    <w:rsid w:val="00096FFA"/>
    <w:rsid w:val="00097BDC"/>
    <w:rsid w:val="00097F67"/>
    <w:rsid w:val="000A0215"/>
    <w:rsid w:val="000A0265"/>
    <w:rsid w:val="000A0767"/>
    <w:rsid w:val="000A0B7B"/>
    <w:rsid w:val="000A0EC0"/>
    <w:rsid w:val="000A1398"/>
    <w:rsid w:val="000A16D5"/>
    <w:rsid w:val="000A1707"/>
    <w:rsid w:val="000A2568"/>
    <w:rsid w:val="000A43C5"/>
    <w:rsid w:val="000A49E9"/>
    <w:rsid w:val="000A4AC4"/>
    <w:rsid w:val="000A4DD8"/>
    <w:rsid w:val="000A5359"/>
    <w:rsid w:val="000A597C"/>
    <w:rsid w:val="000A5C4D"/>
    <w:rsid w:val="000A61D3"/>
    <w:rsid w:val="000A63CD"/>
    <w:rsid w:val="000A6584"/>
    <w:rsid w:val="000A6708"/>
    <w:rsid w:val="000A67BE"/>
    <w:rsid w:val="000A6BA1"/>
    <w:rsid w:val="000A7191"/>
    <w:rsid w:val="000A730E"/>
    <w:rsid w:val="000A7DCE"/>
    <w:rsid w:val="000B0381"/>
    <w:rsid w:val="000B04A9"/>
    <w:rsid w:val="000B0695"/>
    <w:rsid w:val="000B0A85"/>
    <w:rsid w:val="000B1D90"/>
    <w:rsid w:val="000B210F"/>
    <w:rsid w:val="000B2199"/>
    <w:rsid w:val="000B23F5"/>
    <w:rsid w:val="000B2454"/>
    <w:rsid w:val="000B25FB"/>
    <w:rsid w:val="000B2683"/>
    <w:rsid w:val="000B37C4"/>
    <w:rsid w:val="000B3AF2"/>
    <w:rsid w:val="000B3F85"/>
    <w:rsid w:val="000B4063"/>
    <w:rsid w:val="000B4E14"/>
    <w:rsid w:val="000B4ED2"/>
    <w:rsid w:val="000B52A7"/>
    <w:rsid w:val="000B53BD"/>
    <w:rsid w:val="000B56F0"/>
    <w:rsid w:val="000B64C4"/>
    <w:rsid w:val="000B65AE"/>
    <w:rsid w:val="000B66B8"/>
    <w:rsid w:val="000B6733"/>
    <w:rsid w:val="000B6806"/>
    <w:rsid w:val="000B7822"/>
    <w:rsid w:val="000B7A61"/>
    <w:rsid w:val="000C0388"/>
    <w:rsid w:val="000C0395"/>
    <w:rsid w:val="000C0408"/>
    <w:rsid w:val="000C0775"/>
    <w:rsid w:val="000C0B6F"/>
    <w:rsid w:val="000C1CBE"/>
    <w:rsid w:val="000C24F8"/>
    <w:rsid w:val="000C2695"/>
    <w:rsid w:val="000C285C"/>
    <w:rsid w:val="000C2AC0"/>
    <w:rsid w:val="000C3111"/>
    <w:rsid w:val="000C3706"/>
    <w:rsid w:val="000C3820"/>
    <w:rsid w:val="000C47FD"/>
    <w:rsid w:val="000C51B5"/>
    <w:rsid w:val="000C616E"/>
    <w:rsid w:val="000C67EB"/>
    <w:rsid w:val="000C68EB"/>
    <w:rsid w:val="000C719B"/>
    <w:rsid w:val="000C72F5"/>
    <w:rsid w:val="000C753F"/>
    <w:rsid w:val="000C7FF9"/>
    <w:rsid w:val="000D0897"/>
    <w:rsid w:val="000D08CD"/>
    <w:rsid w:val="000D095D"/>
    <w:rsid w:val="000D10BA"/>
    <w:rsid w:val="000D154C"/>
    <w:rsid w:val="000D2ABA"/>
    <w:rsid w:val="000D2AC3"/>
    <w:rsid w:val="000D2B60"/>
    <w:rsid w:val="000D34BF"/>
    <w:rsid w:val="000D3538"/>
    <w:rsid w:val="000D357B"/>
    <w:rsid w:val="000D4FB0"/>
    <w:rsid w:val="000D517E"/>
    <w:rsid w:val="000D550A"/>
    <w:rsid w:val="000D5531"/>
    <w:rsid w:val="000D5A71"/>
    <w:rsid w:val="000D5B23"/>
    <w:rsid w:val="000D6BE8"/>
    <w:rsid w:val="000D73B3"/>
    <w:rsid w:val="000D74D2"/>
    <w:rsid w:val="000D7564"/>
    <w:rsid w:val="000D791C"/>
    <w:rsid w:val="000D7BD3"/>
    <w:rsid w:val="000E0366"/>
    <w:rsid w:val="000E0583"/>
    <w:rsid w:val="000E0D83"/>
    <w:rsid w:val="000E0E60"/>
    <w:rsid w:val="000E10B6"/>
    <w:rsid w:val="000E14E0"/>
    <w:rsid w:val="000E1B24"/>
    <w:rsid w:val="000E21D6"/>
    <w:rsid w:val="000E2295"/>
    <w:rsid w:val="000E2641"/>
    <w:rsid w:val="000E28AA"/>
    <w:rsid w:val="000E2A5A"/>
    <w:rsid w:val="000E2D97"/>
    <w:rsid w:val="000E2D9A"/>
    <w:rsid w:val="000E304F"/>
    <w:rsid w:val="000E30F4"/>
    <w:rsid w:val="000E3304"/>
    <w:rsid w:val="000E34CB"/>
    <w:rsid w:val="000E3A73"/>
    <w:rsid w:val="000E3FFC"/>
    <w:rsid w:val="000E5D82"/>
    <w:rsid w:val="000E5F36"/>
    <w:rsid w:val="000E6AE8"/>
    <w:rsid w:val="000E6CD7"/>
    <w:rsid w:val="000E735F"/>
    <w:rsid w:val="000E751A"/>
    <w:rsid w:val="000E7704"/>
    <w:rsid w:val="000E7AF4"/>
    <w:rsid w:val="000E7DA4"/>
    <w:rsid w:val="000E7E62"/>
    <w:rsid w:val="000F0032"/>
    <w:rsid w:val="000F0A49"/>
    <w:rsid w:val="000F0F7C"/>
    <w:rsid w:val="000F0F8B"/>
    <w:rsid w:val="000F1FFB"/>
    <w:rsid w:val="000F2086"/>
    <w:rsid w:val="000F2237"/>
    <w:rsid w:val="000F2414"/>
    <w:rsid w:val="000F262C"/>
    <w:rsid w:val="000F2E8B"/>
    <w:rsid w:val="000F332D"/>
    <w:rsid w:val="000F3339"/>
    <w:rsid w:val="000F3A02"/>
    <w:rsid w:val="000F3B84"/>
    <w:rsid w:val="000F423B"/>
    <w:rsid w:val="000F42B4"/>
    <w:rsid w:val="000F44B2"/>
    <w:rsid w:val="000F4863"/>
    <w:rsid w:val="000F4C4F"/>
    <w:rsid w:val="000F577F"/>
    <w:rsid w:val="000F59B1"/>
    <w:rsid w:val="000F5BD8"/>
    <w:rsid w:val="000F5FF4"/>
    <w:rsid w:val="000F754F"/>
    <w:rsid w:val="000F79D3"/>
    <w:rsid w:val="000F7E71"/>
    <w:rsid w:val="000F7F06"/>
    <w:rsid w:val="001008FF"/>
    <w:rsid w:val="00100C26"/>
    <w:rsid w:val="00101428"/>
    <w:rsid w:val="001017B8"/>
    <w:rsid w:val="00101891"/>
    <w:rsid w:val="00101DB4"/>
    <w:rsid w:val="00101EE1"/>
    <w:rsid w:val="00102F43"/>
    <w:rsid w:val="0010316B"/>
    <w:rsid w:val="0010327E"/>
    <w:rsid w:val="001046E9"/>
    <w:rsid w:val="00104718"/>
    <w:rsid w:val="00104A52"/>
    <w:rsid w:val="00104CC4"/>
    <w:rsid w:val="0010523E"/>
    <w:rsid w:val="00105329"/>
    <w:rsid w:val="0010598E"/>
    <w:rsid w:val="00106021"/>
    <w:rsid w:val="001061F8"/>
    <w:rsid w:val="00106278"/>
    <w:rsid w:val="0010629C"/>
    <w:rsid w:val="001073BD"/>
    <w:rsid w:val="0010742C"/>
    <w:rsid w:val="0011006A"/>
    <w:rsid w:val="001103FF"/>
    <w:rsid w:val="00111041"/>
    <w:rsid w:val="00111AB3"/>
    <w:rsid w:val="0011222C"/>
    <w:rsid w:val="00112382"/>
    <w:rsid w:val="00112CD1"/>
    <w:rsid w:val="001131F9"/>
    <w:rsid w:val="001134CD"/>
    <w:rsid w:val="00113506"/>
    <w:rsid w:val="001139BE"/>
    <w:rsid w:val="00113B7F"/>
    <w:rsid w:val="00113C37"/>
    <w:rsid w:val="001143C9"/>
    <w:rsid w:val="001149AD"/>
    <w:rsid w:val="00114BF8"/>
    <w:rsid w:val="00114C22"/>
    <w:rsid w:val="00114EC4"/>
    <w:rsid w:val="001152EF"/>
    <w:rsid w:val="0011540B"/>
    <w:rsid w:val="00115FD4"/>
    <w:rsid w:val="00116D36"/>
    <w:rsid w:val="001172ED"/>
    <w:rsid w:val="001173CA"/>
    <w:rsid w:val="001174D0"/>
    <w:rsid w:val="001177E9"/>
    <w:rsid w:val="00117EB6"/>
    <w:rsid w:val="00117F80"/>
    <w:rsid w:val="001204C2"/>
    <w:rsid w:val="00120BBA"/>
    <w:rsid w:val="001220DF"/>
    <w:rsid w:val="00122ED2"/>
    <w:rsid w:val="00123466"/>
    <w:rsid w:val="001236D9"/>
    <w:rsid w:val="00124A3B"/>
    <w:rsid w:val="0012501D"/>
    <w:rsid w:val="00125082"/>
    <w:rsid w:val="001251C4"/>
    <w:rsid w:val="001251F9"/>
    <w:rsid w:val="001255B9"/>
    <w:rsid w:val="00125A28"/>
    <w:rsid w:val="0012646D"/>
    <w:rsid w:val="00126D76"/>
    <w:rsid w:val="00127440"/>
    <w:rsid w:val="0012796E"/>
    <w:rsid w:val="00127A40"/>
    <w:rsid w:val="00130333"/>
    <w:rsid w:val="00131281"/>
    <w:rsid w:val="00131863"/>
    <w:rsid w:val="00132E04"/>
    <w:rsid w:val="0013319F"/>
    <w:rsid w:val="001346B6"/>
    <w:rsid w:val="00134859"/>
    <w:rsid w:val="00134A7D"/>
    <w:rsid w:val="00134E74"/>
    <w:rsid w:val="00135288"/>
    <w:rsid w:val="00135894"/>
    <w:rsid w:val="001359C5"/>
    <w:rsid w:val="00136804"/>
    <w:rsid w:val="001369A7"/>
    <w:rsid w:val="00136E27"/>
    <w:rsid w:val="00137071"/>
    <w:rsid w:val="001373E7"/>
    <w:rsid w:val="001400E0"/>
    <w:rsid w:val="001405AD"/>
    <w:rsid w:val="001405D9"/>
    <w:rsid w:val="00140B3E"/>
    <w:rsid w:val="00140EF0"/>
    <w:rsid w:val="001410B2"/>
    <w:rsid w:val="001410D7"/>
    <w:rsid w:val="00141231"/>
    <w:rsid w:val="00141248"/>
    <w:rsid w:val="00141784"/>
    <w:rsid w:val="00142303"/>
    <w:rsid w:val="00142488"/>
    <w:rsid w:val="0014281F"/>
    <w:rsid w:val="00142B07"/>
    <w:rsid w:val="00142E25"/>
    <w:rsid w:val="001433AC"/>
    <w:rsid w:val="00143A3D"/>
    <w:rsid w:val="00143D69"/>
    <w:rsid w:val="001445A8"/>
    <w:rsid w:val="0014472B"/>
    <w:rsid w:val="00145002"/>
    <w:rsid w:val="0014569B"/>
    <w:rsid w:val="00145822"/>
    <w:rsid w:val="00145E15"/>
    <w:rsid w:val="00145ECD"/>
    <w:rsid w:val="001466BA"/>
    <w:rsid w:val="001466DB"/>
    <w:rsid w:val="001469B6"/>
    <w:rsid w:val="00146BB1"/>
    <w:rsid w:val="00146C10"/>
    <w:rsid w:val="00146DB3"/>
    <w:rsid w:val="00147056"/>
    <w:rsid w:val="00147069"/>
    <w:rsid w:val="00147113"/>
    <w:rsid w:val="00147591"/>
    <w:rsid w:val="001477CD"/>
    <w:rsid w:val="00147C41"/>
    <w:rsid w:val="00150019"/>
    <w:rsid w:val="00150570"/>
    <w:rsid w:val="0015066F"/>
    <w:rsid w:val="001509D8"/>
    <w:rsid w:val="00150F26"/>
    <w:rsid w:val="00151076"/>
    <w:rsid w:val="00151320"/>
    <w:rsid w:val="00151A9D"/>
    <w:rsid w:val="00151EDF"/>
    <w:rsid w:val="001521DF"/>
    <w:rsid w:val="001524F0"/>
    <w:rsid w:val="001524FE"/>
    <w:rsid w:val="001525B6"/>
    <w:rsid w:val="00152664"/>
    <w:rsid w:val="00152729"/>
    <w:rsid w:val="00153212"/>
    <w:rsid w:val="00153549"/>
    <w:rsid w:val="001536DC"/>
    <w:rsid w:val="00153F6F"/>
    <w:rsid w:val="00154116"/>
    <w:rsid w:val="0015505C"/>
    <w:rsid w:val="00155327"/>
    <w:rsid w:val="00155389"/>
    <w:rsid w:val="00155B02"/>
    <w:rsid w:val="001561AF"/>
    <w:rsid w:val="001562F0"/>
    <w:rsid w:val="00156439"/>
    <w:rsid w:val="001567F6"/>
    <w:rsid w:val="00156D38"/>
    <w:rsid w:val="00156FB8"/>
    <w:rsid w:val="0015772A"/>
    <w:rsid w:val="00157823"/>
    <w:rsid w:val="00160027"/>
    <w:rsid w:val="001601C7"/>
    <w:rsid w:val="001607E3"/>
    <w:rsid w:val="00160AFD"/>
    <w:rsid w:val="00161201"/>
    <w:rsid w:val="00161A1E"/>
    <w:rsid w:val="0016233B"/>
    <w:rsid w:val="00162528"/>
    <w:rsid w:val="00163575"/>
    <w:rsid w:val="001648D0"/>
    <w:rsid w:val="0016497F"/>
    <w:rsid w:val="00164988"/>
    <w:rsid w:val="00164DF7"/>
    <w:rsid w:val="00164E96"/>
    <w:rsid w:val="00165256"/>
    <w:rsid w:val="00165349"/>
    <w:rsid w:val="001656E7"/>
    <w:rsid w:val="00165A07"/>
    <w:rsid w:val="00165C36"/>
    <w:rsid w:val="00165DEF"/>
    <w:rsid w:val="00165F4D"/>
    <w:rsid w:val="00165FA5"/>
    <w:rsid w:val="00165FC4"/>
    <w:rsid w:val="001660F3"/>
    <w:rsid w:val="0016621B"/>
    <w:rsid w:val="00166B94"/>
    <w:rsid w:val="00166FBC"/>
    <w:rsid w:val="001670A6"/>
    <w:rsid w:val="00167F1C"/>
    <w:rsid w:val="00170374"/>
    <w:rsid w:val="00170768"/>
    <w:rsid w:val="00170EBD"/>
    <w:rsid w:val="001711EA"/>
    <w:rsid w:val="001712D4"/>
    <w:rsid w:val="00171942"/>
    <w:rsid w:val="0017256B"/>
    <w:rsid w:val="00172996"/>
    <w:rsid w:val="0017356C"/>
    <w:rsid w:val="00173B69"/>
    <w:rsid w:val="00173D86"/>
    <w:rsid w:val="00173FBA"/>
    <w:rsid w:val="00174151"/>
    <w:rsid w:val="00176123"/>
    <w:rsid w:val="00176216"/>
    <w:rsid w:val="0017656F"/>
    <w:rsid w:val="00176902"/>
    <w:rsid w:val="001774E5"/>
    <w:rsid w:val="00177854"/>
    <w:rsid w:val="00177A58"/>
    <w:rsid w:val="00177F84"/>
    <w:rsid w:val="00177FED"/>
    <w:rsid w:val="0018090D"/>
    <w:rsid w:val="001819CB"/>
    <w:rsid w:val="00181BCD"/>
    <w:rsid w:val="0018285D"/>
    <w:rsid w:val="0018321E"/>
    <w:rsid w:val="00183391"/>
    <w:rsid w:val="001836C9"/>
    <w:rsid w:val="00184744"/>
    <w:rsid w:val="00184AC4"/>
    <w:rsid w:val="00184C01"/>
    <w:rsid w:val="00185177"/>
    <w:rsid w:val="00185541"/>
    <w:rsid w:val="001859CD"/>
    <w:rsid w:val="00185A14"/>
    <w:rsid w:val="00185CAB"/>
    <w:rsid w:val="00185CFB"/>
    <w:rsid w:val="00185D81"/>
    <w:rsid w:val="00186912"/>
    <w:rsid w:val="0018694F"/>
    <w:rsid w:val="00186B27"/>
    <w:rsid w:val="00186B92"/>
    <w:rsid w:val="00187041"/>
    <w:rsid w:val="00187876"/>
    <w:rsid w:val="00187C2C"/>
    <w:rsid w:val="00187DC9"/>
    <w:rsid w:val="001905D1"/>
    <w:rsid w:val="0019096F"/>
    <w:rsid w:val="0019105B"/>
    <w:rsid w:val="001915BE"/>
    <w:rsid w:val="00191697"/>
    <w:rsid w:val="0019191E"/>
    <w:rsid w:val="00191B2A"/>
    <w:rsid w:val="00191BCE"/>
    <w:rsid w:val="00191E71"/>
    <w:rsid w:val="00191F4A"/>
    <w:rsid w:val="00192AD3"/>
    <w:rsid w:val="00193288"/>
    <w:rsid w:val="001932CF"/>
    <w:rsid w:val="001932E9"/>
    <w:rsid w:val="00194902"/>
    <w:rsid w:val="00194BD7"/>
    <w:rsid w:val="00194BDC"/>
    <w:rsid w:val="0019528C"/>
    <w:rsid w:val="00195336"/>
    <w:rsid w:val="0019617F"/>
    <w:rsid w:val="001965C8"/>
    <w:rsid w:val="00196694"/>
    <w:rsid w:val="00196745"/>
    <w:rsid w:val="00196A94"/>
    <w:rsid w:val="00197B86"/>
    <w:rsid w:val="001A02C5"/>
    <w:rsid w:val="001A05A3"/>
    <w:rsid w:val="001A0F92"/>
    <w:rsid w:val="001A2514"/>
    <w:rsid w:val="001A29B7"/>
    <w:rsid w:val="001A2C17"/>
    <w:rsid w:val="001A307A"/>
    <w:rsid w:val="001A3FC8"/>
    <w:rsid w:val="001A4243"/>
    <w:rsid w:val="001A4352"/>
    <w:rsid w:val="001A448A"/>
    <w:rsid w:val="001A44DC"/>
    <w:rsid w:val="001A47E2"/>
    <w:rsid w:val="001A4C68"/>
    <w:rsid w:val="001A534E"/>
    <w:rsid w:val="001A59D0"/>
    <w:rsid w:val="001A5BC9"/>
    <w:rsid w:val="001A5D57"/>
    <w:rsid w:val="001A6536"/>
    <w:rsid w:val="001A6A0D"/>
    <w:rsid w:val="001A7377"/>
    <w:rsid w:val="001A79AD"/>
    <w:rsid w:val="001A7CC3"/>
    <w:rsid w:val="001A7E41"/>
    <w:rsid w:val="001B0601"/>
    <w:rsid w:val="001B0C26"/>
    <w:rsid w:val="001B0D1C"/>
    <w:rsid w:val="001B0FB0"/>
    <w:rsid w:val="001B13B6"/>
    <w:rsid w:val="001B149D"/>
    <w:rsid w:val="001B1684"/>
    <w:rsid w:val="001B1EF4"/>
    <w:rsid w:val="001B2180"/>
    <w:rsid w:val="001B261B"/>
    <w:rsid w:val="001B2650"/>
    <w:rsid w:val="001B2DC7"/>
    <w:rsid w:val="001B2E5D"/>
    <w:rsid w:val="001B2F00"/>
    <w:rsid w:val="001B3104"/>
    <w:rsid w:val="001B311D"/>
    <w:rsid w:val="001B3158"/>
    <w:rsid w:val="001B33DA"/>
    <w:rsid w:val="001B3537"/>
    <w:rsid w:val="001B3E6B"/>
    <w:rsid w:val="001B414D"/>
    <w:rsid w:val="001B4B28"/>
    <w:rsid w:val="001B4C79"/>
    <w:rsid w:val="001B4F8E"/>
    <w:rsid w:val="001B50C0"/>
    <w:rsid w:val="001B523E"/>
    <w:rsid w:val="001B52BC"/>
    <w:rsid w:val="001B542A"/>
    <w:rsid w:val="001B5491"/>
    <w:rsid w:val="001B58EA"/>
    <w:rsid w:val="001B5A21"/>
    <w:rsid w:val="001B5B1A"/>
    <w:rsid w:val="001B5BD2"/>
    <w:rsid w:val="001B5C68"/>
    <w:rsid w:val="001B6147"/>
    <w:rsid w:val="001B625B"/>
    <w:rsid w:val="001B7049"/>
    <w:rsid w:val="001B74F4"/>
    <w:rsid w:val="001B7853"/>
    <w:rsid w:val="001B7BB2"/>
    <w:rsid w:val="001C0240"/>
    <w:rsid w:val="001C060D"/>
    <w:rsid w:val="001C0DA1"/>
    <w:rsid w:val="001C142A"/>
    <w:rsid w:val="001C16D2"/>
    <w:rsid w:val="001C3644"/>
    <w:rsid w:val="001C3779"/>
    <w:rsid w:val="001C3B25"/>
    <w:rsid w:val="001C3D4D"/>
    <w:rsid w:val="001C4AE3"/>
    <w:rsid w:val="001C4F2E"/>
    <w:rsid w:val="001C5CF8"/>
    <w:rsid w:val="001C64AF"/>
    <w:rsid w:val="001C6554"/>
    <w:rsid w:val="001C6CE2"/>
    <w:rsid w:val="001C7060"/>
    <w:rsid w:val="001D097B"/>
    <w:rsid w:val="001D1034"/>
    <w:rsid w:val="001D14DC"/>
    <w:rsid w:val="001D1BFE"/>
    <w:rsid w:val="001D2061"/>
    <w:rsid w:val="001D21FF"/>
    <w:rsid w:val="001D282C"/>
    <w:rsid w:val="001D2A4A"/>
    <w:rsid w:val="001D334A"/>
    <w:rsid w:val="001D33AB"/>
    <w:rsid w:val="001D355D"/>
    <w:rsid w:val="001D3B87"/>
    <w:rsid w:val="001D3EF9"/>
    <w:rsid w:val="001D43C1"/>
    <w:rsid w:val="001D4A94"/>
    <w:rsid w:val="001D5546"/>
    <w:rsid w:val="001D5AC6"/>
    <w:rsid w:val="001D6865"/>
    <w:rsid w:val="001D71CC"/>
    <w:rsid w:val="001D7E00"/>
    <w:rsid w:val="001E09EA"/>
    <w:rsid w:val="001E0EE2"/>
    <w:rsid w:val="001E0FAD"/>
    <w:rsid w:val="001E16DC"/>
    <w:rsid w:val="001E1965"/>
    <w:rsid w:val="001E1D3A"/>
    <w:rsid w:val="001E1FD1"/>
    <w:rsid w:val="001E23BF"/>
    <w:rsid w:val="001E2BF5"/>
    <w:rsid w:val="001E2F00"/>
    <w:rsid w:val="001E31A9"/>
    <w:rsid w:val="001E33D9"/>
    <w:rsid w:val="001E4DAD"/>
    <w:rsid w:val="001E4E9F"/>
    <w:rsid w:val="001E51AA"/>
    <w:rsid w:val="001E546E"/>
    <w:rsid w:val="001E577D"/>
    <w:rsid w:val="001E5A1C"/>
    <w:rsid w:val="001E5BBA"/>
    <w:rsid w:val="001E5C2A"/>
    <w:rsid w:val="001E5FC2"/>
    <w:rsid w:val="001E6111"/>
    <w:rsid w:val="001E6C78"/>
    <w:rsid w:val="001E75BE"/>
    <w:rsid w:val="001E7D13"/>
    <w:rsid w:val="001E7D3E"/>
    <w:rsid w:val="001E7E03"/>
    <w:rsid w:val="001F0DCB"/>
    <w:rsid w:val="001F131F"/>
    <w:rsid w:val="001F167A"/>
    <w:rsid w:val="001F17AF"/>
    <w:rsid w:val="001F1A0C"/>
    <w:rsid w:val="001F1D3C"/>
    <w:rsid w:val="001F21A7"/>
    <w:rsid w:val="001F2D79"/>
    <w:rsid w:val="001F2D90"/>
    <w:rsid w:val="001F324D"/>
    <w:rsid w:val="001F3B36"/>
    <w:rsid w:val="001F42B1"/>
    <w:rsid w:val="001F436C"/>
    <w:rsid w:val="001F44FB"/>
    <w:rsid w:val="001F4DE4"/>
    <w:rsid w:val="001F4F8E"/>
    <w:rsid w:val="001F51B3"/>
    <w:rsid w:val="001F554C"/>
    <w:rsid w:val="001F56AE"/>
    <w:rsid w:val="001F5725"/>
    <w:rsid w:val="001F5745"/>
    <w:rsid w:val="001F5975"/>
    <w:rsid w:val="001F5D17"/>
    <w:rsid w:val="001F6B51"/>
    <w:rsid w:val="001F6C3A"/>
    <w:rsid w:val="001F6DBF"/>
    <w:rsid w:val="001F70E3"/>
    <w:rsid w:val="001F7628"/>
    <w:rsid w:val="001F7786"/>
    <w:rsid w:val="001F7C85"/>
    <w:rsid w:val="001F7E4D"/>
    <w:rsid w:val="00200209"/>
    <w:rsid w:val="00200352"/>
    <w:rsid w:val="002007A7"/>
    <w:rsid w:val="00200DF6"/>
    <w:rsid w:val="00201C12"/>
    <w:rsid w:val="00201D26"/>
    <w:rsid w:val="00202E76"/>
    <w:rsid w:val="00203198"/>
    <w:rsid w:val="00203350"/>
    <w:rsid w:val="00203604"/>
    <w:rsid w:val="00204232"/>
    <w:rsid w:val="00204618"/>
    <w:rsid w:val="00204661"/>
    <w:rsid w:val="002047C1"/>
    <w:rsid w:val="00204953"/>
    <w:rsid w:val="00204E1D"/>
    <w:rsid w:val="00204E30"/>
    <w:rsid w:val="00205958"/>
    <w:rsid w:val="00205EBA"/>
    <w:rsid w:val="0020763C"/>
    <w:rsid w:val="00207AF8"/>
    <w:rsid w:val="00207D7A"/>
    <w:rsid w:val="0021012C"/>
    <w:rsid w:val="00210364"/>
    <w:rsid w:val="00210648"/>
    <w:rsid w:val="00210DA9"/>
    <w:rsid w:val="00211019"/>
    <w:rsid w:val="002110E7"/>
    <w:rsid w:val="0021175A"/>
    <w:rsid w:val="00211AF2"/>
    <w:rsid w:val="00212611"/>
    <w:rsid w:val="002126FE"/>
    <w:rsid w:val="00212A5A"/>
    <w:rsid w:val="00212F11"/>
    <w:rsid w:val="002130B4"/>
    <w:rsid w:val="00213161"/>
    <w:rsid w:val="0021388B"/>
    <w:rsid w:val="002138BA"/>
    <w:rsid w:val="00213E0E"/>
    <w:rsid w:val="0021432F"/>
    <w:rsid w:val="002146E8"/>
    <w:rsid w:val="00214CD1"/>
    <w:rsid w:val="00214D4C"/>
    <w:rsid w:val="002151C8"/>
    <w:rsid w:val="002151E9"/>
    <w:rsid w:val="00215423"/>
    <w:rsid w:val="00215579"/>
    <w:rsid w:val="002159B2"/>
    <w:rsid w:val="00215F23"/>
    <w:rsid w:val="002163F1"/>
    <w:rsid w:val="002165DF"/>
    <w:rsid w:val="0021671D"/>
    <w:rsid w:val="0021676C"/>
    <w:rsid w:val="00216865"/>
    <w:rsid w:val="002169B0"/>
    <w:rsid w:val="00216F9E"/>
    <w:rsid w:val="00217527"/>
    <w:rsid w:val="002177B1"/>
    <w:rsid w:val="002178F8"/>
    <w:rsid w:val="00217E28"/>
    <w:rsid w:val="00220C1F"/>
    <w:rsid w:val="00221584"/>
    <w:rsid w:val="00221715"/>
    <w:rsid w:val="00221872"/>
    <w:rsid w:val="002222CC"/>
    <w:rsid w:val="00222423"/>
    <w:rsid w:val="00222506"/>
    <w:rsid w:val="002225EC"/>
    <w:rsid w:val="00222FBC"/>
    <w:rsid w:val="002234CF"/>
    <w:rsid w:val="00223522"/>
    <w:rsid w:val="00223775"/>
    <w:rsid w:val="002238D8"/>
    <w:rsid w:val="00223AFA"/>
    <w:rsid w:val="00224929"/>
    <w:rsid w:val="00224CD9"/>
    <w:rsid w:val="00224EE7"/>
    <w:rsid w:val="002250A9"/>
    <w:rsid w:val="00225175"/>
    <w:rsid w:val="0022587E"/>
    <w:rsid w:val="0022617F"/>
    <w:rsid w:val="00226E4F"/>
    <w:rsid w:val="00226E8E"/>
    <w:rsid w:val="00226EB2"/>
    <w:rsid w:val="00227601"/>
    <w:rsid w:val="0022776D"/>
    <w:rsid w:val="00230351"/>
    <w:rsid w:val="002306BF"/>
    <w:rsid w:val="00230842"/>
    <w:rsid w:val="0023131D"/>
    <w:rsid w:val="0023168A"/>
    <w:rsid w:val="00231C89"/>
    <w:rsid w:val="00231D72"/>
    <w:rsid w:val="002328A8"/>
    <w:rsid w:val="00232E8E"/>
    <w:rsid w:val="0023365D"/>
    <w:rsid w:val="00233AAB"/>
    <w:rsid w:val="00234A71"/>
    <w:rsid w:val="00234F03"/>
    <w:rsid w:val="00235AEA"/>
    <w:rsid w:val="00235D7E"/>
    <w:rsid w:val="00237145"/>
    <w:rsid w:val="0023759B"/>
    <w:rsid w:val="00237780"/>
    <w:rsid w:val="00237BBD"/>
    <w:rsid w:val="002401AD"/>
    <w:rsid w:val="002403A8"/>
    <w:rsid w:val="0024049C"/>
    <w:rsid w:val="00240537"/>
    <w:rsid w:val="00240681"/>
    <w:rsid w:val="00240B47"/>
    <w:rsid w:val="00240F1E"/>
    <w:rsid w:val="002411A0"/>
    <w:rsid w:val="0024139A"/>
    <w:rsid w:val="002413FA"/>
    <w:rsid w:val="002415CA"/>
    <w:rsid w:val="00241C76"/>
    <w:rsid w:val="00241DC6"/>
    <w:rsid w:val="002421FA"/>
    <w:rsid w:val="002427FB"/>
    <w:rsid w:val="00242AE8"/>
    <w:rsid w:val="002434BD"/>
    <w:rsid w:val="00243624"/>
    <w:rsid w:val="00243658"/>
    <w:rsid w:val="00243757"/>
    <w:rsid w:val="00244373"/>
    <w:rsid w:val="0024476D"/>
    <w:rsid w:val="00244CA3"/>
    <w:rsid w:val="0024550B"/>
    <w:rsid w:val="00245914"/>
    <w:rsid w:val="002460BB"/>
    <w:rsid w:val="00246A07"/>
    <w:rsid w:val="00247468"/>
    <w:rsid w:val="002476DF"/>
    <w:rsid w:val="00247F14"/>
    <w:rsid w:val="00250021"/>
    <w:rsid w:val="002505CC"/>
    <w:rsid w:val="00250668"/>
    <w:rsid w:val="002506A4"/>
    <w:rsid w:val="00250717"/>
    <w:rsid w:val="00250A45"/>
    <w:rsid w:val="002510C1"/>
    <w:rsid w:val="00251214"/>
    <w:rsid w:val="00251980"/>
    <w:rsid w:val="00251CB0"/>
    <w:rsid w:val="00252AB0"/>
    <w:rsid w:val="00252AE9"/>
    <w:rsid w:val="00252D32"/>
    <w:rsid w:val="00253284"/>
    <w:rsid w:val="0025348A"/>
    <w:rsid w:val="002534DF"/>
    <w:rsid w:val="0025497F"/>
    <w:rsid w:val="0025656A"/>
    <w:rsid w:val="00256846"/>
    <w:rsid w:val="00257A34"/>
    <w:rsid w:val="00257F2A"/>
    <w:rsid w:val="00260036"/>
    <w:rsid w:val="00260096"/>
    <w:rsid w:val="002601F2"/>
    <w:rsid w:val="00260A3C"/>
    <w:rsid w:val="00260A4D"/>
    <w:rsid w:val="002610A2"/>
    <w:rsid w:val="0026126B"/>
    <w:rsid w:val="0026140C"/>
    <w:rsid w:val="00261A84"/>
    <w:rsid w:val="0026331B"/>
    <w:rsid w:val="00263491"/>
    <w:rsid w:val="002634F2"/>
    <w:rsid w:val="00263596"/>
    <w:rsid w:val="002635C9"/>
    <w:rsid w:val="00263AB5"/>
    <w:rsid w:val="00263B32"/>
    <w:rsid w:val="00263C6F"/>
    <w:rsid w:val="00263D9E"/>
    <w:rsid w:val="002640F1"/>
    <w:rsid w:val="002643D9"/>
    <w:rsid w:val="00264441"/>
    <w:rsid w:val="0026484A"/>
    <w:rsid w:val="00264EF2"/>
    <w:rsid w:val="0026537B"/>
    <w:rsid w:val="00265F38"/>
    <w:rsid w:val="00266EB9"/>
    <w:rsid w:val="00267061"/>
    <w:rsid w:val="00267388"/>
    <w:rsid w:val="00267435"/>
    <w:rsid w:val="00267E7E"/>
    <w:rsid w:val="00270CC9"/>
    <w:rsid w:val="00270D22"/>
    <w:rsid w:val="002715A6"/>
    <w:rsid w:val="002720B8"/>
    <w:rsid w:val="0027237D"/>
    <w:rsid w:val="0027260C"/>
    <w:rsid w:val="00272910"/>
    <w:rsid w:val="00272A25"/>
    <w:rsid w:val="00272A35"/>
    <w:rsid w:val="00272BC4"/>
    <w:rsid w:val="002732F2"/>
    <w:rsid w:val="00273329"/>
    <w:rsid w:val="00273407"/>
    <w:rsid w:val="00273960"/>
    <w:rsid w:val="00273AD4"/>
    <w:rsid w:val="00273BF6"/>
    <w:rsid w:val="002741CA"/>
    <w:rsid w:val="00274C17"/>
    <w:rsid w:val="00274C19"/>
    <w:rsid w:val="002759E9"/>
    <w:rsid w:val="00275A02"/>
    <w:rsid w:val="00275E33"/>
    <w:rsid w:val="00275EF1"/>
    <w:rsid w:val="00275F7B"/>
    <w:rsid w:val="00276527"/>
    <w:rsid w:val="0027692D"/>
    <w:rsid w:val="00276F46"/>
    <w:rsid w:val="00277049"/>
    <w:rsid w:val="00277086"/>
    <w:rsid w:val="00277BA7"/>
    <w:rsid w:val="00277DA0"/>
    <w:rsid w:val="00277DF9"/>
    <w:rsid w:val="00280027"/>
    <w:rsid w:val="00280091"/>
    <w:rsid w:val="00280097"/>
    <w:rsid w:val="0028032F"/>
    <w:rsid w:val="002804D3"/>
    <w:rsid w:val="002804E7"/>
    <w:rsid w:val="002805DC"/>
    <w:rsid w:val="00281366"/>
    <w:rsid w:val="002820EC"/>
    <w:rsid w:val="002826E6"/>
    <w:rsid w:val="00282983"/>
    <w:rsid w:val="00282B2C"/>
    <w:rsid w:val="00282E77"/>
    <w:rsid w:val="0028306E"/>
    <w:rsid w:val="00283436"/>
    <w:rsid w:val="0028358E"/>
    <w:rsid w:val="00283697"/>
    <w:rsid w:val="00283752"/>
    <w:rsid w:val="00283C08"/>
    <w:rsid w:val="00283F8F"/>
    <w:rsid w:val="00284729"/>
    <w:rsid w:val="00284F32"/>
    <w:rsid w:val="002855FB"/>
    <w:rsid w:val="002857C7"/>
    <w:rsid w:val="00285D7B"/>
    <w:rsid w:val="00285D87"/>
    <w:rsid w:val="00285EBE"/>
    <w:rsid w:val="00286797"/>
    <w:rsid w:val="00287238"/>
    <w:rsid w:val="002908AE"/>
    <w:rsid w:val="00290BDE"/>
    <w:rsid w:val="0029114F"/>
    <w:rsid w:val="00291CBD"/>
    <w:rsid w:val="00291DBA"/>
    <w:rsid w:val="002925B8"/>
    <w:rsid w:val="00292BE6"/>
    <w:rsid w:val="00292CC6"/>
    <w:rsid w:val="002935DC"/>
    <w:rsid w:val="00293811"/>
    <w:rsid w:val="00293953"/>
    <w:rsid w:val="00293B35"/>
    <w:rsid w:val="00293FAF"/>
    <w:rsid w:val="00294667"/>
    <w:rsid w:val="00294A8A"/>
    <w:rsid w:val="00294E24"/>
    <w:rsid w:val="0029545E"/>
    <w:rsid w:val="00295A01"/>
    <w:rsid w:val="00295A29"/>
    <w:rsid w:val="00295D39"/>
    <w:rsid w:val="0029643E"/>
    <w:rsid w:val="00296F45"/>
    <w:rsid w:val="002973BF"/>
    <w:rsid w:val="002978C4"/>
    <w:rsid w:val="002978CD"/>
    <w:rsid w:val="00297986"/>
    <w:rsid w:val="00297C91"/>
    <w:rsid w:val="002A08B3"/>
    <w:rsid w:val="002A17FD"/>
    <w:rsid w:val="002A1BD1"/>
    <w:rsid w:val="002A1FAE"/>
    <w:rsid w:val="002A254D"/>
    <w:rsid w:val="002A2B47"/>
    <w:rsid w:val="002A41AD"/>
    <w:rsid w:val="002A42B5"/>
    <w:rsid w:val="002A4B4D"/>
    <w:rsid w:val="002A5440"/>
    <w:rsid w:val="002A5662"/>
    <w:rsid w:val="002A5E1F"/>
    <w:rsid w:val="002A659E"/>
    <w:rsid w:val="002A7013"/>
    <w:rsid w:val="002A78E0"/>
    <w:rsid w:val="002B01D3"/>
    <w:rsid w:val="002B0342"/>
    <w:rsid w:val="002B059B"/>
    <w:rsid w:val="002B064E"/>
    <w:rsid w:val="002B068F"/>
    <w:rsid w:val="002B0A17"/>
    <w:rsid w:val="002B0ADE"/>
    <w:rsid w:val="002B0E68"/>
    <w:rsid w:val="002B143A"/>
    <w:rsid w:val="002B186B"/>
    <w:rsid w:val="002B1CB9"/>
    <w:rsid w:val="002B24B8"/>
    <w:rsid w:val="002B25BF"/>
    <w:rsid w:val="002B25DC"/>
    <w:rsid w:val="002B26F2"/>
    <w:rsid w:val="002B28A1"/>
    <w:rsid w:val="002B2C8B"/>
    <w:rsid w:val="002B375D"/>
    <w:rsid w:val="002B39AA"/>
    <w:rsid w:val="002B3DE7"/>
    <w:rsid w:val="002B4181"/>
    <w:rsid w:val="002B42CE"/>
    <w:rsid w:val="002B473D"/>
    <w:rsid w:val="002B4A47"/>
    <w:rsid w:val="002B5367"/>
    <w:rsid w:val="002B583F"/>
    <w:rsid w:val="002B6264"/>
    <w:rsid w:val="002B65E3"/>
    <w:rsid w:val="002B6817"/>
    <w:rsid w:val="002B6B09"/>
    <w:rsid w:val="002B6BB0"/>
    <w:rsid w:val="002B70FD"/>
    <w:rsid w:val="002B7343"/>
    <w:rsid w:val="002B7E13"/>
    <w:rsid w:val="002C01DD"/>
    <w:rsid w:val="002C04E5"/>
    <w:rsid w:val="002C0EFA"/>
    <w:rsid w:val="002C10B6"/>
    <w:rsid w:val="002C1227"/>
    <w:rsid w:val="002C14AF"/>
    <w:rsid w:val="002C185C"/>
    <w:rsid w:val="002C1D02"/>
    <w:rsid w:val="002C1D11"/>
    <w:rsid w:val="002C1F5D"/>
    <w:rsid w:val="002C2385"/>
    <w:rsid w:val="002C2A8A"/>
    <w:rsid w:val="002C2DED"/>
    <w:rsid w:val="002C2F53"/>
    <w:rsid w:val="002C31E1"/>
    <w:rsid w:val="002C3799"/>
    <w:rsid w:val="002C37EF"/>
    <w:rsid w:val="002C3B97"/>
    <w:rsid w:val="002C3DF0"/>
    <w:rsid w:val="002C3E38"/>
    <w:rsid w:val="002C3E3E"/>
    <w:rsid w:val="002C4C20"/>
    <w:rsid w:val="002C4D92"/>
    <w:rsid w:val="002C5032"/>
    <w:rsid w:val="002C5488"/>
    <w:rsid w:val="002C5B8B"/>
    <w:rsid w:val="002C6012"/>
    <w:rsid w:val="002C6556"/>
    <w:rsid w:val="002C66AD"/>
    <w:rsid w:val="002C7315"/>
    <w:rsid w:val="002C79A6"/>
    <w:rsid w:val="002C7E97"/>
    <w:rsid w:val="002D0087"/>
    <w:rsid w:val="002D050E"/>
    <w:rsid w:val="002D0A30"/>
    <w:rsid w:val="002D1FA8"/>
    <w:rsid w:val="002D20AA"/>
    <w:rsid w:val="002D246E"/>
    <w:rsid w:val="002D24F4"/>
    <w:rsid w:val="002D277F"/>
    <w:rsid w:val="002D34E8"/>
    <w:rsid w:val="002D3929"/>
    <w:rsid w:val="002D3932"/>
    <w:rsid w:val="002D44DD"/>
    <w:rsid w:val="002D480F"/>
    <w:rsid w:val="002D4A7C"/>
    <w:rsid w:val="002D5347"/>
    <w:rsid w:val="002D538A"/>
    <w:rsid w:val="002D548A"/>
    <w:rsid w:val="002D54E0"/>
    <w:rsid w:val="002D5998"/>
    <w:rsid w:val="002D5D07"/>
    <w:rsid w:val="002D6169"/>
    <w:rsid w:val="002D65A6"/>
    <w:rsid w:val="002D6C00"/>
    <w:rsid w:val="002D7A99"/>
    <w:rsid w:val="002E00F1"/>
    <w:rsid w:val="002E01F0"/>
    <w:rsid w:val="002E02A0"/>
    <w:rsid w:val="002E02E3"/>
    <w:rsid w:val="002E0710"/>
    <w:rsid w:val="002E0FB3"/>
    <w:rsid w:val="002E1C11"/>
    <w:rsid w:val="002E2593"/>
    <w:rsid w:val="002E2AEA"/>
    <w:rsid w:val="002E3635"/>
    <w:rsid w:val="002E3B85"/>
    <w:rsid w:val="002E3E43"/>
    <w:rsid w:val="002E3EE4"/>
    <w:rsid w:val="002E42AE"/>
    <w:rsid w:val="002E4A32"/>
    <w:rsid w:val="002E4B16"/>
    <w:rsid w:val="002E4F66"/>
    <w:rsid w:val="002E5AC1"/>
    <w:rsid w:val="002E5B67"/>
    <w:rsid w:val="002E69A8"/>
    <w:rsid w:val="002E6C8E"/>
    <w:rsid w:val="002E703C"/>
    <w:rsid w:val="002E7764"/>
    <w:rsid w:val="002F05E7"/>
    <w:rsid w:val="002F072B"/>
    <w:rsid w:val="002F07F3"/>
    <w:rsid w:val="002F0CF3"/>
    <w:rsid w:val="002F1A4C"/>
    <w:rsid w:val="002F1D59"/>
    <w:rsid w:val="002F1E8C"/>
    <w:rsid w:val="002F1F7C"/>
    <w:rsid w:val="002F2795"/>
    <w:rsid w:val="002F29A2"/>
    <w:rsid w:val="002F2C23"/>
    <w:rsid w:val="002F3210"/>
    <w:rsid w:val="002F3E01"/>
    <w:rsid w:val="002F3E94"/>
    <w:rsid w:val="002F48D8"/>
    <w:rsid w:val="002F49DB"/>
    <w:rsid w:val="002F4C93"/>
    <w:rsid w:val="002F4FC8"/>
    <w:rsid w:val="002F5CD1"/>
    <w:rsid w:val="002F5DFD"/>
    <w:rsid w:val="002F64C5"/>
    <w:rsid w:val="002F67D0"/>
    <w:rsid w:val="002F6AEF"/>
    <w:rsid w:val="002F7418"/>
    <w:rsid w:val="002F795D"/>
    <w:rsid w:val="00300499"/>
    <w:rsid w:val="00300C12"/>
    <w:rsid w:val="00301EF5"/>
    <w:rsid w:val="00302B48"/>
    <w:rsid w:val="00302D2D"/>
    <w:rsid w:val="00303467"/>
    <w:rsid w:val="00304AF2"/>
    <w:rsid w:val="00305044"/>
    <w:rsid w:val="00305246"/>
    <w:rsid w:val="003052D9"/>
    <w:rsid w:val="00305894"/>
    <w:rsid w:val="00305E5B"/>
    <w:rsid w:val="00306089"/>
    <w:rsid w:val="003067EC"/>
    <w:rsid w:val="003067FA"/>
    <w:rsid w:val="00307B35"/>
    <w:rsid w:val="00307DE7"/>
    <w:rsid w:val="003102C8"/>
    <w:rsid w:val="003104CF"/>
    <w:rsid w:val="003107B8"/>
    <w:rsid w:val="00310A87"/>
    <w:rsid w:val="00310A9A"/>
    <w:rsid w:val="0031111A"/>
    <w:rsid w:val="0031158D"/>
    <w:rsid w:val="00311854"/>
    <w:rsid w:val="003121D7"/>
    <w:rsid w:val="00312583"/>
    <w:rsid w:val="00312AAA"/>
    <w:rsid w:val="00312B78"/>
    <w:rsid w:val="00313967"/>
    <w:rsid w:val="00313E66"/>
    <w:rsid w:val="00314DDB"/>
    <w:rsid w:val="0031594F"/>
    <w:rsid w:val="00315A11"/>
    <w:rsid w:val="00315FAA"/>
    <w:rsid w:val="003161BD"/>
    <w:rsid w:val="003166BD"/>
    <w:rsid w:val="003166DB"/>
    <w:rsid w:val="00316865"/>
    <w:rsid w:val="003169F5"/>
    <w:rsid w:val="00317800"/>
    <w:rsid w:val="00317C53"/>
    <w:rsid w:val="00320616"/>
    <w:rsid w:val="00320716"/>
    <w:rsid w:val="00320930"/>
    <w:rsid w:val="00320FB5"/>
    <w:rsid w:val="00321CC7"/>
    <w:rsid w:val="00322675"/>
    <w:rsid w:val="00322680"/>
    <w:rsid w:val="00322889"/>
    <w:rsid w:val="00322C27"/>
    <w:rsid w:val="00322E11"/>
    <w:rsid w:val="00322EC7"/>
    <w:rsid w:val="0032327B"/>
    <w:rsid w:val="0032334A"/>
    <w:rsid w:val="00323D93"/>
    <w:rsid w:val="00323F1E"/>
    <w:rsid w:val="003241CD"/>
    <w:rsid w:val="003242EB"/>
    <w:rsid w:val="0032495F"/>
    <w:rsid w:val="00324CC5"/>
    <w:rsid w:val="00324D9B"/>
    <w:rsid w:val="003274E4"/>
    <w:rsid w:val="00327A3A"/>
    <w:rsid w:val="00327B22"/>
    <w:rsid w:val="00327C4D"/>
    <w:rsid w:val="00327D08"/>
    <w:rsid w:val="00330006"/>
    <w:rsid w:val="00331246"/>
    <w:rsid w:val="00331293"/>
    <w:rsid w:val="0033254B"/>
    <w:rsid w:val="003327E5"/>
    <w:rsid w:val="00332B61"/>
    <w:rsid w:val="00333556"/>
    <w:rsid w:val="00333814"/>
    <w:rsid w:val="00333C67"/>
    <w:rsid w:val="003340B2"/>
    <w:rsid w:val="003347AD"/>
    <w:rsid w:val="00334DFD"/>
    <w:rsid w:val="00334E10"/>
    <w:rsid w:val="003350CC"/>
    <w:rsid w:val="0033524F"/>
    <w:rsid w:val="00335299"/>
    <w:rsid w:val="00335535"/>
    <w:rsid w:val="003358F0"/>
    <w:rsid w:val="00336C08"/>
    <w:rsid w:val="003378E5"/>
    <w:rsid w:val="00337D4F"/>
    <w:rsid w:val="00340136"/>
    <w:rsid w:val="003407E9"/>
    <w:rsid w:val="0034088A"/>
    <w:rsid w:val="0034095C"/>
    <w:rsid w:val="00340C72"/>
    <w:rsid w:val="00340D7A"/>
    <w:rsid w:val="00340ECE"/>
    <w:rsid w:val="003412A5"/>
    <w:rsid w:val="00341B54"/>
    <w:rsid w:val="00342769"/>
    <w:rsid w:val="00342836"/>
    <w:rsid w:val="0034299A"/>
    <w:rsid w:val="00342DE0"/>
    <w:rsid w:val="003431CB"/>
    <w:rsid w:val="0034340C"/>
    <w:rsid w:val="0034367A"/>
    <w:rsid w:val="003439C0"/>
    <w:rsid w:val="00343A96"/>
    <w:rsid w:val="00343E56"/>
    <w:rsid w:val="00343F19"/>
    <w:rsid w:val="003444DB"/>
    <w:rsid w:val="0034465A"/>
    <w:rsid w:val="0034497B"/>
    <w:rsid w:val="00344BB1"/>
    <w:rsid w:val="00344C29"/>
    <w:rsid w:val="003453D5"/>
    <w:rsid w:val="00345511"/>
    <w:rsid w:val="003457F5"/>
    <w:rsid w:val="00345916"/>
    <w:rsid w:val="00346593"/>
    <w:rsid w:val="00346799"/>
    <w:rsid w:val="003468B5"/>
    <w:rsid w:val="00346AD5"/>
    <w:rsid w:val="00346D86"/>
    <w:rsid w:val="003475CF"/>
    <w:rsid w:val="003477F1"/>
    <w:rsid w:val="0034780B"/>
    <w:rsid w:val="00350251"/>
    <w:rsid w:val="003502DE"/>
    <w:rsid w:val="003503BC"/>
    <w:rsid w:val="0035041D"/>
    <w:rsid w:val="003510CD"/>
    <w:rsid w:val="003510EC"/>
    <w:rsid w:val="003513FE"/>
    <w:rsid w:val="00351770"/>
    <w:rsid w:val="00351A85"/>
    <w:rsid w:val="00351A8E"/>
    <w:rsid w:val="003527CB"/>
    <w:rsid w:val="00352A3E"/>
    <w:rsid w:val="00352B0D"/>
    <w:rsid w:val="003545E3"/>
    <w:rsid w:val="00354A52"/>
    <w:rsid w:val="00354F1E"/>
    <w:rsid w:val="003558BC"/>
    <w:rsid w:val="00355E4B"/>
    <w:rsid w:val="003564AA"/>
    <w:rsid w:val="003569FD"/>
    <w:rsid w:val="00356A22"/>
    <w:rsid w:val="00356BD3"/>
    <w:rsid w:val="00357093"/>
    <w:rsid w:val="0035772D"/>
    <w:rsid w:val="00360403"/>
    <w:rsid w:val="00360630"/>
    <w:rsid w:val="00360C7D"/>
    <w:rsid w:val="003611CB"/>
    <w:rsid w:val="003613A0"/>
    <w:rsid w:val="003615BF"/>
    <w:rsid w:val="00361956"/>
    <w:rsid w:val="00361B88"/>
    <w:rsid w:val="003620A1"/>
    <w:rsid w:val="0036247F"/>
    <w:rsid w:val="0036254B"/>
    <w:rsid w:val="00362DF0"/>
    <w:rsid w:val="00363571"/>
    <w:rsid w:val="00363D45"/>
    <w:rsid w:val="00364402"/>
    <w:rsid w:val="00364572"/>
    <w:rsid w:val="003646FE"/>
    <w:rsid w:val="003648C0"/>
    <w:rsid w:val="00364C25"/>
    <w:rsid w:val="00364D21"/>
    <w:rsid w:val="00364EC5"/>
    <w:rsid w:val="003651F1"/>
    <w:rsid w:val="00366258"/>
    <w:rsid w:val="003663BD"/>
    <w:rsid w:val="00366A44"/>
    <w:rsid w:val="00367DF4"/>
    <w:rsid w:val="00370020"/>
    <w:rsid w:val="003703D1"/>
    <w:rsid w:val="00370727"/>
    <w:rsid w:val="00370900"/>
    <w:rsid w:val="00370B8E"/>
    <w:rsid w:val="00370CA1"/>
    <w:rsid w:val="00370FC4"/>
    <w:rsid w:val="00371091"/>
    <w:rsid w:val="00371C3C"/>
    <w:rsid w:val="0037224B"/>
    <w:rsid w:val="00372D41"/>
    <w:rsid w:val="003743C8"/>
    <w:rsid w:val="0037530A"/>
    <w:rsid w:val="0037652E"/>
    <w:rsid w:val="00376AAF"/>
    <w:rsid w:val="0037782E"/>
    <w:rsid w:val="00377932"/>
    <w:rsid w:val="00377970"/>
    <w:rsid w:val="00377D16"/>
    <w:rsid w:val="00380C9F"/>
    <w:rsid w:val="00380CCE"/>
    <w:rsid w:val="00380FE4"/>
    <w:rsid w:val="003810B7"/>
    <w:rsid w:val="0038190F"/>
    <w:rsid w:val="003819AA"/>
    <w:rsid w:val="00381CA5"/>
    <w:rsid w:val="0038258B"/>
    <w:rsid w:val="00382BE0"/>
    <w:rsid w:val="0038356B"/>
    <w:rsid w:val="00383A97"/>
    <w:rsid w:val="00383E85"/>
    <w:rsid w:val="003847A3"/>
    <w:rsid w:val="003849AF"/>
    <w:rsid w:val="00384DC4"/>
    <w:rsid w:val="00385393"/>
    <w:rsid w:val="00385403"/>
    <w:rsid w:val="00385557"/>
    <w:rsid w:val="00385958"/>
    <w:rsid w:val="00385FDD"/>
    <w:rsid w:val="00386113"/>
    <w:rsid w:val="00386137"/>
    <w:rsid w:val="003862A6"/>
    <w:rsid w:val="003862CD"/>
    <w:rsid w:val="003864B9"/>
    <w:rsid w:val="003872B8"/>
    <w:rsid w:val="00387516"/>
    <w:rsid w:val="00387AD8"/>
    <w:rsid w:val="00387C6A"/>
    <w:rsid w:val="00390B35"/>
    <w:rsid w:val="00390EF2"/>
    <w:rsid w:val="00390FF7"/>
    <w:rsid w:val="0039161C"/>
    <w:rsid w:val="0039195D"/>
    <w:rsid w:val="00392598"/>
    <w:rsid w:val="00392A9A"/>
    <w:rsid w:val="0039305E"/>
    <w:rsid w:val="00393442"/>
    <w:rsid w:val="00393B1A"/>
    <w:rsid w:val="00393C84"/>
    <w:rsid w:val="00393E0E"/>
    <w:rsid w:val="00393E2D"/>
    <w:rsid w:val="00393F51"/>
    <w:rsid w:val="00394065"/>
    <w:rsid w:val="00394170"/>
    <w:rsid w:val="003949C7"/>
    <w:rsid w:val="00394FB4"/>
    <w:rsid w:val="00395282"/>
    <w:rsid w:val="00395F79"/>
    <w:rsid w:val="00396006"/>
    <w:rsid w:val="0039679A"/>
    <w:rsid w:val="00396D61"/>
    <w:rsid w:val="003976B7"/>
    <w:rsid w:val="00397AA7"/>
    <w:rsid w:val="00397D3E"/>
    <w:rsid w:val="003A07C0"/>
    <w:rsid w:val="003A081E"/>
    <w:rsid w:val="003A09C6"/>
    <w:rsid w:val="003A0A58"/>
    <w:rsid w:val="003A108A"/>
    <w:rsid w:val="003A10E9"/>
    <w:rsid w:val="003A1BA3"/>
    <w:rsid w:val="003A2726"/>
    <w:rsid w:val="003A3DE5"/>
    <w:rsid w:val="003A40F4"/>
    <w:rsid w:val="003A4581"/>
    <w:rsid w:val="003A4589"/>
    <w:rsid w:val="003A4832"/>
    <w:rsid w:val="003A4A23"/>
    <w:rsid w:val="003A502B"/>
    <w:rsid w:val="003A5E99"/>
    <w:rsid w:val="003A5FFF"/>
    <w:rsid w:val="003A6257"/>
    <w:rsid w:val="003A66F1"/>
    <w:rsid w:val="003A68CB"/>
    <w:rsid w:val="003A70AC"/>
    <w:rsid w:val="003A727B"/>
    <w:rsid w:val="003A7953"/>
    <w:rsid w:val="003A7BC1"/>
    <w:rsid w:val="003B0252"/>
    <w:rsid w:val="003B09E3"/>
    <w:rsid w:val="003B09FD"/>
    <w:rsid w:val="003B18DA"/>
    <w:rsid w:val="003B19B9"/>
    <w:rsid w:val="003B1B4F"/>
    <w:rsid w:val="003B1D57"/>
    <w:rsid w:val="003B1D66"/>
    <w:rsid w:val="003B1EB8"/>
    <w:rsid w:val="003B259B"/>
    <w:rsid w:val="003B2651"/>
    <w:rsid w:val="003B2A99"/>
    <w:rsid w:val="003B305A"/>
    <w:rsid w:val="003B3126"/>
    <w:rsid w:val="003B36BB"/>
    <w:rsid w:val="003B38AD"/>
    <w:rsid w:val="003B4311"/>
    <w:rsid w:val="003B4A50"/>
    <w:rsid w:val="003B5942"/>
    <w:rsid w:val="003B5D5F"/>
    <w:rsid w:val="003B5D6D"/>
    <w:rsid w:val="003B5F01"/>
    <w:rsid w:val="003B7664"/>
    <w:rsid w:val="003B79BB"/>
    <w:rsid w:val="003B7AAC"/>
    <w:rsid w:val="003B7B3D"/>
    <w:rsid w:val="003C0189"/>
    <w:rsid w:val="003C1116"/>
    <w:rsid w:val="003C15C0"/>
    <w:rsid w:val="003C1F08"/>
    <w:rsid w:val="003C2348"/>
    <w:rsid w:val="003C2366"/>
    <w:rsid w:val="003C2382"/>
    <w:rsid w:val="003C25DB"/>
    <w:rsid w:val="003C2FC8"/>
    <w:rsid w:val="003C34B4"/>
    <w:rsid w:val="003C3688"/>
    <w:rsid w:val="003C36DF"/>
    <w:rsid w:val="003C36F2"/>
    <w:rsid w:val="003C3C94"/>
    <w:rsid w:val="003C4B24"/>
    <w:rsid w:val="003C530F"/>
    <w:rsid w:val="003C5478"/>
    <w:rsid w:val="003C5DA8"/>
    <w:rsid w:val="003C6621"/>
    <w:rsid w:val="003C6FD8"/>
    <w:rsid w:val="003C7282"/>
    <w:rsid w:val="003C72A6"/>
    <w:rsid w:val="003C73E2"/>
    <w:rsid w:val="003C7590"/>
    <w:rsid w:val="003C75DF"/>
    <w:rsid w:val="003C7A39"/>
    <w:rsid w:val="003C7B70"/>
    <w:rsid w:val="003D027B"/>
    <w:rsid w:val="003D02D2"/>
    <w:rsid w:val="003D034B"/>
    <w:rsid w:val="003D0971"/>
    <w:rsid w:val="003D0A18"/>
    <w:rsid w:val="003D0D30"/>
    <w:rsid w:val="003D0D77"/>
    <w:rsid w:val="003D1914"/>
    <w:rsid w:val="003D192E"/>
    <w:rsid w:val="003D19C5"/>
    <w:rsid w:val="003D229D"/>
    <w:rsid w:val="003D3AEF"/>
    <w:rsid w:val="003D4267"/>
    <w:rsid w:val="003D43EF"/>
    <w:rsid w:val="003D4415"/>
    <w:rsid w:val="003D4CF1"/>
    <w:rsid w:val="003D548C"/>
    <w:rsid w:val="003D5521"/>
    <w:rsid w:val="003D552D"/>
    <w:rsid w:val="003D58B2"/>
    <w:rsid w:val="003D5C3E"/>
    <w:rsid w:val="003D5C7D"/>
    <w:rsid w:val="003D5D3E"/>
    <w:rsid w:val="003D6706"/>
    <w:rsid w:val="003D7082"/>
    <w:rsid w:val="003D7B5B"/>
    <w:rsid w:val="003D7FB6"/>
    <w:rsid w:val="003E0045"/>
    <w:rsid w:val="003E04F2"/>
    <w:rsid w:val="003E0957"/>
    <w:rsid w:val="003E097C"/>
    <w:rsid w:val="003E140C"/>
    <w:rsid w:val="003E15DA"/>
    <w:rsid w:val="003E15EF"/>
    <w:rsid w:val="003E1642"/>
    <w:rsid w:val="003E1C64"/>
    <w:rsid w:val="003E1DEF"/>
    <w:rsid w:val="003E2415"/>
    <w:rsid w:val="003E27DC"/>
    <w:rsid w:val="003E292B"/>
    <w:rsid w:val="003E38FC"/>
    <w:rsid w:val="003E404C"/>
    <w:rsid w:val="003E4106"/>
    <w:rsid w:val="003E4BA9"/>
    <w:rsid w:val="003E4FD8"/>
    <w:rsid w:val="003E598F"/>
    <w:rsid w:val="003E5B3A"/>
    <w:rsid w:val="003E5BDE"/>
    <w:rsid w:val="003E5E45"/>
    <w:rsid w:val="003E6475"/>
    <w:rsid w:val="003E64EE"/>
    <w:rsid w:val="003E6727"/>
    <w:rsid w:val="003E6764"/>
    <w:rsid w:val="003E6778"/>
    <w:rsid w:val="003E694E"/>
    <w:rsid w:val="003E6B77"/>
    <w:rsid w:val="003E6C1D"/>
    <w:rsid w:val="003E6FC8"/>
    <w:rsid w:val="003E7604"/>
    <w:rsid w:val="003E762E"/>
    <w:rsid w:val="003E7749"/>
    <w:rsid w:val="003E7E09"/>
    <w:rsid w:val="003E7EBF"/>
    <w:rsid w:val="003F1471"/>
    <w:rsid w:val="003F154A"/>
    <w:rsid w:val="003F1C39"/>
    <w:rsid w:val="003F1C3C"/>
    <w:rsid w:val="003F2222"/>
    <w:rsid w:val="003F2299"/>
    <w:rsid w:val="003F2320"/>
    <w:rsid w:val="003F2540"/>
    <w:rsid w:val="003F2CD5"/>
    <w:rsid w:val="003F3665"/>
    <w:rsid w:val="003F3DAB"/>
    <w:rsid w:val="003F411F"/>
    <w:rsid w:val="003F44E0"/>
    <w:rsid w:val="003F4BE4"/>
    <w:rsid w:val="003F4E47"/>
    <w:rsid w:val="003F505A"/>
    <w:rsid w:val="003F5E3C"/>
    <w:rsid w:val="003F5E7A"/>
    <w:rsid w:val="003F7558"/>
    <w:rsid w:val="003F759E"/>
    <w:rsid w:val="003F7776"/>
    <w:rsid w:val="004000EB"/>
    <w:rsid w:val="0040069C"/>
    <w:rsid w:val="00400765"/>
    <w:rsid w:val="00402111"/>
    <w:rsid w:val="00402E7C"/>
    <w:rsid w:val="004034F0"/>
    <w:rsid w:val="00403D11"/>
    <w:rsid w:val="00403D35"/>
    <w:rsid w:val="00403FB1"/>
    <w:rsid w:val="004040F0"/>
    <w:rsid w:val="0040480D"/>
    <w:rsid w:val="0040538D"/>
    <w:rsid w:val="00405B5B"/>
    <w:rsid w:val="004065D4"/>
    <w:rsid w:val="00406A41"/>
    <w:rsid w:val="00407144"/>
    <w:rsid w:val="00407795"/>
    <w:rsid w:val="0040780D"/>
    <w:rsid w:val="00407F27"/>
    <w:rsid w:val="004107DB"/>
    <w:rsid w:val="004107F3"/>
    <w:rsid w:val="00410B81"/>
    <w:rsid w:val="00410BAA"/>
    <w:rsid w:val="004110F4"/>
    <w:rsid w:val="004112E3"/>
    <w:rsid w:val="00411F83"/>
    <w:rsid w:val="004129E5"/>
    <w:rsid w:val="00413EFA"/>
    <w:rsid w:val="00414154"/>
    <w:rsid w:val="00414279"/>
    <w:rsid w:val="00414702"/>
    <w:rsid w:val="00415945"/>
    <w:rsid w:val="00415A78"/>
    <w:rsid w:val="00415B82"/>
    <w:rsid w:val="00416249"/>
    <w:rsid w:val="00416447"/>
    <w:rsid w:val="00416622"/>
    <w:rsid w:val="00416BE7"/>
    <w:rsid w:val="00416C66"/>
    <w:rsid w:val="00416E39"/>
    <w:rsid w:val="00421188"/>
    <w:rsid w:val="004211F3"/>
    <w:rsid w:val="00421E99"/>
    <w:rsid w:val="00421F44"/>
    <w:rsid w:val="00422FBE"/>
    <w:rsid w:val="00423C4E"/>
    <w:rsid w:val="00423FF8"/>
    <w:rsid w:val="004247A9"/>
    <w:rsid w:val="00424822"/>
    <w:rsid w:val="00425005"/>
    <w:rsid w:val="0042546A"/>
    <w:rsid w:val="0042563B"/>
    <w:rsid w:val="00426725"/>
    <w:rsid w:val="00426D13"/>
    <w:rsid w:val="00427272"/>
    <w:rsid w:val="004276F3"/>
    <w:rsid w:val="004301D7"/>
    <w:rsid w:val="0043025C"/>
    <w:rsid w:val="004308A4"/>
    <w:rsid w:val="00430934"/>
    <w:rsid w:val="004309C0"/>
    <w:rsid w:val="00430D1B"/>
    <w:rsid w:val="00431295"/>
    <w:rsid w:val="004312C3"/>
    <w:rsid w:val="004312E5"/>
    <w:rsid w:val="004314DD"/>
    <w:rsid w:val="00431C34"/>
    <w:rsid w:val="00431CF4"/>
    <w:rsid w:val="00432050"/>
    <w:rsid w:val="00432EB1"/>
    <w:rsid w:val="004335D5"/>
    <w:rsid w:val="00433A1D"/>
    <w:rsid w:val="00433BC6"/>
    <w:rsid w:val="00433DBF"/>
    <w:rsid w:val="0043461A"/>
    <w:rsid w:val="00434996"/>
    <w:rsid w:val="004356CD"/>
    <w:rsid w:val="00435A82"/>
    <w:rsid w:val="00436179"/>
    <w:rsid w:val="00436217"/>
    <w:rsid w:val="00436C01"/>
    <w:rsid w:val="00437656"/>
    <w:rsid w:val="0043792A"/>
    <w:rsid w:val="004406A5"/>
    <w:rsid w:val="00440B87"/>
    <w:rsid w:val="00440D47"/>
    <w:rsid w:val="004417DF"/>
    <w:rsid w:val="00441AA9"/>
    <w:rsid w:val="00441C41"/>
    <w:rsid w:val="00441E3B"/>
    <w:rsid w:val="004423FA"/>
    <w:rsid w:val="00442473"/>
    <w:rsid w:val="00442CF9"/>
    <w:rsid w:val="00443253"/>
    <w:rsid w:val="004436E6"/>
    <w:rsid w:val="004437AD"/>
    <w:rsid w:val="00443868"/>
    <w:rsid w:val="0044395F"/>
    <w:rsid w:val="00444AEB"/>
    <w:rsid w:val="00444D96"/>
    <w:rsid w:val="00444E75"/>
    <w:rsid w:val="00444F47"/>
    <w:rsid w:val="004450A9"/>
    <w:rsid w:val="00445826"/>
    <w:rsid w:val="00445FD1"/>
    <w:rsid w:val="0044602A"/>
    <w:rsid w:val="0044613A"/>
    <w:rsid w:val="00446185"/>
    <w:rsid w:val="004464DB"/>
    <w:rsid w:val="00446879"/>
    <w:rsid w:val="0044697F"/>
    <w:rsid w:val="0044724D"/>
    <w:rsid w:val="004472F1"/>
    <w:rsid w:val="00447335"/>
    <w:rsid w:val="00447565"/>
    <w:rsid w:val="0044775B"/>
    <w:rsid w:val="004479B9"/>
    <w:rsid w:val="00447A5D"/>
    <w:rsid w:val="00450807"/>
    <w:rsid w:val="00450F18"/>
    <w:rsid w:val="004511CF"/>
    <w:rsid w:val="00451A61"/>
    <w:rsid w:val="00451A65"/>
    <w:rsid w:val="00451BC3"/>
    <w:rsid w:val="00451F73"/>
    <w:rsid w:val="00452856"/>
    <w:rsid w:val="00452E69"/>
    <w:rsid w:val="00453228"/>
    <w:rsid w:val="004536C3"/>
    <w:rsid w:val="004540A8"/>
    <w:rsid w:val="00454342"/>
    <w:rsid w:val="00454F84"/>
    <w:rsid w:val="00455407"/>
    <w:rsid w:val="004554DF"/>
    <w:rsid w:val="004556B7"/>
    <w:rsid w:val="00455902"/>
    <w:rsid w:val="004559C2"/>
    <w:rsid w:val="00455BF7"/>
    <w:rsid w:val="00455CD2"/>
    <w:rsid w:val="00456223"/>
    <w:rsid w:val="00456A07"/>
    <w:rsid w:val="00456C7D"/>
    <w:rsid w:val="00456CCE"/>
    <w:rsid w:val="00460A5C"/>
    <w:rsid w:val="00460F27"/>
    <w:rsid w:val="00462280"/>
    <w:rsid w:val="00462816"/>
    <w:rsid w:val="00462F98"/>
    <w:rsid w:val="004635E8"/>
    <w:rsid w:val="00463C0B"/>
    <w:rsid w:val="00463F05"/>
    <w:rsid w:val="00463F99"/>
    <w:rsid w:val="00464043"/>
    <w:rsid w:val="0046442C"/>
    <w:rsid w:val="0046470E"/>
    <w:rsid w:val="00464A08"/>
    <w:rsid w:val="004650CE"/>
    <w:rsid w:val="00465578"/>
    <w:rsid w:val="004663D0"/>
    <w:rsid w:val="004669FD"/>
    <w:rsid w:val="00466CD1"/>
    <w:rsid w:val="00467716"/>
    <w:rsid w:val="0046780A"/>
    <w:rsid w:val="004679E8"/>
    <w:rsid w:val="00467EA3"/>
    <w:rsid w:val="0047025E"/>
    <w:rsid w:val="00470989"/>
    <w:rsid w:val="004713E6"/>
    <w:rsid w:val="00471529"/>
    <w:rsid w:val="0047154C"/>
    <w:rsid w:val="00471ABB"/>
    <w:rsid w:val="00471E62"/>
    <w:rsid w:val="0047240F"/>
    <w:rsid w:val="004724EE"/>
    <w:rsid w:val="004729F4"/>
    <w:rsid w:val="00473290"/>
    <w:rsid w:val="0047362B"/>
    <w:rsid w:val="00473766"/>
    <w:rsid w:val="004737A4"/>
    <w:rsid w:val="00473B8F"/>
    <w:rsid w:val="00473CB4"/>
    <w:rsid w:val="0047448B"/>
    <w:rsid w:val="00474966"/>
    <w:rsid w:val="004749D0"/>
    <w:rsid w:val="00475172"/>
    <w:rsid w:val="004751AB"/>
    <w:rsid w:val="004760CA"/>
    <w:rsid w:val="004762DC"/>
    <w:rsid w:val="0047734E"/>
    <w:rsid w:val="00477E6D"/>
    <w:rsid w:val="00480D6D"/>
    <w:rsid w:val="00480E00"/>
    <w:rsid w:val="00480F13"/>
    <w:rsid w:val="0048100C"/>
    <w:rsid w:val="0048114C"/>
    <w:rsid w:val="00481390"/>
    <w:rsid w:val="004820FD"/>
    <w:rsid w:val="00482295"/>
    <w:rsid w:val="00482373"/>
    <w:rsid w:val="004828A0"/>
    <w:rsid w:val="00482A0E"/>
    <w:rsid w:val="0048308B"/>
    <w:rsid w:val="004830EE"/>
    <w:rsid w:val="0048351F"/>
    <w:rsid w:val="00483641"/>
    <w:rsid w:val="0048386A"/>
    <w:rsid w:val="00483EEC"/>
    <w:rsid w:val="004840C5"/>
    <w:rsid w:val="004841FB"/>
    <w:rsid w:val="00484245"/>
    <w:rsid w:val="00484670"/>
    <w:rsid w:val="00484C2E"/>
    <w:rsid w:val="0048516F"/>
    <w:rsid w:val="004858D5"/>
    <w:rsid w:val="00485946"/>
    <w:rsid w:val="004859E9"/>
    <w:rsid w:val="00485C4E"/>
    <w:rsid w:val="00485F39"/>
    <w:rsid w:val="00486602"/>
    <w:rsid w:val="00486723"/>
    <w:rsid w:val="00486B66"/>
    <w:rsid w:val="00486C56"/>
    <w:rsid w:val="00486E13"/>
    <w:rsid w:val="00486E54"/>
    <w:rsid w:val="00487C2D"/>
    <w:rsid w:val="004900E5"/>
    <w:rsid w:val="00490B92"/>
    <w:rsid w:val="00491226"/>
    <w:rsid w:val="004917AC"/>
    <w:rsid w:val="0049181E"/>
    <w:rsid w:val="004918DD"/>
    <w:rsid w:val="00491D04"/>
    <w:rsid w:val="0049228E"/>
    <w:rsid w:val="00492307"/>
    <w:rsid w:val="00492409"/>
    <w:rsid w:val="00492BA7"/>
    <w:rsid w:val="00492C6D"/>
    <w:rsid w:val="004930F6"/>
    <w:rsid w:val="00493941"/>
    <w:rsid w:val="00493BFA"/>
    <w:rsid w:val="00493D05"/>
    <w:rsid w:val="00494AAF"/>
    <w:rsid w:val="00494E3D"/>
    <w:rsid w:val="00495054"/>
    <w:rsid w:val="00495378"/>
    <w:rsid w:val="00495406"/>
    <w:rsid w:val="00495AAC"/>
    <w:rsid w:val="00495ABD"/>
    <w:rsid w:val="00495C49"/>
    <w:rsid w:val="00495CED"/>
    <w:rsid w:val="004969D1"/>
    <w:rsid w:val="00496A6D"/>
    <w:rsid w:val="00496B71"/>
    <w:rsid w:val="0049730F"/>
    <w:rsid w:val="00497CE2"/>
    <w:rsid w:val="00497DD6"/>
    <w:rsid w:val="004A084B"/>
    <w:rsid w:val="004A09B9"/>
    <w:rsid w:val="004A103A"/>
    <w:rsid w:val="004A1054"/>
    <w:rsid w:val="004A12AD"/>
    <w:rsid w:val="004A1453"/>
    <w:rsid w:val="004A14B0"/>
    <w:rsid w:val="004A1759"/>
    <w:rsid w:val="004A1C22"/>
    <w:rsid w:val="004A2216"/>
    <w:rsid w:val="004A28D7"/>
    <w:rsid w:val="004A38DE"/>
    <w:rsid w:val="004A3B0D"/>
    <w:rsid w:val="004A3BB5"/>
    <w:rsid w:val="004A55A8"/>
    <w:rsid w:val="004A567B"/>
    <w:rsid w:val="004A57E7"/>
    <w:rsid w:val="004A586C"/>
    <w:rsid w:val="004A5DCB"/>
    <w:rsid w:val="004A7535"/>
    <w:rsid w:val="004A7A7A"/>
    <w:rsid w:val="004A7CCF"/>
    <w:rsid w:val="004A7D6C"/>
    <w:rsid w:val="004B0ABE"/>
    <w:rsid w:val="004B1318"/>
    <w:rsid w:val="004B178E"/>
    <w:rsid w:val="004B242D"/>
    <w:rsid w:val="004B25C0"/>
    <w:rsid w:val="004B25CF"/>
    <w:rsid w:val="004B27A6"/>
    <w:rsid w:val="004B2B9A"/>
    <w:rsid w:val="004B3360"/>
    <w:rsid w:val="004B34DA"/>
    <w:rsid w:val="004B3646"/>
    <w:rsid w:val="004B3FF5"/>
    <w:rsid w:val="004B401F"/>
    <w:rsid w:val="004B4885"/>
    <w:rsid w:val="004B4C86"/>
    <w:rsid w:val="004B4C8F"/>
    <w:rsid w:val="004B4CDE"/>
    <w:rsid w:val="004B4DB0"/>
    <w:rsid w:val="004B4FDA"/>
    <w:rsid w:val="004B56F7"/>
    <w:rsid w:val="004B5A46"/>
    <w:rsid w:val="004B5F5E"/>
    <w:rsid w:val="004B6421"/>
    <w:rsid w:val="004B6AF8"/>
    <w:rsid w:val="004B6ED1"/>
    <w:rsid w:val="004B6F57"/>
    <w:rsid w:val="004B6FD8"/>
    <w:rsid w:val="004B7200"/>
    <w:rsid w:val="004B797F"/>
    <w:rsid w:val="004C1D58"/>
    <w:rsid w:val="004C1EDD"/>
    <w:rsid w:val="004C25EB"/>
    <w:rsid w:val="004C2916"/>
    <w:rsid w:val="004C2A61"/>
    <w:rsid w:val="004C2B18"/>
    <w:rsid w:val="004C3011"/>
    <w:rsid w:val="004C31A5"/>
    <w:rsid w:val="004C3369"/>
    <w:rsid w:val="004C40F1"/>
    <w:rsid w:val="004C4612"/>
    <w:rsid w:val="004C5128"/>
    <w:rsid w:val="004C5447"/>
    <w:rsid w:val="004C5818"/>
    <w:rsid w:val="004C5954"/>
    <w:rsid w:val="004C5B7E"/>
    <w:rsid w:val="004C5C9A"/>
    <w:rsid w:val="004C6019"/>
    <w:rsid w:val="004C67B2"/>
    <w:rsid w:val="004C6B54"/>
    <w:rsid w:val="004C6B9E"/>
    <w:rsid w:val="004C6BEC"/>
    <w:rsid w:val="004C72B5"/>
    <w:rsid w:val="004C767D"/>
    <w:rsid w:val="004C76AA"/>
    <w:rsid w:val="004C772A"/>
    <w:rsid w:val="004D013D"/>
    <w:rsid w:val="004D0A77"/>
    <w:rsid w:val="004D0F69"/>
    <w:rsid w:val="004D1028"/>
    <w:rsid w:val="004D10D6"/>
    <w:rsid w:val="004D14E1"/>
    <w:rsid w:val="004D1780"/>
    <w:rsid w:val="004D1857"/>
    <w:rsid w:val="004D19EF"/>
    <w:rsid w:val="004D1F4A"/>
    <w:rsid w:val="004D2056"/>
    <w:rsid w:val="004D263C"/>
    <w:rsid w:val="004D2CB7"/>
    <w:rsid w:val="004D3F28"/>
    <w:rsid w:val="004D3F34"/>
    <w:rsid w:val="004D4A48"/>
    <w:rsid w:val="004D4FE3"/>
    <w:rsid w:val="004D59C4"/>
    <w:rsid w:val="004D61B4"/>
    <w:rsid w:val="004D670C"/>
    <w:rsid w:val="004D6873"/>
    <w:rsid w:val="004D6AE1"/>
    <w:rsid w:val="004D6B59"/>
    <w:rsid w:val="004D6C63"/>
    <w:rsid w:val="004D6D95"/>
    <w:rsid w:val="004E001E"/>
    <w:rsid w:val="004E01D7"/>
    <w:rsid w:val="004E0231"/>
    <w:rsid w:val="004E08B7"/>
    <w:rsid w:val="004E0DFD"/>
    <w:rsid w:val="004E1184"/>
    <w:rsid w:val="004E164D"/>
    <w:rsid w:val="004E1F09"/>
    <w:rsid w:val="004E2093"/>
    <w:rsid w:val="004E26B2"/>
    <w:rsid w:val="004E2BC4"/>
    <w:rsid w:val="004E3557"/>
    <w:rsid w:val="004E375A"/>
    <w:rsid w:val="004E3C8A"/>
    <w:rsid w:val="004E43B3"/>
    <w:rsid w:val="004E48E6"/>
    <w:rsid w:val="004E4A2B"/>
    <w:rsid w:val="004E4A9D"/>
    <w:rsid w:val="004E4E39"/>
    <w:rsid w:val="004E50F7"/>
    <w:rsid w:val="004E553D"/>
    <w:rsid w:val="004E63B9"/>
    <w:rsid w:val="004E65BD"/>
    <w:rsid w:val="004E682F"/>
    <w:rsid w:val="004E68FF"/>
    <w:rsid w:val="004E6A1C"/>
    <w:rsid w:val="004E71C5"/>
    <w:rsid w:val="004E778B"/>
    <w:rsid w:val="004E7820"/>
    <w:rsid w:val="004F025D"/>
    <w:rsid w:val="004F02CA"/>
    <w:rsid w:val="004F02DB"/>
    <w:rsid w:val="004F051D"/>
    <w:rsid w:val="004F062E"/>
    <w:rsid w:val="004F0890"/>
    <w:rsid w:val="004F0C53"/>
    <w:rsid w:val="004F0FB0"/>
    <w:rsid w:val="004F1283"/>
    <w:rsid w:val="004F1678"/>
    <w:rsid w:val="004F18B6"/>
    <w:rsid w:val="004F206F"/>
    <w:rsid w:val="004F215D"/>
    <w:rsid w:val="004F309F"/>
    <w:rsid w:val="004F35FD"/>
    <w:rsid w:val="004F397F"/>
    <w:rsid w:val="004F4288"/>
    <w:rsid w:val="004F4E9D"/>
    <w:rsid w:val="004F4EAE"/>
    <w:rsid w:val="004F5552"/>
    <w:rsid w:val="004F58D1"/>
    <w:rsid w:val="004F59A2"/>
    <w:rsid w:val="004F5A15"/>
    <w:rsid w:val="004F5C63"/>
    <w:rsid w:val="004F60E4"/>
    <w:rsid w:val="004F61A7"/>
    <w:rsid w:val="004F624C"/>
    <w:rsid w:val="004F655D"/>
    <w:rsid w:val="004F65E3"/>
    <w:rsid w:val="004F72B9"/>
    <w:rsid w:val="004F76AD"/>
    <w:rsid w:val="004F78BC"/>
    <w:rsid w:val="004F7E32"/>
    <w:rsid w:val="004F7F81"/>
    <w:rsid w:val="00500011"/>
    <w:rsid w:val="00500174"/>
    <w:rsid w:val="00500A74"/>
    <w:rsid w:val="00501F72"/>
    <w:rsid w:val="00502151"/>
    <w:rsid w:val="0050232D"/>
    <w:rsid w:val="00502BE1"/>
    <w:rsid w:val="00502D1A"/>
    <w:rsid w:val="00502DBB"/>
    <w:rsid w:val="00502F27"/>
    <w:rsid w:val="0050397B"/>
    <w:rsid w:val="005039CA"/>
    <w:rsid w:val="0050411F"/>
    <w:rsid w:val="00504B77"/>
    <w:rsid w:val="00504D09"/>
    <w:rsid w:val="00504F3F"/>
    <w:rsid w:val="00505A5B"/>
    <w:rsid w:val="00505F37"/>
    <w:rsid w:val="005065C9"/>
    <w:rsid w:val="005065D5"/>
    <w:rsid w:val="00506767"/>
    <w:rsid w:val="00506F91"/>
    <w:rsid w:val="0050703B"/>
    <w:rsid w:val="005079D5"/>
    <w:rsid w:val="00507E3D"/>
    <w:rsid w:val="005103A8"/>
    <w:rsid w:val="00510ED5"/>
    <w:rsid w:val="00510EF3"/>
    <w:rsid w:val="00511093"/>
    <w:rsid w:val="0051121F"/>
    <w:rsid w:val="00511DDE"/>
    <w:rsid w:val="005124B9"/>
    <w:rsid w:val="00512C8D"/>
    <w:rsid w:val="00512E4C"/>
    <w:rsid w:val="005132CC"/>
    <w:rsid w:val="00513C96"/>
    <w:rsid w:val="0051437A"/>
    <w:rsid w:val="005143A3"/>
    <w:rsid w:val="005143A9"/>
    <w:rsid w:val="005148B4"/>
    <w:rsid w:val="005149B7"/>
    <w:rsid w:val="00514B8B"/>
    <w:rsid w:val="00514F2E"/>
    <w:rsid w:val="00515914"/>
    <w:rsid w:val="00515953"/>
    <w:rsid w:val="005161B4"/>
    <w:rsid w:val="00516725"/>
    <w:rsid w:val="005169B0"/>
    <w:rsid w:val="00516C95"/>
    <w:rsid w:val="0051706A"/>
    <w:rsid w:val="005173FA"/>
    <w:rsid w:val="005177DA"/>
    <w:rsid w:val="0051789F"/>
    <w:rsid w:val="00517B79"/>
    <w:rsid w:val="00520455"/>
    <w:rsid w:val="005205DA"/>
    <w:rsid w:val="005216EB"/>
    <w:rsid w:val="0052267C"/>
    <w:rsid w:val="00522836"/>
    <w:rsid w:val="00522C3D"/>
    <w:rsid w:val="00522E14"/>
    <w:rsid w:val="0052336C"/>
    <w:rsid w:val="005234BD"/>
    <w:rsid w:val="0052394A"/>
    <w:rsid w:val="0052435A"/>
    <w:rsid w:val="005248E7"/>
    <w:rsid w:val="005249B8"/>
    <w:rsid w:val="00525180"/>
    <w:rsid w:val="0052568D"/>
    <w:rsid w:val="0052585A"/>
    <w:rsid w:val="00525AFD"/>
    <w:rsid w:val="005260B5"/>
    <w:rsid w:val="005267D5"/>
    <w:rsid w:val="00526BC4"/>
    <w:rsid w:val="005270CC"/>
    <w:rsid w:val="005279B3"/>
    <w:rsid w:val="00527BEE"/>
    <w:rsid w:val="00527DC5"/>
    <w:rsid w:val="00530AAB"/>
    <w:rsid w:val="0053168B"/>
    <w:rsid w:val="00532115"/>
    <w:rsid w:val="005325D6"/>
    <w:rsid w:val="00532626"/>
    <w:rsid w:val="00532857"/>
    <w:rsid w:val="0053286B"/>
    <w:rsid w:val="005348CD"/>
    <w:rsid w:val="00534B23"/>
    <w:rsid w:val="00535266"/>
    <w:rsid w:val="00535591"/>
    <w:rsid w:val="00536514"/>
    <w:rsid w:val="0053666B"/>
    <w:rsid w:val="00536D17"/>
    <w:rsid w:val="00536DA6"/>
    <w:rsid w:val="00537683"/>
    <w:rsid w:val="005377AE"/>
    <w:rsid w:val="00537B97"/>
    <w:rsid w:val="005400A6"/>
    <w:rsid w:val="005405FF"/>
    <w:rsid w:val="00540975"/>
    <w:rsid w:val="00540D67"/>
    <w:rsid w:val="00540F31"/>
    <w:rsid w:val="00541002"/>
    <w:rsid w:val="00541219"/>
    <w:rsid w:val="0054121F"/>
    <w:rsid w:val="00541754"/>
    <w:rsid w:val="00541B3D"/>
    <w:rsid w:val="00541BF7"/>
    <w:rsid w:val="0054253A"/>
    <w:rsid w:val="00542AB4"/>
    <w:rsid w:val="00542E60"/>
    <w:rsid w:val="00543651"/>
    <w:rsid w:val="00543906"/>
    <w:rsid w:val="00543E33"/>
    <w:rsid w:val="00543F62"/>
    <w:rsid w:val="00543F83"/>
    <w:rsid w:val="00544050"/>
    <w:rsid w:val="0054480A"/>
    <w:rsid w:val="00544C21"/>
    <w:rsid w:val="00544F99"/>
    <w:rsid w:val="005453B6"/>
    <w:rsid w:val="00545426"/>
    <w:rsid w:val="00545927"/>
    <w:rsid w:val="00545B29"/>
    <w:rsid w:val="005466A3"/>
    <w:rsid w:val="00546D8B"/>
    <w:rsid w:val="00547210"/>
    <w:rsid w:val="0054741C"/>
    <w:rsid w:val="00547706"/>
    <w:rsid w:val="00547A37"/>
    <w:rsid w:val="00550C76"/>
    <w:rsid w:val="00551010"/>
    <w:rsid w:val="00551528"/>
    <w:rsid w:val="00551679"/>
    <w:rsid w:val="00552306"/>
    <w:rsid w:val="0055237A"/>
    <w:rsid w:val="00552970"/>
    <w:rsid w:val="005534B0"/>
    <w:rsid w:val="005539DD"/>
    <w:rsid w:val="00553BC7"/>
    <w:rsid w:val="005541CB"/>
    <w:rsid w:val="0055473B"/>
    <w:rsid w:val="00554983"/>
    <w:rsid w:val="00554A7D"/>
    <w:rsid w:val="00554E32"/>
    <w:rsid w:val="00554EDC"/>
    <w:rsid w:val="00555572"/>
    <w:rsid w:val="00555D82"/>
    <w:rsid w:val="00555E3B"/>
    <w:rsid w:val="00556077"/>
    <w:rsid w:val="0055615A"/>
    <w:rsid w:val="00556320"/>
    <w:rsid w:val="0055632E"/>
    <w:rsid w:val="0055697B"/>
    <w:rsid w:val="00557298"/>
    <w:rsid w:val="005576D1"/>
    <w:rsid w:val="005577EE"/>
    <w:rsid w:val="0055791E"/>
    <w:rsid w:val="005603DF"/>
    <w:rsid w:val="00560664"/>
    <w:rsid w:val="00560A49"/>
    <w:rsid w:val="00560EE1"/>
    <w:rsid w:val="005614AF"/>
    <w:rsid w:val="00561C84"/>
    <w:rsid w:val="00561FA6"/>
    <w:rsid w:val="0056202B"/>
    <w:rsid w:val="00563B73"/>
    <w:rsid w:val="00563BFF"/>
    <w:rsid w:val="00564605"/>
    <w:rsid w:val="0056464A"/>
    <w:rsid w:val="00565399"/>
    <w:rsid w:val="0056539F"/>
    <w:rsid w:val="0056586C"/>
    <w:rsid w:val="00565B4B"/>
    <w:rsid w:val="00565B8B"/>
    <w:rsid w:val="00565BB8"/>
    <w:rsid w:val="00566505"/>
    <w:rsid w:val="00566665"/>
    <w:rsid w:val="00566692"/>
    <w:rsid w:val="00566A4C"/>
    <w:rsid w:val="00567449"/>
    <w:rsid w:val="005678BD"/>
    <w:rsid w:val="00567C99"/>
    <w:rsid w:val="00570360"/>
    <w:rsid w:val="005703DC"/>
    <w:rsid w:val="00570761"/>
    <w:rsid w:val="005714A7"/>
    <w:rsid w:val="00571604"/>
    <w:rsid w:val="00571875"/>
    <w:rsid w:val="0057191D"/>
    <w:rsid w:val="00572212"/>
    <w:rsid w:val="00572499"/>
    <w:rsid w:val="00572754"/>
    <w:rsid w:val="00573164"/>
    <w:rsid w:val="00573C8F"/>
    <w:rsid w:val="005743A4"/>
    <w:rsid w:val="0057463A"/>
    <w:rsid w:val="00574C44"/>
    <w:rsid w:val="00575676"/>
    <w:rsid w:val="00575712"/>
    <w:rsid w:val="00576933"/>
    <w:rsid w:val="0057708E"/>
    <w:rsid w:val="00580CCC"/>
    <w:rsid w:val="00580FF5"/>
    <w:rsid w:val="0058110F"/>
    <w:rsid w:val="0058141C"/>
    <w:rsid w:val="00581C3F"/>
    <w:rsid w:val="00581F47"/>
    <w:rsid w:val="00582178"/>
    <w:rsid w:val="005827D9"/>
    <w:rsid w:val="00582E7B"/>
    <w:rsid w:val="00583137"/>
    <w:rsid w:val="0058318F"/>
    <w:rsid w:val="00584239"/>
    <w:rsid w:val="005842B4"/>
    <w:rsid w:val="00584791"/>
    <w:rsid w:val="00584917"/>
    <w:rsid w:val="00584A69"/>
    <w:rsid w:val="00585C8F"/>
    <w:rsid w:val="00585D7E"/>
    <w:rsid w:val="005866A1"/>
    <w:rsid w:val="0058694F"/>
    <w:rsid w:val="005869A3"/>
    <w:rsid w:val="0058758A"/>
    <w:rsid w:val="00587EA8"/>
    <w:rsid w:val="00590263"/>
    <w:rsid w:val="005910BF"/>
    <w:rsid w:val="005914C0"/>
    <w:rsid w:val="00591550"/>
    <w:rsid w:val="0059176B"/>
    <w:rsid w:val="005918D6"/>
    <w:rsid w:val="00591CF4"/>
    <w:rsid w:val="00592488"/>
    <w:rsid w:val="0059303C"/>
    <w:rsid w:val="005939E9"/>
    <w:rsid w:val="00593E5F"/>
    <w:rsid w:val="00593F1B"/>
    <w:rsid w:val="005952F6"/>
    <w:rsid w:val="00595339"/>
    <w:rsid w:val="00595435"/>
    <w:rsid w:val="00595461"/>
    <w:rsid w:val="0059599F"/>
    <w:rsid w:val="0059613B"/>
    <w:rsid w:val="00596318"/>
    <w:rsid w:val="005966F7"/>
    <w:rsid w:val="00596980"/>
    <w:rsid w:val="00596A2D"/>
    <w:rsid w:val="00596E76"/>
    <w:rsid w:val="00596F99"/>
    <w:rsid w:val="00596FE9"/>
    <w:rsid w:val="00597585"/>
    <w:rsid w:val="00597D79"/>
    <w:rsid w:val="00597FD7"/>
    <w:rsid w:val="005A0005"/>
    <w:rsid w:val="005A0ABF"/>
    <w:rsid w:val="005A0DBC"/>
    <w:rsid w:val="005A120D"/>
    <w:rsid w:val="005A13E6"/>
    <w:rsid w:val="005A1689"/>
    <w:rsid w:val="005A1B2D"/>
    <w:rsid w:val="005A1EE1"/>
    <w:rsid w:val="005A20E3"/>
    <w:rsid w:val="005A226E"/>
    <w:rsid w:val="005A2274"/>
    <w:rsid w:val="005A2602"/>
    <w:rsid w:val="005A27A8"/>
    <w:rsid w:val="005A27DD"/>
    <w:rsid w:val="005A283C"/>
    <w:rsid w:val="005A29A7"/>
    <w:rsid w:val="005A3079"/>
    <w:rsid w:val="005A3562"/>
    <w:rsid w:val="005A3AA6"/>
    <w:rsid w:val="005A463C"/>
    <w:rsid w:val="005A56A3"/>
    <w:rsid w:val="005A5809"/>
    <w:rsid w:val="005A5B45"/>
    <w:rsid w:val="005A5CB1"/>
    <w:rsid w:val="005A6240"/>
    <w:rsid w:val="005A6342"/>
    <w:rsid w:val="005A6A9B"/>
    <w:rsid w:val="005A6CE2"/>
    <w:rsid w:val="005A74D8"/>
    <w:rsid w:val="005A7E02"/>
    <w:rsid w:val="005B0489"/>
    <w:rsid w:val="005B16B4"/>
    <w:rsid w:val="005B1B2D"/>
    <w:rsid w:val="005B1F43"/>
    <w:rsid w:val="005B1F81"/>
    <w:rsid w:val="005B25D3"/>
    <w:rsid w:val="005B266A"/>
    <w:rsid w:val="005B2DFB"/>
    <w:rsid w:val="005B2E01"/>
    <w:rsid w:val="005B3198"/>
    <w:rsid w:val="005B3F40"/>
    <w:rsid w:val="005B41FC"/>
    <w:rsid w:val="005B48CA"/>
    <w:rsid w:val="005B48F3"/>
    <w:rsid w:val="005B4ADA"/>
    <w:rsid w:val="005B4B82"/>
    <w:rsid w:val="005B54A2"/>
    <w:rsid w:val="005B5E42"/>
    <w:rsid w:val="005B6822"/>
    <w:rsid w:val="005B6B9E"/>
    <w:rsid w:val="005B6C72"/>
    <w:rsid w:val="005B73D6"/>
    <w:rsid w:val="005B7C4C"/>
    <w:rsid w:val="005B7CC4"/>
    <w:rsid w:val="005C0393"/>
    <w:rsid w:val="005C059C"/>
    <w:rsid w:val="005C07B8"/>
    <w:rsid w:val="005C0DDA"/>
    <w:rsid w:val="005C101E"/>
    <w:rsid w:val="005C10CD"/>
    <w:rsid w:val="005C163E"/>
    <w:rsid w:val="005C20F2"/>
    <w:rsid w:val="005C238F"/>
    <w:rsid w:val="005C2EF5"/>
    <w:rsid w:val="005C2F9B"/>
    <w:rsid w:val="005C39D6"/>
    <w:rsid w:val="005C3AAD"/>
    <w:rsid w:val="005C3EA0"/>
    <w:rsid w:val="005C3FEB"/>
    <w:rsid w:val="005C4180"/>
    <w:rsid w:val="005C4BF0"/>
    <w:rsid w:val="005C4C08"/>
    <w:rsid w:val="005C5019"/>
    <w:rsid w:val="005C5230"/>
    <w:rsid w:val="005C5692"/>
    <w:rsid w:val="005C5702"/>
    <w:rsid w:val="005C5EC8"/>
    <w:rsid w:val="005C6532"/>
    <w:rsid w:val="005C6E43"/>
    <w:rsid w:val="005C7B9B"/>
    <w:rsid w:val="005C7D91"/>
    <w:rsid w:val="005D04FA"/>
    <w:rsid w:val="005D0979"/>
    <w:rsid w:val="005D126C"/>
    <w:rsid w:val="005D1FBB"/>
    <w:rsid w:val="005D2317"/>
    <w:rsid w:val="005D23E8"/>
    <w:rsid w:val="005D25ED"/>
    <w:rsid w:val="005D2E49"/>
    <w:rsid w:val="005D3A40"/>
    <w:rsid w:val="005D4689"/>
    <w:rsid w:val="005D46A6"/>
    <w:rsid w:val="005D478A"/>
    <w:rsid w:val="005D4A75"/>
    <w:rsid w:val="005D4BF2"/>
    <w:rsid w:val="005D5057"/>
    <w:rsid w:val="005D55BF"/>
    <w:rsid w:val="005D585C"/>
    <w:rsid w:val="005D674C"/>
    <w:rsid w:val="005D67DA"/>
    <w:rsid w:val="005D6829"/>
    <w:rsid w:val="005D6998"/>
    <w:rsid w:val="005E01A9"/>
    <w:rsid w:val="005E04E3"/>
    <w:rsid w:val="005E1D48"/>
    <w:rsid w:val="005E2613"/>
    <w:rsid w:val="005E2F7D"/>
    <w:rsid w:val="005E3297"/>
    <w:rsid w:val="005E35D1"/>
    <w:rsid w:val="005E3CBD"/>
    <w:rsid w:val="005E3D58"/>
    <w:rsid w:val="005E440F"/>
    <w:rsid w:val="005E4C3F"/>
    <w:rsid w:val="005E5362"/>
    <w:rsid w:val="005E5510"/>
    <w:rsid w:val="005E55B5"/>
    <w:rsid w:val="005E5670"/>
    <w:rsid w:val="005E5962"/>
    <w:rsid w:val="005E59A3"/>
    <w:rsid w:val="005E5B1D"/>
    <w:rsid w:val="005E619A"/>
    <w:rsid w:val="005E62D9"/>
    <w:rsid w:val="005E6330"/>
    <w:rsid w:val="005E637F"/>
    <w:rsid w:val="005E6B3B"/>
    <w:rsid w:val="005E6BF4"/>
    <w:rsid w:val="005E71C7"/>
    <w:rsid w:val="005E71F1"/>
    <w:rsid w:val="005F00D0"/>
    <w:rsid w:val="005F0948"/>
    <w:rsid w:val="005F099F"/>
    <w:rsid w:val="005F13C7"/>
    <w:rsid w:val="005F1727"/>
    <w:rsid w:val="005F180D"/>
    <w:rsid w:val="005F1AD5"/>
    <w:rsid w:val="005F27B3"/>
    <w:rsid w:val="005F2E75"/>
    <w:rsid w:val="005F3750"/>
    <w:rsid w:val="005F3925"/>
    <w:rsid w:val="005F3B86"/>
    <w:rsid w:val="005F3D53"/>
    <w:rsid w:val="005F4030"/>
    <w:rsid w:val="005F425D"/>
    <w:rsid w:val="005F45DD"/>
    <w:rsid w:val="005F5253"/>
    <w:rsid w:val="005F5417"/>
    <w:rsid w:val="005F544E"/>
    <w:rsid w:val="005F5B7F"/>
    <w:rsid w:val="005F5C63"/>
    <w:rsid w:val="005F5D41"/>
    <w:rsid w:val="005F5E2E"/>
    <w:rsid w:val="005F5F51"/>
    <w:rsid w:val="005F5FE4"/>
    <w:rsid w:val="005F65B9"/>
    <w:rsid w:val="005F693C"/>
    <w:rsid w:val="005F6B90"/>
    <w:rsid w:val="005F7105"/>
    <w:rsid w:val="005F718F"/>
    <w:rsid w:val="005F7728"/>
    <w:rsid w:val="005F77A0"/>
    <w:rsid w:val="005F7C9D"/>
    <w:rsid w:val="005F7F60"/>
    <w:rsid w:val="00600022"/>
    <w:rsid w:val="006004F0"/>
    <w:rsid w:val="00600753"/>
    <w:rsid w:val="00601276"/>
    <w:rsid w:val="00601BAF"/>
    <w:rsid w:val="006022EF"/>
    <w:rsid w:val="00602DD5"/>
    <w:rsid w:val="00603167"/>
    <w:rsid w:val="00603A5F"/>
    <w:rsid w:val="00603A75"/>
    <w:rsid w:val="00603C13"/>
    <w:rsid w:val="00603CD6"/>
    <w:rsid w:val="00603FCB"/>
    <w:rsid w:val="006041A7"/>
    <w:rsid w:val="006041C6"/>
    <w:rsid w:val="00604556"/>
    <w:rsid w:val="00604808"/>
    <w:rsid w:val="006049F5"/>
    <w:rsid w:val="00604D38"/>
    <w:rsid w:val="006051D1"/>
    <w:rsid w:val="006055E1"/>
    <w:rsid w:val="006074D1"/>
    <w:rsid w:val="00607970"/>
    <w:rsid w:val="006079CE"/>
    <w:rsid w:val="00607B1F"/>
    <w:rsid w:val="00607CA0"/>
    <w:rsid w:val="00607D10"/>
    <w:rsid w:val="00607DED"/>
    <w:rsid w:val="006108F3"/>
    <w:rsid w:val="00610D31"/>
    <w:rsid w:val="00610D54"/>
    <w:rsid w:val="00610E8F"/>
    <w:rsid w:val="00610FED"/>
    <w:rsid w:val="006111F4"/>
    <w:rsid w:val="00611322"/>
    <w:rsid w:val="00611397"/>
    <w:rsid w:val="00611715"/>
    <w:rsid w:val="00611A65"/>
    <w:rsid w:val="00611CBE"/>
    <w:rsid w:val="00611DA2"/>
    <w:rsid w:val="006126AB"/>
    <w:rsid w:val="006127DF"/>
    <w:rsid w:val="00612DCC"/>
    <w:rsid w:val="006148D7"/>
    <w:rsid w:val="006151A3"/>
    <w:rsid w:val="006158FE"/>
    <w:rsid w:val="00615A99"/>
    <w:rsid w:val="006161C2"/>
    <w:rsid w:val="00616256"/>
    <w:rsid w:val="00616A3C"/>
    <w:rsid w:val="00617472"/>
    <w:rsid w:val="00617CFB"/>
    <w:rsid w:val="006203A7"/>
    <w:rsid w:val="00620BA1"/>
    <w:rsid w:val="00620D59"/>
    <w:rsid w:val="00620D66"/>
    <w:rsid w:val="00621880"/>
    <w:rsid w:val="006219E7"/>
    <w:rsid w:val="00621AA1"/>
    <w:rsid w:val="00621AB4"/>
    <w:rsid w:val="006220F7"/>
    <w:rsid w:val="006228F0"/>
    <w:rsid w:val="00622A50"/>
    <w:rsid w:val="00622F4E"/>
    <w:rsid w:val="0062336F"/>
    <w:rsid w:val="00623413"/>
    <w:rsid w:val="006234B3"/>
    <w:rsid w:val="00623ECB"/>
    <w:rsid w:val="00624767"/>
    <w:rsid w:val="006249CC"/>
    <w:rsid w:val="00624CFC"/>
    <w:rsid w:val="006253AE"/>
    <w:rsid w:val="00625DDD"/>
    <w:rsid w:val="0062602A"/>
    <w:rsid w:val="0062662D"/>
    <w:rsid w:val="00626741"/>
    <w:rsid w:val="006268E5"/>
    <w:rsid w:val="006268F8"/>
    <w:rsid w:val="006269D1"/>
    <w:rsid w:val="006277C0"/>
    <w:rsid w:val="00627AF6"/>
    <w:rsid w:val="006300CD"/>
    <w:rsid w:val="00630581"/>
    <w:rsid w:val="00630A76"/>
    <w:rsid w:val="00630C8B"/>
    <w:rsid w:val="00630EC7"/>
    <w:rsid w:val="006313CF"/>
    <w:rsid w:val="0063197D"/>
    <w:rsid w:val="00632639"/>
    <w:rsid w:val="006326D1"/>
    <w:rsid w:val="00632DC2"/>
    <w:rsid w:val="00632ECF"/>
    <w:rsid w:val="00633021"/>
    <w:rsid w:val="006339CE"/>
    <w:rsid w:val="00633ABB"/>
    <w:rsid w:val="00633E95"/>
    <w:rsid w:val="006341B8"/>
    <w:rsid w:val="006346EB"/>
    <w:rsid w:val="00634719"/>
    <w:rsid w:val="00635811"/>
    <w:rsid w:val="00635DD3"/>
    <w:rsid w:val="006367C7"/>
    <w:rsid w:val="00636A57"/>
    <w:rsid w:val="006376E8"/>
    <w:rsid w:val="00637759"/>
    <w:rsid w:val="00637824"/>
    <w:rsid w:val="00637DE6"/>
    <w:rsid w:val="006408BB"/>
    <w:rsid w:val="00640C26"/>
    <w:rsid w:val="006410C0"/>
    <w:rsid w:val="00641149"/>
    <w:rsid w:val="0064145C"/>
    <w:rsid w:val="0064164B"/>
    <w:rsid w:val="00641D57"/>
    <w:rsid w:val="00641D6E"/>
    <w:rsid w:val="00641E22"/>
    <w:rsid w:val="00641EB5"/>
    <w:rsid w:val="00642468"/>
    <w:rsid w:val="0064249A"/>
    <w:rsid w:val="00642653"/>
    <w:rsid w:val="00642963"/>
    <w:rsid w:val="00643E06"/>
    <w:rsid w:val="006440C0"/>
    <w:rsid w:val="0064552D"/>
    <w:rsid w:val="00645DD1"/>
    <w:rsid w:val="00645EE6"/>
    <w:rsid w:val="00645F28"/>
    <w:rsid w:val="00646121"/>
    <w:rsid w:val="006465A3"/>
    <w:rsid w:val="00646DE4"/>
    <w:rsid w:val="00646FE7"/>
    <w:rsid w:val="00647211"/>
    <w:rsid w:val="0064728A"/>
    <w:rsid w:val="006473B7"/>
    <w:rsid w:val="00647C63"/>
    <w:rsid w:val="00647EAA"/>
    <w:rsid w:val="00650505"/>
    <w:rsid w:val="00650655"/>
    <w:rsid w:val="006508BA"/>
    <w:rsid w:val="006522F4"/>
    <w:rsid w:val="0065297B"/>
    <w:rsid w:val="00653697"/>
    <w:rsid w:val="00653CD0"/>
    <w:rsid w:val="00653E31"/>
    <w:rsid w:val="006543F1"/>
    <w:rsid w:val="006549EA"/>
    <w:rsid w:val="00654B26"/>
    <w:rsid w:val="006553F6"/>
    <w:rsid w:val="0065553C"/>
    <w:rsid w:val="00655555"/>
    <w:rsid w:val="00655EA5"/>
    <w:rsid w:val="00656910"/>
    <w:rsid w:val="00657529"/>
    <w:rsid w:val="0065752F"/>
    <w:rsid w:val="006578EE"/>
    <w:rsid w:val="00660416"/>
    <w:rsid w:val="00660973"/>
    <w:rsid w:val="00660B13"/>
    <w:rsid w:val="00660FFF"/>
    <w:rsid w:val="0066117A"/>
    <w:rsid w:val="0066182D"/>
    <w:rsid w:val="00661ED3"/>
    <w:rsid w:val="00661F58"/>
    <w:rsid w:val="00662136"/>
    <w:rsid w:val="006630A4"/>
    <w:rsid w:val="00663287"/>
    <w:rsid w:val="0066363B"/>
    <w:rsid w:val="006647AD"/>
    <w:rsid w:val="00664C3E"/>
    <w:rsid w:val="00664F33"/>
    <w:rsid w:val="0066524B"/>
    <w:rsid w:val="00665AE0"/>
    <w:rsid w:val="006663E5"/>
    <w:rsid w:val="0066662C"/>
    <w:rsid w:val="00666AAC"/>
    <w:rsid w:val="00666DEB"/>
    <w:rsid w:val="00667269"/>
    <w:rsid w:val="006672F9"/>
    <w:rsid w:val="0067052D"/>
    <w:rsid w:val="00671251"/>
    <w:rsid w:val="00671691"/>
    <w:rsid w:val="00671A81"/>
    <w:rsid w:val="00671C37"/>
    <w:rsid w:val="00671D38"/>
    <w:rsid w:val="006722C7"/>
    <w:rsid w:val="006726F3"/>
    <w:rsid w:val="00672C14"/>
    <w:rsid w:val="00673311"/>
    <w:rsid w:val="00673BC2"/>
    <w:rsid w:val="00673D35"/>
    <w:rsid w:val="00673EC5"/>
    <w:rsid w:val="00673F96"/>
    <w:rsid w:val="00674A6A"/>
    <w:rsid w:val="00674AA9"/>
    <w:rsid w:val="00674BB1"/>
    <w:rsid w:val="00674E55"/>
    <w:rsid w:val="006752FE"/>
    <w:rsid w:val="006755D7"/>
    <w:rsid w:val="00675737"/>
    <w:rsid w:val="00675B7B"/>
    <w:rsid w:val="006767AB"/>
    <w:rsid w:val="006767B9"/>
    <w:rsid w:val="00676B19"/>
    <w:rsid w:val="00676FF7"/>
    <w:rsid w:val="006770DA"/>
    <w:rsid w:val="00677125"/>
    <w:rsid w:val="006773A2"/>
    <w:rsid w:val="006775C2"/>
    <w:rsid w:val="00677BB6"/>
    <w:rsid w:val="006800D6"/>
    <w:rsid w:val="0068031D"/>
    <w:rsid w:val="0068099F"/>
    <w:rsid w:val="00680A74"/>
    <w:rsid w:val="006815A1"/>
    <w:rsid w:val="00681D2B"/>
    <w:rsid w:val="00681FAC"/>
    <w:rsid w:val="00681FF7"/>
    <w:rsid w:val="0068292B"/>
    <w:rsid w:val="00682C11"/>
    <w:rsid w:val="00682C67"/>
    <w:rsid w:val="00682D05"/>
    <w:rsid w:val="00682EC4"/>
    <w:rsid w:val="00683294"/>
    <w:rsid w:val="00683388"/>
    <w:rsid w:val="00683723"/>
    <w:rsid w:val="00683B02"/>
    <w:rsid w:val="00684176"/>
    <w:rsid w:val="006844A5"/>
    <w:rsid w:val="006850B8"/>
    <w:rsid w:val="006859F0"/>
    <w:rsid w:val="00685D0F"/>
    <w:rsid w:val="00686634"/>
    <w:rsid w:val="00686764"/>
    <w:rsid w:val="00686C81"/>
    <w:rsid w:val="00687327"/>
    <w:rsid w:val="006879D8"/>
    <w:rsid w:val="00687A08"/>
    <w:rsid w:val="0069006E"/>
    <w:rsid w:val="00690790"/>
    <w:rsid w:val="006909BA"/>
    <w:rsid w:val="006911BF"/>
    <w:rsid w:val="006919D2"/>
    <w:rsid w:val="00691B0B"/>
    <w:rsid w:val="00692F61"/>
    <w:rsid w:val="006934D0"/>
    <w:rsid w:val="006938BB"/>
    <w:rsid w:val="00693921"/>
    <w:rsid w:val="006943C1"/>
    <w:rsid w:val="00694629"/>
    <w:rsid w:val="00694761"/>
    <w:rsid w:val="0069516A"/>
    <w:rsid w:val="00695221"/>
    <w:rsid w:val="00695411"/>
    <w:rsid w:val="00695C82"/>
    <w:rsid w:val="00695D61"/>
    <w:rsid w:val="006962DD"/>
    <w:rsid w:val="0069635D"/>
    <w:rsid w:val="006963E5"/>
    <w:rsid w:val="00696683"/>
    <w:rsid w:val="00696D02"/>
    <w:rsid w:val="006975E3"/>
    <w:rsid w:val="006A0175"/>
    <w:rsid w:val="006A033F"/>
    <w:rsid w:val="006A0989"/>
    <w:rsid w:val="006A1BBB"/>
    <w:rsid w:val="006A2937"/>
    <w:rsid w:val="006A2EAF"/>
    <w:rsid w:val="006A305D"/>
    <w:rsid w:val="006A377A"/>
    <w:rsid w:val="006A38B5"/>
    <w:rsid w:val="006A4105"/>
    <w:rsid w:val="006A41D0"/>
    <w:rsid w:val="006A4268"/>
    <w:rsid w:val="006A42EC"/>
    <w:rsid w:val="006A4859"/>
    <w:rsid w:val="006A5089"/>
    <w:rsid w:val="006A55AA"/>
    <w:rsid w:val="006A566F"/>
    <w:rsid w:val="006A5714"/>
    <w:rsid w:val="006A5B59"/>
    <w:rsid w:val="006A5FE9"/>
    <w:rsid w:val="006A66FE"/>
    <w:rsid w:val="006A6E03"/>
    <w:rsid w:val="006A7044"/>
    <w:rsid w:val="006A7192"/>
    <w:rsid w:val="006A7C77"/>
    <w:rsid w:val="006A7CD6"/>
    <w:rsid w:val="006B0117"/>
    <w:rsid w:val="006B03CF"/>
    <w:rsid w:val="006B08EE"/>
    <w:rsid w:val="006B0AD3"/>
    <w:rsid w:val="006B0D4F"/>
    <w:rsid w:val="006B0D9D"/>
    <w:rsid w:val="006B10D6"/>
    <w:rsid w:val="006B1AD8"/>
    <w:rsid w:val="006B2C12"/>
    <w:rsid w:val="006B2EE9"/>
    <w:rsid w:val="006B2FA3"/>
    <w:rsid w:val="006B42B6"/>
    <w:rsid w:val="006B4317"/>
    <w:rsid w:val="006B4890"/>
    <w:rsid w:val="006B5187"/>
    <w:rsid w:val="006B5A35"/>
    <w:rsid w:val="006B5B24"/>
    <w:rsid w:val="006B5D84"/>
    <w:rsid w:val="006B62A8"/>
    <w:rsid w:val="006B65B9"/>
    <w:rsid w:val="006B6626"/>
    <w:rsid w:val="006B6661"/>
    <w:rsid w:val="006B6991"/>
    <w:rsid w:val="006B6D6C"/>
    <w:rsid w:val="006B6DCD"/>
    <w:rsid w:val="006B7C6B"/>
    <w:rsid w:val="006B7CB1"/>
    <w:rsid w:val="006C0B77"/>
    <w:rsid w:val="006C0B91"/>
    <w:rsid w:val="006C19F5"/>
    <w:rsid w:val="006C1A87"/>
    <w:rsid w:val="006C1DE4"/>
    <w:rsid w:val="006C206A"/>
    <w:rsid w:val="006C20E3"/>
    <w:rsid w:val="006C25EA"/>
    <w:rsid w:val="006C2D76"/>
    <w:rsid w:val="006C2F60"/>
    <w:rsid w:val="006C30D3"/>
    <w:rsid w:val="006C31CE"/>
    <w:rsid w:val="006C41DC"/>
    <w:rsid w:val="006C498A"/>
    <w:rsid w:val="006C4DB9"/>
    <w:rsid w:val="006C58A5"/>
    <w:rsid w:val="006C5944"/>
    <w:rsid w:val="006C6E63"/>
    <w:rsid w:val="006C6F4A"/>
    <w:rsid w:val="006C711A"/>
    <w:rsid w:val="006D0850"/>
    <w:rsid w:val="006D0E65"/>
    <w:rsid w:val="006D1006"/>
    <w:rsid w:val="006D1168"/>
    <w:rsid w:val="006D12CF"/>
    <w:rsid w:val="006D1A41"/>
    <w:rsid w:val="006D1B1A"/>
    <w:rsid w:val="006D1B7F"/>
    <w:rsid w:val="006D1D39"/>
    <w:rsid w:val="006D1D6F"/>
    <w:rsid w:val="006D27F0"/>
    <w:rsid w:val="006D28A4"/>
    <w:rsid w:val="006D28C2"/>
    <w:rsid w:val="006D2C8C"/>
    <w:rsid w:val="006D34FA"/>
    <w:rsid w:val="006D3665"/>
    <w:rsid w:val="006D386E"/>
    <w:rsid w:val="006D4204"/>
    <w:rsid w:val="006D4C30"/>
    <w:rsid w:val="006D5625"/>
    <w:rsid w:val="006D5C9D"/>
    <w:rsid w:val="006D5F2C"/>
    <w:rsid w:val="006D615E"/>
    <w:rsid w:val="006D66CF"/>
    <w:rsid w:val="006D6964"/>
    <w:rsid w:val="006D79B3"/>
    <w:rsid w:val="006D7C1C"/>
    <w:rsid w:val="006D7C26"/>
    <w:rsid w:val="006E0200"/>
    <w:rsid w:val="006E088D"/>
    <w:rsid w:val="006E0A9F"/>
    <w:rsid w:val="006E0AE7"/>
    <w:rsid w:val="006E0C70"/>
    <w:rsid w:val="006E0DFF"/>
    <w:rsid w:val="006E0EC8"/>
    <w:rsid w:val="006E1125"/>
    <w:rsid w:val="006E14A2"/>
    <w:rsid w:val="006E15DF"/>
    <w:rsid w:val="006E163D"/>
    <w:rsid w:val="006E1A5E"/>
    <w:rsid w:val="006E1FC3"/>
    <w:rsid w:val="006E24CD"/>
    <w:rsid w:val="006E24EB"/>
    <w:rsid w:val="006E3324"/>
    <w:rsid w:val="006E3380"/>
    <w:rsid w:val="006E353D"/>
    <w:rsid w:val="006E3FA6"/>
    <w:rsid w:val="006E4806"/>
    <w:rsid w:val="006E4B91"/>
    <w:rsid w:val="006E4D24"/>
    <w:rsid w:val="006E4E68"/>
    <w:rsid w:val="006E5003"/>
    <w:rsid w:val="006E5925"/>
    <w:rsid w:val="006E5DF9"/>
    <w:rsid w:val="006E6384"/>
    <w:rsid w:val="006E6779"/>
    <w:rsid w:val="006E72F3"/>
    <w:rsid w:val="006E740A"/>
    <w:rsid w:val="006E7635"/>
    <w:rsid w:val="006E779E"/>
    <w:rsid w:val="006E7CB6"/>
    <w:rsid w:val="006E7E8B"/>
    <w:rsid w:val="006F0851"/>
    <w:rsid w:val="006F09B1"/>
    <w:rsid w:val="006F0AD1"/>
    <w:rsid w:val="006F18CE"/>
    <w:rsid w:val="006F1CD1"/>
    <w:rsid w:val="006F1D4C"/>
    <w:rsid w:val="006F2517"/>
    <w:rsid w:val="006F2A8D"/>
    <w:rsid w:val="006F3566"/>
    <w:rsid w:val="006F3646"/>
    <w:rsid w:val="006F37D9"/>
    <w:rsid w:val="006F37E6"/>
    <w:rsid w:val="006F38E2"/>
    <w:rsid w:val="006F407B"/>
    <w:rsid w:val="006F501D"/>
    <w:rsid w:val="006F589E"/>
    <w:rsid w:val="006F6096"/>
    <w:rsid w:val="006F64AF"/>
    <w:rsid w:val="006F6501"/>
    <w:rsid w:val="006F6756"/>
    <w:rsid w:val="006F6956"/>
    <w:rsid w:val="006F69A6"/>
    <w:rsid w:val="006F6A19"/>
    <w:rsid w:val="006F6C07"/>
    <w:rsid w:val="006F6DDC"/>
    <w:rsid w:val="006F719D"/>
    <w:rsid w:val="007003CE"/>
    <w:rsid w:val="007020BC"/>
    <w:rsid w:val="00702719"/>
    <w:rsid w:val="00702BC5"/>
    <w:rsid w:val="00703004"/>
    <w:rsid w:val="00703069"/>
    <w:rsid w:val="007031D0"/>
    <w:rsid w:val="0070382E"/>
    <w:rsid w:val="0070399D"/>
    <w:rsid w:val="00703A92"/>
    <w:rsid w:val="00703ACF"/>
    <w:rsid w:val="00703EBC"/>
    <w:rsid w:val="0070481A"/>
    <w:rsid w:val="00704A20"/>
    <w:rsid w:val="00704A27"/>
    <w:rsid w:val="007052E7"/>
    <w:rsid w:val="007057CF"/>
    <w:rsid w:val="0070582B"/>
    <w:rsid w:val="00705870"/>
    <w:rsid w:val="00705938"/>
    <w:rsid w:val="00705B7B"/>
    <w:rsid w:val="0070602A"/>
    <w:rsid w:val="0070653B"/>
    <w:rsid w:val="0070702B"/>
    <w:rsid w:val="00707E51"/>
    <w:rsid w:val="0071009A"/>
    <w:rsid w:val="00710FC6"/>
    <w:rsid w:val="00710FF6"/>
    <w:rsid w:val="007116D8"/>
    <w:rsid w:val="00711AC9"/>
    <w:rsid w:val="00712005"/>
    <w:rsid w:val="00712920"/>
    <w:rsid w:val="00712D1B"/>
    <w:rsid w:val="007134C3"/>
    <w:rsid w:val="0071365D"/>
    <w:rsid w:val="00713668"/>
    <w:rsid w:val="007137B9"/>
    <w:rsid w:val="00713DB0"/>
    <w:rsid w:val="00713F0A"/>
    <w:rsid w:val="0071567A"/>
    <w:rsid w:val="0071577F"/>
    <w:rsid w:val="007158B9"/>
    <w:rsid w:val="00715A4C"/>
    <w:rsid w:val="00715DE4"/>
    <w:rsid w:val="00715DF2"/>
    <w:rsid w:val="00715F6B"/>
    <w:rsid w:val="007170D3"/>
    <w:rsid w:val="00717B19"/>
    <w:rsid w:val="00720505"/>
    <w:rsid w:val="007205D4"/>
    <w:rsid w:val="00720C41"/>
    <w:rsid w:val="00720F00"/>
    <w:rsid w:val="0072118B"/>
    <w:rsid w:val="0072122E"/>
    <w:rsid w:val="00721454"/>
    <w:rsid w:val="00721A43"/>
    <w:rsid w:val="00721BBB"/>
    <w:rsid w:val="0072277B"/>
    <w:rsid w:val="00722A62"/>
    <w:rsid w:val="00722D60"/>
    <w:rsid w:val="00722F13"/>
    <w:rsid w:val="00723013"/>
    <w:rsid w:val="00723454"/>
    <w:rsid w:val="00723891"/>
    <w:rsid w:val="00723B86"/>
    <w:rsid w:val="007242EC"/>
    <w:rsid w:val="00724BD4"/>
    <w:rsid w:val="00724F1A"/>
    <w:rsid w:val="00725466"/>
    <w:rsid w:val="00725B67"/>
    <w:rsid w:val="0072642A"/>
    <w:rsid w:val="00726572"/>
    <w:rsid w:val="00726B8C"/>
    <w:rsid w:val="00726D5D"/>
    <w:rsid w:val="00727256"/>
    <w:rsid w:val="007277EE"/>
    <w:rsid w:val="007301F4"/>
    <w:rsid w:val="007302F0"/>
    <w:rsid w:val="00730AD8"/>
    <w:rsid w:val="00730B01"/>
    <w:rsid w:val="00730EDD"/>
    <w:rsid w:val="007313AD"/>
    <w:rsid w:val="00731616"/>
    <w:rsid w:val="00731990"/>
    <w:rsid w:val="00733329"/>
    <w:rsid w:val="0073383D"/>
    <w:rsid w:val="0073393D"/>
    <w:rsid w:val="0073394B"/>
    <w:rsid w:val="00733BCF"/>
    <w:rsid w:val="0073412A"/>
    <w:rsid w:val="007342CE"/>
    <w:rsid w:val="00734305"/>
    <w:rsid w:val="00734D2A"/>
    <w:rsid w:val="00734E50"/>
    <w:rsid w:val="00734E64"/>
    <w:rsid w:val="007351BF"/>
    <w:rsid w:val="0073596E"/>
    <w:rsid w:val="00735C7B"/>
    <w:rsid w:val="00735D92"/>
    <w:rsid w:val="00736001"/>
    <w:rsid w:val="0073634A"/>
    <w:rsid w:val="0073693C"/>
    <w:rsid w:val="00736CC6"/>
    <w:rsid w:val="00737158"/>
    <w:rsid w:val="00737AA1"/>
    <w:rsid w:val="00737B47"/>
    <w:rsid w:val="00737C3E"/>
    <w:rsid w:val="007401CB"/>
    <w:rsid w:val="00740A0F"/>
    <w:rsid w:val="00741187"/>
    <w:rsid w:val="0074142B"/>
    <w:rsid w:val="00741571"/>
    <w:rsid w:val="0074168D"/>
    <w:rsid w:val="00741B01"/>
    <w:rsid w:val="00741E24"/>
    <w:rsid w:val="0074208F"/>
    <w:rsid w:val="0074212A"/>
    <w:rsid w:val="0074271C"/>
    <w:rsid w:val="00742C72"/>
    <w:rsid w:val="00743189"/>
    <w:rsid w:val="00743762"/>
    <w:rsid w:val="00743B42"/>
    <w:rsid w:val="00743BFA"/>
    <w:rsid w:val="00743CC0"/>
    <w:rsid w:val="0074422D"/>
    <w:rsid w:val="00744282"/>
    <w:rsid w:val="007443FC"/>
    <w:rsid w:val="00744D3C"/>
    <w:rsid w:val="00745688"/>
    <w:rsid w:val="00745A03"/>
    <w:rsid w:val="00745EF0"/>
    <w:rsid w:val="00746695"/>
    <w:rsid w:val="00746A35"/>
    <w:rsid w:val="00746FF0"/>
    <w:rsid w:val="007477F7"/>
    <w:rsid w:val="0074786C"/>
    <w:rsid w:val="00747C7D"/>
    <w:rsid w:val="00747F5C"/>
    <w:rsid w:val="00750478"/>
    <w:rsid w:val="00750DD3"/>
    <w:rsid w:val="00751A13"/>
    <w:rsid w:val="00751A4A"/>
    <w:rsid w:val="00751BEB"/>
    <w:rsid w:val="00752085"/>
    <w:rsid w:val="00752372"/>
    <w:rsid w:val="007536BD"/>
    <w:rsid w:val="00753C20"/>
    <w:rsid w:val="00753C54"/>
    <w:rsid w:val="0075408C"/>
    <w:rsid w:val="007548A2"/>
    <w:rsid w:val="00754D81"/>
    <w:rsid w:val="00754F91"/>
    <w:rsid w:val="007554FC"/>
    <w:rsid w:val="00755821"/>
    <w:rsid w:val="00755B7F"/>
    <w:rsid w:val="00755CFE"/>
    <w:rsid w:val="00755D06"/>
    <w:rsid w:val="00756166"/>
    <w:rsid w:val="00756405"/>
    <w:rsid w:val="00756588"/>
    <w:rsid w:val="007565C4"/>
    <w:rsid w:val="007567A6"/>
    <w:rsid w:val="00757203"/>
    <w:rsid w:val="007579B2"/>
    <w:rsid w:val="00757C57"/>
    <w:rsid w:val="00757E6C"/>
    <w:rsid w:val="0076035C"/>
    <w:rsid w:val="007605F6"/>
    <w:rsid w:val="007606BA"/>
    <w:rsid w:val="00760810"/>
    <w:rsid w:val="00760BB8"/>
    <w:rsid w:val="00761A5C"/>
    <w:rsid w:val="00761A90"/>
    <w:rsid w:val="00761FDB"/>
    <w:rsid w:val="007623ED"/>
    <w:rsid w:val="00762B4C"/>
    <w:rsid w:val="00762DCC"/>
    <w:rsid w:val="00762F4F"/>
    <w:rsid w:val="0076336F"/>
    <w:rsid w:val="00763543"/>
    <w:rsid w:val="0076359E"/>
    <w:rsid w:val="007635F2"/>
    <w:rsid w:val="007638FA"/>
    <w:rsid w:val="00763B65"/>
    <w:rsid w:val="00763FE5"/>
    <w:rsid w:val="0076405D"/>
    <w:rsid w:val="00764481"/>
    <w:rsid w:val="00764B29"/>
    <w:rsid w:val="007650DD"/>
    <w:rsid w:val="0076520B"/>
    <w:rsid w:val="007657CF"/>
    <w:rsid w:val="007657F9"/>
    <w:rsid w:val="00765FA6"/>
    <w:rsid w:val="00766C85"/>
    <w:rsid w:val="00766EBB"/>
    <w:rsid w:val="00766FA0"/>
    <w:rsid w:val="007670D0"/>
    <w:rsid w:val="00767929"/>
    <w:rsid w:val="00767A38"/>
    <w:rsid w:val="00770040"/>
    <w:rsid w:val="00770262"/>
    <w:rsid w:val="00770315"/>
    <w:rsid w:val="00770F47"/>
    <w:rsid w:val="00771151"/>
    <w:rsid w:val="00771205"/>
    <w:rsid w:val="007722A4"/>
    <w:rsid w:val="00772553"/>
    <w:rsid w:val="00772BFD"/>
    <w:rsid w:val="00773190"/>
    <w:rsid w:val="007737DB"/>
    <w:rsid w:val="00773A54"/>
    <w:rsid w:val="00773C15"/>
    <w:rsid w:val="00773D3C"/>
    <w:rsid w:val="00773F58"/>
    <w:rsid w:val="00774282"/>
    <w:rsid w:val="007743BA"/>
    <w:rsid w:val="007746F5"/>
    <w:rsid w:val="0077490D"/>
    <w:rsid w:val="00774F4F"/>
    <w:rsid w:val="0077518C"/>
    <w:rsid w:val="0077527D"/>
    <w:rsid w:val="00775C76"/>
    <w:rsid w:val="0077644B"/>
    <w:rsid w:val="0077688D"/>
    <w:rsid w:val="00776C52"/>
    <w:rsid w:val="007770D4"/>
    <w:rsid w:val="0077754F"/>
    <w:rsid w:val="00777EBF"/>
    <w:rsid w:val="00780030"/>
    <w:rsid w:val="007805FC"/>
    <w:rsid w:val="00780622"/>
    <w:rsid w:val="007807A1"/>
    <w:rsid w:val="007808C6"/>
    <w:rsid w:val="00780DE6"/>
    <w:rsid w:val="00781459"/>
    <w:rsid w:val="00781464"/>
    <w:rsid w:val="007815F6"/>
    <w:rsid w:val="00781B0B"/>
    <w:rsid w:val="00781CA0"/>
    <w:rsid w:val="00781ED1"/>
    <w:rsid w:val="007820E2"/>
    <w:rsid w:val="0078228E"/>
    <w:rsid w:val="007822C8"/>
    <w:rsid w:val="00782A33"/>
    <w:rsid w:val="00782DE8"/>
    <w:rsid w:val="00782EF2"/>
    <w:rsid w:val="00782F9F"/>
    <w:rsid w:val="00783111"/>
    <w:rsid w:val="007832D9"/>
    <w:rsid w:val="0078354A"/>
    <w:rsid w:val="007835F7"/>
    <w:rsid w:val="007839D6"/>
    <w:rsid w:val="00783DE8"/>
    <w:rsid w:val="00784643"/>
    <w:rsid w:val="00784C59"/>
    <w:rsid w:val="00784E5D"/>
    <w:rsid w:val="00785A2B"/>
    <w:rsid w:val="007867F0"/>
    <w:rsid w:val="00786845"/>
    <w:rsid w:val="00786DE2"/>
    <w:rsid w:val="0078727B"/>
    <w:rsid w:val="00787DC3"/>
    <w:rsid w:val="007907A7"/>
    <w:rsid w:val="00790C69"/>
    <w:rsid w:val="00791320"/>
    <w:rsid w:val="00791C23"/>
    <w:rsid w:val="007920A8"/>
    <w:rsid w:val="00792121"/>
    <w:rsid w:val="007927F6"/>
    <w:rsid w:val="00792F76"/>
    <w:rsid w:val="00793757"/>
    <w:rsid w:val="00793A30"/>
    <w:rsid w:val="0079400E"/>
    <w:rsid w:val="00794BB9"/>
    <w:rsid w:val="007950A5"/>
    <w:rsid w:val="00795C77"/>
    <w:rsid w:val="007961CA"/>
    <w:rsid w:val="0079648C"/>
    <w:rsid w:val="00796BA0"/>
    <w:rsid w:val="00796DF4"/>
    <w:rsid w:val="00796FBD"/>
    <w:rsid w:val="00797083"/>
    <w:rsid w:val="0079719B"/>
    <w:rsid w:val="00797CD1"/>
    <w:rsid w:val="007A0DA6"/>
    <w:rsid w:val="007A13DF"/>
    <w:rsid w:val="007A1595"/>
    <w:rsid w:val="007A1F6E"/>
    <w:rsid w:val="007A2FB6"/>
    <w:rsid w:val="007A3095"/>
    <w:rsid w:val="007A3788"/>
    <w:rsid w:val="007A419D"/>
    <w:rsid w:val="007A4460"/>
    <w:rsid w:val="007A4919"/>
    <w:rsid w:val="007A5951"/>
    <w:rsid w:val="007A60B6"/>
    <w:rsid w:val="007A76C5"/>
    <w:rsid w:val="007A7CF1"/>
    <w:rsid w:val="007B061A"/>
    <w:rsid w:val="007B0BB6"/>
    <w:rsid w:val="007B0BF3"/>
    <w:rsid w:val="007B0CD0"/>
    <w:rsid w:val="007B15C5"/>
    <w:rsid w:val="007B1E53"/>
    <w:rsid w:val="007B2562"/>
    <w:rsid w:val="007B2822"/>
    <w:rsid w:val="007B3852"/>
    <w:rsid w:val="007B3AA7"/>
    <w:rsid w:val="007B4991"/>
    <w:rsid w:val="007B4C9B"/>
    <w:rsid w:val="007B5EA8"/>
    <w:rsid w:val="007B62AF"/>
    <w:rsid w:val="007B6419"/>
    <w:rsid w:val="007B6AB1"/>
    <w:rsid w:val="007B702D"/>
    <w:rsid w:val="007B7964"/>
    <w:rsid w:val="007B7AC2"/>
    <w:rsid w:val="007C04B2"/>
    <w:rsid w:val="007C1911"/>
    <w:rsid w:val="007C1C62"/>
    <w:rsid w:val="007C2013"/>
    <w:rsid w:val="007C25FD"/>
    <w:rsid w:val="007C2688"/>
    <w:rsid w:val="007C28A4"/>
    <w:rsid w:val="007C36EB"/>
    <w:rsid w:val="007C3ED4"/>
    <w:rsid w:val="007C3F37"/>
    <w:rsid w:val="007C4B53"/>
    <w:rsid w:val="007C54B5"/>
    <w:rsid w:val="007C5512"/>
    <w:rsid w:val="007C55A6"/>
    <w:rsid w:val="007C562F"/>
    <w:rsid w:val="007C5729"/>
    <w:rsid w:val="007C616D"/>
    <w:rsid w:val="007C6399"/>
    <w:rsid w:val="007C6A19"/>
    <w:rsid w:val="007C70DB"/>
    <w:rsid w:val="007C712C"/>
    <w:rsid w:val="007C754A"/>
    <w:rsid w:val="007C7A89"/>
    <w:rsid w:val="007C7EFB"/>
    <w:rsid w:val="007D004B"/>
    <w:rsid w:val="007D01FF"/>
    <w:rsid w:val="007D04B7"/>
    <w:rsid w:val="007D057E"/>
    <w:rsid w:val="007D0676"/>
    <w:rsid w:val="007D11F7"/>
    <w:rsid w:val="007D1583"/>
    <w:rsid w:val="007D1B44"/>
    <w:rsid w:val="007D1F36"/>
    <w:rsid w:val="007D1FAE"/>
    <w:rsid w:val="007D2161"/>
    <w:rsid w:val="007D2437"/>
    <w:rsid w:val="007D2710"/>
    <w:rsid w:val="007D2C6E"/>
    <w:rsid w:val="007D2F2F"/>
    <w:rsid w:val="007D3870"/>
    <w:rsid w:val="007D39F0"/>
    <w:rsid w:val="007D3F42"/>
    <w:rsid w:val="007D3FED"/>
    <w:rsid w:val="007D4E98"/>
    <w:rsid w:val="007D5043"/>
    <w:rsid w:val="007D570A"/>
    <w:rsid w:val="007D59B2"/>
    <w:rsid w:val="007D59DA"/>
    <w:rsid w:val="007D5F34"/>
    <w:rsid w:val="007D69EC"/>
    <w:rsid w:val="007D6A05"/>
    <w:rsid w:val="007D6A43"/>
    <w:rsid w:val="007D7040"/>
    <w:rsid w:val="007D73EC"/>
    <w:rsid w:val="007D770F"/>
    <w:rsid w:val="007D7C88"/>
    <w:rsid w:val="007E02EA"/>
    <w:rsid w:val="007E0AB0"/>
    <w:rsid w:val="007E13EE"/>
    <w:rsid w:val="007E1D5D"/>
    <w:rsid w:val="007E25C3"/>
    <w:rsid w:val="007E25F1"/>
    <w:rsid w:val="007E26E0"/>
    <w:rsid w:val="007E2BB9"/>
    <w:rsid w:val="007E34EF"/>
    <w:rsid w:val="007E38FE"/>
    <w:rsid w:val="007E433C"/>
    <w:rsid w:val="007E43B5"/>
    <w:rsid w:val="007E461C"/>
    <w:rsid w:val="007E5259"/>
    <w:rsid w:val="007E5D61"/>
    <w:rsid w:val="007E6760"/>
    <w:rsid w:val="007E717E"/>
    <w:rsid w:val="007E7821"/>
    <w:rsid w:val="007E7E48"/>
    <w:rsid w:val="007F035A"/>
    <w:rsid w:val="007F0678"/>
    <w:rsid w:val="007F079B"/>
    <w:rsid w:val="007F0EC3"/>
    <w:rsid w:val="007F135F"/>
    <w:rsid w:val="007F14D6"/>
    <w:rsid w:val="007F1DE6"/>
    <w:rsid w:val="007F2148"/>
    <w:rsid w:val="007F2B16"/>
    <w:rsid w:val="007F2E81"/>
    <w:rsid w:val="007F3318"/>
    <w:rsid w:val="007F33CD"/>
    <w:rsid w:val="007F4850"/>
    <w:rsid w:val="007F4894"/>
    <w:rsid w:val="007F59AB"/>
    <w:rsid w:val="007F5E8D"/>
    <w:rsid w:val="007F6825"/>
    <w:rsid w:val="007F7018"/>
    <w:rsid w:val="007F7138"/>
    <w:rsid w:val="007F71DD"/>
    <w:rsid w:val="007F7252"/>
    <w:rsid w:val="007F727A"/>
    <w:rsid w:val="007F739E"/>
    <w:rsid w:val="007F7B1C"/>
    <w:rsid w:val="007F7B58"/>
    <w:rsid w:val="00800612"/>
    <w:rsid w:val="00800784"/>
    <w:rsid w:val="00800C33"/>
    <w:rsid w:val="00800E4E"/>
    <w:rsid w:val="00800E98"/>
    <w:rsid w:val="008017AE"/>
    <w:rsid w:val="00801992"/>
    <w:rsid w:val="0080201D"/>
    <w:rsid w:val="0080242E"/>
    <w:rsid w:val="0080296C"/>
    <w:rsid w:val="00802C0D"/>
    <w:rsid w:val="00802DDC"/>
    <w:rsid w:val="008032B9"/>
    <w:rsid w:val="0080372C"/>
    <w:rsid w:val="00803EE2"/>
    <w:rsid w:val="008047A4"/>
    <w:rsid w:val="008048DF"/>
    <w:rsid w:val="00805111"/>
    <w:rsid w:val="0080563D"/>
    <w:rsid w:val="0080584F"/>
    <w:rsid w:val="00805BF9"/>
    <w:rsid w:val="00805C53"/>
    <w:rsid w:val="00806FB5"/>
    <w:rsid w:val="00807426"/>
    <w:rsid w:val="00807F49"/>
    <w:rsid w:val="0081012D"/>
    <w:rsid w:val="008107D8"/>
    <w:rsid w:val="00810C22"/>
    <w:rsid w:val="0081135E"/>
    <w:rsid w:val="00811F7F"/>
    <w:rsid w:val="0081233C"/>
    <w:rsid w:val="00812634"/>
    <w:rsid w:val="00812BF2"/>
    <w:rsid w:val="00812F92"/>
    <w:rsid w:val="0081305E"/>
    <w:rsid w:val="0081467C"/>
    <w:rsid w:val="00814812"/>
    <w:rsid w:val="0081481C"/>
    <w:rsid w:val="00814E26"/>
    <w:rsid w:val="00814FAE"/>
    <w:rsid w:val="008151C9"/>
    <w:rsid w:val="0081595D"/>
    <w:rsid w:val="00815A8A"/>
    <w:rsid w:val="0081601A"/>
    <w:rsid w:val="008169AC"/>
    <w:rsid w:val="008178E2"/>
    <w:rsid w:val="008200A7"/>
    <w:rsid w:val="008206FC"/>
    <w:rsid w:val="008208C2"/>
    <w:rsid w:val="00820B01"/>
    <w:rsid w:val="00820DAE"/>
    <w:rsid w:val="00821FE0"/>
    <w:rsid w:val="008220A3"/>
    <w:rsid w:val="0082290B"/>
    <w:rsid w:val="00822BEC"/>
    <w:rsid w:val="00822F56"/>
    <w:rsid w:val="0082338E"/>
    <w:rsid w:val="008242FF"/>
    <w:rsid w:val="0082459A"/>
    <w:rsid w:val="00824C50"/>
    <w:rsid w:val="00824FDD"/>
    <w:rsid w:val="00825460"/>
    <w:rsid w:val="00825E56"/>
    <w:rsid w:val="00826C65"/>
    <w:rsid w:val="008271DF"/>
    <w:rsid w:val="008279DF"/>
    <w:rsid w:val="0083023C"/>
    <w:rsid w:val="008302B3"/>
    <w:rsid w:val="008303EC"/>
    <w:rsid w:val="00830DE4"/>
    <w:rsid w:val="0083113C"/>
    <w:rsid w:val="00831163"/>
    <w:rsid w:val="008317E3"/>
    <w:rsid w:val="00832969"/>
    <w:rsid w:val="00832A53"/>
    <w:rsid w:val="00832A88"/>
    <w:rsid w:val="00832AFC"/>
    <w:rsid w:val="008331C1"/>
    <w:rsid w:val="008331C9"/>
    <w:rsid w:val="0083423E"/>
    <w:rsid w:val="008345F1"/>
    <w:rsid w:val="00834691"/>
    <w:rsid w:val="0083497A"/>
    <w:rsid w:val="00834A82"/>
    <w:rsid w:val="00834BE8"/>
    <w:rsid w:val="00834C85"/>
    <w:rsid w:val="008354CC"/>
    <w:rsid w:val="00835F60"/>
    <w:rsid w:val="00835FAA"/>
    <w:rsid w:val="00836C30"/>
    <w:rsid w:val="00837223"/>
    <w:rsid w:val="00837586"/>
    <w:rsid w:val="00837598"/>
    <w:rsid w:val="00837991"/>
    <w:rsid w:val="00837C29"/>
    <w:rsid w:val="00840D46"/>
    <w:rsid w:val="00840D70"/>
    <w:rsid w:val="00841301"/>
    <w:rsid w:val="0084148F"/>
    <w:rsid w:val="00842A82"/>
    <w:rsid w:val="00842E9D"/>
    <w:rsid w:val="00843B70"/>
    <w:rsid w:val="00843C1D"/>
    <w:rsid w:val="00843DCA"/>
    <w:rsid w:val="0084432A"/>
    <w:rsid w:val="0084475C"/>
    <w:rsid w:val="0084485C"/>
    <w:rsid w:val="00844BC2"/>
    <w:rsid w:val="00844C84"/>
    <w:rsid w:val="00844E35"/>
    <w:rsid w:val="00845A4E"/>
    <w:rsid w:val="00845C4D"/>
    <w:rsid w:val="00845F30"/>
    <w:rsid w:val="00846264"/>
    <w:rsid w:val="008465B7"/>
    <w:rsid w:val="008465C5"/>
    <w:rsid w:val="008472E5"/>
    <w:rsid w:val="00847DD3"/>
    <w:rsid w:val="00847DFA"/>
    <w:rsid w:val="00847EDB"/>
    <w:rsid w:val="008502FB"/>
    <w:rsid w:val="0085032F"/>
    <w:rsid w:val="008503AE"/>
    <w:rsid w:val="0085046E"/>
    <w:rsid w:val="0085069F"/>
    <w:rsid w:val="00850872"/>
    <w:rsid w:val="0085099E"/>
    <w:rsid w:val="00850B6E"/>
    <w:rsid w:val="00850BA1"/>
    <w:rsid w:val="00850FCF"/>
    <w:rsid w:val="0085158E"/>
    <w:rsid w:val="008517F3"/>
    <w:rsid w:val="008519D0"/>
    <w:rsid w:val="008520C7"/>
    <w:rsid w:val="00852A8D"/>
    <w:rsid w:val="00852E53"/>
    <w:rsid w:val="00852F16"/>
    <w:rsid w:val="00852FFF"/>
    <w:rsid w:val="008532E2"/>
    <w:rsid w:val="0085395C"/>
    <w:rsid w:val="00854191"/>
    <w:rsid w:val="00854437"/>
    <w:rsid w:val="008547A5"/>
    <w:rsid w:val="008548DE"/>
    <w:rsid w:val="00855102"/>
    <w:rsid w:val="00855988"/>
    <w:rsid w:val="00855B68"/>
    <w:rsid w:val="00856107"/>
    <w:rsid w:val="00856562"/>
    <w:rsid w:val="00857035"/>
    <w:rsid w:val="008570DE"/>
    <w:rsid w:val="00857690"/>
    <w:rsid w:val="0085792A"/>
    <w:rsid w:val="00857C82"/>
    <w:rsid w:val="00860745"/>
    <w:rsid w:val="0086164C"/>
    <w:rsid w:val="00861BDE"/>
    <w:rsid w:val="00861DEC"/>
    <w:rsid w:val="0086308D"/>
    <w:rsid w:val="0086360E"/>
    <w:rsid w:val="008638BA"/>
    <w:rsid w:val="00864276"/>
    <w:rsid w:val="00864BBF"/>
    <w:rsid w:val="00865841"/>
    <w:rsid w:val="00865DCE"/>
    <w:rsid w:val="0086609B"/>
    <w:rsid w:val="0086656A"/>
    <w:rsid w:val="0086689E"/>
    <w:rsid w:val="00866C3A"/>
    <w:rsid w:val="00866C64"/>
    <w:rsid w:val="00866DD1"/>
    <w:rsid w:val="0086712E"/>
    <w:rsid w:val="00867340"/>
    <w:rsid w:val="008674C1"/>
    <w:rsid w:val="00867CF7"/>
    <w:rsid w:val="00867E85"/>
    <w:rsid w:val="008701FE"/>
    <w:rsid w:val="00870751"/>
    <w:rsid w:val="00870D0E"/>
    <w:rsid w:val="00870E5A"/>
    <w:rsid w:val="00870FF8"/>
    <w:rsid w:val="00871188"/>
    <w:rsid w:val="008717BE"/>
    <w:rsid w:val="00871E53"/>
    <w:rsid w:val="00871F28"/>
    <w:rsid w:val="00872212"/>
    <w:rsid w:val="0087275A"/>
    <w:rsid w:val="00872CFD"/>
    <w:rsid w:val="008730F2"/>
    <w:rsid w:val="008734D4"/>
    <w:rsid w:val="00873FBF"/>
    <w:rsid w:val="00873FC9"/>
    <w:rsid w:val="00874243"/>
    <w:rsid w:val="008743CE"/>
    <w:rsid w:val="00874934"/>
    <w:rsid w:val="00874B05"/>
    <w:rsid w:val="00874C6E"/>
    <w:rsid w:val="008755F9"/>
    <w:rsid w:val="00875793"/>
    <w:rsid w:val="008758E2"/>
    <w:rsid w:val="00875935"/>
    <w:rsid w:val="00875CE0"/>
    <w:rsid w:val="00875F23"/>
    <w:rsid w:val="0087658C"/>
    <w:rsid w:val="008765C8"/>
    <w:rsid w:val="00876856"/>
    <w:rsid w:val="0087686C"/>
    <w:rsid w:val="00876E80"/>
    <w:rsid w:val="00877CA6"/>
    <w:rsid w:val="00880236"/>
    <w:rsid w:val="00880F3B"/>
    <w:rsid w:val="008816C9"/>
    <w:rsid w:val="00883670"/>
    <w:rsid w:val="00883E61"/>
    <w:rsid w:val="008843B4"/>
    <w:rsid w:val="00884848"/>
    <w:rsid w:val="008851B3"/>
    <w:rsid w:val="0088520C"/>
    <w:rsid w:val="008853E5"/>
    <w:rsid w:val="00885AA5"/>
    <w:rsid w:val="00885ABD"/>
    <w:rsid w:val="00886CE3"/>
    <w:rsid w:val="00886F84"/>
    <w:rsid w:val="00887080"/>
    <w:rsid w:val="00887246"/>
    <w:rsid w:val="008876DF"/>
    <w:rsid w:val="008879FA"/>
    <w:rsid w:val="00887ADB"/>
    <w:rsid w:val="00887E03"/>
    <w:rsid w:val="00890081"/>
    <w:rsid w:val="008901B3"/>
    <w:rsid w:val="00890322"/>
    <w:rsid w:val="00890B3A"/>
    <w:rsid w:val="00890B86"/>
    <w:rsid w:val="00890DB0"/>
    <w:rsid w:val="008911C3"/>
    <w:rsid w:val="00891E09"/>
    <w:rsid w:val="008921EE"/>
    <w:rsid w:val="008923F6"/>
    <w:rsid w:val="008929B1"/>
    <w:rsid w:val="00892DEF"/>
    <w:rsid w:val="008937D4"/>
    <w:rsid w:val="00893ADB"/>
    <w:rsid w:val="0089474D"/>
    <w:rsid w:val="00894775"/>
    <w:rsid w:val="00894D56"/>
    <w:rsid w:val="00894F8F"/>
    <w:rsid w:val="008953BD"/>
    <w:rsid w:val="00895443"/>
    <w:rsid w:val="008954EC"/>
    <w:rsid w:val="00895508"/>
    <w:rsid w:val="008955E2"/>
    <w:rsid w:val="008956AF"/>
    <w:rsid w:val="00895912"/>
    <w:rsid w:val="00895B36"/>
    <w:rsid w:val="00895D6C"/>
    <w:rsid w:val="008967D8"/>
    <w:rsid w:val="00896EE8"/>
    <w:rsid w:val="008971DB"/>
    <w:rsid w:val="008972E3"/>
    <w:rsid w:val="008974A8"/>
    <w:rsid w:val="008A0346"/>
    <w:rsid w:val="008A117E"/>
    <w:rsid w:val="008A120B"/>
    <w:rsid w:val="008A1250"/>
    <w:rsid w:val="008A127E"/>
    <w:rsid w:val="008A20FE"/>
    <w:rsid w:val="008A2E96"/>
    <w:rsid w:val="008A33D2"/>
    <w:rsid w:val="008A3A78"/>
    <w:rsid w:val="008A3D3E"/>
    <w:rsid w:val="008A3D42"/>
    <w:rsid w:val="008A424A"/>
    <w:rsid w:val="008A4297"/>
    <w:rsid w:val="008A4533"/>
    <w:rsid w:val="008A4B5B"/>
    <w:rsid w:val="008A4FE5"/>
    <w:rsid w:val="008A5116"/>
    <w:rsid w:val="008A55C4"/>
    <w:rsid w:val="008A5CD2"/>
    <w:rsid w:val="008A613A"/>
    <w:rsid w:val="008A64B1"/>
    <w:rsid w:val="008A6721"/>
    <w:rsid w:val="008A6CBF"/>
    <w:rsid w:val="008A7487"/>
    <w:rsid w:val="008A753F"/>
    <w:rsid w:val="008A793A"/>
    <w:rsid w:val="008A7B59"/>
    <w:rsid w:val="008A7E47"/>
    <w:rsid w:val="008A7FCE"/>
    <w:rsid w:val="008B0B43"/>
    <w:rsid w:val="008B0FC6"/>
    <w:rsid w:val="008B1083"/>
    <w:rsid w:val="008B138F"/>
    <w:rsid w:val="008B191B"/>
    <w:rsid w:val="008B1F3F"/>
    <w:rsid w:val="008B268A"/>
    <w:rsid w:val="008B3754"/>
    <w:rsid w:val="008B3EB7"/>
    <w:rsid w:val="008B4080"/>
    <w:rsid w:val="008B4495"/>
    <w:rsid w:val="008B4E13"/>
    <w:rsid w:val="008B51D7"/>
    <w:rsid w:val="008B52B9"/>
    <w:rsid w:val="008B54F7"/>
    <w:rsid w:val="008B5B32"/>
    <w:rsid w:val="008B5C1A"/>
    <w:rsid w:val="008B600E"/>
    <w:rsid w:val="008B6D74"/>
    <w:rsid w:val="008B6E76"/>
    <w:rsid w:val="008B7035"/>
    <w:rsid w:val="008B707E"/>
    <w:rsid w:val="008B7267"/>
    <w:rsid w:val="008B73AD"/>
    <w:rsid w:val="008B74F7"/>
    <w:rsid w:val="008B75E5"/>
    <w:rsid w:val="008B7CD2"/>
    <w:rsid w:val="008B7D12"/>
    <w:rsid w:val="008B7EE4"/>
    <w:rsid w:val="008B7FFA"/>
    <w:rsid w:val="008C0657"/>
    <w:rsid w:val="008C091D"/>
    <w:rsid w:val="008C0C3A"/>
    <w:rsid w:val="008C11BC"/>
    <w:rsid w:val="008C1247"/>
    <w:rsid w:val="008C135D"/>
    <w:rsid w:val="008C1B4E"/>
    <w:rsid w:val="008C2130"/>
    <w:rsid w:val="008C2452"/>
    <w:rsid w:val="008C2485"/>
    <w:rsid w:val="008C287A"/>
    <w:rsid w:val="008C2AC8"/>
    <w:rsid w:val="008C2CD1"/>
    <w:rsid w:val="008C2D8F"/>
    <w:rsid w:val="008C3254"/>
    <w:rsid w:val="008C360A"/>
    <w:rsid w:val="008C3649"/>
    <w:rsid w:val="008C3BEF"/>
    <w:rsid w:val="008C44AF"/>
    <w:rsid w:val="008C46A0"/>
    <w:rsid w:val="008C4DB2"/>
    <w:rsid w:val="008C5362"/>
    <w:rsid w:val="008C5DD5"/>
    <w:rsid w:val="008C5E99"/>
    <w:rsid w:val="008C5F52"/>
    <w:rsid w:val="008C68D8"/>
    <w:rsid w:val="008C695D"/>
    <w:rsid w:val="008C7164"/>
    <w:rsid w:val="008C7A6A"/>
    <w:rsid w:val="008C7ED1"/>
    <w:rsid w:val="008D27CA"/>
    <w:rsid w:val="008D28B0"/>
    <w:rsid w:val="008D3619"/>
    <w:rsid w:val="008D3C9D"/>
    <w:rsid w:val="008D4024"/>
    <w:rsid w:val="008D4A58"/>
    <w:rsid w:val="008D5198"/>
    <w:rsid w:val="008D5E33"/>
    <w:rsid w:val="008D5E47"/>
    <w:rsid w:val="008D6625"/>
    <w:rsid w:val="008D6F46"/>
    <w:rsid w:val="008D7999"/>
    <w:rsid w:val="008E0250"/>
    <w:rsid w:val="008E0293"/>
    <w:rsid w:val="008E0A83"/>
    <w:rsid w:val="008E0AC4"/>
    <w:rsid w:val="008E0FBA"/>
    <w:rsid w:val="008E1A58"/>
    <w:rsid w:val="008E1C8C"/>
    <w:rsid w:val="008E2571"/>
    <w:rsid w:val="008E25CC"/>
    <w:rsid w:val="008E3A07"/>
    <w:rsid w:val="008E3E2E"/>
    <w:rsid w:val="008E3F08"/>
    <w:rsid w:val="008E40DE"/>
    <w:rsid w:val="008E4121"/>
    <w:rsid w:val="008E4152"/>
    <w:rsid w:val="008E5397"/>
    <w:rsid w:val="008E5830"/>
    <w:rsid w:val="008E61BB"/>
    <w:rsid w:val="008E6F9A"/>
    <w:rsid w:val="008E72B6"/>
    <w:rsid w:val="008E75AC"/>
    <w:rsid w:val="008E78AF"/>
    <w:rsid w:val="008E79FE"/>
    <w:rsid w:val="008E7C1C"/>
    <w:rsid w:val="008E7ECD"/>
    <w:rsid w:val="008F03EC"/>
    <w:rsid w:val="008F085A"/>
    <w:rsid w:val="008F0D27"/>
    <w:rsid w:val="008F0DBB"/>
    <w:rsid w:val="008F0F6A"/>
    <w:rsid w:val="008F10B0"/>
    <w:rsid w:val="008F1340"/>
    <w:rsid w:val="008F14FF"/>
    <w:rsid w:val="008F1887"/>
    <w:rsid w:val="008F21DA"/>
    <w:rsid w:val="008F3804"/>
    <w:rsid w:val="008F3BDA"/>
    <w:rsid w:val="008F3C3C"/>
    <w:rsid w:val="008F51C1"/>
    <w:rsid w:val="008F5850"/>
    <w:rsid w:val="008F5973"/>
    <w:rsid w:val="008F5F1F"/>
    <w:rsid w:val="008F5FF8"/>
    <w:rsid w:val="008F6000"/>
    <w:rsid w:val="008F68FE"/>
    <w:rsid w:val="008F69FB"/>
    <w:rsid w:val="008F75AF"/>
    <w:rsid w:val="008F7B7A"/>
    <w:rsid w:val="009000EB"/>
    <w:rsid w:val="009003D7"/>
    <w:rsid w:val="00900E84"/>
    <w:rsid w:val="00901562"/>
    <w:rsid w:val="009017A5"/>
    <w:rsid w:val="009017B2"/>
    <w:rsid w:val="00901B64"/>
    <w:rsid w:val="00901C50"/>
    <w:rsid w:val="00901C8E"/>
    <w:rsid w:val="00902253"/>
    <w:rsid w:val="00902352"/>
    <w:rsid w:val="009023C4"/>
    <w:rsid w:val="0090282B"/>
    <w:rsid w:val="009028AF"/>
    <w:rsid w:val="00902E24"/>
    <w:rsid w:val="009030F3"/>
    <w:rsid w:val="00903593"/>
    <w:rsid w:val="00903617"/>
    <w:rsid w:val="00903876"/>
    <w:rsid w:val="009039DC"/>
    <w:rsid w:val="009048D7"/>
    <w:rsid w:val="00904D41"/>
    <w:rsid w:val="00905123"/>
    <w:rsid w:val="009057E2"/>
    <w:rsid w:val="00905FE3"/>
    <w:rsid w:val="00906F62"/>
    <w:rsid w:val="00907135"/>
    <w:rsid w:val="00907632"/>
    <w:rsid w:val="00907E61"/>
    <w:rsid w:val="009108A8"/>
    <w:rsid w:val="009115F0"/>
    <w:rsid w:val="0091201C"/>
    <w:rsid w:val="009124A9"/>
    <w:rsid w:val="0091268B"/>
    <w:rsid w:val="009129DC"/>
    <w:rsid w:val="009129E5"/>
    <w:rsid w:val="00913240"/>
    <w:rsid w:val="00913418"/>
    <w:rsid w:val="00913428"/>
    <w:rsid w:val="00913511"/>
    <w:rsid w:val="00913678"/>
    <w:rsid w:val="00913BBB"/>
    <w:rsid w:val="009141DB"/>
    <w:rsid w:val="00914530"/>
    <w:rsid w:val="009147A0"/>
    <w:rsid w:val="00914B2F"/>
    <w:rsid w:val="00914D81"/>
    <w:rsid w:val="00914F97"/>
    <w:rsid w:val="00914FD9"/>
    <w:rsid w:val="00915AC1"/>
    <w:rsid w:val="009160C4"/>
    <w:rsid w:val="00916323"/>
    <w:rsid w:val="00916884"/>
    <w:rsid w:val="00916DE5"/>
    <w:rsid w:val="00917144"/>
    <w:rsid w:val="0091725C"/>
    <w:rsid w:val="009200B6"/>
    <w:rsid w:val="0092022F"/>
    <w:rsid w:val="00920277"/>
    <w:rsid w:val="0092034C"/>
    <w:rsid w:val="009209E0"/>
    <w:rsid w:val="00920B0C"/>
    <w:rsid w:val="00920DF5"/>
    <w:rsid w:val="00920E8B"/>
    <w:rsid w:val="00921421"/>
    <w:rsid w:val="0092174E"/>
    <w:rsid w:val="00921C5D"/>
    <w:rsid w:val="00921C6A"/>
    <w:rsid w:val="00922036"/>
    <w:rsid w:val="00922716"/>
    <w:rsid w:val="00922833"/>
    <w:rsid w:val="00922980"/>
    <w:rsid w:val="00922A41"/>
    <w:rsid w:val="00922C48"/>
    <w:rsid w:val="00922FFA"/>
    <w:rsid w:val="00923B45"/>
    <w:rsid w:val="009245A4"/>
    <w:rsid w:val="00924F7F"/>
    <w:rsid w:val="00925642"/>
    <w:rsid w:val="00926305"/>
    <w:rsid w:val="009263EB"/>
    <w:rsid w:val="00926810"/>
    <w:rsid w:val="00926A63"/>
    <w:rsid w:val="00926D1A"/>
    <w:rsid w:val="009273A2"/>
    <w:rsid w:val="0092790E"/>
    <w:rsid w:val="00927937"/>
    <w:rsid w:val="009306DA"/>
    <w:rsid w:val="00930BBF"/>
    <w:rsid w:val="00930BD1"/>
    <w:rsid w:val="00931052"/>
    <w:rsid w:val="00931D82"/>
    <w:rsid w:val="00931F83"/>
    <w:rsid w:val="00931F94"/>
    <w:rsid w:val="0093238D"/>
    <w:rsid w:val="009326C4"/>
    <w:rsid w:val="00933B7E"/>
    <w:rsid w:val="00933CCE"/>
    <w:rsid w:val="00933F41"/>
    <w:rsid w:val="00934221"/>
    <w:rsid w:val="009342C3"/>
    <w:rsid w:val="00934AA7"/>
    <w:rsid w:val="00934FB3"/>
    <w:rsid w:val="00934FE1"/>
    <w:rsid w:val="00935550"/>
    <w:rsid w:val="0093560F"/>
    <w:rsid w:val="00935B40"/>
    <w:rsid w:val="00935C95"/>
    <w:rsid w:val="00935CA9"/>
    <w:rsid w:val="00935DA0"/>
    <w:rsid w:val="0093668E"/>
    <w:rsid w:val="009368C8"/>
    <w:rsid w:val="009368F0"/>
    <w:rsid w:val="00936AC8"/>
    <w:rsid w:val="00937BF4"/>
    <w:rsid w:val="00940B6E"/>
    <w:rsid w:val="00941D36"/>
    <w:rsid w:val="0094213F"/>
    <w:rsid w:val="00942458"/>
    <w:rsid w:val="00942493"/>
    <w:rsid w:val="00942951"/>
    <w:rsid w:val="00942D6F"/>
    <w:rsid w:val="009430ED"/>
    <w:rsid w:val="009438B0"/>
    <w:rsid w:val="00943B20"/>
    <w:rsid w:val="00943B5F"/>
    <w:rsid w:val="00943F40"/>
    <w:rsid w:val="009445E4"/>
    <w:rsid w:val="00944705"/>
    <w:rsid w:val="00944DE2"/>
    <w:rsid w:val="00945A66"/>
    <w:rsid w:val="00945CE1"/>
    <w:rsid w:val="00946252"/>
    <w:rsid w:val="009464B1"/>
    <w:rsid w:val="00946BDB"/>
    <w:rsid w:val="00946E07"/>
    <w:rsid w:val="009475F1"/>
    <w:rsid w:val="00947D5C"/>
    <w:rsid w:val="00950083"/>
    <w:rsid w:val="009505DE"/>
    <w:rsid w:val="009505E5"/>
    <w:rsid w:val="00950697"/>
    <w:rsid w:val="00950B9D"/>
    <w:rsid w:val="009516F7"/>
    <w:rsid w:val="00951F5B"/>
    <w:rsid w:val="009520E1"/>
    <w:rsid w:val="00952117"/>
    <w:rsid w:val="0095237F"/>
    <w:rsid w:val="00952603"/>
    <w:rsid w:val="009528D9"/>
    <w:rsid w:val="009528E9"/>
    <w:rsid w:val="00952AA9"/>
    <w:rsid w:val="00952B1E"/>
    <w:rsid w:val="00952DF4"/>
    <w:rsid w:val="00953380"/>
    <w:rsid w:val="00953384"/>
    <w:rsid w:val="00953692"/>
    <w:rsid w:val="00953A78"/>
    <w:rsid w:val="00954599"/>
    <w:rsid w:val="00954921"/>
    <w:rsid w:val="009550E2"/>
    <w:rsid w:val="0095523A"/>
    <w:rsid w:val="009556C1"/>
    <w:rsid w:val="00955A2D"/>
    <w:rsid w:val="00956041"/>
    <w:rsid w:val="009561E9"/>
    <w:rsid w:val="009563EC"/>
    <w:rsid w:val="00956428"/>
    <w:rsid w:val="009564CA"/>
    <w:rsid w:val="00956B8C"/>
    <w:rsid w:val="00956EAB"/>
    <w:rsid w:val="00956FE0"/>
    <w:rsid w:val="00957AC6"/>
    <w:rsid w:val="0096039E"/>
    <w:rsid w:val="009603B0"/>
    <w:rsid w:val="00962957"/>
    <w:rsid w:val="00962B54"/>
    <w:rsid w:val="00962E16"/>
    <w:rsid w:val="00963530"/>
    <w:rsid w:val="009637EB"/>
    <w:rsid w:val="00963AF6"/>
    <w:rsid w:val="00963E31"/>
    <w:rsid w:val="00963F9B"/>
    <w:rsid w:val="00964DAA"/>
    <w:rsid w:val="00964F9C"/>
    <w:rsid w:val="00965946"/>
    <w:rsid w:val="009661CF"/>
    <w:rsid w:val="009664FD"/>
    <w:rsid w:val="0096670E"/>
    <w:rsid w:val="00966D92"/>
    <w:rsid w:val="009706DA"/>
    <w:rsid w:val="00970F9C"/>
    <w:rsid w:val="009718FD"/>
    <w:rsid w:val="00971A13"/>
    <w:rsid w:val="00971C03"/>
    <w:rsid w:val="0097253A"/>
    <w:rsid w:val="00972B3D"/>
    <w:rsid w:val="0097318A"/>
    <w:rsid w:val="009733D3"/>
    <w:rsid w:val="009740CA"/>
    <w:rsid w:val="00974E55"/>
    <w:rsid w:val="00975268"/>
    <w:rsid w:val="009757CF"/>
    <w:rsid w:val="00975A7C"/>
    <w:rsid w:val="00975E18"/>
    <w:rsid w:val="0097667C"/>
    <w:rsid w:val="009768AA"/>
    <w:rsid w:val="00976FF5"/>
    <w:rsid w:val="0097703E"/>
    <w:rsid w:val="00977C47"/>
    <w:rsid w:val="00980130"/>
    <w:rsid w:val="00980509"/>
    <w:rsid w:val="00980820"/>
    <w:rsid w:val="00980CC4"/>
    <w:rsid w:val="00981099"/>
    <w:rsid w:val="00981575"/>
    <w:rsid w:val="00981737"/>
    <w:rsid w:val="00981C84"/>
    <w:rsid w:val="00981D85"/>
    <w:rsid w:val="00981FFC"/>
    <w:rsid w:val="0098240C"/>
    <w:rsid w:val="00982EA5"/>
    <w:rsid w:val="009831E1"/>
    <w:rsid w:val="0098389F"/>
    <w:rsid w:val="00983999"/>
    <w:rsid w:val="0098422A"/>
    <w:rsid w:val="00984285"/>
    <w:rsid w:val="009843FC"/>
    <w:rsid w:val="00984427"/>
    <w:rsid w:val="009849C8"/>
    <w:rsid w:val="00984E30"/>
    <w:rsid w:val="00984FD6"/>
    <w:rsid w:val="009859D2"/>
    <w:rsid w:val="00985A62"/>
    <w:rsid w:val="00985A96"/>
    <w:rsid w:val="00985C9F"/>
    <w:rsid w:val="0098644B"/>
    <w:rsid w:val="00986DBE"/>
    <w:rsid w:val="009871EC"/>
    <w:rsid w:val="00987815"/>
    <w:rsid w:val="0098785E"/>
    <w:rsid w:val="00987B66"/>
    <w:rsid w:val="0099021D"/>
    <w:rsid w:val="00990483"/>
    <w:rsid w:val="00990C96"/>
    <w:rsid w:val="00990D19"/>
    <w:rsid w:val="00990E4A"/>
    <w:rsid w:val="00991218"/>
    <w:rsid w:val="00991653"/>
    <w:rsid w:val="00991972"/>
    <w:rsid w:val="00991BC2"/>
    <w:rsid w:val="00991D93"/>
    <w:rsid w:val="00991DCC"/>
    <w:rsid w:val="00992094"/>
    <w:rsid w:val="00992173"/>
    <w:rsid w:val="00993695"/>
    <w:rsid w:val="00993947"/>
    <w:rsid w:val="00993A3C"/>
    <w:rsid w:val="00993BA6"/>
    <w:rsid w:val="0099447C"/>
    <w:rsid w:val="00994608"/>
    <w:rsid w:val="009949F0"/>
    <w:rsid w:val="00994BAC"/>
    <w:rsid w:val="00994BB8"/>
    <w:rsid w:val="00994CE6"/>
    <w:rsid w:val="009953F7"/>
    <w:rsid w:val="00995E8D"/>
    <w:rsid w:val="009962A4"/>
    <w:rsid w:val="0099635C"/>
    <w:rsid w:val="009969C9"/>
    <w:rsid w:val="00996FA0"/>
    <w:rsid w:val="00997119"/>
    <w:rsid w:val="00997331"/>
    <w:rsid w:val="00997577"/>
    <w:rsid w:val="00997823"/>
    <w:rsid w:val="00997AB4"/>
    <w:rsid w:val="009A02F1"/>
    <w:rsid w:val="009A02FC"/>
    <w:rsid w:val="009A0463"/>
    <w:rsid w:val="009A0F1B"/>
    <w:rsid w:val="009A1220"/>
    <w:rsid w:val="009A156C"/>
    <w:rsid w:val="009A17AF"/>
    <w:rsid w:val="009A223C"/>
    <w:rsid w:val="009A273B"/>
    <w:rsid w:val="009A3305"/>
    <w:rsid w:val="009A4260"/>
    <w:rsid w:val="009A4B5E"/>
    <w:rsid w:val="009A566E"/>
    <w:rsid w:val="009A5B20"/>
    <w:rsid w:val="009A5C7E"/>
    <w:rsid w:val="009A6081"/>
    <w:rsid w:val="009A624E"/>
    <w:rsid w:val="009A6415"/>
    <w:rsid w:val="009A6A8E"/>
    <w:rsid w:val="009A6BC8"/>
    <w:rsid w:val="009A6F96"/>
    <w:rsid w:val="009A7176"/>
    <w:rsid w:val="009A7637"/>
    <w:rsid w:val="009A7818"/>
    <w:rsid w:val="009A7C06"/>
    <w:rsid w:val="009A7D46"/>
    <w:rsid w:val="009B010C"/>
    <w:rsid w:val="009B0437"/>
    <w:rsid w:val="009B0776"/>
    <w:rsid w:val="009B0AF0"/>
    <w:rsid w:val="009B0F3E"/>
    <w:rsid w:val="009B1445"/>
    <w:rsid w:val="009B16CB"/>
    <w:rsid w:val="009B1B5C"/>
    <w:rsid w:val="009B2164"/>
    <w:rsid w:val="009B23FE"/>
    <w:rsid w:val="009B295E"/>
    <w:rsid w:val="009B2CF1"/>
    <w:rsid w:val="009B2E32"/>
    <w:rsid w:val="009B314C"/>
    <w:rsid w:val="009B356D"/>
    <w:rsid w:val="009B3701"/>
    <w:rsid w:val="009B42FA"/>
    <w:rsid w:val="009B486D"/>
    <w:rsid w:val="009B48B1"/>
    <w:rsid w:val="009B5ABE"/>
    <w:rsid w:val="009B5BC8"/>
    <w:rsid w:val="009B5C11"/>
    <w:rsid w:val="009B61D5"/>
    <w:rsid w:val="009B6239"/>
    <w:rsid w:val="009B63BE"/>
    <w:rsid w:val="009B6C71"/>
    <w:rsid w:val="009B6D85"/>
    <w:rsid w:val="009B6F6A"/>
    <w:rsid w:val="009B7467"/>
    <w:rsid w:val="009B77BC"/>
    <w:rsid w:val="009B7BC5"/>
    <w:rsid w:val="009C0083"/>
    <w:rsid w:val="009C06E1"/>
    <w:rsid w:val="009C0847"/>
    <w:rsid w:val="009C0B91"/>
    <w:rsid w:val="009C2572"/>
    <w:rsid w:val="009C25DF"/>
    <w:rsid w:val="009C26A8"/>
    <w:rsid w:val="009C2B3D"/>
    <w:rsid w:val="009C2C6D"/>
    <w:rsid w:val="009C2EED"/>
    <w:rsid w:val="009C307E"/>
    <w:rsid w:val="009C311F"/>
    <w:rsid w:val="009C3AF0"/>
    <w:rsid w:val="009C42D7"/>
    <w:rsid w:val="009C4547"/>
    <w:rsid w:val="009C460F"/>
    <w:rsid w:val="009C4BCB"/>
    <w:rsid w:val="009C4C49"/>
    <w:rsid w:val="009C4D26"/>
    <w:rsid w:val="009C5163"/>
    <w:rsid w:val="009C537B"/>
    <w:rsid w:val="009C59BE"/>
    <w:rsid w:val="009C5F28"/>
    <w:rsid w:val="009C62AE"/>
    <w:rsid w:val="009C62E3"/>
    <w:rsid w:val="009C64F4"/>
    <w:rsid w:val="009C6546"/>
    <w:rsid w:val="009C70E8"/>
    <w:rsid w:val="009C7256"/>
    <w:rsid w:val="009C72BA"/>
    <w:rsid w:val="009D051A"/>
    <w:rsid w:val="009D05E0"/>
    <w:rsid w:val="009D0860"/>
    <w:rsid w:val="009D0FC4"/>
    <w:rsid w:val="009D197E"/>
    <w:rsid w:val="009D2090"/>
    <w:rsid w:val="009D2205"/>
    <w:rsid w:val="009D224A"/>
    <w:rsid w:val="009D25C6"/>
    <w:rsid w:val="009D2631"/>
    <w:rsid w:val="009D2C47"/>
    <w:rsid w:val="009D331D"/>
    <w:rsid w:val="009D41EB"/>
    <w:rsid w:val="009D537D"/>
    <w:rsid w:val="009D54D2"/>
    <w:rsid w:val="009D5846"/>
    <w:rsid w:val="009D6172"/>
    <w:rsid w:val="009D69F7"/>
    <w:rsid w:val="009D6C08"/>
    <w:rsid w:val="009D7281"/>
    <w:rsid w:val="009D7706"/>
    <w:rsid w:val="009D7767"/>
    <w:rsid w:val="009E02EB"/>
    <w:rsid w:val="009E05CC"/>
    <w:rsid w:val="009E0815"/>
    <w:rsid w:val="009E0D78"/>
    <w:rsid w:val="009E14CE"/>
    <w:rsid w:val="009E1BA8"/>
    <w:rsid w:val="009E1E5F"/>
    <w:rsid w:val="009E2413"/>
    <w:rsid w:val="009E3BD7"/>
    <w:rsid w:val="009E4611"/>
    <w:rsid w:val="009E49E8"/>
    <w:rsid w:val="009E4A30"/>
    <w:rsid w:val="009E4C4F"/>
    <w:rsid w:val="009E4D86"/>
    <w:rsid w:val="009E5D3B"/>
    <w:rsid w:val="009E6C56"/>
    <w:rsid w:val="009E7561"/>
    <w:rsid w:val="009F0A4C"/>
    <w:rsid w:val="009F0BA5"/>
    <w:rsid w:val="009F13AC"/>
    <w:rsid w:val="009F16DA"/>
    <w:rsid w:val="009F17F2"/>
    <w:rsid w:val="009F1857"/>
    <w:rsid w:val="009F2877"/>
    <w:rsid w:val="009F2C5F"/>
    <w:rsid w:val="009F2D9B"/>
    <w:rsid w:val="009F3162"/>
    <w:rsid w:val="009F41D0"/>
    <w:rsid w:val="009F430C"/>
    <w:rsid w:val="009F4AE8"/>
    <w:rsid w:val="009F5097"/>
    <w:rsid w:val="009F5160"/>
    <w:rsid w:val="009F51AD"/>
    <w:rsid w:val="009F51E2"/>
    <w:rsid w:val="009F56D9"/>
    <w:rsid w:val="009F59DC"/>
    <w:rsid w:val="009F6B6C"/>
    <w:rsid w:val="009F6D88"/>
    <w:rsid w:val="009F7705"/>
    <w:rsid w:val="009F778D"/>
    <w:rsid w:val="00A01103"/>
    <w:rsid w:val="00A023C6"/>
    <w:rsid w:val="00A024FC"/>
    <w:rsid w:val="00A02629"/>
    <w:rsid w:val="00A02BDC"/>
    <w:rsid w:val="00A02C2A"/>
    <w:rsid w:val="00A02CAB"/>
    <w:rsid w:val="00A02EA2"/>
    <w:rsid w:val="00A03262"/>
    <w:rsid w:val="00A03670"/>
    <w:rsid w:val="00A03792"/>
    <w:rsid w:val="00A03A6D"/>
    <w:rsid w:val="00A03D2D"/>
    <w:rsid w:val="00A03FE4"/>
    <w:rsid w:val="00A04F1E"/>
    <w:rsid w:val="00A05630"/>
    <w:rsid w:val="00A05B52"/>
    <w:rsid w:val="00A05C71"/>
    <w:rsid w:val="00A06349"/>
    <w:rsid w:val="00A06B4A"/>
    <w:rsid w:val="00A07095"/>
    <w:rsid w:val="00A070FA"/>
    <w:rsid w:val="00A07591"/>
    <w:rsid w:val="00A105C5"/>
    <w:rsid w:val="00A10753"/>
    <w:rsid w:val="00A110A3"/>
    <w:rsid w:val="00A114E0"/>
    <w:rsid w:val="00A11956"/>
    <w:rsid w:val="00A122B1"/>
    <w:rsid w:val="00A125F5"/>
    <w:rsid w:val="00A12D6D"/>
    <w:rsid w:val="00A13137"/>
    <w:rsid w:val="00A13D58"/>
    <w:rsid w:val="00A14765"/>
    <w:rsid w:val="00A14CF2"/>
    <w:rsid w:val="00A15E9B"/>
    <w:rsid w:val="00A16C23"/>
    <w:rsid w:val="00A1769D"/>
    <w:rsid w:val="00A20437"/>
    <w:rsid w:val="00A2076B"/>
    <w:rsid w:val="00A2092A"/>
    <w:rsid w:val="00A226A5"/>
    <w:rsid w:val="00A2287B"/>
    <w:rsid w:val="00A22B21"/>
    <w:rsid w:val="00A22EF6"/>
    <w:rsid w:val="00A22FAE"/>
    <w:rsid w:val="00A23038"/>
    <w:rsid w:val="00A230F7"/>
    <w:rsid w:val="00A231AC"/>
    <w:rsid w:val="00A233BA"/>
    <w:rsid w:val="00A234CC"/>
    <w:rsid w:val="00A241B3"/>
    <w:rsid w:val="00A24A71"/>
    <w:rsid w:val="00A2545F"/>
    <w:rsid w:val="00A25538"/>
    <w:rsid w:val="00A25CE8"/>
    <w:rsid w:val="00A26332"/>
    <w:rsid w:val="00A26528"/>
    <w:rsid w:val="00A26B44"/>
    <w:rsid w:val="00A270AD"/>
    <w:rsid w:val="00A271DB"/>
    <w:rsid w:val="00A2765F"/>
    <w:rsid w:val="00A27C87"/>
    <w:rsid w:val="00A302AE"/>
    <w:rsid w:val="00A305CA"/>
    <w:rsid w:val="00A31260"/>
    <w:rsid w:val="00A3146F"/>
    <w:rsid w:val="00A314CB"/>
    <w:rsid w:val="00A3150E"/>
    <w:rsid w:val="00A319FE"/>
    <w:rsid w:val="00A31BDB"/>
    <w:rsid w:val="00A32022"/>
    <w:rsid w:val="00A3274A"/>
    <w:rsid w:val="00A328D2"/>
    <w:rsid w:val="00A32A1C"/>
    <w:rsid w:val="00A32BA3"/>
    <w:rsid w:val="00A345C8"/>
    <w:rsid w:val="00A34820"/>
    <w:rsid w:val="00A354D7"/>
    <w:rsid w:val="00A35AF5"/>
    <w:rsid w:val="00A365AE"/>
    <w:rsid w:val="00A366D8"/>
    <w:rsid w:val="00A36AEB"/>
    <w:rsid w:val="00A3761C"/>
    <w:rsid w:val="00A37F93"/>
    <w:rsid w:val="00A402A1"/>
    <w:rsid w:val="00A40BFA"/>
    <w:rsid w:val="00A41A59"/>
    <w:rsid w:val="00A41EA4"/>
    <w:rsid w:val="00A424D4"/>
    <w:rsid w:val="00A425B2"/>
    <w:rsid w:val="00A425CF"/>
    <w:rsid w:val="00A4295C"/>
    <w:rsid w:val="00A42978"/>
    <w:rsid w:val="00A432AC"/>
    <w:rsid w:val="00A43723"/>
    <w:rsid w:val="00A43A49"/>
    <w:rsid w:val="00A4409A"/>
    <w:rsid w:val="00A442C6"/>
    <w:rsid w:val="00A44522"/>
    <w:rsid w:val="00A445D9"/>
    <w:rsid w:val="00A452EE"/>
    <w:rsid w:val="00A4553B"/>
    <w:rsid w:val="00A455C7"/>
    <w:rsid w:val="00A45730"/>
    <w:rsid w:val="00A45B3E"/>
    <w:rsid w:val="00A45C4F"/>
    <w:rsid w:val="00A45C52"/>
    <w:rsid w:val="00A4615F"/>
    <w:rsid w:val="00A46675"/>
    <w:rsid w:val="00A4667A"/>
    <w:rsid w:val="00A46CB0"/>
    <w:rsid w:val="00A47485"/>
    <w:rsid w:val="00A477CE"/>
    <w:rsid w:val="00A478C4"/>
    <w:rsid w:val="00A50405"/>
    <w:rsid w:val="00A5069B"/>
    <w:rsid w:val="00A50775"/>
    <w:rsid w:val="00A50D54"/>
    <w:rsid w:val="00A50E09"/>
    <w:rsid w:val="00A5169E"/>
    <w:rsid w:val="00A51C45"/>
    <w:rsid w:val="00A51FA4"/>
    <w:rsid w:val="00A520BC"/>
    <w:rsid w:val="00A52D6C"/>
    <w:rsid w:val="00A5337A"/>
    <w:rsid w:val="00A5361F"/>
    <w:rsid w:val="00A53726"/>
    <w:rsid w:val="00A5376B"/>
    <w:rsid w:val="00A53899"/>
    <w:rsid w:val="00A53A7C"/>
    <w:rsid w:val="00A54306"/>
    <w:rsid w:val="00A54AD0"/>
    <w:rsid w:val="00A54E6B"/>
    <w:rsid w:val="00A55DF4"/>
    <w:rsid w:val="00A5646D"/>
    <w:rsid w:val="00A56AAB"/>
    <w:rsid w:val="00A56CCC"/>
    <w:rsid w:val="00A57866"/>
    <w:rsid w:val="00A57F1D"/>
    <w:rsid w:val="00A60E90"/>
    <w:rsid w:val="00A61047"/>
    <w:rsid w:val="00A613CA"/>
    <w:rsid w:val="00A615CE"/>
    <w:rsid w:val="00A61DD6"/>
    <w:rsid w:val="00A62275"/>
    <w:rsid w:val="00A624C0"/>
    <w:rsid w:val="00A6275B"/>
    <w:rsid w:val="00A627AF"/>
    <w:rsid w:val="00A62EFF"/>
    <w:rsid w:val="00A63309"/>
    <w:rsid w:val="00A633D1"/>
    <w:rsid w:val="00A6390B"/>
    <w:rsid w:val="00A63AE6"/>
    <w:rsid w:val="00A63B9C"/>
    <w:rsid w:val="00A63DA3"/>
    <w:rsid w:val="00A64A4A"/>
    <w:rsid w:val="00A64CE5"/>
    <w:rsid w:val="00A65869"/>
    <w:rsid w:val="00A658D5"/>
    <w:rsid w:val="00A65ADD"/>
    <w:rsid w:val="00A65C3A"/>
    <w:rsid w:val="00A668FF"/>
    <w:rsid w:val="00A67B95"/>
    <w:rsid w:val="00A67BE5"/>
    <w:rsid w:val="00A67C9C"/>
    <w:rsid w:val="00A67ED9"/>
    <w:rsid w:val="00A70154"/>
    <w:rsid w:val="00A702AA"/>
    <w:rsid w:val="00A70522"/>
    <w:rsid w:val="00A70663"/>
    <w:rsid w:val="00A70727"/>
    <w:rsid w:val="00A70A6F"/>
    <w:rsid w:val="00A70FAC"/>
    <w:rsid w:val="00A71220"/>
    <w:rsid w:val="00A713BE"/>
    <w:rsid w:val="00A7156C"/>
    <w:rsid w:val="00A71662"/>
    <w:rsid w:val="00A717B5"/>
    <w:rsid w:val="00A72C88"/>
    <w:rsid w:val="00A73D95"/>
    <w:rsid w:val="00A73E8C"/>
    <w:rsid w:val="00A74BB0"/>
    <w:rsid w:val="00A75D89"/>
    <w:rsid w:val="00A75DF4"/>
    <w:rsid w:val="00A75FFF"/>
    <w:rsid w:val="00A76771"/>
    <w:rsid w:val="00A7729A"/>
    <w:rsid w:val="00A774D0"/>
    <w:rsid w:val="00A77638"/>
    <w:rsid w:val="00A777AB"/>
    <w:rsid w:val="00A77DDE"/>
    <w:rsid w:val="00A77EB7"/>
    <w:rsid w:val="00A80161"/>
    <w:rsid w:val="00A8066F"/>
    <w:rsid w:val="00A80AAF"/>
    <w:rsid w:val="00A80C33"/>
    <w:rsid w:val="00A8182B"/>
    <w:rsid w:val="00A81D35"/>
    <w:rsid w:val="00A823D0"/>
    <w:rsid w:val="00A833E3"/>
    <w:rsid w:val="00A83C78"/>
    <w:rsid w:val="00A83F0C"/>
    <w:rsid w:val="00A8422D"/>
    <w:rsid w:val="00A843B4"/>
    <w:rsid w:val="00A84408"/>
    <w:rsid w:val="00A8457D"/>
    <w:rsid w:val="00A8474B"/>
    <w:rsid w:val="00A84821"/>
    <w:rsid w:val="00A84A01"/>
    <w:rsid w:val="00A84B44"/>
    <w:rsid w:val="00A84C0A"/>
    <w:rsid w:val="00A84DB5"/>
    <w:rsid w:val="00A85390"/>
    <w:rsid w:val="00A85424"/>
    <w:rsid w:val="00A85503"/>
    <w:rsid w:val="00A86341"/>
    <w:rsid w:val="00A865C0"/>
    <w:rsid w:val="00A86863"/>
    <w:rsid w:val="00A86952"/>
    <w:rsid w:val="00A86E6E"/>
    <w:rsid w:val="00A87170"/>
    <w:rsid w:val="00A87A1B"/>
    <w:rsid w:val="00A87A5E"/>
    <w:rsid w:val="00A87C40"/>
    <w:rsid w:val="00A9016A"/>
    <w:rsid w:val="00A90B90"/>
    <w:rsid w:val="00A91370"/>
    <w:rsid w:val="00A9210E"/>
    <w:rsid w:val="00A92C36"/>
    <w:rsid w:val="00A93190"/>
    <w:rsid w:val="00A931B2"/>
    <w:rsid w:val="00A93593"/>
    <w:rsid w:val="00A936CA"/>
    <w:rsid w:val="00A936FA"/>
    <w:rsid w:val="00A93CBF"/>
    <w:rsid w:val="00A93E55"/>
    <w:rsid w:val="00A94A52"/>
    <w:rsid w:val="00A94E60"/>
    <w:rsid w:val="00A957ED"/>
    <w:rsid w:val="00A95B3C"/>
    <w:rsid w:val="00A95C6E"/>
    <w:rsid w:val="00A95E0B"/>
    <w:rsid w:val="00A96B7B"/>
    <w:rsid w:val="00A96F76"/>
    <w:rsid w:val="00A974BC"/>
    <w:rsid w:val="00A97896"/>
    <w:rsid w:val="00A978A6"/>
    <w:rsid w:val="00A97925"/>
    <w:rsid w:val="00A97D89"/>
    <w:rsid w:val="00AA01E6"/>
    <w:rsid w:val="00AA031E"/>
    <w:rsid w:val="00AA0B8A"/>
    <w:rsid w:val="00AA0EDA"/>
    <w:rsid w:val="00AA2D29"/>
    <w:rsid w:val="00AA2DDD"/>
    <w:rsid w:val="00AA33AC"/>
    <w:rsid w:val="00AA3A51"/>
    <w:rsid w:val="00AA4689"/>
    <w:rsid w:val="00AA4AC0"/>
    <w:rsid w:val="00AA5F82"/>
    <w:rsid w:val="00AA60F1"/>
    <w:rsid w:val="00AA64B8"/>
    <w:rsid w:val="00AA65A7"/>
    <w:rsid w:val="00AA6714"/>
    <w:rsid w:val="00AA69BD"/>
    <w:rsid w:val="00AA7756"/>
    <w:rsid w:val="00AB0082"/>
    <w:rsid w:val="00AB0952"/>
    <w:rsid w:val="00AB0C23"/>
    <w:rsid w:val="00AB0F98"/>
    <w:rsid w:val="00AB0F9B"/>
    <w:rsid w:val="00AB0FD6"/>
    <w:rsid w:val="00AB1176"/>
    <w:rsid w:val="00AB15F5"/>
    <w:rsid w:val="00AB1BBA"/>
    <w:rsid w:val="00AB1BD9"/>
    <w:rsid w:val="00AB225E"/>
    <w:rsid w:val="00AB2E0A"/>
    <w:rsid w:val="00AB36A2"/>
    <w:rsid w:val="00AB3D3D"/>
    <w:rsid w:val="00AB3DCC"/>
    <w:rsid w:val="00AB3E72"/>
    <w:rsid w:val="00AB42DF"/>
    <w:rsid w:val="00AB45DB"/>
    <w:rsid w:val="00AB5356"/>
    <w:rsid w:val="00AB5500"/>
    <w:rsid w:val="00AB5A4B"/>
    <w:rsid w:val="00AB5B61"/>
    <w:rsid w:val="00AB5D31"/>
    <w:rsid w:val="00AB5D7A"/>
    <w:rsid w:val="00AB61CC"/>
    <w:rsid w:val="00AB6A14"/>
    <w:rsid w:val="00AB7319"/>
    <w:rsid w:val="00AB7D49"/>
    <w:rsid w:val="00AB7EBB"/>
    <w:rsid w:val="00AC04A6"/>
    <w:rsid w:val="00AC1847"/>
    <w:rsid w:val="00AC1E79"/>
    <w:rsid w:val="00AC2069"/>
    <w:rsid w:val="00AC2701"/>
    <w:rsid w:val="00AC2875"/>
    <w:rsid w:val="00AC292B"/>
    <w:rsid w:val="00AC2CDE"/>
    <w:rsid w:val="00AC2EEE"/>
    <w:rsid w:val="00AC35A6"/>
    <w:rsid w:val="00AC38EC"/>
    <w:rsid w:val="00AC3925"/>
    <w:rsid w:val="00AC43DC"/>
    <w:rsid w:val="00AC519A"/>
    <w:rsid w:val="00AC5236"/>
    <w:rsid w:val="00AC5356"/>
    <w:rsid w:val="00AC5A35"/>
    <w:rsid w:val="00AC633F"/>
    <w:rsid w:val="00AC666C"/>
    <w:rsid w:val="00AC70C8"/>
    <w:rsid w:val="00AC7BFC"/>
    <w:rsid w:val="00AD044E"/>
    <w:rsid w:val="00AD0957"/>
    <w:rsid w:val="00AD0C5D"/>
    <w:rsid w:val="00AD0EC5"/>
    <w:rsid w:val="00AD15F7"/>
    <w:rsid w:val="00AD160B"/>
    <w:rsid w:val="00AD1A03"/>
    <w:rsid w:val="00AD2325"/>
    <w:rsid w:val="00AD27FF"/>
    <w:rsid w:val="00AD2ADE"/>
    <w:rsid w:val="00AD2C9D"/>
    <w:rsid w:val="00AD3471"/>
    <w:rsid w:val="00AD3C3D"/>
    <w:rsid w:val="00AD3C44"/>
    <w:rsid w:val="00AD3EBF"/>
    <w:rsid w:val="00AD478B"/>
    <w:rsid w:val="00AD4BF7"/>
    <w:rsid w:val="00AD5334"/>
    <w:rsid w:val="00AD5552"/>
    <w:rsid w:val="00AD557F"/>
    <w:rsid w:val="00AD57AF"/>
    <w:rsid w:val="00AD5891"/>
    <w:rsid w:val="00AD5D46"/>
    <w:rsid w:val="00AD66CC"/>
    <w:rsid w:val="00AD6728"/>
    <w:rsid w:val="00AD6917"/>
    <w:rsid w:val="00AD69E5"/>
    <w:rsid w:val="00AD7116"/>
    <w:rsid w:val="00AD739F"/>
    <w:rsid w:val="00AD780C"/>
    <w:rsid w:val="00AD7CCE"/>
    <w:rsid w:val="00AD7D64"/>
    <w:rsid w:val="00AE0328"/>
    <w:rsid w:val="00AE03A0"/>
    <w:rsid w:val="00AE05E4"/>
    <w:rsid w:val="00AE0C84"/>
    <w:rsid w:val="00AE0EC6"/>
    <w:rsid w:val="00AE1659"/>
    <w:rsid w:val="00AE1868"/>
    <w:rsid w:val="00AE18B3"/>
    <w:rsid w:val="00AE1E48"/>
    <w:rsid w:val="00AE226B"/>
    <w:rsid w:val="00AE2C46"/>
    <w:rsid w:val="00AE317F"/>
    <w:rsid w:val="00AE3876"/>
    <w:rsid w:val="00AE39DB"/>
    <w:rsid w:val="00AE40C6"/>
    <w:rsid w:val="00AE4429"/>
    <w:rsid w:val="00AE45B3"/>
    <w:rsid w:val="00AE4C61"/>
    <w:rsid w:val="00AE5948"/>
    <w:rsid w:val="00AE6C26"/>
    <w:rsid w:val="00AE6C77"/>
    <w:rsid w:val="00AE6DD4"/>
    <w:rsid w:val="00AE7163"/>
    <w:rsid w:val="00AE76CC"/>
    <w:rsid w:val="00AE7817"/>
    <w:rsid w:val="00AF016A"/>
    <w:rsid w:val="00AF022B"/>
    <w:rsid w:val="00AF0350"/>
    <w:rsid w:val="00AF037E"/>
    <w:rsid w:val="00AF0448"/>
    <w:rsid w:val="00AF0623"/>
    <w:rsid w:val="00AF112E"/>
    <w:rsid w:val="00AF173F"/>
    <w:rsid w:val="00AF1848"/>
    <w:rsid w:val="00AF1F65"/>
    <w:rsid w:val="00AF217A"/>
    <w:rsid w:val="00AF255E"/>
    <w:rsid w:val="00AF25DD"/>
    <w:rsid w:val="00AF2667"/>
    <w:rsid w:val="00AF2DB4"/>
    <w:rsid w:val="00AF2DF2"/>
    <w:rsid w:val="00AF30A2"/>
    <w:rsid w:val="00AF31EC"/>
    <w:rsid w:val="00AF3435"/>
    <w:rsid w:val="00AF4276"/>
    <w:rsid w:val="00AF47E8"/>
    <w:rsid w:val="00AF58B2"/>
    <w:rsid w:val="00AF58E6"/>
    <w:rsid w:val="00AF5BBB"/>
    <w:rsid w:val="00AF6488"/>
    <w:rsid w:val="00AF6698"/>
    <w:rsid w:val="00AF66A6"/>
    <w:rsid w:val="00AF6DB6"/>
    <w:rsid w:val="00AF6EE0"/>
    <w:rsid w:val="00AF72F3"/>
    <w:rsid w:val="00AF749D"/>
    <w:rsid w:val="00AF74DC"/>
    <w:rsid w:val="00AF7A00"/>
    <w:rsid w:val="00AF7A28"/>
    <w:rsid w:val="00AF7CFD"/>
    <w:rsid w:val="00AF7D02"/>
    <w:rsid w:val="00AF7E24"/>
    <w:rsid w:val="00AF7ED3"/>
    <w:rsid w:val="00B0001D"/>
    <w:rsid w:val="00B0055C"/>
    <w:rsid w:val="00B006D7"/>
    <w:rsid w:val="00B011C6"/>
    <w:rsid w:val="00B01222"/>
    <w:rsid w:val="00B012DD"/>
    <w:rsid w:val="00B0190B"/>
    <w:rsid w:val="00B01AB6"/>
    <w:rsid w:val="00B01D7E"/>
    <w:rsid w:val="00B01E1D"/>
    <w:rsid w:val="00B01EFE"/>
    <w:rsid w:val="00B01F8C"/>
    <w:rsid w:val="00B021FD"/>
    <w:rsid w:val="00B023C0"/>
    <w:rsid w:val="00B02E50"/>
    <w:rsid w:val="00B030E2"/>
    <w:rsid w:val="00B03340"/>
    <w:rsid w:val="00B03B3F"/>
    <w:rsid w:val="00B04148"/>
    <w:rsid w:val="00B0457E"/>
    <w:rsid w:val="00B04FAB"/>
    <w:rsid w:val="00B05A8D"/>
    <w:rsid w:val="00B05BBE"/>
    <w:rsid w:val="00B05DD9"/>
    <w:rsid w:val="00B05ECC"/>
    <w:rsid w:val="00B0621C"/>
    <w:rsid w:val="00B0674C"/>
    <w:rsid w:val="00B06A98"/>
    <w:rsid w:val="00B0706C"/>
    <w:rsid w:val="00B079DF"/>
    <w:rsid w:val="00B07E00"/>
    <w:rsid w:val="00B10274"/>
    <w:rsid w:val="00B104D5"/>
    <w:rsid w:val="00B105A4"/>
    <w:rsid w:val="00B10E98"/>
    <w:rsid w:val="00B115F1"/>
    <w:rsid w:val="00B11738"/>
    <w:rsid w:val="00B11CD8"/>
    <w:rsid w:val="00B12596"/>
    <w:rsid w:val="00B12A33"/>
    <w:rsid w:val="00B135FF"/>
    <w:rsid w:val="00B13661"/>
    <w:rsid w:val="00B13708"/>
    <w:rsid w:val="00B1479D"/>
    <w:rsid w:val="00B14AE1"/>
    <w:rsid w:val="00B14CA7"/>
    <w:rsid w:val="00B14CD9"/>
    <w:rsid w:val="00B155E4"/>
    <w:rsid w:val="00B166BA"/>
    <w:rsid w:val="00B16889"/>
    <w:rsid w:val="00B16AB7"/>
    <w:rsid w:val="00B16D1C"/>
    <w:rsid w:val="00B203C0"/>
    <w:rsid w:val="00B20A26"/>
    <w:rsid w:val="00B20C29"/>
    <w:rsid w:val="00B2110B"/>
    <w:rsid w:val="00B21335"/>
    <w:rsid w:val="00B214D8"/>
    <w:rsid w:val="00B218FB"/>
    <w:rsid w:val="00B21C6C"/>
    <w:rsid w:val="00B21E98"/>
    <w:rsid w:val="00B21FB4"/>
    <w:rsid w:val="00B22BCF"/>
    <w:rsid w:val="00B235A4"/>
    <w:rsid w:val="00B24745"/>
    <w:rsid w:val="00B25395"/>
    <w:rsid w:val="00B25A84"/>
    <w:rsid w:val="00B25B92"/>
    <w:rsid w:val="00B262E0"/>
    <w:rsid w:val="00B264B2"/>
    <w:rsid w:val="00B2650D"/>
    <w:rsid w:val="00B26CF1"/>
    <w:rsid w:val="00B26F0B"/>
    <w:rsid w:val="00B2794A"/>
    <w:rsid w:val="00B27C49"/>
    <w:rsid w:val="00B30136"/>
    <w:rsid w:val="00B3019C"/>
    <w:rsid w:val="00B3021C"/>
    <w:rsid w:val="00B313F9"/>
    <w:rsid w:val="00B3194F"/>
    <w:rsid w:val="00B31CF0"/>
    <w:rsid w:val="00B31DAC"/>
    <w:rsid w:val="00B324B0"/>
    <w:rsid w:val="00B32748"/>
    <w:rsid w:val="00B32B9E"/>
    <w:rsid w:val="00B33D1A"/>
    <w:rsid w:val="00B33EE2"/>
    <w:rsid w:val="00B3428F"/>
    <w:rsid w:val="00B3454B"/>
    <w:rsid w:val="00B35195"/>
    <w:rsid w:val="00B35655"/>
    <w:rsid w:val="00B35D37"/>
    <w:rsid w:val="00B36137"/>
    <w:rsid w:val="00B36322"/>
    <w:rsid w:val="00B370EF"/>
    <w:rsid w:val="00B372DE"/>
    <w:rsid w:val="00B37FA6"/>
    <w:rsid w:val="00B4018A"/>
    <w:rsid w:val="00B40497"/>
    <w:rsid w:val="00B40735"/>
    <w:rsid w:val="00B41672"/>
    <w:rsid w:val="00B41FF2"/>
    <w:rsid w:val="00B420BF"/>
    <w:rsid w:val="00B4280A"/>
    <w:rsid w:val="00B4291E"/>
    <w:rsid w:val="00B42CA9"/>
    <w:rsid w:val="00B42D5E"/>
    <w:rsid w:val="00B43D67"/>
    <w:rsid w:val="00B43DD3"/>
    <w:rsid w:val="00B4480A"/>
    <w:rsid w:val="00B44A33"/>
    <w:rsid w:val="00B44D3A"/>
    <w:rsid w:val="00B45187"/>
    <w:rsid w:val="00B454DC"/>
    <w:rsid w:val="00B45784"/>
    <w:rsid w:val="00B4611F"/>
    <w:rsid w:val="00B4620D"/>
    <w:rsid w:val="00B47C14"/>
    <w:rsid w:val="00B50716"/>
    <w:rsid w:val="00B510D6"/>
    <w:rsid w:val="00B51402"/>
    <w:rsid w:val="00B517CE"/>
    <w:rsid w:val="00B51826"/>
    <w:rsid w:val="00B51883"/>
    <w:rsid w:val="00B5197B"/>
    <w:rsid w:val="00B51ACF"/>
    <w:rsid w:val="00B51C00"/>
    <w:rsid w:val="00B51D04"/>
    <w:rsid w:val="00B520E0"/>
    <w:rsid w:val="00B5221C"/>
    <w:rsid w:val="00B5271B"/>
    <w:rsid w:val="00B528FA"/>
    <w:rsid w:val="00B530E4"/>
    <w:rsid w:val="00B53472"/>
    <w:rsid w:val="00B53855"/>
    <w:rsid w:val="00B53948"/>
    <w:rsid w:val="00B5413D"/>
    <w:rsid w:val="00B5494A"/>
    <w:rsid w:val="00B54C70"/>
    <w:rsid w:val="00B54FE4"/>
    <w:rsid w:val="00B55828"/>
    <w:rsid w:val="00B55935"/>
    <w:rsid w:val="00B55B75"/>
    <w:rsid w:val="00B55E33"/>
    <w:rsid w:val="00B561EA"/>
    <w:rsid w:val="00B56A11"/>
    <w:rsid w:val="00B56DD9"/>
    <w:rsid w:val="00B56E5B"/>
    <w:rsid w:val="00B571C2"/>
    <w:rsid w:val="00B5726F"/>
    <w:rsid w:val="00B573B6"/>
    <w:rsid w:val="00B577EC"/>
    <w:rsid w:val="00B57837"/>
    <w:rsid w:val="00B57DB6"/>
    <w:rsid w:val="00B603AD"/>
    <w:rsid w:val="00B60677"/>
    <w:rsid w:val="00B60814"/>
    <w:rsid w:val="00B60DBD"/>
    <w:rsid w:val="00B60E16"/>
    <w:rsid w:val="00B60E20"/>
    <w:rsid w:val="00B61475"/>
    <w:rsid w:val="00B61881"/>
    <w:rsid w:val="00B631AF"/>
    <w:rsid w:val="00B63272"/>
    <w:rsid w:val="00B63920"/>
    <w:rsid w:val="00B63C97"/>
    <w:rsid w:val="00B63CAD"/>
    <w:rsid w:val="00B63D55"/>
    <w:rsid w:val="00B642A5"/>
    <w:rsid w:val="00B644F5"/>
    <w:rsid w:val="00B645D7"/>
    <w:rsid w:val="00B64D56"/>
    <w:rsid w:val="00B65724"/>
    <w:rsid w:val="00B65726"/>
    <w:rsid w:val="00B659F8"/>
    <w:rsid w:val="00B65D27"/>
    <w:rsid w:val="00B65D49"/>
    <w:rsid w:val="00B65F0B"/>
    <w:rsid w:val="00B66247"/>
    <w:rsid w:val="00B664A0"/>
    <w:rsid w:val="00B66980"/>
    <w:rsid w:val="00B66B60"/>
    <w:rsid w:val="00B66CA2"/>
    <w:rsid w:val="00B66E1F"/>
    <w:rsid w:val="00B67575"/>
    <w:rsid w:val="00B67CF2"/>
    <w:rsid w:val="00B67D13"/>
    <w:rsid w:val="00B70035"/>
    <w:rsid w:val="00B7035E"/>
    <w:rsid w:val="00B708CA"/>
    <w:rsid w:val="00B71706"/>
    <w:rsid w:val="00B7187B"/>
    <w:rsid w:val="00B7258D"/>
    <w:rsid w:val="00B731C2"/>
    <w:rsid w:val="00B733C1"/>
    <w:rsid w:val="00B73554"/>
    <w:rsid w:val="00B74344"/>
    <w:rsid w:val="00B746E7"/>
    <w:rsid w:val="00B74CB8"/>
    <w:rsid w:val="00B74E9C"/>
    <w:rsid w:val="00B7594A"/>
    <w:rsid w:val="00B75CB5"/>
    <w:rsid w:val="00B7730A"/>
    <w:rsid w:val="00B7742D"/>
    <w:rsid w:val="00B77A69"/>
    <w:rsid w:val="00B77ADF"/>
    <w:rsid w:val="00B80560"/>
    <w:rsid w:val="00B805A0"/>
    <w:rsid w:val="00B80B15"/>
    <w:rsid w:val="00B81DC3"/>
    <w:rsid w:val="00B82B08"/>
    <w:rsid w:val="00B84326"/>
    <w:rsid w:val="00B844EE"/>
    <w:rsid w:val="00B84533"/>
    <w:rsid w:val="00B84741"/>
    <w:rsid w:val="00B84AF2"/>
    <w:rsid w:val="00B84B07"/>
    <w:rsid w:val="00B84C94"/>
    <w:rsid w:val="00B84D5D"/>
    <w:rsid w:val="00B8510F"/>
    <w:rsid w:val="00B853F5"/>
    <w:rsid w:val="00B8578F"/>
    <w:rsid w:val="00B859E0"/>
    <w:rsid w:val="00B85F6F"/>
    <w:rsid w:val="00B864CB"/>
    <w:rsid w:val="00B8669D"/>
    <w:rsid w:val="00B86BB8"/>
    <w:rsid w:val="00B87472"/>
    <w:rsid w:val="00B87E96"/>
    <w:rsid w:val="00B901A2"/>
    <w:rsid w:val="00B901C4"/>
    <w:rsid w:val="00B90885"/>
    <w:rsid w:val="00B9091B"/>
    <w:rsid w:val="00B915B7"/>
    <w:rsid w:val="00B91672"/>
    <w:rsid w:val="00B9213F"/>
    <w:rsid w:val="00B927E2"/>
    <w:rsid w:val="00B92AD3"/>
    <w:rsid w:val="00B9382B"/>
    <w:rsid w:val="00B941A8"/>
    <w:rsid w:val="00B94383"/>
    <w:rsid w:val="00B944E9"/>
    <w:rsid w:val="00B945C1"/>
    <w:rsid w:val="00B94E5C"/>
    <w:rsid w:val="00B952E4"/>
    <w:rsid w:val="00B9543A"/>
    <w:rsid w:val="00B95CD1"/>
    <w:rsid w:val="00B95F5F"/>
    <w:rsid w:val="00B9648B"/>
    <w:rsid w:val="00B96A42"/>
    <w:rsid w:val="00B96AFA"/>
    <w:rsid w:val="00B96F7C"/>
    <w:rsid w:val="00BA03C1"/>
    <w:rsid w:val="00BA05E6"/>
    <w:rsid w:val="00BA0959"/>
    <w:rsid w:val="00BA1426"/>
    <w:rsid w:val="00BA1D03"/>
    <w:rsid w:val="00BA1FB3"/>
    <w:rsid w:val="00BA21DC"/>
    <w:rsid w:val="00BA28BE"/>
    <w:rsid w:val="00BA301C"/>
    <w:rsid w:val="00BA313F"/>
    <w:rsid w:val="00BA32A4"/>
    <w:rsid w:val="00BA384B"/>
    <w:rsid w:val="00BA3A7F"/>
    <w:rsid w:val="00BA41A2"/>
    <w:rsid w:val="00BA564D"/>
    <w:rsid w:val="00BA58EE"/>
    <w:rsid w:val="00BA5A1D"/>
    <w:rsid w:val="00BA5B70"/>
    <w:rsid w:val="00BA60C2"/>
    <w:rsid w:val="00BA60C8"/>
    <w:rsid w:val="00BA6358"/>
    <w:rsid w:val="00BA63E9"/>
    <w:rsid w:val="00BA6499"/>
    <w:rsid w:val="00BA6E19"/>
    <w:rsid w:val="00BA7CB7"/>
    <w:rsid w:val="00BB03D2"/>
    <w:rsid w:val="00BB04E1"/>
    <w:rsid w:val="00BB1121"/>
    <w:rsid w:val="00BB1BA6"/>
    <w:rsid w:val="00BB1DF5"/>
    <w:rsid w:val="00BB1E63"/>
    <w:rsid w:val="00BB1EAF"/>
    <w:rsid w:val="00BB2707"/>
    <w:rsid w:val="00BB273B"/>
    <w:rsid w:val="00BB27E7"/>
    <w:rsid w:val="00BB2808"/>
    <w:rsid w:val="00BB2865"/>
    <w:rsid w:val="00BB2D06"/>
    <w:rsid w:val="00BB2E6F"/>
    <w:rsid w:val="00BB38A5"/>
    <w:rsid w:val="00BB3B33"/>
    <w:rsid w:val="00BB3EEE"/>
    <w:rsid w:val="00BB40D9"/>
    <w:rsid w:val="00BB439B"/>
    <w:rsid w:val="00BB44D5"/>
    <w:rsid w:val="00BB4712"/>
    <w:rsid w:val="00BB5B48"/>
    <w:rsid w:val="00BB615B"/>
    <w:rsid w:val="00BB6706"/>
    <w:rsid w:val="00BB7309"/>
    <w:rsid w:val="00BB7E37"/>
    <w:rsid w:val="00BB7E88"/>
    <w:rsid w:val="00BC08FB"/>
    <w:rsid w:val="00BC0D8D"/>
    <w:rsid w:val="00BC0F08"/>
    <w:rsid w:val="00BC108B"/>
    <w:rsid w:val="00BC123C"/>
    <w:rsid w:val="00BC123E"/>
    <w:rsid w:val="00BC1336"/>
    <w:rsid w:val="00BC1362"/>
    <w:rsid w:val="00BC16A9"/>
    <w:rsid w:val="00BC1B76"/>
    <w:rsid w:val="00BC1EE1"/>
    <w:rsid w:val="00BC2366"/>
    <w:rsid w:val="00BC2EEA"/>
    <w:rsid w:val="00BC30CA"/>
    <w:rsid w:val="00BC46D4"/>
    <w:rsid w:val="00BC48E4"/>
    <w:rsid w:val="00BC547F"/>
    <w:rsid w:val="00BC56D7"/>
    <w:rsid w:val="00BC676D"/>
    <w:rsid w:val="00BC6AE4"/>
    <w:rsid w:val="00BC72DA"/>
    <w:rsid w:val="00BC747C"/>
    <w:rsid w:val="00BC7B09"/>
    <w:rsid w:val="00BC7BA8"/>
    <w:rsid w:val="00BD0123"/>
    <w:rsid w:val="00BD02DF"/>
    <w:rsid w:val="00BD02E1"/>
    <w:rsid w:val="00BD096F"/>
    <w:rsid w:val="00BD10D8"/>
    <w:rsid w:val="00BD13D4"/>
    <w:rsid w:val="00BD141C"/>
    <w:rsid w:val="00BD1930"/>
    <w:rsid w:val="00BD29AC"/>
    <w:rsid w:val="00BD2EB3"/>
    <w:rsid w:val="00BD304F"/>
    <w:rsid w:val="00BD3134"/>
    <w:rsid w:val="00BD319B"/>
    <w:rsid w:val="00BD3304"/>
    <w:rsid w:val="00BD40CF"/>
    <w:rsid w:val="00BD4350"/>
    <w:rsid w:val="00BD48BD"/>
    <w:rsid w:val="00BD4B78"/>
    <w:rsid w:val="00BD4E00"/>
    <w:rsid w:val="00BD4EAC"/>
    <w:rsid w:val="00BD61EE"/>
    <w:rsid w:val="00BD642E"/>
    <w:rsid w:val="00BD686E"/>
    <w:rsid w:val="00BD6A91"/>
    <w:rsid w:val="00BD7176"/>
    <w:rsid w:val="00BD7191"/>
    <w:rsid w:val="00BD7378"/>
    <w:rsid w:val="00BE1250"/>
    <w:rsid w:val="00BE16D4"/>
    <w:rsid w:val="00BE1967"/>
    <w:rsid w:val="00BE204D"/>
    <w:rsid w:val="00BE20E6"/>
    <w:rsid w:val="00BE2A82"/>
    <w:rsid w:val="00BE2CCC"/>
    <w:rsid w:val="00BE3A0F"/>
    <w:rsid w:val="00BE3B9B"/>
    <w:rsid w:val="00BE3C5B"/>
    <w:rsid w:val="00BE3C62"/>
    <w:rsid w:val="00BE3CA1"/>
    <w:rsid w:val="00BE4401"/>
    <w:rsid w:val="00BE4980"/>
    <w:rsid w:val="00BE4C4C"/>
    <w:rsid w:val="00BE4EC6"/>
    <w:rsid w:val="00BE52E9"/>
    <w:rsid w:val="00BE54EA"/>
    <w:rsid w:val="00BE5586"/>
    <w:rsid w:val="00BE572C"/>
    <w:rsid w:val="00BE6994"/>
    <w:rsid w:val="00BE69F7"/>
    <w:rsid w:val="00BE6EFC"/>
    <w:rsid w:val="00BE6FED"/>
    <w:rsid w:val="00BE70FB"/>
    <w:rsid w:val="00BE7F8D"/>
    <w:rsid w:val="00BF0965"/>
    <w:rsid w:val="00BF0C28"/>
    <w:rsid w:val="00BF0C58"/>
    <w:rsid w:val="00BF18CA"/>
    <w:rsid w:val="00BF1955"/>
    <w:rsid w:val="00BF1AFC"/>
    <w:rsid w:val="00BF24B4"/>
    <w:rsid w:val="00BF2A79"/>
    <w:rsid w:val="00BF2AB6"/>
    <w:rsid w:val="00BF2B88"/>
    <w:rsid w:val="00BF3191"/>
    <w:rsid w:val="00BF32DD"/>
    <w:rsid w:val="00BF3F84"/>
    <w:rsid w:val="00BF425E"/>
    <w:rsid w:val="00BF43A8"/>
    <w:rsid w:val="00BF4B3B"/>
    <w:rsid w:val="00BF4B9F"/>
    <w:rsid w:val="00BF4E20"/>
    <w:rsid w:val="00BF51B3"/>
    <w:rsid w:val="00BF5931"/>
    <w:rsid w:val="00BF5A34"/>
    <w:rsid w:val="00BF5B47"/>
    <w:rsid w:val="00BF5D91"/>
    <w:rsid w:val="00BF5E8A"/>
    <w:rsid w:val="00BF6A73"/>
    <w:rsid w:val="00BF7310"/>
    <w:rsid w:val="00BF73FB"/>
    <w:rsid w:val="00BF740B"/>
    <w:rsid w:val="00BF7951"/>
    <w:rsid w:val="00BF7B3F"/>
    <w:rsid w:val="00C00686"/>
    <w:rsid w:val="00C0072D"/>
    <w:rsid w:val="00C0085E"/>
    <w:rsid w:val="00C00B96"/>
    <w:rsid w:val="00C00CE8"/>
    <w:rsid w:val="00C00D6E"/>
    <w:rsid w:val="00C0174C"/>
    <w:rsid w:val="00C0239B"/>
    <w:rsid w:val="00C02728"/>
    <w:rsid w:val="00C02E36"/>
    <w:rsid w:val="00C0363B"/>
    <w:rsid w:val="00C03678"/>
    <w:rsid w:val="00C053F2"/>
    <w:rsid w:val="00C05728"/>
    <w:rsid w:val="00C05AAD"/>
    <w:rsid w:val="00C05AC5"/>
    <w:rsid w:val="00C05C75"/>
    <w:rsid w:val="00C0627E"/>
    <w:rsid w:val="00C06ACB"/>
    <w:rsid w:val="00C07032"/>
    <w:rsid w:val="00C07858"/>
    <w:rsid w:val="00C0789C"/>
    <w:rsid w:val="00C07C87"/>
    <w:rsid w:val="00C10765"/>
    <w:rsid w:val="00C10BB0"/>
    <w:rsid w:val="00C112AA"/>
    <w:rsid w:val="00C1146D"/>
    <w:rsid w:val="00C11D5A"/>
    <w:rsid w:val="00C121F1"/>
    <w:rsid w:val="00C1259E"/>
    <w:rsid w:val="00C12F56"/>
    <w:rsid w:val="00C131A7"/>
    <w:rsid w:val="00C13452"/>
    <w:rsid w:val="00C137E4"/>
    <w:rsid w:val="00C1454E"/>
    <w:rsid w:val="00C146CA"/>
    <w:rsid w:val="00C14FBD"/>
    <w:rsid w:val="00C15026"/>
    <w:rsid w:val="00C15174"/>
    <w:rsid w:val="00C155B2"/>
    <w:rsid w:val="00C15636"/>
    <w:rsid w:val="00C15712"/>
    <w:rsid w:val="00C16CFD"/>
    <w:rsid w:val="00C16EB3"/>
    <w:rsid w:val="00C16EEE"/>
    <w:rsid w:val="00C17085"/>
    <w:rsid w:val="00C17A74"/>
    <w:rsid w:val="00C17A92"/>
    <w:rsid w:val="00C17CC0"/>
    <w:rsid w:val="00C17D85"/>
    <w:rsid w:val="00C17EA1"/>
    <w:rsid w:val="00C17F92"/>
    <w:rsid w:val="00C2015C"/>
    <w:rsid w:val="00C213C5"/>
    <w:rsid w:val="00C2154F"/>
    <w:rsid w:val="00C21DC4"/>
    <w:rsid w:val="00C22BEE"/>
    <w:rsid w:val="00C23347"/>
    <w:rsid w:val="00C23A4A"/>
    <w:rsid w:val="00C243DB"/>
    <w:rsid w:val="00C24667"/>
    <w:rsid w:val="00C24EE7"/>
    <w:rsid w:val="00C25930"/>
    <w:rsid w:val="00C25D1B"/>
    <w:rsid w:val="00C2648A"/>
    <w:rsid w:val="00C26DBF"/>
    <w:rsid w:val="00C26E10"/>
    <w:rsid w:val="00C27141"/>
    <w:rsid w:val="00C279A2"/>
    <w:rsid w:val="00C301A3"/>
    <w:rsid w:val="00C30259"/>
    <w:rsid w:val="00C307F4"/>
    <w:rsid w:val="00C32618"/>
    <w:rsid w:val="00C3273C"/>
    <w:rsid w:val="00C333C4"/>
    <w:rsid w:val="00C3485F"/>
    <w:rsid w:val="00C34A2B"/>
    <w:rsid w:val="00C34AF0"/>
    <w:rsid w:val="00C34DCE"/>
    <w:rsid w:val="00C34F22"/>
    <w:rsid w:val="00C34FDA"/>
    <w:rsid w:val="00C35386"/>
    <w:rsid w:val="00C353AC"/>
    <w:rsid w:val="00C355DD"/>
    <w:rsid w:val="00C3586C"/>
    <w:rsid w:val="00C35B33"/>
    <w:rsid w:val="00C35B73"/>
    <w:rsid w:val="00C3618B"/>
    <w:rsid w:val="00C36452"/>
    <w:rsid w:val="00C3684A"/>
    <w:rsid w:val="00C36A90"/>
    <w:rsid w:val="00C37203"/>
    <w:rsid w:val="00C3723D"/>
    <w:rsid w:val="00C373AE"/>
    <w:rsid w:val="00C37798"/>
    <w:rsid w:val="00C37E62"/>
    <w:rsid w:val="00C400E2"/>
    <w:rsid w:val="00C407B9"/>
    <w:rsid w:val="00C410D6"/>
    <w:rsid w:val="00C4146F"/>
    <w:rsid w:val="00C41500"/>
    <w:rsid w:val="00C41A1F"/>
    <w:rsid w:val="00C41A61"/>
    <w:rsid w:val="00C423E1"/>
    <w:rsid w:val="00C42627"/>
    <w:rsid w:val="00C42874"/>
    <w:rsid w:val="00C42A33"/>
    <w:rsid w:val="00C42D47"/>
    <w:rsid w:val="00C43209"/>
    <w:rsid w:val="00C4372D"/>
    <w:rsid w:val="00C43DCA"/>
    <w:rsid w:val="00C44597"/>
    <w:rsid w:val="00C4464B"/>
    <w:rsid w:val="00C44B35"/>
    <w:rsid w:val="00C44B99"/>
    <w:rsid w:val="00C44D64"/>
    <w:rsid w:val="00C45144"/>
    <w:rsid w:val="00C46AC9"/>
    <w:rsid w:val="00C479F3"/>
    <w:rsid w:val="00C5052B"/>
    <w:rsid w:val="00C50C2A"/>
    <w:rsid w:val="00C50F4F"/>
    <w:rsid w:val="00C511F7"/>
    <w:rsid w:val="00C52082"/>
    <w:rsid w:val="00C52388"/>
    <w:rsid w:val="00C52427"/>
    <w:rsid w:val="00C526C0"/>
    <w:rsid w:val="00C52CE7"/>
    <w:rsid w:val="00C53050"/>
    <w:rsid w:val="00C536A2"/>
    <w:rsid w:val="00C54CF2"/>
    <w:rsid w:val="00C54CF3"/>
    <w:rsid w:val="00C54F4F"/>
    <w:rsid w:val="00C550FC"/>
    <w:rsid w:val="00C55393"/>
    <w:rsid w:val="00C5581F"/>
    <w:rsid w:val="00C561BC"/>
    <w:rsid w:val="00C56209"/>
    <w:rsid w:val="00C5639E"/>
    <w:rsid w:val="00C56BE1"/>
    <w:rsid w:val="00C5718F"/>
    <w:rsid w:val="00C57932"/>
    <w:rsid w:val="00C57B06"/>
    <w:rsid w:val="00C6014F"/>
    <w:rsid w:val="00C6044B"/>
    <w:rsid w:val="00C605EB"/>
    <w:rsid w:val="00C60954"/>
    <w:rsid w:val="00C60E58"/>
    <w:rsid w:val="00C615CF"/>
    <w:rsid w:val="00C61715"/>
    <w:rsid w:val="00C62360"/>
    <w:rsid w:val="00C623E8"/>
    <w:rsid w:val="00C62742"/>
    <w:rsid w:val="00C62B2A"/>
    <w:rsid w:val="00C62DA9"/>
    <w:rsid w:val="00C631C6"/>
    <w:rsid w:val="00C63207"/>
    <w:rsid w:val="00C638FA"/>
    <w:rsid w:val="00C6456C"/>
    <w:rsid w:val="00C64578"/>
    <w:rsid w:val="00C64B42"/>
    <w:rsid w:val="00C65DD7"/>
    <w:rsid w:val="00C6653E"/>
    <w:rsid w:val="00C66BA5"/>
    <w:rsid w:val="00C6714A"/>
    <w:rsid w:val="00C700F2"/>
    <w:rsid w:val="00C70799"/>
    <w:rsid w:val="00C70839"/>
    <w:rsid w:val="00C71031"/>
    <w:rsid w:val="00C719E4"/>
    <w:rsid w:val="00C71E07"/>
    <w:rsid w:val="00C71E81"/>
    <w:rsid w:val="00C71F9F"/>
    <w:rsid w:val="00C721D2"/>
    <w:rsid w:val="00C72692"/>
    <w:rsid w:val="00C72DE6"/>
    <w:rsid w:val="00C72ECD"/>
    <w:rsid w:val="00C73272"/>
    <w:rsid w:val="00C7342A"/>
    <w:rsid w:val="00C73496"/>
    <w:rsid w:val="00C73616"/>
    <w:rsid w:val="00C7383B"/>
    <w:rsid w:val="00C73FF5"/>
    <w:rsid w:val="00C74506"/>
    <w:rsid w:val="00C749E1"/>
    <w:rsid w:val="00C74B2A"/>
    <w:rsid w:val="00C74F9A"/>
    <w:rsid w:val="00C75203"/>
    <w:rsid w:val="00C755F7"/>
    <w:rsid w:val="00C759D5"/>
    <w:rsid w:val="00C7610C"/>
    <w:rsid w:val="00C763B1"/>
    <w:rsid w:val="00C77181"/>
    <w:rsid w:val="00C77546"/>
    <w:rsid w:val="00C77559"/>
    <w:rsid w:val="00C7756F"/>
    <w:rsid w:val="00C776EA"/>
    <w:rsid w:val="00C77A1D"/>
    <w:rsid w:val="00C77E11"/>
    <w:rsid w:val="00C77F83"/>
    <w:rsid w:val="00C80202"/>
    <w:rsid w:val="00C802E7"/>
    <w:rsid w:val="00C806FD"/>
    <w:rsid w:val="00C80C13"/>
    <w:rsid w:val="00C80F67"/>
    <w:rsid w:val="00C8143F"/>
    <w:rsid w:val="00C81471"/>
    <w:rsid w:val="00C81606"/>
    <w:rsid w:val="00C81D20"/>
    <w:rsid w:val="00C824C3"/>
    <w:rsid w:val="00C82847"/>
    <w:rsid w:val="00C82DC1"/>
    <w:rsid w:val="00C8381D"/>
    <w:rsid w:val="00C83A23"/>
    <w:rsid w:val="00C83A5C"/>
    <w:rsid w:val="00C83B66"/>
    <w:rsid w:val="00C840D9"/>
    <w:rsid w:val="00C84332"/>
    <w:rsid w:val="00C8450D"/>
    <w:rsid w:val="00C853A3"/>
    <w:rsid w:val="00C858A7"/>
    <w:rsid w:val="00C86011"/>
    <w:rsid w:val="00C861BC"/>
    <w:rsid w:val="00C8638B"/>
    <w:rsid w:val="00C863F9"/>
    <w:rsid w:val="00C86501"/>
    <w:rsid w:val="00C86C1E"/>
    <w:rsid w:val="00C86C3E"/>
    <w:rsid w:val="00C87108"/>
    <w:rsid w:val="00C8724F"/>
    <w:rsid w:val="00C87E2B"/>
    <w:rsid w:val="00C908B4"/>
    <w:rsid w:val="00C908DD"/>
    <w:rsid w:val="00C911D5"/>
    <w:rsid w:val="00C91239"/>
    <w:rsid w:val="00C91D33"/>
    <w:rsid w:val="00C922A6"/>
    <w:rsid w:val="00C9258D"/>
    <w:rsid w:val="00C92621"/>
    <w:rsid w:val="00C92B42"/>
    <w:rsid w:val="00C92BA6"/>
    <w:rsid w:val="00C92BFE"/>
    <w:rsid w:val="00C93048"/>
    <w:rsid w:val="00C934B9"/>
    <w:rsid w:val="00C948F0"/>
    <w:rsid w:val="00C94AE5"/>
    <w:rsid w:val="00C94DBE"/>
    <w:rsid w:val="00C95F39"/>
    <w:rsid w:val="00C969F4"/>
    <w:rsid w:val="00C970DB"/>
    <w:rsid w:val="00C97125"/>
    <w:rsid w:val="00C9754A"/>
    <w:rsid w:val="00C976CD"/>
    <w:rsid w:val="00C9772E"/>
    <w:rsid w:val="00C9787D"/>
    <w:rsid w:val="00C97ECE"/>
    <w:rsid w:val="00CA1C99"/>
    <w:rsid w:val="00CA1D6F"/>
    <w:rsid w:val="00CA1F98"/>
    <w:rsid w:val="00CA29B2"/>
    <w:rsid w:val="00CA3137"/>
    <w:rsid w:val="00CA3E2A"/>
    <w:rsid w:val="00CA3F03"/>
    <w:rsid w:val="00CA41A6"/>
    <w:rsid w:val="00CA41D7"/>
    <w:rsid w:val="00CA4B88"/>
    <w:rsid w:val="00CA4FBD"/>
    <w:rsid w:val="00CA505B"/>
    <w:rsid w:val="00CA55AA"/>
    <w:rsid w:val="00CA5649"/>
    <w:rsid w:val="00CA5E1D"/>
    <w:rsid w:val="00CA5FC2"/>
    <w:rsid w:val="00CA603C"/>
    <w:rsid w:val="00CA61AF"/>
    <w:rsid w:val="00CA64C3"/>
    <w:rsid w:val="00CA64C6"/>
    <w:rsid w:val="00CA6D8E"/>
    <w:rsid w:val="00CA73A7"/>
    <w:rsid w:val="00CA73D6"/>
    <w:rsid w:val="00CA73F8"/>
    <w:rsid w:val="00CB0492"/>
    <w:rsid w:val="00CB08D0"/>
    <w:rsid w:val="00CB12B0"/>
    <w:rsid w:val="00CB1904"/>
    <w:rsid w:val="00CB1F60"/>
    <w:rsid w:val="00CB23A5"/>
    <w:rsid w:val="00CB2AF7"/>
    <w:rsid w:val="00CB2DCD"/>
    <w:rsid w:val="00CB2FD6"/>
    <w:rsid w:val="00CB3C76"/>
    <w:rsid w:val="00CB4391"/>
    <w:rsid w:val="00CB463C"/>
    <w:rsid w:val="00CB48F9"/>
    <w:rsid w:val="00CB4E09"/>
    <w:rsid w:val="00CB52DB"/>
    <w:rsid w:val="00CB52EA"/>
    <w:rsid w:val="00CB5B4F"/>
    <w:rsid w:val="00CB5FCC"/>
    <w:rsid w:val="00CB7083"/>
    <w:rsid w:val="00CB7270"/>
    <w:rsid w:val="00CB73EF"/>
    <w:rsid w:val="00CB77BE"/>
    <w:rsid w:val="00CB7D85"/>
    <w:rsid w:val="00CC0CF1"/>
    <w:rsid w:val="00CC18D5"/>
    <w:rsid w:val="00CC1ADC"/>
    <w:rsid w:val="00CC1D9D"/>
    <w:rsid w:val="00CC220B"/>
    <w:rsid w:val="00CC2513"/>
    <w:rsid w:val="00CC26BB"/>
    <w:rsid w:val="00CC34BD"/>
    <w:rsid w:val="00CC37B9"/>
    <w:rsid w:val="00CC3BAD"/>
    <w:rsid w:val="00CC4C74"/>
    <w:rsid w:val="00CC537A"/>
    <w:rsid w:val="00CC6360"/>
    <w:rsid w:val="00CC663A"/>
    <w:rsid w:val="00CC6899"/>
    <w:rsid w:val="00CC6BEE"/>
    <w:rsid w:val="00CC7236"/>
    <w:rsid w:val="00CC76C4"/>
    <w:rsid w:val="00CC7F64"/>
    <w:rsid w:val="00CD07C5"/>
    <w:rsid w:val="00CD0AB8"/>
    <w:rsid w:val="00CD0B29"/>
    <w:rsid w:val="00CD0FB5"/>
    <w:rsid w:val="00CD0FD0"/>
    <w:rsid w:val="00CD10AC"/>
    <w:rsid w:val="00CD159A"/>
    <w:rsid w:val="00CD24AD"/>
    <w:rsid w:val="00CD25DF"/>
    <w:rsid w:val="00CD3D8E"/>
    <w:rsid w:val="00CD51EE"/>
    <w:rsid w:val="00CD558F"/>
    <w:rsid w:val="00CD59A2"/>
    <w:rsid w:val="00CD5BD4"/>
    <w:rsid w:val="00CD62BF"/>
    <w:rsid w:val="00CD62C6"/>
    <w:rsid w:val="00CD62F4"/>
    <w:rsid w:val="00CD6482"/>
    <w:rsid w:val="00CD67B0"/>
    <w:rsid w:val="00CD695D"/>
    <w:rsid w:val="00CD6CD6"/>
    <w:rsid w:val="00CD6EEE"/>
    <w:rsid w:val="00CD705D"/>
    <w:rsid w:val="00CD76E3"/>
    <w:rsid w:val="00CD7F10"/>
    <w:rsid w:val="00CE0FAC"/>
    <w:rsid w:val="00CE121A"/>
    <w:rsid w:val="00CE192B"/>
    <w:rsid w:val="00CE1C01"/>
    <w:rsid w:val="00CE1CE3"/>
    <w:rsid w:val="00CE1F32"/>
    <w:rsid w:val="00CE2236"/>
    <w:rsid w:val="00CE239F"/>
    <w:rsid w:val="00CE276E"/>
    <w:rsid w:val="00CE28BE"/>
    <w:rsid w:val="00CE2DA1"/>
    <w:rsid w:val="00CE33B9"/>
    <w:rsid w:val="00CE33CA"/>
    <w:rsid w:val="00CE3545"/>
    <w:rsid w:val="00CE3A91"/>
    <w:rsid w:val="00CE3B79"/>
    <w:rsid w:val="00CE3D77"/>
    <w:rsid w:val="00CE41FE"/>
    <w:rsid w:val="00CE47ED"/>
    <w:rsid w:val="00CE4996"/>
    <w:rsid w:val="00CE5137"/>
    <w:rsid w:val="00CE5294"/>
    <w:rsid w:val="00CE57A3"/>
    <w:rsid w:val="00CE5B31"/>
    <w:rsid w:val="00CE5B68"/>
    <w:rsid w:val="00CE5D17"/>
    <w:rsid w:val="00CE6690"/>
    <w:rsid w:val="00CE6908"/>
    <w:rsid w:val="00CE693D"/>
    <w:rsid w:val="00CE6E64"/>
    <w:rsid w:val="00CE6E91"/>
    <w:rsid w:val="00CE726E"/>
    <w:rsid w:val="00CE733F"/>
    <w:rsid w:val="00CE7B6D"/>
    <w:rsid w:val="00CF0422"/>
    <w:rsid w:val="00CF0A96"/>
    <w:rsid w:val="00CF0C99"/>
    <w:rsid w:val="00CF0D03"/>
    <w:rsid w:val="00CF0EA8"/>
    <w:rsid w:val="00CF1000"/>
    <w:rsid w:val="00CF116C"/>
    <w:rsid w:val="00CF1A7B"/>
    <w:rsid w:val="00CF2751"/>
    <w:rsid w:val="00CF2DC2"/>
    <w:rsid w:val="00CF3D6A"/>
    <w:rsid w:val="00CF4531"/>
    <w:rsid w:val="00CF4D80"/>
    <w:rsid w:val="00CF4E5D"/>
    <w:rsid w:val="00CF4F7F"/>
    <w:rsid w:val="00CF4FFA"/>
    <w:rsid w:val="00CF50AE"/>
    <w:rsid w:val="00CF545B"/>
    <w:rsid w:val="00CF5BD9"/>
    <w:rsid w:val="00CF5CAB"/>
    <w:rsid w:val="00CF5FE6"/>
    <w:rsid w:val="00CF62C7"/>
    <w:rsid w:val="00CF6527"/>
    <w:rsid w:val="00CF65E7"/>
    <w:rsid w:val="00CF6A4D"/>
    <w:rsid w:val="00CF6BC3"/>
    <w:rsid w:val="00CF762B"/>
    <w:rsid w:val="00CF776F"/>
    <w:rsid w:val="00CF7D5B"/>
    <w:rsid w:val="00CF7DB3"/>
    <w:rsid w:val="00D00497"/>
    <w:rsid w:val="00D004E0"/>
    <w:rsid w:val="00D00A81"/>
    <w:rsid w:val="00D00D3E"/>
    <w:rsid w:val="00D00E58"/>
    <w:rsid w:val="00D01CFD"/>
    <w:rsid w:val="00D01D0E"/>
    <w:rsid w:val="00D0221F"/>
    <w:rsid w:val="00D02E64"/>
    <w:rsid w:val="00D0426C"/>
    <w:rsid w:val="00D04706"/>
    <w:rsid w:val="00D04C50"/>
    <w:rsid w:val="00D04E27"/>
    <w:rsid w:val="00D04E88"/>
    <w:rsid w:val="00D04ED9"/>
    <w:rsid w:val="00D0577C"/>
    <w:rsid w:val="00D0577F"/>
    <w:rsid w:val="00D0598C"/>
    <w:rsid w:val="00D06CDA"/>
    <w:rsid w:val="00D0717E"/>
    <w:rsid w:val="00D07520"/>
    <w:rsid w:val="00D078DD"/>
    <w:rsid w:val="00D1018A"/>
    <w:rsid w:val="00D10F46"/>
    <w:rsid w:val="00D11357"/>
    <w:rsid w:val="00D1169B"/>
    <w:rsid w:val="00D117A4"/>
    <w:rsid w:val="00D12001"/>
    <w:rsid w:val="00D123CE"/>
    <w:rsid w:val="00D12457"/>
    <w:rsid w:val="00D12AF8"/>
    <w:rsid w:val="00D137F5"/>
    <w:rsid w:val="00D1388C"/>
    <w:rsid w:val="00D14A9B"/>
    <w:rsid w:val="00D14D27"/>
    <w:rsid w:val="00D15775"/>
    <w:rsid w:val="00D16054"/>
    <w:rsid w:val="00D162ED"/>
    <w:rsid w:val="00D16410"/>
    <w:rsid w:val="00D1725A"/>
    <w:rsid w:val="00D17695"/>
    <w:rsid w:val="00D213C0"/>
    <w:rsid w:val="00D2168B"/>
    <w:rsid w:val="00D22467"/>
    <w:rsid w:val="00D224EE"/>
    <w:rsid w:val="00D22F65"/>
    <w:rsid w:val="00D23348"/>
    <w:rsid w:val="00D23839"/>
    <w:rsid w:val="00D23D88"/>
    <w:rsid w:val="00D23E82"/>
    <w:rsid w:val="00D24FC9"/>
    <w:rsid w:val="00D255B8"/>
    <w:rsid w:val="00D2669A"/>
    <w:rsid w:val="00D26DD0"/>
    <w:rsid w:val="00D2701F"/>
    <w:rsid w:val="00D27196"/>
    <w:rsid w:val="00D271F3"/>
    <w:rsid w:val="00D27ADF"/>
    <w:rsid w:val="00D27B0E"/>
    <w:rsid w:val="00D27B20"/>
    <w:rsid w:val="00D27D1C"/>
    <w:rsid w:val="00D27ED3"/>
    <w:rsid w:val="00D27FAC"/>
    <w:rsid w:val="00D304AF"/>
    <w:rsid w:val="00D3065F"/>
    <w:rsid w:val="00D3066D"/>
    <w:rsid w:val="00D307A1"/>
    <w:rsid w:val="00D30EFA"/>
    <w:rsid w:val="00D32383"/>
    <w:rsid w:val="00D332BF"/>
    <w:rsid w:val="00D33629"/>
    <w:rsid w:val="00D33672"/>
    <w:rsid w:val="00D33D40"/>
    <w:rsid w:val="00D33E4C"/>
    <w:rsid w:val="00D34982"/>
    <w:rsid w:val="00D34BA7"/>
    <w:rsid w:val="00D352CA"/>
    <w:rsid w:val="00D35695"/>
    <w:rsid w:val="00D3598C"/>
    <w:rsid w:val="00D359DA"/>
    <w:rsid w:val="00D3602C"/>
    <w:rsid w:val="00D36960"/>
    <w:rsid w:val="00D369AC"/>
    <w:rsid w:val="00D36ACF"/>
    <w:rsid w:val="00D36B5A"/>
    <w:rsid w:val="00D378C3"/>
    <w:rsid w:val="00D37D58"/>
    <w:rsid w:val="00D37E36"/>
    <w:rsid w:val="00D4054A"/>
    <w:rsid w:val="00D40706"/>
    <w:rsid w:val="00D40728"/>
    <w:rsid w:val="00D40E80"/>
    <w:rsid w:val="00D41105"/>
    <w:rsid w:val="00D4158B"/>
    <w:rsid w:val="00D419A5"/>
    <w:rsid w:val="00D4220A"/>
    <w:rsid w:val="00D42AC2"/>
    <w:rsid w:val="00D43017"/>
    <w:rsid w:val="00D4301F"/>
    <w:rsid w:val="00D43A72"/>
    <w:rsid w:val="00D43F8B"/>
    <w:rsid w:val="00D44B40"/>
    <w:rsid w:val="00D44B55"/>
    <w:rsid w:val="00D45151"/>
    <w:rsid w:val="00D4528B"/>
    <w:rsid w:val="00D45939"/>
    <w:rsid w:val="00D45D8A"/>
    <w:rsid w:val="00D465A8"/>
    <w:rsid w:val="00D466F7"/>
    <w:rsid w:val="00D467A3"/>
    <w:rsid w:val="00D46A8C"/>
    <w:rsid w:val="00D47333"/>
    <w:rsid w:val="00D500A7"/>
    <w:rsid w:val="00D500D2"/>
    <w:rsid w:val="00D50342"/>
    <w:rsid w:val="00D5083A"/>
    <w:rsid w:val="00D509FF"/>
    <w:rsid w:val="00D50E69"/>
    <w:rsid w:val="00D51ABC"/>
    <w:rsid w:val="00D53403"/>
    <w:rsid w:val="00D535B8"/>
    <w:rsid w:val="00D53E46"/>
    <w:rsid w:val="00D55067"/>
    <w:rsid w:val="00D5525B"/>
    <w:rsid w:val="00D55D2C"/>
    <w:rsid w:val="00D55F44"/>
    <w:rsid w:val="00D566C0"/>
    <w:rsid w:val="00D5670C"/>
    <w:rsid w:val="00D56901"/>
    <w:rsid w:val="00D56E7D"/>
    <w:rsid w:val="00D56FD5"/>
    <w:rsid w:val="00D57582"/>
    <w:rsid w:val="00D57613"/>
    <w:rsid w:val="00D577FC"/>
    <w:rsid w:val="00D57C2E"/>
    <w:rsid w:val="00D57CA2"/>
    <w:rsid w:val="00D57D6B"/>
    <w:rsid w:val="00D60B70"/>
    <w:rsid w:val="00D614A0"/>
    <w:rsid w:val="00D61CC4"/>
    <w:rsid w:val="00D61D6B"/>
    <w:rsid w:val="00D620D6"/>
    <w:rsid w:val="00D63071"/>
    <w:rsid w:val="00D633A8"/>
    <w:rsid w:val="00D634FE"/>
    <w:rsid w:val="00D637A3"/>
    <w:rsid w:val="00D63E6D"/>
    <w:rsid w:val="00D64090"/>
    <w:rsid w:val="00D6447D"/>
    <w:rsid w:val="00D64A37"/>
    <w:rsid w:val="00D64D1A"/>
    <w:rsid w:val="00D65C27"/>
    <w:rsid w:val="00D660B0"/>
    <w:rsid w:val="00D6634F"/>
    <w:rsid w:val="00D666FB"/>
    <w:rsid w:val="00D66BA6"/>
    <w:rsid w:val="00D66FE4"/>
    <w:rsid w:val="00D6731B"/>
    <w:rsid w:val="00D67D9C"/>
    <w:rsid w:val="00D67F92"/>
    <w:rsid w:val="00D702F9"/>
    <w:rsid w:val="00D708F1"/>
    <w:rsid w:val="00D7120F"/>
    <w:rsid w:val="00D71A74"/>
    <w:rsid w:val="00D71D50"/>
    <w:rsid w:val="00D71E7C"/>
    <w:rsid w:val="00D71F51"/>
    <w:rsid w:val="00D72AFD"/>
    <w:rsid w:val="00D72C98"/>
    <w:rsid w:val="00D72F37"/>
    <w:rsid w:val="00D734C4"/>
    <w:rsid w:val="00D737AD"/>
    <w:rsid w:val="00D742D3"/>
    <w:rsid w:val="00D744FE"/>
    <w:rsid w:val="00D74A52"/>
    <w:rsid w:val="00D74D43"/>
    <w:rsid w:val="00D74DE6"/>
    <w:rsid w:val="00D7515E"/>
    <w:rsid w:val="00D751BC"/>
    <w:rsid w:val="00D75415"/>
    <w:rsid w:val="00D759FC"/>
    <w:rsid w:val="00D75A1E"/>
    <w:rsid w:val="00D75EE8"/>
    <w:rsid w:val="00D765F0"/>
    <w:rsid w:val="00D76B0C"/>
    <w:rsid w:val="00D76C7C"/>
    <w:rsid w:val="00D77B33"/>
    <w:rsid w:val="00D805F2"/>
    <w:rsid w:val="00D809D7"/>
    <w:rsid w:val="00D80CE3"/>
    <w:rsid w:val="00D8140A"/>
    <w:rsid w:val="00D81994"/>
    <w:rsid w:val="00D82174"/>
    <w:rsid w:val="00D82311"/>
    <w:rsid w:val="00D82C00"/>
    <w:rsid w:val="00D82C47"/>
    <w:rsid w:val="00D82FE6"/>
    <w:rsid w:val="00D834AF"/>
    <w:rsid w:val="00D83696"/>
    <w:rsid w:val="00D845D2"/>
    <w:rsid w:val="00D8471F"/>
    <w:rsid w:val="00D8487C"/>
    <w:rsid w:val="00D8488F"/>
    <w:rsid w:val="00D852F5"/>
    <w:rsid w:val="00D8557B"/>
    <w:rsid w:val="00D86D07"/>
    <w:rsid w:val="00D8715C"/>
    <w:rsid w:val="00D87206"/>
    <w:rsid w:val="00D8783C"/>
    <w:rsid w:val="00D8791B"/>
    <w:rsid w:val="00D87964"/>
    <w:rsid w:val="00D87AB1"/>
    <w:rsid w:val="00D87AD3"/>
    <w:rsid w:val="00D87AE8"/>
    <w:rsid w:val="00D87EC5"/>
    <w:rsid w:val="00D900DC"/>
    <w:rsid w:val="00D90359"/>
    <w:rsid w:val="00D90856"/>
    <w:rsid w:val="00D90BC9"/>
    <w:rsid w:val="00D90F75"/>
    <w:rsid w:val="00D913C2"/>
    <w:rsid w:val="00D924ED"/>
    <w:rsid w:val="00D9290A"/>
    <w:rsid w:val="00D9338C"/>
    <w:rsid w:val="00D93BEF"/>
    <w:rsid w:val="00D9420B"/>
    <w:rsid w:val="00D943A2"/>
    <w:rsid w:val="00D9441E"/>
    <w:rsid w:val="00D94502"/>
    <w:rsid w:val="00D945D2"/>
    <w:rsid w:val="00D94A4A"/>
    <w:rsid w:val="00D94FA9"/>
    <w:rsid w:val="00D94FDF"/>
    <w:rsid w:val="00D95372"/>
    <w:rsid w:val="00D953D5"/>
    <w:rsid w:val="00D956D7"/>
    <w:rsid w:val="00D959B1"/>
    <w:rsid w:val="00D96AC4"/>
    <w:rsid w:val="00D96BAA"/>
    <w:rsid w:val="00D96CA2"/>
    <w:rsid w:val="00D96D87"/>
    <w:rsid w:val="00D972AA"/>
    <w:rsid w:val="00D97839"/>
    <w:rsid w:val="00D97A1C"/>
    <w:rsid w:val="00D97E78"/>
    <w:rsid w:val="00D97FBE"/>
    <w:rsid w:val="00DA1DDB"/>
    <w:rsid w:val="00DA2102"/>
    <w:rsid w:val="00DA296D"/>
    <w:rsid w:val="00DA32D8"/>
    <w:rsid w:val="00DA3303"/>
    <w:rsid w:val="00DA3574"/>
    <w:rsid w:val="00DA3814"/>
    <w:rsid w:val="00DA3850"/>
    <w:rsid w:val="00DA3B22"/>
    <w:rsid w:val="00DA3EAC"/>
    <w:rsid w:val="00DA4DB7"/>
    <w:rsid w:val="00DA4F73"/>
    <w:rsid w:val="00DA532A"/>
    <w:rsid w:val="00DA5492"/>
    <w:rsid w:val="00DA5BB0"/>
    <w:rsid w:val="00DA6594"/>
    <w:rsid w:val="00DA67D7"/>
    <w:rsid w:val="00DA6B2A"/>
    <w:rsid w:val="00DA764C"/>
    <w:rsid w:val="00DB0208"/>
    <w:rsid w:val="00DB054F"/>
    <w:rsid w:val="00DB060D"/>
    <w:rsid w:val="00DB0735"/>
    <w:rsid w:val="00DB074E"/>
    <w:rsid w:val="00DB0985"/>
    <w:rsid w:val="00DB0E7D"/>
    <w:rsid w:val="00DB0FCB"/>
    <w:rsid w:val="00DB11D0"/>
    <w:rsid w:val="00DB1BE5"/>
    <w:rsid w:val="00DB2416"/>
    <w:rsid w:val="00DB25CC"/>
    <w:rsid w:val="00DB27EB"/>
    <w:rsid w:val="00DB45B0"/>
    <w:rsid w:val="00DB5218"/>
    <w:rsid w:val="00DB5603"/>
    <w:rsid w:val="00DB5C28"/>
    <w:rsid w:val="00DB670E"/>
    <w:rsid w:val="00DB6FA2"/>
    <w:rsid w:val="00DB7287"/>
    <w:rsid w:val="00DB7368"/>
    <w:rsid w:val="00DB769D"/>
    <w:rsid w:val="00DB79D5"/>
    <w:rsid w:val="00DB7C17"/>
    <w:rsid w:val="00DC06D2"/>
    <w:rsid w:val="00DC08E5"/>
    <w:rsid w:val="00DC11A4"/>
    <w:rsid w:val="00DC1441"/>
    <w:rsid w:val="00DC1A11"/>
    <w:rsid w:val="00DC211F"/>
    <w:rsid w:val="00DC2733"/>
    <w:rsid w:val="00DC2901"/>
    <w:rsid w:val="00DC2A13"/>
    <w:rsid w:val="00DC2EC3"/>
    <w:rsid w:val="00DC363C"/>
    <w:rsid w:val="00DC3937"/>
    <w:rsid w:val="00DC3D03"/>
    <w:rsid w:val="00DC4256"/>
    <w:rsid w:val="00DC4319"/>
    <w:rsid w:val="00DC4405"/>
    <w:rsid w:val="00DC4C78"/>
    <w:rsid w:val="00DC4D1E"/>
    <w:rsid w:val="00DC5122"/>
    <w:rsid w:val="00DC58A1"/>
    <w:rsid w:val="00DC5D37"/>
    <w:rsid w:val="00DC6161"/>
    <w:rsid w:val="00DC71EB"/>
    <w:rsid w:val="00DC7376"/>
    <w:rsid w:val="00DC780A"/>
    <w:rsid w:val="00DC7A2D"/>
    <w:rsid w:val="00DC7DBC"/>
    <w:rsid w:val="00DD0088"/>
    <w:rsid w:val="00DD019E"/>
    <w:rsid w:val="00DD0DDE"/>
    <w:rsid w:val="00DD158D"/>
    <w:rsid w:val="00DD2155"/>
    <w:rsid w:val="00DD3431"/>
    <w:rsid w:val="00DD3602"/>
    <w:rsid w:val="00DD39C1"/>
    <w:rsid w:val="00DD40B8"/>
    <w:rsid w:val="00DD45A4"/>
    <w:rsid w:val="00DD5844"/>
    <w:rsid w:val="00DD593A"/>
    <w:rsid w:val="00DD6002"/>
    <w:rsid w:val="00DD602B"/>
    <w:rsid w:val="00DD6213"/>
    <w:rsid w:val="00DD6E61"/>
    <w:rsid w:val="00DD6E67"/>
    <w:rsid w:val="00DD779C"/>
    <w:rsid w:val="00DD793E"/>
    <w:rsid w:val="00DE0844"/>
    <w:rsid w:val="00DE0866"/>
    <w:rsid w:val="00DE089E"/>
    <w:rsid w:val="00DE08FC"/>
    <w:rsid w:val="00DE1361"/>
    <w:rsid w:val="00DE1A11"/>
    <w:rsid w:val="00DE1C6B"/>
    <w:rsid w:val="00DE1ED7"/>
    <w:rsid w:val="00DE2304"/>
    <w:rsid w:val="00DE24A4"/>
    <w:rsid w:val="00DE263C"/>
    <w:rsid w:val="00DE2D04"/>
    <w:rsid w:val="00DE312B"/>
    <w:rsid w:val="00DE3173"/>
    <w:rsid w:val="00DE34EA"/>
    <w:rsid w:val="00DE35A3"/>
    <w:rsid w:val="00DE3B2E"/>
    <w:rsid w:val="00DE3E6B"/>
    <w:rsid w:val="00DE3F13"/>
    <w:rsid w:val="00DE42D5"/>
    <w:rsid w:val="00DE47E5"/>
    <w:rsid w:val="00DE4A2C"/>
    <w:rsid w:val="00DE4A7D"/>
    <w:rsid w:val="00DE57B3"/>
    <w:rsid w:val="00DE6790"/>
    <w:rsid w:val="00DE70EF"/>
    <w:rsid w:val="00DE71B2"/>
    <w:rsid w:val="00DE7458"/>
    <w:rsid w:val="00DE7483"/>
    <w:rsid w:val="00DF084A"/>
    <w:rsid w:val="00DF0DB1"/>
    <w:rsid w:val="00DF0F9F"/>
    <w:rsid w:val="00DF0FDB"/>
    <w:rsid w:val="00DF13CE"/>
    <w:rsid w:val="00DF1423"/>
    <w:rsid w:val="00DF18C4"/>
    <w:rsid w:val="00DF25C7"/>
    <w:rsid w:val="00DF2968"/>
    <w:rsid w:val="00DF3257"/>
    <w:rsid w:val="00DF36AF"/>
    <w:rsid w:val="00DF41AB"/>
    <w:rsid w:val="00DF42B5"/>
    <w:rsid w:val="00DF45CC"/>
    <w:rsid w:val="00DF4BED"/>
    <w:rsid w:val="00DF4C5B"/>
    <w:rsid w:val="00DF5A9D"/>
    <w:rsid w:val="00DF5D9C"/>
    <w:rsid w:val="00DF6B77"/>
    <w:rsid w:val="00DF6FBF"/>
    <w:rsid w:val="00DF6FDE"/>
    <w:rsid w:val="00DF7416"/>
    <w:rsid w:val="00E001FE"/>
    <w:rsid w:val="00E0023B"/>
    <w:rsid w:val="00E0053E"/>
    <w:rsid w:val="00E009F4"/>
    <w:rsid w:val="00E01088"/>
    <w:rsid w:val="00E013E4"/>
    <w:rsid w:val="00E0157B"/>
    <w:rsid w:val="00E02584"/>
    <w:rsid w:val="00E028EF"/>
    <w:rsid w:val="00E02ADD"/>
    <w:rsid w:val="00E02D09"/>
    <w:rsid w:val="00E02DAE"/>
    <w:rsid w:val="00E02FD2"/>
    <w:rsid w:val="00E03901"/>
    <w:rsid w:val="00E03EB6"/>
    <w:rsid w:val="00E04715"/>
    <w:rsid w:val="00E047A5"/>
    <w:rsid w:val="00E048B5"/>
    <w:rsid w:val="00E048C4"/>
    <w:rsid w:val="00E05AD5"/>
    <w:rsid w:val="00E05C32"/>
    <w:rsid w:val="00E05E07"/>
    <w:rsid w:val="00E05E15"/>
    <w:rsid w:val="00E06415"/>
    <w:rsid w:val="00E06536"/>
    <w:rsid w:val="00E06D1F"/>
    <w:rsid w:val="00E06D42"/>
    <w:rsid w:val="00E07571"/>
    <w:rsid w:val="00E075C9"/>
    <w:rsid w:val="00E10363"/>
    <w:rsid w:val="00E104C6"/>
    <w:rsid w:val="00E1091B"/>
    <w:rsid w:val="00E10DE3"/>
    <w:rsid w:val="00E10F83"/>
    <w:rsid w:val="00E1132F"/>
    <w:rsid w:val="00E11377"/>
    <w:rsid w:val="00E117A0"/>
    <w:rsid w:val="00E118EC"/>
    <w:rsid w:val="00E11B1B"/>
    <w:rsid w:val="00E11E86"/>
    <w:rsid w:val="00E11E97"/>
    <w:rsid w:val="00E13046"/>
    <w:rsid w:val="00E133FB"/>
    <w:rsid w:val="00E135D8"/>
    <w:rsid w:val="00E13868"/>
    <w:rsid w:val="00E14075"/>
    <w:rsid w:val="00E14327"/>
    <w:rsid w:val="00E14368"/>
    <w:rsid w:val="00E14B97"/>
    <w:rsid w:val="00E152F9"/>
    <w:rsid w:val="00E15380"/>
    <w:rsid w:val="00E15822"/>
    <w:rsid w:val="00E1598D"/>
    <w:rsid w:val="00E16121"/>
    <w:rsid w:val="00E1675C"/>
    <w:rsid w:val="00E16C25"/>
    <w:rsid w:val="00E20576"/>
    <w:rsid w:val="00E20BBE"/>
    <w:rsid w:val="00E20C28"/>
    <w:rsid w:val="00E20C30"/>
    <w:rsid w:val="00E20C52"/>
    <w:rsid w:val="00E21073"/>
    <w:rsid w:val="00E21284"/>
    <w:rsid w:val="00E2149D"/>
    <w:rsid w:val="00E214C4"/>
    <w:rsid w:val="00E21515"/>
    <w:rsid w:val="00E21DB6"/>
    <w:rsid w:val="00E228F3"/>
    <w:rsid w:val="00E22911"/>
    <w:rsid w:val="00E22E60"/>
    <w:rsid w:val="00E23CE9"/>
    <w:rsid w:val="00E24311"/>
    <w:rsid w:val="00E24684"/>
    <w:rsid w:val="00E247BC"/>
    <w:rsid w:val="00E24D8D"/>
    <w:rsid w:val="00E254CD"/>
    <w:rsid w:val="00E25560"/>
    <w:rsid w:val="00E255B4"/>
    <w:rsid w:val="00E257B2"/>
    <w:rsid w:val="00E27335"/>
    <w:rsid w:val="00E27486"/>
    <w:rsid w:val="00E274BD"/>
    <w:rsid w:val="00E27A88"/>
    <w:rsid w:val="00E300B8"/>
    <w:rsid w:val="00E30138"/>
    <w:rsid w:val="00E3042D"/>
    <w:rsid w:val="00E30B93"/>
    <w:rsid w:val="00E30F54"/>
    <w:rsid w:val="00E31388"/>
    <w:rsid w:val="00E314C7"/>
    <w:rsid w:val="00E31F3B"/>
    <w:rsid w:val="00E31F67"/>
    <w:rsid w:val="00E333DC"/>
    <w:rsid w:val="00E338BA"/>
    <w:rsid w:val="00E3409F"/>
    <w:rsid w:val="00E34784"/>
    <w:rsid w:val="00E34C6D"/>
    <w:rsid w:val="00E34F03"/>
    <w:rsid w:val="00E35017"/>
    <w:rsid w:val="00E3609B"/>
    <w:rsid w:val="00E366BB"/>
    <w:rsid w:val="00E36A7B"/>
    <w:rsid w:val="00E37A32"/>
    <w:rsid w:val="00E37EBE"/>
    <w:rsid w:val="00E37F2B"/>
    <w:rsid w:val="00E40278"/>
    <w:rsid w:val="00E402EF"/>
    <w:rsid w:val="00E40367"/>
    <w:rsid w:val="00E40AAE"/>
    <w:rsid w:val="00E40C4F"/>
    <w:rsid w:val="00E40D15"/>
    <w:rsid w:val="00E410CF"/>
    <w:rsid w:val="00E416A1"/>
    <w:rsid w:val="00E417F0"/>
    <w:rsid w:val="00E4195D"/>
    <w:rsid w:val="00E41F6A"/>
    <w:rsid w:val="00E420AF"/>
    <w:rsid w:val="00E422AB"/>
    <w:rsid w:val="00E425F0"/>
    <w:rsid w:val="00E42670"/>
    <w:rsid w:val="00E42EB3"/>
    <w:rsid w:val="00E43208"/>
    <w:rsid w:val="00E43444"/>
    <w:rsid w:val="00E43446"/>
    <w:rsid w:val="00E43C6A"/>
    <w:rsid w:val="00E43D71"/>
    <w:rsid w:val="00E4430C"/>
    <w:rsid w:val="00E44411"/>
    <w:rsid w:val="00E44C41"/>
    <w:rsid w:val="00E44EB4"/>
    <w:rsid w:val="00E45284"/>
    <w:rsid w:val="00E45B0A"/>
    <w:rsid w:val="00E45D63"/>
    <w:rsid w:val="00E4601A"/>
    <w:rsid w:val="00E46484"/>
    <w:rsid w:val="00E471A4"/>
    <w:rsid w:val="00E4761D"/>
    <w:rsid w:val="00E47DCC"/>
    <w:rsid w:val="00E50142"/>
    <w:rsid w:val="00E5085E"/>
    <w:rsid w:val="00E50877"/>
    <w:rsid w:val="00E516C4"/>
    <w:rsid w:val="00E517A2"/>
    <w:rsid w:val="00E51DCD"/>
    <w:rsid w:val="00E52A60"/>
    <w:rsid w:val="00E52BC1"/>
    <w:rsid w:val="00E52D86"/>
    <w:rsid w:val="00E533C2"/>
    <w:rsid w:val="00E534A4"/>
    <w:rsid w:val="00E535A5"/>
    <w:rsid w:val="00E536BB"/>
    <w:rsid w:val="00E53A47"/>
    <w:rsid w:val="00E53E96"/>
    <w:rsid w:val="00E54248"/>
    <w:rsid w:val="00E54B94"/>
    <w:rsid w:val="00E54EA8"/>
    <w:rsid w:val="00E54FD4"/>
    <w:rsid w:val="00E5544C"/>
    <w:rsid w:val="00E55F4A"/>
    <w:rsid w:val="00E55FD0"/>
    <w:rsid w:val="00E56151"/>
    <w:rsid w:val="00E56AF3"/>
    <w:rsid w:val="00E5779A"/>
    <w:rsid w:val="00E578E9"/>
    <w:rsid w:val="00E57934"/>
    <w:rsid w:val="00E57B5D"/>
    <w:rsid w:val="00E57F67"/>
    <w:rsid w:val="00E57FAF"/>
    <w:rsid w:val="00E6022F"/>
    <w:rsid w:val="00E60499"/>
    <w:rsid w:val="00E6063B"/>
    <w:rsid w:val="00E606EE"/>
    <w:rsid w:val="00E60AF6"/>
    <w:rsid w:val="00E60F49"/>
    <w:rsid w:val="00E61053"/>
    <w:rsid w:val="00E61498"/>
    <w:rsid w:val="00E614FD"/>
    <w:rsid w:val="00E6150F"/>
    <w:rsid w:val="00E618B8"/>
    <w:rsid w:val="00E619E2"/>
    <w:rsid w:val="00E61E1C"/>
    <w:rsid w:val="00E620CF"/>
    <w:rsid w:val="00E622A6"/>
    <w:rsid w:val="00E630CB"/>
    <w:rsid w:val="00E6374B"/>
    <w:rsid w:val="00E6460D"/>
    <w:rsid w:val="00E64687"/>
    <w:rsid w:val="00E64EFC"/>
    <w:rsid w:val="00E658EA"/>
    <w:rsid w:val="00E65A8F"/>
    <w:rsid w:val="00E65B2F"/>
    <w:rsid w:val="00E65F6A"/>
    <w:rsid w:val="00E66A6A"/>
    <w:rsid w:val="00E66C1D"/>
    <w:rsid w:val="00E66E92"/>
    <w:rsid w:val="00E6738C"/>
    <w:rsid w:val="00E67439"/>
    <w:rsid w:val="00E67A22"/>
    <w:rsid w:val="00E67A45"/>
    <w:rsid w:val="00E67FCE"/>
    <w:rsid w:val="00E700F2"/>
    <w:rsid w:val="00E704E7"/>
    <w:rsid w:val="00E707A2"/>
    <w:rsid w:val="00E70BF5"/>
    <w:rsid w:val="00E70D0E"/>
    <w:rsid w:val="00E70DBF"/>
    <w:rsid w:val="00E7102E"/>
    <w:rsid w:val="00E71047"/>
    <w:rsid w:val="00E72511"/>
    <w:rsid w:val="00E728BE"/>
    <w:rsid w:val="00E72AD6"/>
    <w:rsid w:val="00E7387E"/>
    <w:rsid w:val="00E738FB"/>
    <w:rsid w:val="00E740D3"/>
    <w:rsid w:val="00E744A2"/>
    <w:rsid w:val="00E744CE"/>
    <w:rsid w:val="00E7476C"/>
    <w:rsid w:val="00E7530C"/>
    <w:rsid w:val="00E7585C"/>
    <w:rsid w:val="00E776A4"/>
    <w:rsid w:val="00E77901"/>
    <w:rsid w:val="00E77A0C"/>
    <w:rsid w:val="00E8030D"/>
    <w:rsid w:val="00E808FE"/>
    <w:rsid w:val="00E80AA8"/>
    <w:rsid w:val="00E8225C"/>
    <w:rsid w:val="00E823B5"/>
    <w:rsid w:val="00E82585"/>
    <w:rsid w:val="00E826CA"/>
    <w:rsid w:val="00E829E4"/>
    <w:rsid w:val="00E83223"/>
    <w:rsid w:val="00E83446"/>
    <w:rsid w:val="00E83467"/>
    <w:rsid w:val="00E83D82"/>
    <w:rsid w:val="00E842AF"/>
    <w:rsid w:val="00E845AB"/>
    <w:rsid w:val="00E845DE"/>
    <w:rsid w:val="00E84B23"/>
    <w:rsid w:val="00E84E6D"/>
    <w:rsid w:val="00E84F25"/>
    <w:rsid w:val="00E85001"/>
    <w:rsid w:val="00E85312"/>
    <w:rsid w:val="00E85819"/>
    <w:rsid w:val="00E858A0"/>
    <w:rsid w:val="00E85B94"/>
    <w:rsid w:val="00E85DFC"/>
    <w:rsid w:val="00E867CF"/>
    <w:rsid w:val="00E8714A"/>
    <w:rsid w:val="00E87A73"/>
    <w:rsid w:val="00E87BBF"/>
    <w:rsid w:val="00E90073"/>
    <w:rsid w:val="00E90175"/>
    <w:rsid w:val="00E913F8"/>
    <w:rsid w:val="00E917D4"/>
    <w:rsid w:val="00E91D59"/>
    <w:rsid w:val="00E91D97"/>
    <w:rsid w:val="00E91DF6"/>
    <w:rsid w:val="00E91F7C"/>
    <w:rsid w:val="00E92008"/>
    <w:rsid w:val="00E9262D"/>
    <w:rsid w:val="00E92B80"/>
    <w:rsid w:val="00E92BFD"/>
    <w:rsid w:val="00E92E27"/>
    <w:rsid w:val="00E930B0"/>
    <w:rsid w:val="00E936A0"/>
    <w:rsid w:val="00E939EC"/>
    <w:rsid w:val="00E9412C"/>
    <w:rsid w:val="00E94B01"/>
    <w:rsid w:val="00E94C13"/>
    <w:rsid w:val="00E95B46"/>
    <w:rsid w:val="00E95CC0"/>
    <w:rsid w:val="00E96053"/>
    <w:rsid w:val="00E96B19"/>
    <w:rsid w:val="00E96C06"/>
    <w:rsid w:val="00E96CAC"/>
    <w:rsid w:val="00E96D58"/>
    <w:rsid w:val="00E96F7C"/>
    <w:rsid w:val="00E9714B"/>
    <w:rsid w:val="00E97773"/>
    <w:rsid w:val="00E979AE"/>
    <w:rsid w:val="00E97BD6"/>
    <w:rsid w:val="00E97C86"/>
    <w:rsid w:val="00E97E98"/>
    <w:rsid w:val="00EA0208"/>
    <w:rsid w:val="00EA03D8"/>
    <w:rsid w:val="00EA03F5"/>
    <w:rsid w:val="00EA0440"/>
    <w:rsid w:val="00EA0476"/>
    <w:rsid w:val="00EA0539"/>
    <w:rsid w:val="00EA059B"/>
    <w:rsid w:val="00EA07F7"/>
    <w:rsid w:val="00EA0CDD"/>
    <w:rsid w:val="00EA11D9"/>
    <w:rsid w:val="00EA1374"/>
    <w:rsid w:val="00EA267F"/>
    <w:rsid w:val="00EA2826"/>
    <w:rsid w:val="00EA2DA2"/>
    <w:rsid w:val="00EA2E76"/>
    <w:rsid w:val="00EA2F35"/>
    <w:rsid w:val="00EA2FC2"/>
    <w:rsid w:val="00EA366C"/>
    <w:rsid w:val="00EA3F35"/>
    <w:rsid w:val="00EA4898"/>
    <w:rsid w:val="00EA4FC2"/>
    <w:rsid w:val="00EA52DE"/>
    <w:rsid w:val="00EA59DF"/>
    <w:rsid w:val="00EA5B4B"/>
    <w:rsid w:val="00EA622C"/>
    <w:rsid w:val="00EA6C8B"/>
    <w:rsid w:val="00EA70AF"/>
    <w:rsid w:val="00EA726D"/>
    <w:rsid w:val="00EA76E1"/>
    <w:rsid w:val="00EA7A47"/>
    <w:rsid w:val="00EA7B56"/>
    <w:rsid w:val="00EB0CC7"/>
    <w:rsid w:val="00EB0D17"/>
    <w:rsid w:val="00EB1E83"/>
    <w:rsid w:val="00EB2728"/>
    <w:rsid w:val="00EB2CF6"/>
    <w:rsid w:val="00EB2DF4"/>
    <w:rsid w:val="00EB31B5"/>
    <w:rsid w:val="00EB32B5"/>
    <w:rsid w:val="00EB3DBA"/>
    <w:rsid w:val="00EB40D1"/>
    <w:rsid w:val="00EB4D06"/>
    <w:rsid w:val="00EB557C"/>
    <w:rsid w:val="00EB5B9B"/>
    <w:rsid w:val="00EB5BB5"/>
    <w:rsid w:val="00EB6F6E"/>
    <w:rsid w:val="00EB7A2D"/>
    <w:rsid w:val="00EB7FB3"/>
    <w:rsid w:val="00EC027A"/>
    <w:rsid w:val="00EC0436"/>
    <w:rsid w:val="00EC103C"/>
    <w:rsid w:val="00EC1083"/>
    <w:rsid w:val="00EC1347"/>
    <w:rsid w:val="00EC1444"/>
    <w:rsid w:val="00EC1A19"/>
    <w:rsid w:val="00EC25A7"/>
    <w:rsid w:val="00EC3002"/>
    <w:rsid w:val="00EC326E"/>
    <w:rsid w:val="00EC335A"/>
    <w:rsid w:val="00EC3C90"/>
    <w:rsid w:val="00EC3F60"/>
    <w:rsid w:val="00EC4BF3"/>
    <w:rsid w:val="00EC4EC8"/>
    <w:rsid w:val="00EC5BE0"/>
    <w:rsid w:val="00EC5F37"/>
    <w:rsid w:val="00EC6399"/>
    <w:rsid w:val="00EC6968"/>
    <w:rsid w:val="00EC6B98"/>
    <w:rsid w:val="00EC7393"/>
    <w:rsid w:val="00EC79FE"/>
    <w:rsid w:val="00EC7E07"/>
    <w:rsid w:val="00EC7E6E"/>
    <w:rsid w:val="00ED029E"/>
    <w:rsid w:val="00ED04C5"/>
    <w:rsid w:val="00ED1835"/>
    <w:rsid w:val="00ED24A4"/>
    <w:rsid w:val="00ED29DB"/>
    <w:rsid w:val="00ED2C5F"/>
    <w:rsid w:val="00ED307F"/>
    <w:rsid w:val="00ED3152"/>
    <w:rsid w:val="00ED3698"/>
    <w:rsid w:val="00ED3BAC"/>
    <w:rsid w:val="00ED43E7"/>
    <w:rsid w:val="00ED4520"/>
    <w:rsid w:val="00ED47AB"/>
    <w:rsid w:val="00ED4C86"/>
    <w:rsid w:val="00ED4DA3"/>
    <w:rsid w:val="00ED4DBD"/>
    <w:rsid w:val="00ED64BB"/>
    <w:rsid w:val="00ED6572"/>
    <w:rsid w:val="00ED66BB"/>
    <w:rsid w:val="00ED69B7"/>
    <w:rsid w:val="00ED7086"/>
    <w:rsid w:val="00ED789C"/>
    <w:rsid w:val="00ED798C"/>
    <w:rsid w:val="00EE0566"/>
    <w:rsid w:val="00EE07BC"/>
    <w:rsid w:val="00EE0995"/>
    <w:rsid w:val="00EE107F"/>
    <w:rsid w:val="00EE1111"/>
    <w:rsid w:val="00EE121C"/>
    <w:rsid w:val="00EE148B"/>
    <w:rsid w:val="00EE160C"/>
    <w:rsid w:val="00EE1B80"/>
    <w:rsid w:val="00EE2097"/>
    <w:rsid w:val="00EE2675"/>
    <w:rsid w:val="00EE26FB"/>
    <w:rsid w:val="00EE28A3"/>
    <w:rsid w:val="00EE2BA9"/>
    <w:rsid w:val="00EE2BE2"/>
    <w:rsid w:val="00EE2E0F"/>
    <w:rsid w:val="00EE3135"/>
    <w:rsid w:val="00EE4070"/>
    <w:rsid w:val="00EE43B4"/>
    <w:rsid w:val="00EE4A6B"/>
    <w:rsid w:val="00EE4D3F"/>
    <w:rsid w:val="00EE4DF5"/>
    <w:rsid w:val="00EE5601"/>
    <w:rsid w:val="00EE5D0D"/>
    <w:rsid w:val="00EE5F3D"/>
    <w:rsid w:val="00EE6505"/>
    <w:rsid w:val="00EE6D8A"/>
    <w:rsid w:val="00EE6E21"/>
    <w:rsid w:val="00EE6E32"/>
    <w:rsid w:val="00EE73B9"/>
    <w:rsid w:val="00EE7C0B"/>
    <w:rsid w:val="00EE7FE6"/>
    <w:rsid w:val="00EF07B7"/>
    <w:rsid w:val="00EF0873"/>
    <w:rsid w:val="00EF1142"/>
    <w:rsid w:val="00EF1273"/>
    <w:rsid w:val="00EF1A9D"/>
    <w:rsid w:val="00EF1CD4"/>
    <w:rsid w:val="00EF1F58"/>
    <w:rsid w:val="00EF209E"/>
    <w:rsid w:val="00EF2653"/>
    <w:rsid w:val="00EF3029"/>
    <w:rsid w:val="00EF330B"/>
    <w:rsid w:val="00EF394F"/>
    <w:rsid w:val="00EF39AB"/>
    <w:rsid w:val="00EF3F37"/>
    <w:rsid w:val="00EF42AC"/>
    <w:rsid w:val="00EF4578"/>
    <w:rsid w:val="00EF4607"/>
    <w:rsid w:val="00EF4B19"/>
    <w:rsid w:val="00EF5173"/>
    <w:rsid w:val="00EF52E7"/>
    <w:rsid w:val="00EF5683"/>
    <w:rsid w:val="00EF5A6F"/>
    <w:rsid w:val="00EF6594"/>
    <w:rsid w:val="00EF6A6D"/>
    <w:rsid w:val="00EF6B58"/>
    <w:rsid w:val="00EF70D0"/>
    <w:rsid w:val="00EF7307"/>
    <w:rsid w:val="00EF7C9B"/>
    <w:rsid w:val="00EF7DED"/>
    <w:rsid w:val="00F0006E"/>
    <w:rsid w:val="00F00B70"/>
    <w:rsid w:val="00F00E93"/>
    <w:rsid w:val="00F00F91"/>
    <w:rsid w:val="00F01381"/>
    <w:rsid w:val="00F0169B"/>
    <w:rsid w:val="00F017E8"/>
    <w:rsid w:val="00F018FE"/>
    <w:rsid w:val="00F01DD7"/>
    <w:rsid w:val="00F0223A"/>
    <w:rsid w:val="00F023B4"/>
    <w:rsid w:val="00F02F7A"/>
    <w:rsid w:val="00F03254"/>
    <w:rsid w:val="00F036F6"/>
    <w:rsid w:val="00F03ED5"/>
    <w:rsid w:val="00F04053"/>
    <w:rsid w:val="00F044B4"/>
    <w:rsid w:val="00F04706"/>
    <w:rsid w:val="00F0490B"/>
    <w:rsid w:val="00F0491E"/>
    <w:rsid w:val="00F04A48"/>
    <w:rsid w:val="00F04A63"/>
    <w:rsid w:val="00F04ACB"/>
    <w:rsid w:val="00F04C38"/>
    <w:rsid w:val="00F04F2B"/>
    <w:rsid w:val="00F052AA"/>
    <w:rsid w:val="00F05F0E"/>
    <w:rsid w:val="00F06398"/>
    <w:rsid w:val="00F066D0"/>
    <w:rsid w:val="00F06B47"/>
    <w:rsid w:val="00F0759F"/>
    <w:rsid w:val="00F07DB7"/>
    <w:rsid w:val="00F1003E"/>
    <w:rsid w:val="00F1047E"/>
    <w:rsid w:val="00F1049C"/>
    <w:rsid w:val="00F106B1"/>
    <w:rsid w:val="00F10809"/>
    <w:rsid w:val="00F10FC2"/>
    <w:rsid w:val="00F1121E"/>
    <w:rsid w:val="00F114BA"/>
    <w:rsid w:val="00F11D5C"/>
    <w:rsid w:val="00F1210D"/>
    <w:rsid w:val="00F12A5D"/>
    <w:rsid w:val="00F12C76"/>
    <w:rsid w:val="00F12F9B"/>
    <w:rsid w:val="00F12FBF"/>
    <w:rsid w:val="00F13DF4"/>
    <w:rsid w:val="00F1400E"/>
    <w:rsid w:val="00F1413E"/>
    <w:rsid w:val="00F141B8"/>
    <w:rsid w:val="00F148B5"/>
    <w:rsid w:val="00F14C21"/>
    <w:rsid w:val="00F14C27"/>
    <w:rsid w:val="00F1548A"/>
    <w:rsid w:val="00F15509"/>
    <w:rsid w:val="00F1560A"/>
    <w:rsid w:val="00F15A70"/>
    <w:rsid w:val="00F16DE9"/>
    <w:rsid w:val="00F1736E"/>
    <w:rsid w:val="00F17646"/>
    <w:rsid w:val="00F1790F"/>
    <w:rsid w:val="00F17BA9"/>
    <w:rsid w:val="00F20014"/>
    <w:rsid w:val="00F20633"/>
    <w:rsid w:val="00F20ED0"/>
    <w:rsid w:val="00F21667"/>
    <w:rsid w:val="00F2166A"/>
    <w:rsid w:val="00F21C00"/>
    <w:rsid w:val="00F22AC7"/>
    <w:rsid w:val="00F22F13"/>
    <w:rsid w:val="00F2320C"/>
    <w:rsid w:val="00F23E62"/>
    <w:rsid w:val="00F24756"/>
    <w:rsid w:val="00F24F1B"/>
    <w:rsid w:val="00F2519D"/>
    <w:rsid w:val="00F25DD7"/>
    <w:rsid w:val="00F26122"/>
    <w:rsid w:val="00F26887"/>
    <w:rsid w:val="00F26A31"/>
    <w:rsid w:val="00F26A78"/>
    <w:rsid w:val="00F26D3E"/>
    <w:rsid w:val="00F27081"/>
    <w:rsid w:val="00F276AE"/>
    <w:rsid w:val="00F27794"/>
    <w:rsid w:val="00F277FF"/>
    <w:rsid w:val="00F27F1A"/>
    <w:rsid w:val="00F307C9"/>
    <w:rsid w:val="00F310F1"/>
    <w:rsid w:val="00F311D8"/>
    <w:rsid w:val="00F31422"/>
    <w:rsid w:val="00F31709"/>
    <w:rsid w:val="00F31972"/>
    <w:rsid w:val="00F31D24"/>
    <w:rsid w:val="00F31DB7"/>
    <w:rsid w:val="00F32952"/>
    <w:rsid w:val="00F32D7A"/>
    <w:rsid w:val="00F32EDE"/>
    <w:rsid w:val="00F33092"/>
    <w:rsid w:val="00F33352"/>
    <w:rsid w:val="00F3362C"/>
    <w:rsid w:val="00F3363F"/>
    <w:rsid w:val="00F33A4C"/>
    <w:rsid w:val="00F33A75"/>
    <w:rsid w:val="00F33F02"/>
    <w:rsid w:val="00F3455B"/>
    <w:rsid w:val="00F348AA"/>
    <w:rsid w:val="00F34FE6"/>
    <w:rsid w:val="00F352A5"/>
    <w:rsid w:val="00F3588E"/>
    <w:rsid w:val="00F35A92"/>
    <w:rsid w:val="00F35B73"/>
    <w:rsid w:val="00F36098"/>
    <w:rsid w:val="00F36AB2"/>
    <w:rsid w:val="00F36DB0"/>
    <w:rsid w:val="00F37288"/>
    <w:rsid w:val="00F40177"/>
    <w:rsid w:val="00F40606"/>
    <w:rsid w:val="00F4159F"/>
    <w:rsid w:val="00F41B73"/>
    <w:rsid w:val="00F41F2D"/>
    <w:rsid w:val="00F420D6"/>
    <w:rsid w:val="00F42B2C"/>
    <w:rsid w:val="00F42B84"/>
    <w:rsid w:val="00F42C76"/>
    <w:rsid w:val="00F42E18"/>
    <w:rsid w:val="00F42EDA"/>
    <w:rsid w:val="00F4341D"/>
    <w:rsid w:val="00F4344E"/>
    <w:rsid w:val="00F437EA"/>
    <w:rsid w:val="00F43D42"/>
    <w:rsid w:val="00F43FB3"/>
    <w:rsid w:val="00F44183"/>
    <w:rsid w:val="00F4420C"/>
    <w:rsid w:val="00F444E7"/>
    <w:rsid w:val="00F44590"/>
    <w:rsid w:val="00F4476D"/>
    <w:rsid w:val="00F4478C"/>
    <w:rsid w:val="00F449D7"/>
    <w:rsid w:val="00F45016"/>
    <w:rsid w:val="00F45B3E"/>
    <w:rsid w:val="00F45C51"/>
    <w:rsid w:val="00F46CEE"/>
    <w:rsid w:val="00F4703D"/>
    <w:rsid w:val="00F47178"/>
    <w:rsid w:val="00F47424"/>
    <w:rsid w:val="00F4760B"/>
    <w:rsid w:val="00F47F5D"/>
    <w:rsid w:val="00F502DC"/>
    <w:rsid w:val="00F503B0"/>
    <w:rsid w:val="00F50524"/>
    <w:rsid w:val="00F5095F"/>
    <w:rsid w:val="00F50F9D"/>
    <w:rsid w:val="00F517F1"/>
    <w:rsid w:val="00F51D3A"/>
    <w:rsid w:val="00F52E6C"/>
    <w:rsid w:val="00F52F15"/>
    <w:rsid w:val="00F52F8A"/>
    <w:rsid w:val="00F53ABB"/>
    <w:rsid w:val="00F53BF6"/>
    <w:rsid w:val="00F53D84"/>
    <w:rsid w:val="00F53F34"/>
    <w:rsid w:val="00F53F61"/>
    <w:rsid w:val="00F549D6"/>
    <w:rsid w:val="00F54F49"/>
    <w:rsid w:val="00F55186"/>
    <w:rsid w:val="00F5575D"/>
    <w:rsid w:val="00F55837"/>
    <w:rsid w:val="00F559D1"/>
    <w:rsid w:val="00F55D96"/>
    <w:rsid w:val="00F55E26"/>
    <w:rsid w:val="00F56BB0"/>
    <w:rsid w:val="00F56CB5"/>
    <w:rsid w:val="00F57A8E"/>
    <w:rsid w:val="00F57F28"/>
    <w:rsid w:val="00F6026D"/>
    <w:rsid w:val="00F603A7"/>
    <w:rsid w:val="00F60DF3"/>
    <w:rsid w:val="00F61368"/>
    <w:rsid w:val="00F61B01"/>
    <w:rsid w:val="00F6218E"/>
    <w:rsid w:val="00F621E8"/>
    <w:rsid w:val="00F62C33"/>
    <w:rsid w:val="00F63670"/>
    <w:rsid w:val="00F637E1"/>
    <w:rsid w:val="00F63BF1"/>
    <w:rsid w:val="00F64BC2"/>
    <w:rsid w:val="00F64D6C"/>
    <w:rsid w:val="00F65885"/>
    <w:rsid w:val="00F6593E"/>
    <w:rsid w:val="00F67619"/>
    <w:rsid w:val="00F67B5E"/>
    <w:rsid w:val="00F67EE9"/>
    <w:rsid w:val="00F67EEE"/>
    <w:rsid w:val="00F70183"/>
    <w:rsid w:val="00F705CC"/>
    <w:rsid w:val="00F707F7"/>
    <w:rsid w:val="00F708D7"/>
    <w:rsid w:val="00F70E5E"/>
    <w:rsid w:val="00F718BB"/>
    <w:rsid w:val="00F71C5A"/>
    <w:rsid w:val="00F721C1"/>
    <w:rsid w:val="00F72D27"/>
    <w:rsid w:val="00F72D66"/>
    <w:rsid w:val="00F73539"/>
    <w:rsid w:val="00F73C7E"/>
    <w:rsid w:val="00F7431A"/>
    <w:rsid w:val="00F7458F"/>
    <w:rsid w:val="00F74755"/>
    <w:rsid w:val="00F74891"/>
    <w:rsid w:val="00F74901"/>
    <w:rsid w:val="00F764F7"/>
    <w:rsid w:val="00F77564"/>
    <w:rsid w:val="00F77665"/>
    <w:rsid w:val="00F80121"/>
    <w:rsid w:val="00F80321"/>
    <w:rsid w:val="00F80A2A"/>
    <w:rsid w:val="00F80FDE"/>
    <w:rsid w:val="00F815C0"/>
    <w:rsid w:val="00F8222E"/>
    <w:rsid w:val="00F828FD"/>
    <w:rsid w:val="00F82BE7"/>
    <w:rsid w:val="00F82CBC"/>
    <w:rsid w:val="00F83A66"/>
    <w:rsid w:val="00F84029"/>
    <w:rsid w:val="00F8404E"/>
    <w:rsid w:val="00F840FF"/>
    <w:rsid w:val="00F8430B"/>
    <w:rsid w:val="00F84682"/>
    <w:rsid w:val="00F8476E"/>
    <w:rsid w:val="00F849FF"/>
    <w:rsid w:val="00F84A26"/>
    <w:rsid w:val="00F84D6A"/>
    <w:rsid w:val="00F85C07"/>
    <w:rsid w:val="00F86097"/>
    <w:rsid w:val="00F8624F"/>
    <w:rsid w:val="00F8628F"/>
    <w:rsid w:val="00F86508"/>
    <w:rsid w:val="00F8719B"/>
    <w:rsid w:val="00F87600"/>
    <w:rsid w:val="00F87774"/>
    <w:rsid w:val="00F8792A"/>
    <w:rsid w:val="00F87BF0"/>
    <w:rsid w:val="00F87C58"/>
    <w:rsid w:val="00F87FE8"/>
    <w:rsid w:val="00F9075A"/>
    <w:rsid w:val="00F9087D"/>
    <w:rsid w:val="00F91091"/>
    <w:rsid w:val="00F91473"/>
    <w:rsid w:val="00F9147A"/>
    <w:rsid w:val="00F914FE"/>
    <w:rsid w:val="00F91953"/>
    <w:rsid w:val="00F91FEA"/>
    <w:rsid w:val="00F921B0"/>
    <w:rsid w:val="00F92CA0"/>
    <w:rsid w:val="00F9306B"/>
    <w:rsid w:val="00F934F9"/>
    <w:rsid w:val="00F93507"/>
    <w:rsid w:val="00F93A12"/>
    <w:rsid w:val="00F94BC9"/>
    <w:rsid w:val="00F94F47"/>
    <w:rsid w:val="00F95264"/>
    <w:rsid w:val="00F9547A"/>
    <w:rsid w:val="00F961F0"/>
    <w:rsid w:val="00F963D8"/>
    <w:rsid w:val="00F96DCB"/>
    <w:rsid w:val="00F97045"/>
    <w:rsid w:val="00F97318"/>
    <w:rsid w:val="00F97CD7"/>
    <w:rsid w:val="00F97DB1"/>
    <w:rsid w:val="00F97ED5"/>
    <w:rsid w:val="00FA09A5"/>
    <w:rsid w:val="00FA0AB1"/>
    <w:rsid w:val="00FA0E62"/>
    <w:rsid w:val="00FA1876"/>
    <w:rsid w:val="00FA1B9A"/>
    <w:rsid w:val="00FA1C23"/>
    <w:rsid w:val="00FA22F4"/>
    <w:rsid w:val="00FA2493"/>
    <w:rsid w:val="00FA27B3"/>
    <w:rsid w:val="00FA2BC7"/>
    <w:rsid w:val="00FA37D7"/>
    <w:rsid w:val="00FA4110"/>
    <w:rsid w:val="00FA4868"/>
    <w:rsid w:val="00FA4C82"/>
    <w:rsid w:val="00FA4DFF"/>
    <w:rsid w:val="00FA6142"/>
    <w:rsid w:val="00FA675F"/>
    <w:rsid w:val="00FA7946"/>
    <w:rsid w:val="00FA7CA9"/>
    <w:rsid w:val="00FA7ECB"/>
    <w:rsid w:val="00FB0172"/>
    <w:rsid w:val="00FB039C"/>
    <w:rsid w:val="00FB0511"/>
    <w:rsid w:val="00FB09D2"/>
    <w:rsid w:val="00FB0BE2"/>
    <w:rsid w:val="00FB1ACD"/>
    <w:rsid w:val="00FB1E5B"/>
    <w:rsid w:val="00FB1EBD"/>
    <w:rsid w:val="00FB2154"/>
    <w:rsid w:val="00FB2182"/>
    <w:rsid w:val="00FB2394"/>
    <w:rsid w:val="00FB2D38"/>
    <w:rsid w:val="00FB3206"/>
    <w:rsid w:val="00FB34F5"/>
    <w:rsid w:val="00FB386B"/>
    <w:rsid w:val="00FB3E59"/>
    <w:rsid w:val="00FB4334"/>
    <w:rsid w:val="00FB5180"/>
    <w:rsid w:val="00FB538C"/>
    <w:rsid w:val="00FB6AA1"/>
    <w:rsid w:val="00FB7CC4"/>
    <w:rsid w:val="00FC0183"/>
    <w:rsid w:val="00FC03C4"/>
    <w:rsid w:val="00FC03E6"/>
    <w:rsid w:val="00FC081B"/>
    <w:rsid w:val="00FC0B88"/>
    <w:rsid w:val="00FC1924"/>
    <w:rsid w:val="00FC1AF0"/>
    <w:rsid w:val="00FC1B3B"/>
    <w:rsid w:val="00FC24E2"/>
    <w:rsid w:val="00FC2710"/>
    <w:rsid w:val="00FC2FB6"/>
    <w:rsid w:val="00FC3FC2"/>
    <w:rsid w:val="00FC4245"/>
    <w:rsid w:val="00FC427A"/>
    <w:rsid w:val="00FC4A98"/>
    <w:rsid w:val="00FC542A"/>
    <w:rsid w:val="00FC5FBC"/>
    <w:rsid w:val="00FC61F3"/>
    <w:rsid w:val="00FC6EB0"/>
    <w:rsid w:val="00FC74EA"/>
    <w:rsid w:val="00FC7702"/>
    <w:rsid w:val="00FC773E"/>
    <w:rsid w:val="00FC78B5"/>
    <w:rsid w:val="00FC7DBF"/>
    <w:rsid w:val="00FC7DE4"/>
    <w:rsid w:val="00FD0F0A"/>
    <w:rsid w:val="00FD19F2"/>
    <w:rsid w:val="00FD1B19"/>
    <w:rsid w:val="00FD232A"/>
    <w:rsid w:val="00FD2E13"/>
    <w:rsid w:val="00FD36D0"/>
    <w:rsid w:val="00FD4074"/>
    <w:rsid w:val="00FD4D24"/>
    <w:rsid w:val="00FD5324"/>
    <w:rsid w:val="00FD5881"/>
    <w:rsid w:val="00FD5CF4"/>
    <w:rsid w:val="00FD6106"/>
    <w:rsid w:val="00FD6ED3"/>
    <w:rsid w:val="00FD7423"/>
    <w:rsid w:val="00FD7677"/>
    <w:rsid w:val="00FD79D4"/>
    <w:rsid w:val="00FE01D4"/>
    <w:rsid w:val="00FE067A"/>
    <w:rsid w:val="00FE0A58"/>
    <w:rsid w:val="00FE0ACB"/>
    <w:rsid w:val="00FE0B8A"/>
    <w:rsid w:val="00FE12E5"/>
    <w:rsid w:val="00FE132B"/>
    <w:rsid w:val="00FE153B"/>
    <w:rsid w:val="00FE1797"/>
    <w:rsid w:val="00FE17FD"/>
    <w:rsid w:val="00FE2252"/>
    <w:rsid w:val="00FE242A"/>
    <w:rsid w:val="00FE27CD"/>
    <w:rsid w:val="00FE2B73"/>
    <w:rsid w:val="00FE31A1"/>
    <w:rsid w:val="00FE32C2"/>
    <w:rsid w:val="00FE4153"/>
    <w:rsid w:val="00FE42CE"/>
    <w:rsid w:val="00FE42FD"/>
    <w:rsid w:val="00FE4396"/>
    <w:rsid w:val="00FE49F9"/>
    <w:rsid w:val="00FE5593"/>
    <w:rsid w:val="00FE5CE7"/>
    <w:rsid w:val="00FE5ED6"/>
    <w:rsid w:val="00FE7279"/>
    <w:rsid w:val="00FE75EE"/>
    <w:rsid w:val="00FE7A8C"/>
    <w:rsid w:val="00FE7FC5"/>
    <w:rsid w:val="00FF017C"/>
    <w:rsid w:val="00FF0E0C"/>
    <w:rsid w:val="00FF14B6"/>
    <w:rsid w:val="00FF15E6"/>
    <w:rsid w:val="00FF2E10"/>
    <w:rsid w:val="00FF3632"/>
    <w:rsid w:val="00FF388C"/>
    <w:rsid w:val="00FF3E15"/>
    <w:rsid w:val="00FF4C26"/>
    <w:rsid w:val="00FF4F16"/>
    <w:rsid w:val="00FF57B8"/>
    <w:rsid w:val="00FF59A4"/>
    <w:rsid w:val="00FF5C77"/>
    <w:rsid w:val="00FF61D4"/>
    <w:rsid w:val="00FF6316"/>
    <w:rsid w:val="00FF6759"/>
    <w:rsid w:val="00FF743D"/>
    <w:rsid w:val="00FF786A"/>
    <w:rsid w:val="00FF7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E6395"/>
  <w15:docId w15:val="{EB60BFA9-D8FC-4C8A-9DF1-270BC3FC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CA1"/>
    <w:pPr>
      <w:spacing w:line="240" w:lineRule="auto"/>
    </w:pPr>
    <w:rPr>
      <w:rFonts w:ascii="Times New Roman" w:hAnsi="Times New Roman"/>
      <w:sz w:val="28"/>
    </w:rPr>
  </w:style>
  <w:style w:type="paragraph" w:styleId="Titre1">
    <w:name w:val="heading 1"/>
    <w:basedOn w:val="Normal"/>
    <w:next w:val="Normal"/>
    <w:link w:val="Titre1Car"/>
    <w:uiPriority w:val="9"/>
    <w:qFormat/>
    <w:rsid w:val="00516725"/>
    <w:pPr>
      <w:keepNext/>
      <w:keepLines/>
      <w:spacing w:before="240" w:after="0"/>
      <w:outlineLvl w:val="0"/>
    </w:pPr>
    <w:rPr>
      <w:rFonts w:ascii="Calibri Light" w:eastAsia="Times New Roman" w:hAnsi="Calibri Light" w:cs="Times New Roman"/>
      <w:color w:val="2E74B5"/>
      <w:sz w:val="32"/>
      <w:szCs w:val="20"/>
      <w:lang w:eastAsia="ru-RU"/>
    </w:rPr>
  </w:style>
  <w:style w:type="paragraph" w:styleId="Titre2">
    <w:name w:val="heading 2"/>
    <w:basedOn w:val="Normal"/>
    <w:next w:val="Normal"/>
    <w:link w:val="Titre2Car"/>
    <w:uiPriority w:val="9"/>
    <w:unhideWhenUsed/>
    <w:qFormat/>
    <w:rsid w:val="00E05A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next w:val="Normal"/>
    <w:link w:val="Titre3Car"/>
    <w:uiPriority w:val="9"/>
    <w:qFormat/>
    <w:rsid w:val="00516725"/>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Titre4">
    <w:name w:val="heading 4"/>
    <w:basedOn w:val="Normal"/>
    <w:next w:val="Normal"/>
    <w:link w:val="Titre4Car"/>
    <w:uiPriority w:val="9"/>
    <w:qFormat/>
    <w:rsid w:val="00516725"/>
    <w:pPr>
      <w:keepNext/>
      <w:keepLines/>
      <w:spacing w:before="40" w:after="0"/>
      <w:outlineLvl w:val="3"/>
    </w:pPr>
    <w:rPr>
      <w:rFonts w:ascii="Calibri Light" w:eastAsia="Times New Roman" w:hAnsi="Calibri Light" w:cs="Times New Roman"/>
      <w:i/>
      <w:color w:val="2E74B5"/>
      <w:sz w:val="22"/>
      <w:szCs w:val="20"/>
      <w:lang w:eastAsia="ru-RU"/>
    </w:rPr>
  </w:style>
  <w:style w:type="paragraph" w:styleId="Titre5">
    <w:name w:val="heading 5"/>
    <w:next w:val="Normal"/>
    <w:link w:val="Titre5Car"/>
    <w:uiPriority w:val="9"/>
    <w:qFormat/>
    <w:rsid w:val="00516725"/>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16865"/>
    <w:pPr>
      <w:ind w:left="720"/>
      <w:contextualSpacing/>
    </w:pPr>
  </w:style>
  <w:style w:type="paragraph" w:styleId="Notedebasdepage">
    <w:name w:val="footnote text"/>
    <w:basedOn w:val="Normal"/>
    <w:link w:val="NotedebasdepageCar"/>
    <w:uiPriority w:val="99"/>
    <w:unhideWhenUsed/>
    <w:rsid w:val="002411A0"/>
    <w:pPr>
      <w:spacing w:after="0"/>
    </w:pPr>
    <w:rPr>
      <w:sz w:val="20"/>
      <w:szCs w:val="20"/>
    </w:rPr>
  </w:style>
  <w:style w:type="character" w:customStyle="1" w:styleId="NotedebasdepageCar">
    <w:name w:val="Note de bas de page Car"/>
    <w:basedOn w:val="Policepardfaut"/>
    <w:link w:val="Notedebasdepage"/>
    <w:uiPriority w:val="99"/>
    <w:rsid w:val="002411A0"/>
    <w:rPr>
      <w:rFonts w:ascii="Times New Roman" w:hAnsi="Times New Roman"/>
      <w:sz w:val="20"/>
      <w:szCs w:val="20"/>
    </w:rPr>
  </w:style>
  <w:style w:type="character" w:styleId="Appelnotedebasdep">
    <w:name w:val="footnote reference"/>
    <w:basedOn w:val="Policepardfaut"/>
    <w:uiPriority w:val="99"/>
    <w:unhideWhenUsed/>
    <w:rsid w:val="002411A0"/>
    <w:rPr>
      <w:vertAlign w:val="superscript"/>
    </w:rPr>
  </w:style>
  <w:style w:type="character" w:styleId="Lienhypertexte">
    <w:name w:val="Hyperlink"/>
    <w:basedOn w:val="Policepardfaut"/>
    <w:link w:val="Hyperlink1"/>
    <w:uiPriority w:val="99"/>
    <w:unhideWhenUsed/>
    <w:rsid w:val="00EC027A"/>
    <w:rPr>
      <w:color w:val="0000FF"/>
      <w:u w:val="single"/>
    </w:rPr>
  </w:style>
  <w:style w:type="character" w:styleId="Accentuation">
    <w:name w:val="Emphasis"/>
    <w:basedOn w:val="Policepardfaut"/>
    <w:uiPriority w:val="20"/>
    <w:qFormat/>
    <w:rsid w:val="00EC027A"/>
    <w:rPr>
      <w:i/>
      <w:iCs/>
    </w:rPr>
  </w:style>
  <w:style w:type="character" w:customStyle="1" w:styleId="uppercase">
    <w:name w:val="uppercase"/>
    <w:basedOn w:val="Policepardfaut"/>
    <w:rsid w:val="00F42EDA"/>
  </w:style>
  <w:style w:type="character" w:customStyle="1" w:styleId="UnresolvedMention1">
    <w:name w:val="Unresolved Mention1"/>
    <w:basedOn w:val="Policepardfaut"/>
    <w:uiPriority w:val="99"/>
    <w:semiHidden/>
    <w:unhideWhenUsed/>
    <w:rsid w:val="00EC6399"/>
    <w:rPr>
      <w:color w:val="605E5C"/>
      <w:shd w:val="clear" w:color="auto" w:fill="E1DFDD"/>
    </w:rPr>
  </w:style>
  <w:style w:type="paragraph" w:styleId="En-tte">
    <w:name w:val="header"/>
    <w:basedOn w:val="Normal"/>
    <w:link w:val="En-tteCar"/>
    <w:uiPriority w:val="99"/>
    <w:unhideWhenUsed/>
    <w:rsid w:val="009B77BC"/>
    <w:pPr>
      <w:tabs>
        <w:tab w:val="center" w:pos="4677"/>
        <w:tab w:val="right" w:pos="9355"/>
      </w:tabs>
      <w:spacing w:after="0"/>
    </w:pPr>
  </w:style>
  <w:style w:type="character" w:customStyle="1" w:styleId="En-tteCar">
    <w:name w:val="En-tête Car"/>
    <w:basedOn w:val="Policepardfaut"/>
    <w:link w:val="En-tte"/>
    <w:uiPriority w:val="99"/>
    <w:rsid w:val="009B77BC"/>
    <w:rPr>
      <w:rFonts w:ascii="Times New Roman" w:hAnsi="Times New Roman"/>
      <w:sz w:val="28"/>
    </w:rPr>
  </w:style>
  <w:style w:type="paragraph" w:styleId="Pieddepage">
    <w:name w:val="footer"/>
    <w:basedOn w:val="Normal"/>
    <w:link w:val="PieddepageCar"/>
    <w:uiPriority w:val="99"/>
    <w:unhideWhenUsed/>
    <w:rsid w:val="009B77BC"/>
    <w:pPr>
      <w:tabs>
        <w:tab w:val="center" w:pos="4677"/>
        <w:tab w:val="right" w:pos="9355"/>
      </w:tabs>
      <w:spacing w:after="0"/>
    </w:pPr>
  </w:style>
  <w:style w:type="character" w:customStyle="1" w:styleId="PieddepageCar">
    <w:name w:val="Pied de page Car"/>
    <w:basedOn w:val="Policepardfaut"/>
    <w:link w:val="Pieddepage"/>
    <w:uiPriority w:val="99"/>
    <w:rsid w:val="009B77BC"/>
    <w:rPr>
      <w:rFonts w:ascii="Times New Roman" w:hAnsi="Times New Roman"/>
      <w:sz w:val="28"/>
    </w:rPr>
  </w:style>
  <w:style w:type="character" w:styleId="Marquedecommentaire">
    <w:name w:val="annotation reference"/>
    <w:basedOn w:val="Policepardfaut"/>
    <w:uiPriority w:val="99"/>
    <w:semiHidden/>
    <w:unhideWhenUsed/>
    <w:rsid w:val="00587EA8"/>
    <w:rPr>
      <w:sz w:val="16"/>
      <w:szCs w:val="16"/>
    </w:rPr>
  </w:style>
  <w:style w:type="paragraph" w:styleId="Commentaire">
    <w:name w:val="annotation text"/>
    <w:basedOn w:val="Normal"/>
    <w:link w:val="CommentaireCar"/>
    <w:uiPriority w:val="99"/>
    <w:unhideWhenUsed/>
    <w:rsid w:val="00587EA8"/>
    <w:rPr>
      <w:sz w:val="20"/>
      <w:szCs w:val="20"/>
    </w:rPr>
  </w:style>
  <w:style w:type="character" w:customStyle="1" w:styleId="CommentaireCar">
    <w:name w:val="Commentaire Car"/>
    <w:basedOn w:val="Policepardfaut"/>
    <w:link w:val="Commentaire"/>
    <w:uiPriority w:val="99"/>
    <w:rsid w:val="00587EA8"/>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587EA8"/>
    <w:rPr>
      <w:b/>
      <w:bCs/>
    </w:rPr>
  </w:style>
  <w:style w:type="character" w:customStyle="1" w:styleId="ObjetducommentaireCar">
    <w:name w:val="Objet du commentaire Car"/>
    <w:basedOn w:val="CommentaireCar"/>
    <w:link w:val="Objetducommentaire"/>
    <w:uiPriority w:val="99"/>
    <w:semiHidden/>
    <w:rsid w:val="00587EA8"/>
    <w:rPr>
      <w:rFonts w:ascii="Times New Roman" w:hAnsi="Times New Roman"/>
      <w:b/>
      <w:bCs/>
      <w:sz w:val="20"/>
      <w:szCs w:val="20"/>
    </w:rPr>
  </w:style>
  <w:style w:type="paragraph" w:styleId="NormalWeb">
    <w:name w:val="Normal (Web)"/>
    <w:basedOn w:val="Normal"/>
    <w:link w:val="NormalWebCar"/>
    <w:uiPriority w:val="99"/>
    <w:unhideWhenUsed/>
    <w:rsid w:val="00197B86"/>
    <w:pPr>
      <w:spacing w:before="100" w:beforeAutospacing="1" w:after="100" w:afterAutospacing="1"/>
    </w:pPr>
    <w:rPr>
      <w:rFonts w:eastAsia="Times New Roman" w:cs="Times New Roman"/>
      <w:sz w:val="24"/>
      <w:szCs w:val="24"/>
      <w:lang w:eastAsia="ru-RU"/>
    </w:rPr>
  </w:style>
  <w:style w:type="paragraph" w:styleId="Sansinterligne">
    <w:name w:val="No Spacing"/>
    <w:link w:val="SansinterligneCar"/>
    <w:uiPriority w:val="1"/>
    <w:qFormat/>
    <w:rsid w:val="00743189"/>
    <w:pPr>
      <w:spacing w:after="0" w:line="240" w:lineRule="auto"/>
    </w:pPr>
    <w:rPr>
      <w:rFonts w:eastAsiaTheme="minorEastAsia"/>
      <w:lang w:eastAsia="ru-RU"/>
    </w:rPr>
  </w:style>
  <w:style w:type="character" w:customStyle="1" w:styleId="SansinterligneCar">
    <w:name w:val="Sans interligne Car"/>
    <w:basedOn w:val="Policepardfaut"/>
    <w:link w:val="Sansinterligne"/>
    <w:uiPriority w:val="1"/>
    <w:rsid w:val="00743189"/>
    <w:rPr>
      <w:rFonts w:eastAsiaTheme="minorEastAsia"/>
      <w:lang w:eastAsia="ru-RU"/>
    </w:rPr>
  </w:style>
  <w:style w:type="character" w:customStyle="1" w:styleId="grammar">
    <w:name w:val="grammar"/>
    <w:basedOn w:val="Policepardfaut"/>
    <w:rsid w:val="007F0EC3"/>
  </w:style>
  <w:style w:type="character" w:customStyle="1" w:styleId="misspelling">
    <w:name w:val="misspelling"/>
    <w:basedOn w:val="Policepardfaut"/>
    <w:rsid w:val="00AF7ED3"/>
  </w:style>
  <w:style w:type="character" w:customStyle="1" w:styleId="Titre2Car">
    <w:name w:val="Titre 2 Car"/>
    <w:basedOn w:val="Policepardfaut"/>
    <w:link w:val="Titre2"/>
    <w:uiPriority w:val="9"/>
    <w:rsid w:val="00E05AD5"/>
    <w:rPr>
      <w:rFonts w:asciiTheme="majorHAnsi" w:eastAsiaTheme="majorEastAsia" w:hAnsiTheme="majorHAnsi" w:cstheme="majorBidi"/>
      <w:color w:val="2F5496" w:themeColor="accent1" w:themeShade="BF"/>
      <w:sz w:val="26"/>
      <w:szCs w:val="26"/>
    </w:rPr>
  </w:style>
  <w:style w:type="character" w:customStyle="1" w:styleId="text">
    <w:name w:val="text"/>
    <w:basedOn w:val="Policepardfaut"/>
    <w:rsid w:val="00E05AD5"/>
  </w:style>
  <w:style w:type="character" w:styleId="lev">
    <w:name w:val="Strong"/>
    <w:basedOn w:val="Policepardfaut"/>
    <w:uiPriority w:val="22"/>
    <w:qFormat/>
    <w:rsid w:val="00EE160C"/>
    <w:rPr>
      <w:b/>
      <w:bCs/>
    </w:rPr>
  </w:style>
  <w:style w:type="character" w:customStyle="1" w:styleId="familyname">
    <w:name w:val="familyname"/>
    <w:basedOn w:val="Policepardfaut"/>
    <w:rsid w:val="00EE160C"/>
  </w:style>
  <w:style w:type="character" w:customStyle="1" w:styleId="Titre1Car">
    <w:name w:val="Titre 1 Car"/>
    <w:basedOn w:val="Policepardfaut"/>
    <w:link w:val="Titre1"/>
    <w:uiPriority w:val="9"/>
    <w:rsid w:val="00516725"/>
    <w:rPr>
      <w:rFonts w:ascii="Calibri Light" w:eastAsia="Times New Roman" w:hAnsi="Calibri Light" w:cs="Times New Roman"/>
      <w:color w:val="2E74B5"/>
      <w:sz w:val="32"/>
      <w:szCs w:val="20"/>
      <w:lang w:eastAsia="ru-RU"/>
    </w:rPr>
  </w:style>
  <w:style w:type="character" w:customStyle="1" w:styleId="Titre3Car">
    <w:name w:val="Titre 3 Car"/>
    <w:basedOn w:val="Policepardfaut"/>
    <w:link w:val="Titre3"/>
    <w:uiPriority w:val="9"/>
    <w:rsid w:val="00516725"/>
    <w:rPr>
      <w:rFonts w:ascii="XO Thames" w:eastAsia="Times New Roman" w:hAnsi="XO Thames" w:cs="Times New Roman"/>
      <w:b/>
      <w:color w:val="000000"/>
      <w:sz w:val="26"/>
      <w:szCs w:val="20"/>
      <w:lang w:eastAsia="ru-RU"/>
    </w:rPr>
  </w:style>
  <w:style w:type="character" w:customStyle="1" w:styleId="Titre4Car">
    <w:name w:val="Titre 4 Car"/>
    <w:basedOn w:val="Policepardfaut"/>
    <w:link w:val="Titre4"/>
    <w:uiPriority w:val="9"/>
    <w:rsid w:val="00516725"/>
    <w:rPr>
      <w:rFonts w:ascii="Calibri Light" w:eastAsia="Times New Roman" w:hAnsi="Calibri Light" w:cs="Times New Roman"/>
      <w:i/>
      <w:color w:val="2E74B5"/>
      <w:szCs w:val="20"/>
      <w:lang w:eastAsia="ru-RU"/>
    </w:rPr>
  </w:style>
  <w:style w:type="character" w:customStyle="1" w:styleId="Titre5Car">
    <w:name w:val="Titre 5 Car"/>
    <w:basedOn w:val="Policepardfaut"/>
    <w:link w:val="Titre5"/>
    <w:uiPriority w:val="9"/>
    <w:rsid w:val="00516725"/>
    <w:rPr>
      <w:rFonts w:ascii="XO Thames" w:eastAsia="Times New Roman" w:hAnsi="XO Thames" w:cs="Times New Roman"/>
      <w:b/>
      <w:color w:val="000000"/>
      <w:szCs w:val="20"/>
      <w:lang w:eastAsia="ru-RU"/>
    </w:rPr>
  </w:style>
  <w:style w:type="numbering" w:customStyle="1" w:styleId="NoList1">
    <w:name w:val="No List1"/>
    <w:next w:val="Aucuneliste"/>
    <w:uiPriority w:val="99"/>
    <w:semiHidden/>
    <w:unhideWhenUsed/>
    <w:rsid w:val="00516725"/>
  </w:style>
  <w:style w:type="character" w:customStyle="1" w:styleId="Normal1">
    <w:name w:val="Normal1"/>
    <w:rsid w:val="00516725"/>
    <w:rPr>
      <w:rFonts w:ascii="Times New Roman" w:hAnsi="Times New Roman"/>
      <w:sz w:val="28"/>
    </w:rPr>
  </w:style>
  <w:style w:type="paragraph" w:customStyle="1" w:styleId="1">
    <w:name w:val="Знак примечания1"/>
    <w:basedOn w:val="10"/>
    <w:rsid w:val="00516725"/>
    <w:rPr>
      <w:sz w:val="16"/>
    </w:rPr>
  </w:style>
  <w:style w:type="paragraph" w:styleId="TM2">
    <w:name w:val="toc 2"/>
    <w:next w:val="Normal"/>
    <w:link w:val="TM2Car"/>
    <w:uiPriority w:val="39"/>
    <w:rsid w:val="00516725"/>
    <w:pPr>
      <w:spacing w:line="264" w:lineRule="auto"/>
      <w:ind w:left="200"/>
    </w:pPr>
    <w:rPr>
      <w:rFonts w:ascii="XO Thames" w:eastAsia="Times New Roman" w:hAnsi="XO Thames" w:cs="Times New Roman"/>
      <w:color w:val="000000"/>
      <w:sz w:val="28"/>
      <w:szCs w:val="20"/>
      <w:lang w:eastAsia="ru-RU"/>
    </w:rPr>
  </w:style>
  <w:style w:type="character" w:customStyle="1" w:styleId="TM2Car">
    <w:name w:val="TM 2 Car"/>
    <w:link w:val="TM2"/>
    <w:uiPriority w:val="39"/>
    <w:rsid w:val="00516725"/>
    <w:rPr>
      <w:rFonts w:ascii="XO Thames" w:eastAsia="Times New Roman" w:hAnsi="XO Thames" w:cs="Times New Roman"/>
      <w:color w:val="000000"/>
      <w:sz w:val="28"/>
      <w:szCs w:val="20"/>
      <w:lang w:eastAsia="ru-RU"/>
    </w:rPr>
  </w:style>
  <w:style w:type="paragraph" w:customStyle="1" w:styleId="EndnoteSymbol">
    <w:name w:val="Endnote_Symbol"/>
    <w:rsid w:val="00516725"/>
    <w:pPr>
      <w:spacing w:line="264" w:lineRule="auto"/>
    </w:pPr>
    <w:rPr>
      <w:rFonts w:eastAsia="Times New Roman" w:cs="Times New Roman"/>
      <w:color w:val="000000"/>
      <w:szCs w:val="20"/>
      <w:vertAlign w:val="superscript"/>
      <w:lang w:eastAsia="ru-RU"/>
    </w:rPr>
  </w:style>
  <w:style w:type="paragraph" w:customStyle="1" w:styleId="Index">
    <w:name w:val="Index"/>
    <w:basedOn w:val="Normal"/>
    <w:rsid w:val="00516725"/>
    <w:pPr>
      <w:widowControl w:val="0"/>
      <w:spacing w:after="0"/>
    </w:pPr>
    <w:rPr>
      <w:rFonts w:ascii="Liberation Serif" w:eastAsia="Times New Roman" w:hAnsi="Liberation Serif" w:cs="Times New Roman"/>
      <w:color w:val="000000"/>
      <w:sz w:val="24"/>
      <w:szCs w:val="20"/>
      <w:lang w:eastAsia="ru-RU"/>
    </w:rPr>
  </w:style>
  <w:style w:type="paragraph" w:styleId="TM4">
    <w:name w:val="toc 4"/>
    <w:next w:val="Normal"/>
    <w:link w:val="TM4Car"/>
    <w:uiPriority w:val="39"/>
    <w:rsid w:val="00516725"/>
    <w:pPr>
      <w:spacing w:line="264" w:lineRule="auto"/>
      <w:ind w:left="600"/>
    </w:pPr>
    <w:rPr>
      <w:rFonts w:ascii="XO Thames" w:eastAsia="Times New Roman" w:hAnsi="XO Thames" w:cs="Times New Roman"/>
      <w:color w:val="000000"/>
      <w:sz w:val="28"/>
      <w:szCs w:val="20"/>
      <w:lang w:eastAsia="ru-RU"/>
    </w:rPr>
  </w:style>
  <w:style w:type="character" w:customStyle="1" w:styleId="TM4Car">
    <w:name w:val="TM 4 Car"/>
    <w:link w:val="TM4"/>
    <w:uiPriority w:val="39"/>
    <w:rsid w:val="00516725"/>
    <w:rPr>
      <w:rFonts w:ascii="XO Thames" w:eastAsia="Times New Roman" w:hAnsi="XO Thames" w:cs="Times New Roman"/>
      <w:color w:val="000000"/>
      <w:sz w:val="28"/>
      <w:szCs w:val="20"/>
      <w:lang w:eastAsia="ru-RU"/>
    </w:rPr>
  </w:style>
  <w:style w:type="paragraph" w:customStyle="1" w:styleId="TableContents">
    <w:name w:val="Table Contents"/>
    <w:basedOn w:val="Corpsdetexte"/>
    <w:rsid w:val="00516725"/>
  </w:style>
  <w:style w:type="paragraph" w:styleId="TM6">
    <w:name w:val="toc 6"/>
    <w:next w:val="Normal"/>
    <w:link w:val="TM6Car"/>
    <w:uiPriority w:val="39"/>
    <w:rsid w:val="00516725"/>
    <w:pPr>
      <w:spacing w:line="264" w:lineRule="auto"/>
      <w:ind w:left="1000"/>
    </w:pPr>
    <w:rPr>
      <w:rFonts w:ascii="XO Thames" w:eastAsia="Times New Roman" w:hAnsi="XO Thames" w:cs="Times New Roman"/>
      <w:color w:val="000000"/>
      <w:sz w:val="28"/>
      <w:szCs w:val="20"/>
      <w:lang w:eastAsia="ru-RU"/>
    </w:rPr>
  </w:style>
  <w:style w:type="character" w:customStyle="1" w:styleId="TM6Car">
    <w:name w:val="TM 6 Car"/>
    <w:link w:val="TM6"/>
    <w:uiPriority w:val="39"/>
    <w:rsid w:val="00516725"/>
    <w:rPr>
      <w:rFonts w:ascii="XO Thames" w:eastAsia="Times New Roman" w:hAnsi="XO Thames" w:cs="Times New Roman"/>
      <w:color w:val="000000"/>
      <w:sz w:val="28"/>
      <w:szCs w:val="20"/>
      <w:lang w:eastAsia="ru-RU"/>
    </w:rPr>
  </w:style>
  <w:style w:type="paragraph" w:styleId="TM7">
    <w:name w:val="toc 7"/>
    <w:next w:val="Normal"/>
    <w:link w:val="TM7Car"/>
    <w:uiPriority w:val="39"/>
    <w:rsid w:val="00516725"/>
    <w:pPr>
      <w:spacing w:line="264" w:lineRule="auto"/>
      <w:ind w:left="1200"/>
    </w:pPr>
    <w:rPr>
      <w:rFonts w:ascii="XO Thames" w:eastAsia="Times New Roman" w:hAnsi="XO Thames" w:cs="Times New Roman"/>
      <w:color w:val="000000"/>
      <w:sz w:val="28"/>
      <w:szCs w:val="20"/>
      <w:lang w:eastAsia="ru-RU"/>
    </w:rPr>
  </w:style>
  <w:style w:type="character" w:customStyle="1" w:styleId="TM7Car">
    <w:name w:val="TM 7 Car"/>
    <w:link w:val="TM7"/>
    <w:uiPriority w:val="39"/>
    <w:rsid w:val="00516725"/>
    <w:rPr>
      <w:rFonts w:ascii="XO Thames" w:eastAsia="Times New Roman" w:hAnsi="XO Thames" w:cs="Times New Roman"/>
      <w:color w:val="000000"/>
      <w:sz w:val="28"/>
      <w:szCs w:val="20"/>
      <w:lang w:eastAsia="ru-RU"/>
    </w:rPr>
  </w:style>
  <w:style w:type="paragraph" w:customStyle="1" w:styleId="Heading21">
    <w:name w:val="Heading 21"/>
    <w:basedOn w:val="Normal"/>
    <w:next w:val="Normal"/>
    <w:rsid w:val="00516725"/>
    <w:pPr>
      <w:keepNext/>
      <w:keepLines/>
      <w:spacing w:before="40" w:after="0" w:line="264" w:lineRule="auto"/>
      <w:outlineLvl w:val="1"/>
    </w:pPr>
    <w:rPr>
      <w:rFonts w:ascii="Calibri Light" w:eastAsia="Times New Roman" w:hAnsi="Calibri Light" w:cs="Times New Roman"/>
      <w:color w:val="2E74B5"/>
      <w:sz w:val="26"/>
      <w:szCs w:val="20"/>
      <w:lang w:eastAsia="ru-RU"/>
    </w:rPr>
  </w:style>
  <w:style w:type="paragraph" w:customStyle="1" w:styleId="FootnoteAnchor">
    <w:name w:val="Footnote Anchor"/>
    <w:rsid w:val="00516725"/>
    <w:pPr>
      <w:spacing w:line="264" w:lineRule="auto"/>
    </w:pPr>
    <w:rPr>
      <w:rFonts w:eastAsia="Times New Roman" w:cs="Times New Roman"/>
      <w:color w:val="000000"/>
      <w:szCs w:val="20"/>
      <w:vertAlign w:val="superscript"/>
      <w:lang w:eastAsia="ru-RU"/>
    </w:rPr>
  </w:style>
  <w:style w:type="paragraph" w:customStyle="1" w:styleId="EndnoteAnchor">
    <w:name w:val="Endnote Anchor"/>
    <w:rsid w:val="00516725"/>
    <w:pPr>
      <w:spacing w:line="264" w:lineRule="auto"/>
    </w:pPr>
    <w:rPr>
      <w:rFonts w:eastAsia="Times New Roman" w:cs="Times New Roman"/>
      <w:color w:val="000000"/>
      <w:szCs w:val="20"/>
      <w:vertAlign w:val="superscript"/>
      <w:lang w:eastAsia="ru-RU"/>
    </w:rPr>
  </w:style>
  <w:style w:type="paragraph" w:styleId="Lgende">
    <w:name w:val="caption"/>
    <w:basedOn w:val="Normal"/>
    <w:link w:val="LgendeCar"/>
    <w:rsid w:val="00516725"/>
    <w:pPr>
      <w:widowControl w:val="0"/>
      <w:spacing w:after="0"/>
    </w:pPr>
    <w:rPr>
      <w:rFonts w:ascii="Liberation Serif" w:eastAsia="Times New Roman" w:hAnsi="Liberation Serif" w:cs="Times New Roman"/>
      <w:color w:val="000000"/>
      <w:sz w:val="24"/>
      <w:szCs w:val="20"/>
      <w:lang w:eastAsia="ru-RU"/>
    </w:rPr>
  </w:style>
  <w:style w:type="character" w:customStyle="1" w:styleId="LgendeCar">
    <w:name w:val="Légende Car"/>
    <w:basedOn w:val="Normal1"/>
    <w:link w:val="Lgende"/>
    <w:rsid w:val="00516725"/>
    <w:rPr>
      <w:rFonts w:ascii="Liberation Serif" w:eastAsia="Times New Roman" w:hAnsi="Liberation Serif" w:cs="Times New Roman"/>
      <w:color w:val="000000"/>
      <w:sz w:val="24"/>
      <w:szCs w:val="20"/>
      <w:lang w:eastAsia="ru-RU"/>
    </w:rPr>
  </w:style>
  <w:style w:type="character" w:customStyle="1" w:styleId="ParagraphedelisteCar">
    <w:name w:val="Paragraphe de liste Car"/>
    <w:basedOn w:val="Normal1"/>
    <w:link w:val="Paragraphedeliste"/>
    <w:uiPriority w:val="34"/>
    <w:rsid w:val="00516725"/>
    <w:rPr>
      <w:rFonts w:ascii="Times New Roman" w:hAnsi="Times New Roman"/>
      <w:sz w:val="28"/>
    </w:rPr>
  </w:style>
  <w:style w:type="paragraph" w:customStyle="1" w:styleId="UnresolvedMention10">
    <w:name w:val="Unresolved Mention1"/>
    <w:basedOn w:val="DefaultParagraphFont1"/>
    <w:link w:val="UnresolvedMention2"/>
    <w:rsid w:val="00516725"/>
    <w:rPr>
      <w:color w:val="605E5C"/>
      <w:shd w:val="clear" w:color="auto" w:fill="E1DFDD"/>
    </w:rPr>
  </w:style>
  <w:style w:type="character" w:customStyle="1" w:styleId="UnresolvedMention2">
    <w:name w:val="Unresolved Mention2"/>
    <w:basedOn w:val="Policepardfaut"/>
    <w:link w:val="UnresolvedMention10"/>
    <w:rsid w:val="00516725"/>
    <w:rPr>
      <w:rFonts w:eastAsia="Times New Roman" w:cs="Times New Roman"/>
      <w:color w:val="605E5C"/>
      <w:szCs w:val="20"/>
      <w:lang w:eastAsia="ru-RU"/>
    </w:rPr>
  </w:style>
  <w:style w:type="paragraph" w:customStyle="1" w:styleId="Heading51">
    <w:name w:val="Heading 51"/>
    <w:basedOn w:val="Normal"/>
    <w:next w:val="Normal"/>
    <w:rsid w:val="00516725"/>
    <w:pPr>
      <w:spacing w:after="0"/>
      <w:outlineLvl w:val="4"/>
    </w:pPr>
    <w:rPr>
      <w:rFonts w:ascii="Calibri" w:eastAsia="Times New Roman" w:hAnsi="Calibri" w:cs="Times New Roman"/>
      <w:smallCaps/>
      <w:color w:val="538135"/>
      <w:spacing w:val="10"/>
      <w:sz w:val="22"/>
      <w:szCs w:val="20"/>
      <w:lang w:eastAsia="ru-RU"/>
    </w:rPr>
  </w:style>
  <w:style w:type="paragraph" w:customStyle="1" w:styleId="Heading2Char1">
    <w:name w:val="Heading 2 Char1"/>
    <w:basedOn w:val="DefaultParagraphFont1"/>
    <w:rsid w:val="00516725"/>
    <w:rPr>
      <w:rFonts w:ascii="Calibri Light" w:hAnsi="Calibri Light"/>
      <w:color w:val="2F5496"/>
      <w:sz w:val="26"/>
    </w:rPr>
  </w:style>
  <w:style w:type="paragraph" w:customStyle="1" w:styleId="Heading41">
    <w:name w:val="Heading 41"/>
    <w:basedOn w:val="Normal"/>
    <w:next w:val="Normal"/>
    <w:rsid w:val="00516725"/>
    <w:pPr>
      <w:keepNext/>
      <w:keepLines/>
      <w:spacing w:before="40" w:after="0" w:line="264" w:lineRule="auto"/>
      <w:outlineLvl w:val="3"/>
    </w:pPr>
    <w:rPr>
      <w:rFonts w:ascii="Calibri Light" w:eastAsia="Times New Roman" w:hAnsi="Calibri Light" w:cs="Times New Roman"/>
      <w:i/>
      <w:color w:val="2E74B5"/>
      <w:sz w:val="22"/>
      <w:szCs w:val="20"/>
      <w:lang w:eastAsia="ru-RU"/>
    </w:rPr>
  </w:style>
  <w:style w:type="paragraph" w:customStyle="1" w:styleId="TableHeading">
    <w:name w:val="Table Heading"/>
    <w:basedOn w:val="TableContents"/>
    <w:rsid w:val="00516725"/>
  </w:style>
  <w:style w:type="paragraph" w:customStyle="1" w:styleId="11">
    <w:name w:val="Гиперссылка1"/>
    <w:basedOn w:val="10"/>
    <w:rsid w:val="00516725"/>
    <w:rPr>
      <w:color w:val="0000FF"/>
      <w:u w:val="single"/>
    </w:rPr>
  </w:style>
  <w:style w:type="paragraph" w:styleId="TM3">
    <w:name w:val="toc 3"/>
    <w:next w:val="Normal"/>
    <w:link w:val="TM3Car"/>
    <w:uiPriority w:val="39"/>
    <w:rsid w:val="00516725"/>
    <w:pPr>
      <w:spacing w:line="264" w:lineRule="auto"/>
      <w:ind w:left="400"/>
    </w:pPr>
    <w:rPr>
      <w:rFonts w:ascii="XO Thames" w:eastAsia="Times New Roman" w:hAnsi="XO Thames" w:cs="Times New Roman"/>
      <w:color w:val="000000"/>
      <w:sz w:val="28"/>
      <w:szCs w:val="20"/>
      <w:lang w:eastAsia="ru-RU"/>
    </w:rPr>
  </w:style>
  <w:style w:type="character" w:customStyle="1" w:styleId="TM3Car">
    <w:name w:val="TM 3 Car"/>
    <w:link w:val="TM3"/>
    <w:uiPriority w:val="39"/>
    <w:rsid w:val="00516725"/>
    <w:rPr>
      <w:rFonts w:ascii="XO Thames" w:eastAsia="Times New Roman" w:hAnsi="XO Thames" w:cs="Times New Roman"/>
      <w:color w:val="000000"/>
      <w:sz w:val="28"/>
      <w:szCs w:val="20"/>
      <w:lang w:eastAsia="ru-RU"/>
    </w:rPr>
  </w:style>
  <w:style w:type="paragraph" w:customStyle="1" w:styleId="FootnoteText1">
    <w:name w:val="Footnote Text1"/>
    <w:basedOn w:val="Normal"/>
    <w:next w:val="Notedebasdepage"/>
    <w:rsid w:val="00516725"/>
    <w:pPr>
      <w:spacing w:after="0"/>
    </w:pPr>
    <w:rPr>
      <w:rFonts w:ascii="Calibri" w:eastAsia="Times New Roman" w:hAnsi="Calibri" w:cs="Times New Roman"/>
      <w:color w:val="000000"/>
      <w:sz w:val="20"/>
      <w:szCs w:val="20"/>
      <w:lang w:eastAsia="ru-RU"/>
    </w:rPr>
  </w:style>
  <w:style w:type="paragraph" w:customStyle="1" w:styleId="Heading4Char1">
    <w:name w:val="Heading 4 Char1"/>
    <w:basedOn w:val="DefaultParagraphFont1"/>
    <w:rsid w:val="00516725"/>
    <w:rPr>
      <w:rFonts w:ascii="Calibri Light" w:hAnsi="Calibri Light"/>
      <w:i/>
      <w:color w:val="2F5496"/>
      <w:sz w:val="28"/>
    </w:rPr>
  </w:style>
  <w:style w:type="paragraph" w:customStyle="1" w:styleId="NumberingSymbols">
    <w:name w:val="Numbering_Symbols"/>
    <w:rsid w:val="00516725"/>
    <w:pPr>
      <w:spacing w:line="264" w:lineRule="auto"/>
    </w:pPr>
    <w:rPr>
      <w:rFonts w:eastAsia="Times New Roman" w:cs="Times New Roman"/>
      <w:color w:val="000000"/>
      <w:szCs w:val="20"/>
      <w:lang w:eastAsia="ru-RU"/>
    </w:rPr>
  </w:style>
  <w:style w:type="paragraph" w:styleId="Liste">
    <w:name w:val="List"/>
    <w:basedOn w:val="Corpsdetexte"/>
    <w:link w:val="ListeCar"/>
    <w:rsid w:val="00516725"/>
  </w:style>
  <w:style w:type="character" w:customStyle="1" w:styleId="ListeCar">
    <w:name w:val="Liste Car"/>
    <w:basedOn w:val="CorpsdetexteCar"/>
    <w:link w:val="Liste"/>
    <w:rsid w:val="00516725"/>
    <w:rPr>
      <w:rFonts w:ascii="Liberation Serif" w:eastAsia="Times New Roman" w:hAnsi="Liberation Serif" w:cs="Times New Roman"/>
      <w:color w:val="000000"/>
      <w:sz w:val="24"/>
      <w:szCs w:val="20"/>
      <w:lang w:eastAsia="ru-RU"/>
    </w:rPr>
  </w:style>
  <w:style w:type="paragraph" w:customStyle="1" w:styleId="10">
    <w:name w:val="Основной шрифт абзаца1"/>
    <w:rsid w:val="00516725"/>
    <w:pPr>
      <w:spacing w:line="264" w:lineRule="auto"/>
    </w:pPr>
    <w:rPr>
      <w:rFonts w:eastAsia="Times New Roman" w:cs="Times New Roman"/>
      <w:color w:val="000000"/>
      <w:szCs w:val="20"/>
      <w:lang w:eastAsia="ru-RU"/>
    </w:rPr>
  </w:style>
  <w:style w:type="paragraph" w:styleId="Notedefin">
    <w:name w:val="endnote text"/>
    <w:basedOn w:val="Normal"/>
    <w:link w:val="NotedefinCar"/>
    <w:rsid w:val="00516725"/>
    <w:pPr>
      <w:widowControl w:val="0"/>
      <w:spacing w:after="0"/>
    </w:pPr>
    <w:rPr>
      <w:rFonts w:ascii="Liberation Serif" w:eastAsia="Times New Roman" w:hAnsi="Liberation Serif" w:cs="Times New Roman"/>
      <w:color w:val="000000"/>
      <w:sz w:val="24"/>
      <w:szCs w:val="20"/>
      <w:lang w:eastAsia="ru-RU"/>
    </w:rPr>
  </w:style>
  <w:style w:type="character" w:customStyle="1" w:styleId="NotedefinCar">
    <w:name w:val="Note de fin Car"/>
    <w:basedOn w:val="Policepardfaut"/>
    <w:link w:val="Notedefin"/>
    <w:rsid w:val="00516725"/>
    <w:rPr>
      <w:rFonts w:ascii="Liberation Serif" w:eastAsia="Times New Roman" w:hAnsi="Liberation Serif" w:cs="Times New Roman"/>
      <w:color w:val="000000"/>
      <w:sz w:val="24"/>
      <w:szCs w:val="20"/>
      <w:lang w:eastAsia="ru-RU"/>
    </w:rPr>
  </w:style>
  <w:style w:type="paragraph" w:customStyle="1" w:styleId="12">
    <w:name w:val="Обычный1"/>
    <w:rsid w:val="00516725"/>
    <w:pPr>
      <w:spacing w:line="264" w:lineRule="auto"/>
    </w:pPr>
    <w:rPr>
      <w:rFonts w:eastAsia="Times New Roman" w:cs="Times New Roman"/>
      <w:color w:val="000000"/>
      <w:szCs w:val="20"/>
      <w:lang w:eastAsia="ru-RU"/>
    </w:rPr>
  </w:style>
  <w:style w:type="paragraph" w:customStyle="1" w:styleId="DefaultParagraphFont1">
    <w:name w:val="Default Paragraph Font1"/>
    <w:rsid w:val="00516725"/>
    <w:pPr>
      <w:spacing w:line="264" w:lineRule="auto"/>
    </w:pPr>
    <w:rPr>
      <w:rFonts w:eastAsia="Times New Roman" w:cs="Times New Roman"/>
      <w:color w:val="000000"/>
      <w:szCs w:val="20"/>
      <w:lang w:eastAsia="ru-RU"/>
    </w:rPr>
  </w:style>
  <w:style w:type="paragraph" w:customStyle="1" w:styleId="Hyperlink1">
    <w:name w:val="Hyperlink1"/>
    <w:link w:val="Lienhypertexte"/>
    <w:uiPriority w:val="99"/>
    <w:rsid w:val="00516725"/>
    <w:pPr>
      <w:spacing w:line="264" w:lineRule="auto"/>
    </w:pPr>
    <w:rPr>
      <w:color w:val="0000FF"/>
      <w:u w:val="single"/>
    </w:rPr>
  </w:style>
  <w:style w:type="paragraph" w:customStyle="1" w:styleId="Footnote">
    <w:name w:val="Footnote"/>
    <w:basedOn w:val="Normal"/>
    <w:rsid w:val="00516725"/>
    <w:pPr>
      <w:spacing w:after="0"/>
    </w:pPr>
    <w:rPr>
      <w:rFonts w:ascii="Calibri" w:eastAsia="Times New Roman" w:hAnsi="Calibri" w:cs="Times New Roman"/>
      <w:color w:val="000000"/>
      <w:sz w:val="20"/>
      <w:szCs w:val="20"/>
      <w:lang w:eastAsia="ru-RU"/>
    </w:rPr>
  </w:style>
  <w:style w:type="paragraph" w:customStyle="1" w:styleId="13">
    <w:name w:val="Неразрешенное упоминание1"/>
    <w:basedOn w:val="10"/>
    <w:rsid w:val="00516725"/>
    <w:rPr>
      <w:color w:val="605E5C"/>
      <w:shd w:val="clear" w:color="auto" w:fill="E1DFDD"/>
    </w:rPr>
  </w:style>
  <w:style w:type="paragraph" w:styleId="TM1">
    <w:name w:val="toc 1"/>
    <w:next w:val="Normal"/>
    <w:link w:val="TM1Car"/>
    <w:uiPriority w:val="39"/>
    <w:rsid w:val="00516725"/>
    <w:pPr>
      <w:spacing w:line="264" w:lineRule="auto"/>
    </w:pPr>
    <w:rPr>
      <w:rFonts w:ascii="XO Thames" w:eastAsia="Times New Roman" w:hAnsi="XO Thames" w:cs="Times New Roman"/>
      <w:b/>
      <w:color w:val="000000"/>
      <w:sz w:val="28"/>
      <w:szCs w:val="20"/>
      <w:lang w:eastAsia="ru-RU"/>
    </w:rPr>
  </w:style>
  <w:style w:type="character" w:customStyle="1" w:styleId="TM1Car">
    <w:name w:val="TM 1 Car"/>
    <w:link w:val="TM1"/>
    <w:uiPriority w:val="39"/>
    <w:rsid w:val="00516725"/>
    <w:rPr>
      <w:rFonts w:ascii="XO Thames" w:eastAsia="Times New Roman" w:hAnsi="XO Thames" w:cs="Times New Roman"/>
      <w:b/>
      <w:color w:val="000000"/>
      <w:sz w:val="28"/>
      <w:szCs w:val="20"/>
      <w:lang w:eastAsia="ru-RU"/>
    </w:rPr>
  </w:style>
  <w:style w:type="paragraph" w:customStyle="1" w:styleId="HeaderandFooter">
    <w:name w:val="Header and Footer"/>
    <w:rsid w:val="00516725"/>
    <w:pPr>
      <w:spacing w:line="240" w:lineRule="auto"/>
      <w:jc w:val="both"/>
    </w:pPr>
    <w:rPr>
      <w:rFonts w:ascii="XO Thames" w:eastAsia="Times New Roman" w:hAnsi="XO Thames" w:cs="Times New Roman"/>
      <w:color w:val="000000"/>
      <w:sz w:val="20"/>
      <w:szCs w:val="20"/>
      <w:lang w:eastAsia="ru-RU"/>
    </w:rPr>
  </w:style>
  <w:style w:type="paragraph" w:styleId="Corpsdetexte">
    <w:name w:val="Body Text"/>
    <w:basedOn w:val="Normal"/>
    <w:link w:val="CorpsdetexteCar"/>
    <w:rsid w:val="00516725"/>
    <w:pPr>
      <w:widowControl w:val="0"/>
      <w:spacing w:after="0"/>
    </w:pPr>
    <w:rPr>
      <w:rFonts w:ascii="Liberation Serif" w:eastAsia="Times New Roman" w:hAnsi="Liberation Serif" w:cs="Times New Roman"/>
      <w:color w:val="000000"/>
      <w:sz w:val="24"/>
      <w:szCs w:val="20"/>
      <w:lang w:eastAsia="ru-RU"/>
    </w:rPr>
  </w:style>
  <w:style w:type="character" w:customStyle="1" w:styleId="CorpsdetexteCar">
    <w:name w:val="Corps de texte Car"/>
    <w:basedOn w:val="Policepardfaut"/>
    <w:link w:val="Corpsdetexte"/>
    <w:rsid w:val="00516725"/>
    <w:rPr>
      <w:rFonts w:ascii="Liberation Serif" w:eastAsia="Times New Roman" w:hAnsi="Liberation Serif" w:cs="Times New Roman"/>
      <w:color w:val="000000"/>
      <w:sz w:val="24"/>
      <w:szCs w:val="20"/>
      <w:lang w:eastAsia="ru-RU"/>
    </w:rPr>
  </w:style>
  <w:style w:type="paragraph" w:customStyle="1" w:styleId="error">
    <w:name w:val="error"/>
    <w:basedOn w:val="10"/>
    <w:rsid w:val="00516725"/>
  </w:style>
  <w:style w:type="paragraph" w:styleId="TM9">
    <w:name w:val="toc 9"/>
    <w:next w:val="Normal"/>
    <w:link w:val="TM9Car"/>
    <w:uiPriority w:val="39"/>
    <w:rsid w:val="00516725"/>
    <w:pPr>
      <w:spacing w:line="264" w:lineRule="auto"/>
      <w:ind w:left="1600"/>
    </w:pPr>
    <w:rPr>
      <w:rFonts w:ascii="XO Thames" w:eastAsia="Times New Roman" w:hAnsi="XO Thames" w:cs="Times New Roman"/>
      <w:color w:val="000000"/>
      <w:sz w:val="28"/>
      <w:szCs w:val="20"/>
      <w:lang w:eastAsia="ru-RU"/>
    </w:rPr>
  </w:style>
  <w:style w:type="character" w:customStyle="1" w:styleId="TM9Car">
    <w:name w:val="TM 9 Car"/>
    <w:link w:val="TM9"/>
    <w:uiPriority w:val="39"/>
    <w:rsid w:val="00516725"/>
    <w:rPr>
      <w:rFonts w:ascii="XO Thames" w:eastAsia="Times New Roman" w:hAnsi="XO Thames" w:cs="Times New Roman"/>
      <w:color w:val="000000"/>
      <w:sz w:val="28"/>
      <w:szCs w:val="20"/>
      <w:lang w:eastAsia="ru-RU"/>
    </w:rPr>
  </w:style>
  <w:style w:type="paragraph" w:customStyle="1" w:styleId="14">
    <w:name w:val="Выделение1"/>
    <w:basedOn w:val="10"/>
    <w:rsid w:val="00516725"/>
    <w:rPr>
      <w:i/>
    </w:rPr>
  </w:style>
  <w:style w:type="paragraph" w:customStyle="1" w:styleId="Heading1Char1">
    <w:name w:val="Heading 1 Char1"/>
    <w:basedOn w:val="DefaultParagraphFont1"/>
    <w:rsid w:val="00516725"/>
    <w:rPr>
      <w:rFonts w:ascii="Calibri Light" w:hAnsi="Calibri Light"/>
      <w:color w:val="2F5496"/>
      <w:sz w:val="32"/>
    </w:rPr>
  </w:style>
  <w:style w:type="paragraph" w:styleId="TM8">
    <w:name w:val="toc 8"/>
    <w:next w:val="Normal"/>
    <w:link w:val="TM8Car"/>
    <w:uiPriority w:val="39"/>
    <w:rsid w:val="00516725"/>
    <w:pPr>
      <w:spacing w:line="264" w:lineRule="auto"/>
      <w:ind w:left="1400"/>
    </w:pPr>
    <w:rPr>
      <w:rFonts w:ascii="XO Thames" w:eastAsia="Times New Roman" w:hAnsi="XO Thames" w:cs="Times New Roman"/>
      <w:color w:val="000000"/>
      <w:sz w:val="28"/>
      <w:szCs w:val="20"/>
      <w:lang w:eastAsia="ru-RU"/>
    </w:rPr>
  </w:style>
  <w:style w:type="character" w:customStyle="1" w:styleId="TM8Car">
    <w:name w:val="TM 8 Car"/>
    <w:link w:val="TM8"/>
    <w:uiPriority w:val="39"/>
    <w:rsid w:val="00516725"/>
    <w:rPr>
      <w:rFonts w:ascii="XO Thames" w:eastAsia="Times New Roman" w:hAnsi="XO Thames" w:cs="Times New Roman"/>
      <w:color w:val="000000"/>
      <w:sz w:val="28"/>
      <w:szCs w:val="20"/>
      <w:lang w:eastAsia="ru-RU"/>
    </w:rPr>
  </w:style>
  <w:style w:type="character" w:customStyle="1" w:styleId="NormalWebCar">
    <w:name w:val="Normal (Web) Car"/>
    <w:basedOn w:val="Normal1"/>
    <w:link w:val="NormalWeb"/>
    <w:uiPriority w:val="99"/>
    <w:rsid w:val="00516725"/>
    <w:rPr>
      <w:rFonts w:ascii="Times New Roman" w:eastAsia="Times New Roman" w:hAnsi="Times New Roman" w:cs="Times New Roman"/>
      <w:sz w:val="24"/>
      <w:szCs w:val="24"/>
      <w:lang w:eastAsia="ru-RU"/>
    </w:rPr>
  </w:style>
  <w:style w:type="paragraph" w:customStyle="1" w:styleId="EndnoteReference1">
    <w:name w:val="Endnote Reference1"/>
    <w:link w:val="Appeldenotedefin"/>
    <w:rsid w:val="00516725"/>
    <w:pPr>
      <w:spacing w:line="264" w:lineRule="auto"/>
    </w:pPr>
    <w:rPr>
      <w:rFonts w:eastAsia="Times New Roman" w:cs="Times New Roman"/>
      <w:color w:val="000000"/>
      <w:szCs w:val="20"/>
      <w:vertAlign w:val="superscript"/>
      <w:lang w:eastAsia="ru-RU"/>
    </w:rPr>
  </w:style>
  <w:style w:type="character" w:styleId="Appeldenotedefin">
    <w:name w:val="endnote reference"/>
    <w:link w:val="EndnoteReference1"/>
    <w:rsid w:val="00516725"/>
    <w:rPr>
      <w:rFonts w:eastAsia="Times New Roman" w:cs="Times New Roman"/>
      <w:color w:val="000000"/>
      <w:szCs w:val="20"/>
      <w:vertAlign w:val="superscript"/>
      <w:lang w:eastAsia="ru-RU"/>
    </w:rPr>
  </w:style>
  <w:style w:type="paragraph" w:styleId="TM5">
    <w:name w:val="toc 5"/>
    <w:next w:val="Normal"/>
    <w:link w:val="TM5Car"/>
    <w:uiPriority w:val="39"/>
    <w:rsid w:val="00516725"/>
    <w:pPr>
      <w:spacing w:line="264" w:lineRule="auto"/>
      <w:ind w:left="800"/>
    </w:pPr>
    <w:rPr>
      <w:rFonts w:ascii="XO Thames" w:eastAsia="Times New Roman" w:hAnsi="XO Thames" w:cs="Times New Roman"/>
      <w:color w:val="000000"/>
      <w:sz w:val="28"/>
      <w:szCs w:val="20"/>
      <w:lang w:eastAsia="ru-RU"/>
    </w:rPr>
  </w:style>
  <w:style w:type="character" w:customStyle="1" w:styleId="TM5Car">
    <w:name w:val="TM 5 Car"/>
    <w:link w:val="TM5"/>
    <w:uiPriority w:val="39"/>
    <w:rsid w:val="00516725"/>
    <w:rPr>
      <w:rFonts w:ascii="XO Thames" w:eastAsia="Times New Roman" w:hAnsi="XO Thames" w:cs="Times New Roman"/>
      <w:color w:val="000000"/>
      <w:sz w:val="28"/>
      <w:szCs w:val="20"/>
      <w:lang w:eastAsia="ru-RU"/>
    </w:rPr>
  </w:style>
  <w:style w:type="paragraph" w:customStyle="1" w:styleId="15">
    <w:name w:val="Строгий1"/>
    <w:basedOn w:val="10"/>
    <w:rsid w:val="00516725"/>
    <w:rPr>
      <w:b/>
    </w:rPr>
  </w:style>
  <w:style w:type="paragraph" w:customStyle="1" w:styleId="Heading">
    <w:name w:val="Heading"/>
    <w:basedOn w:val="Normal"/>
    <w:next w:val="Corpsdetexte"/>
    <w:rsid w:val="00516725"/>
    <w:pPr>
      <w:keepNext/>
      <w:widowControl w:val="0"/>
      <w:spacing w:before="240" w:after="120"/>
    </w:pPr>
    <w:rPr>
      <w:rFonts w:ascii="Liberation Sans" w:eastAsia="Times New Roman" w:hAnsi="Liberation Sans" w:cs="Times New Roman"/>
      <w:color w:val="000000"/>
      <w:szCs w:val="20"/>
      <w:lang w:eastAsia="ru-RU"/>
    </w:rPr>
  </w:style>
  <w:style w:type="paragraph" w:customStyle="1" w:styleId="Heading11">
    <w:name w:val="Heading 11"/>
    <w:basedOn w:val="Normal"/>
    <w:next w:val="Normal"/>
    <w:rsid w:val="00516725"/>
    <w:pPr>
      <w:keepNext/>
      <w:keepLines/>
      <w:spacing w:before="240" w:after="0" w:line="264" w:lineRule="auto"/>
      <w:outlineLvl w:val="0"/>
    </w:pPr>
    <w:rPr>
      <w:rFonts w:ascii="Calibri Light" w:eastAsia="Times New Roman" w:hAnsi="Calibri Light" w:cs="Times New Roman"/>
      <w:color w:val="2E74B5"/>
      <w:sz w:val="32"/>
      <w:szCs w:val="20"/>
      <w:lang w:eastAsia="ru-RU"/>
    </w:rPr>
  </w:style>
  <w:style w:type="paragraph" w:styleId="Sous-titre">
    <w:name w:val="Subtitle"/>
    <w:next w:val="Normal"/>
    <w:link w:val="Sous-titreCar"/>
    <w:uiPriority w:val="11"/>
    <w:qFormat/>
    <w:rsid w:val="00516725"/>
    <w:pPr>
      <w:spacing w:line="264" w:lineRule="auto"/>
      <w:jc w:val="both"/>
    </w:pPr>
    <w:rPr>
      <w:rFonts w:ascii="XO Thames" w:eastAsia="Times New Roman" w:hAnsi="XO Thames" w:cs="Times New Roman"/>
      <w:i/>
      <w:color w:val="000000"/>
      <w:sz w:val="24"/>
      <w:szCs w:val="20"/>
      <w:lang w:eastAsia="ru-RU"/>
    </w:rPr>
  </w:style>
  <w:style w:type="character" w:customStyle="1" w:styleId="Sous-titreCar">
    <w:name w:val="Sous-titre Car"/>
    <w:basedOn w:val="Policepardfaut"/>
    <w:link w:val="Sous-titre"/>
    <w:uiPriority w:val="11"/>
    <w:rsid w:val="00516725"/>
    <w:rPr>
      <w:rFonts w:ascii="XO Thames" w:eastAsia="Times New Roman" w:hAnsi="XO Thames" w:cs="Times New Roman"/>
      <w:i/>
      <w:color w:val="000000"/>
      <w:sz w:val="24"/>
      <w:szCs w:val="20"/>
      <w:lang w:eastAsia="ru-RU"/>
    </w:rPr>
  </w:style>
  <w:style w:type="paragraph" w:customStyle="1" w:styleId="16">
    <w:name w:val="Знак сноски1"/>
    <w:basedOn w:val="10"/>
    <w:rsid w:val="00516725"/>
    <w:rPr>
      <w:vertAlign w:val="superscript"/>
    </w:rPr>
  </w:style>
  <w:style w:type="paragraph" w:styleId="Titre">
    <w:name w:val="Title"/>
    <w:next w:val="Normal"/>
    <w:link w:val="TitreCar"/>
    <w:uiPriority w:val="10"/>
    <w:qFormat/>
    <w:rsid w:val="00516725"/>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TitreCar">
    <w:name w:val="Titre Car"/>
    <w:basedOn w:val="Policepardfaut"/>
    <w:link w:val="Titre"/>
    <w:uiPriority w:val="10"/>
    <w:rsid w:val="00516725"/>
    <w:rPr>
      <w:rFonts w:ascii="XO Thames" w:eastAsia="Times New Roman" w:hAnsi="XO Thames" w:cs="Times New Roman"/>
      <w:b/>
      <w:caps/>
      <w:color w:val="000000"/>
      <w:sz w:val="40"/>
      <w:szCs w:val="20"/>
      <w:lang w:eastAsia="ru-RU"/>
    </w:rPr>
  </w:style>
  <w:style w:type="paragraph" w:customStyle="1" w:styleId="FootnoteSymbol">
    <w:name w:val="Footnote_Symbol"/>
    <w:rsid w:val="00516725"/>
    <w:pPr>
      <w:spacing w:line="264" w:lineRule="auto"/>
    </w:pPr>
    <w:rPr>
      <w:rFonts w:eastAsia="Times New Roman" w:cs="Times New Roman"/>
      <w:color w:val="000000"/>
      <w:szCs w:val="20"/>
      <w:vertAlign w:val="superscript"/>
      <w:lang w:eastAsia="ru-RU"/>
    </w:rPr>
  </w:style>
  <w:style w:type="paragraph" w:styleId="Textedebulles">
    <w:name w:val="Balloon Text"/>
    <w:basedOn w:val="Normal"/>
    <w:link w:val="TextedebullesCar"/>
    <w:uiPriority w:val="99"/>
    <w:semiHidden/>
    <w:unhideWhenUsed/>
    <w:rsid w:val="00516725"/>
    <w:pPr>
      <w:spacing w:after="0"/>
    </w:pPr>
    <w:rPr>
      <w:rFonts w:ascii="Tahoma" w:eastAsia="Times New Roman" w:hAnsi="Tahoma" w:cs="Tahoma"/>
      <w:color w:val="000000"/>
      <w:sz w:val="16"/>
      <w:szCs w:val="16"/>
      <w:lang w:eastAsia="ru-RU"/>
    </w:rPr>
  </w:style>
  <w:style w:type="character" w:customStyle="1" w:styleId="TextedebullesCar">
    <w:name w:val="Texte de bulles Car"/>
    <w:basedOn w:val="Policepardfaut"/>
    <w:link w:val="Textedebulles"/>
    <w:uiPriority w:val="99"/>
    <w:semiHidden/>
    <w:rsid w:val="00516725"/>
    <w:rPr>
      <w:rFonts w:ascii="Tahoma" w:eastAsia="Times New Roman" w:hAnsi="Tahoma" w:cs="Tahoma"/>
      <w:color w:val="000000"/>
      <w:sz w:val="16"/>
      <w:szCs w:val="16"/>
      <w:lang w:eastAsia="ru-RU"/>
    </w:rPr>
  </w:style>
  <w:style w:type="character" w:customStyle="1" w:styleId="UnresolvedMention3">
    <w:name w:val="Unresolved Mention3"/>
    <w:basedOn w:val="Policepardfaut"/>
    <w:uiPriority w:val="99"/>
    <w:semiHidden/>
    <w:unhideWhenUsed/>
    <w:rsid w:val="00516725"/>
    <w:rPr>
      <w:color w:val="605E5C"/>
      <w:shd w:val="clear" w:color="auto" w:fill="E1DFDD"/>
    </w:rPr>
  </w:style>
  <w:style w:type="character" w:customStyle="1" w:styleId="UnresolvedMention4">
    <w:name w:val="Unresolved Mention4"/>
    <w:basedOn w:val="Policepardfaut"/>
    <w:uiPriority w:val="99"/>
    <w:semiHidden/>
    <w:unhideWhenUsed/>
    <w:rsid w:val="00516725"/>
    <w:rPr>
      <w:color w:val="605E5C"/>
      <w:shd w:val="clear" w:color="auto" w:fill="E1DFDD"/>
    </w:rPr>
  </w:style>
  <w:style w:type="character" w:styleId="Textedelespacerserv">
    <w:name w:val="Placeholder Text"/>
    <w:basedOn w:val="Policepardfaut"/>
    <w:uiPriority w:val="99"/>
    <w:semiHidden/>
    <w:rsid w:val="00516725"/>
    <w:rPr>
      <w:color w:val="808080"/>
    </w:rPr>
  </w:style>
  <w:style w:type="paragraph" w:styleId="En-ttedetabledesmatires">
    <w:name w:val="TOC Heading"/>
    <w:basedOn w:val="Titre1"/>
    <w:next w:val="Normal"/>
    <w:uiPriority w:val="39"/>
    <w:unhideWhenUsed/>
    <w:qFormat/>
    <w:rsid w:val="00DF6B77"/>
    <w:pPr>
      <w:spacing w:line="259" w:lineRule="auto"/>
      <w:outlineLvl w:val="9"/>
    </w:pPr>
    <w:rPr>
      <w:rFonts w:asciiTheme="majorHAnsi" w:eastAsiaTheme="majorEastAsia" w:hAnsiTheme="majorHAnsi" w:cstheme="majorBidi"/>
      <w:color w:val="2F5496" w:themeColor="accent1" w:themeShade="BF"/>
      <w:szCs w:val="32"/>
      <w:lang w:val="fr-FR" w:eastAsia="fr-FR"/>
    </w:rPr>
  </w:style>
  <w:style w:type="character" w:customStyle="1" w:styleId="UnresolvedMention">
    <w:name w:val="Unresolved Mention"/>
    <w:basedOn w:val="Policepardfaut"/>
    <w:uiPriority w:val="99"/>
    <w:semiHidden/>
    <w:unhideWhenUsed/>
    <w:rsid w:val="00A91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175">
      <w:bodyDiv w:val="1"/>
      <w:marLeft w:val="0"/>
      <w:marRight w:val="0"/>
      <w:marTop w:val="0"/>
      <w:marBottom w:val="0"/>
      <w:divBdr>
        <w:top w:val="none" w:sz="0" w:space="0" w:color="auto"/>
        <w:left w:val="none" w:sz="0" w:space="0" w:color="auto"/>
        <w:bottom w:val="none" w:sz="0" w:space="0" w:color="auto"/>
        <w:right w:val="none" w:sz="0" w:space="0" w:color="auto"/>
      </w:divBdr>
    </w:div>
    <w:div w:id="102044425">
      <w:bodyDiv w:val="1"/>
      <w:marLeft w:val="0"/>
      <w:marRight w:val="0"/>
      <w:marTop w:val="0"/>
      <w:marBottom w:val="0"/>
      <w:divBdr>
        <w:top w:val="none" w:sz="0" w:space="0" w:color="auto"/>
        <w:left w:val="none" w:sz="0" w:space="0" w:color="auto"/>
        <w:bottom w:val="none" w:sz="0" w:space="0" w:color="auto"/>
        <w:right w:val="none" w:sz="0" w:space="0" w:color="auto"/>
      </w:divBdr>
    </w:div>
    <w:div w:id="152331300">
      <w:bodyDiv w:val="1"/>
      <w:marLeft w:val="0"/>
      <w:marRight w:val="0"/>
      <w:marTop w:val="0"/>
      <w:marBottom w:val="0"/>
      <w:divBdr>
        <w:top w:val="none" w:sz="0" w:space="0" w:color="auto"/>
        <w:left w:val="none" w:sz="0" w:space="0" w:color="auto"/>
        <w:bottom w:val="none" w:sz="0" w:space="0" w:color="auto"/>
        <w:right w:val="none" w:sz="0" w:space="0" w:color="auto"/>
      </w:divBdr>
    </w:div>
    <w:div w:id="465902783">
      <w:bodyDiv w:val="1"/>
      <w:marLeft w:val="0"/>
      <w:marRight w:val="0"/>
      <w:marTop w:val="0"/>
      <w:marBottom w:val="0"/>
      <w:divBdr>
        <w:top w:val="none" w:sz="0" w:space="0" w:color="auto"/>
        <w:left w:val="none" w:sz="0" w:space="0" w:color="auto"/>
        <w:bottom w:val="none" w:sz="0" w:space="0" w:color="auto"/>
        <w:right w:val="none" w:sz="0" w:space="0" w:color="auto"/>
      </w:divBdr>
    </w:div>
    <w:div w:id="543634562">
      <w:bodyDiv w:val="1"/>
      <w:marLeft w:val="0"/>
      <w:marRight w:val="0"/>
      <w:marTop w:val="0"/>
      <w:marBottom w:val="0"/>
      <w:divBdr>
        <w:top w:val="none" w:sz="0" w:space="0" w:color="auto"/>
        <w:left w:val="none" w:sz="0" w:space="0" w:color="auto"/>
        <w:bottom w:val="none" w:sz="0" w:space="0" w:color="auto"/>
        <w:right w:val="none" w:sz="0" w:space="0" w:color="auto"/>
      </w:divBdr>
    </w:div>
    <w:div w:id="769934724">
      <w:bodyDiv w:val="1"/>
      <w:marLeft w:val="0"/>
      <w:marRight w:val="0"/>
      <w:marTop w:val="0"/>
      <w:marBottom w:val="0"/>
      <w:divBdr>
        <w:top w:val="none" w:sz="0" w:space="0" w:color="auto"/>
        <w:left w:val="none" w:sz="0" w:space="0" w:color="auto"/>
        <w:bottom w:val="none" w:sz="0" w:space="0" w:color="auto"/>
        <w:right w:val="none" w:sz="0" w:space="0" w:color="auto"/>
      </w:divBdr>
    </w:div>
    <w:div w:id="852181816">
      <w:bodyDiv w:val="1"/>
      <w:marLeft w:val="0"/>
      <w:marRight w:val="0"/>
      <w:marTop w:val="0"/>
      <w:marBottom w:val="0"/>
      <w:divBdr>
        <w:top w:val="none" w:sz="0" w:space="0" w:color="auto"/>
        <w:left w:val="none" w:sz="0" w:space="0" w:color="auto"/>
        <w:bottom w:val="none" w:sz="0" w:space="0" w:color="auto"/>
        <w:right w:val="none" w:sz="0" w:space="0" w:color="auto"/>
      </w:divBdr>
    </w:div>
    <w:div w:id="930044155">
      <w:bodyDiv w:val="1"/>
      <w:marLeft w:val="0"/>
      <w:marRight w:val="0"/>
      <w:marTop w:val="0"/>
      <w:marBottom w:val="0"/>
      <w:divBdr>
        <w:top w:val="none" w:sz="0" w:space="0" w:color="auto"/>
        <w:left w:val="none" w:sz="0" w:space="0" w:color="auto"/>
        <w:bottom w:val="none" w:sz="0" w:space="0" w:color="auto"/>
        <w:right w:val="none" w:sz="0" w:space="0" w:color="auto"/>
      </w:divBdr>
      <w:divsChild>
        <w:div w:id="584457750">
          <w:marLeft w:val="0"/>
          <w:marRight w:val="0"/>
          <w:marTop w:val="960"/>
          <w:marBottom w:val="0"/>
          <w:divBdr>
            <w:top w:val="none" w:sz="0" w:space="0" w:color="auto"/>
            <w:left w:val="none" w:sz="0" w:space="0" w:color="auto"/>
            <w:bottom w:val="none" w:sz="0" w:space="0" w:color="auto"/>
            <w:right w:val="none" w:sz="0" w:space="0" w:color="auto"/>
          </w:divBdr>
        </w:div>
        <w:div w:id="1845171956">
          <w:marLeft w:val="0"/>
          <w:marRight w:val="0"/>
          <w:marTop w:val="960"/>
          <w:marBottom w:val="0"/>
          <w:divBdr>
            <w:top w:val="none" w:sz="0" w:space="0" w:color="auto"/>
            <w:left w:val="none" w:sz="0" w:space="0" w:color="auto"/>
            <w:bottom w:val="none" w:sz="0" w:space="0" w:color="auto"/>
            <w:right w:val="none" w:sz="0" w:space="0" w:color="auto"/>
          </w:divBdr>
          <w:divsChild>
            <w:div w:id="44369092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19992834">
      <w:bodyDiv w:val="1"/>
      <w:marLeft w:val="0"/>
      <w:marRight w:val="0"/>
      <w:marTop w:val="0"/>
      <w:marBottom w:val="0"/>
      <w:divBdr>
        <w:top w:val="none" w:sz="0" w:space="0" w:color="auto"/>
        <w:left w:val="none" w:sz="0" w:space="0" w:color="auto"/>
        <w:bottom w:val="none" w:sz="0" w:space="0" w:color="auto"/>
        <w:right w:val="none" w:sz="0" w:space="0" w:color="auto"/>
      </w:divBdr>
    </w:div>
    <w:div w:id="1557157526">
      <w:bodyDiv w:val="1"/>
      <w:marLeft w:val="0"/>
      <w:marRight w:val="0"/>
      <w:marTop w:val="0"/>
      <w:marBottom w:val="0"/>
      <w:divBdr>
        <w:top w:val="none" w:sz="0" w:space="0" w:color="auto"/>
        <w:left w:val="none" w:sz="0" w:space="0" w:color="auto"/>
        <w:bottom w:val="none" w:sz="0" w:space="0" w:color="auto"/>
        <w:right w:val="none" w:sz="0" w:space="0" w:color="auto"/>
      </w:divBdr>
    </w:div>
    <w:div w:id="1624580060">
      <w:bodyDiv w:val="1"/>
      <w:marLeft w:val="0"/>
      <w:marRight w:val="0"/>
      <w:marTop w:val="0"/>
      <w:marBottom w:val="0"/>
      <w:divBdr>
        <w:top w:val="none" w:sz="0" w:space="0" w:color="auto"/>
        <w:left w:val="none" w:sz="0" w:space="0" w:color="auto"/>
        <w:bottom w:val="none" w:sz="0" w:space="0" w:color="auto"/>
        <w:right w:val="none" w:sz="0" w:space="0" w:color="auto"/>
      </w:divBdr>
    </w:div>
    <w:div w:id="1835487747">
      <w:bodyDiv w:val="1"/>
      <w:marLeft w:val="0"/>
      <w:marRight w:val="0"/>
      <w:marTop w:val="0"/>
      <w:marBottom w:val="0"/>
      <w:divBdr>
        <w:top w:val="none" w:sz="0" w:space="0" w:color="auto"/>
        <w:left w:val="none" w:sz="0" w:space="0" w:color="auto"/>
        <w:bottom w:val="none" w:sz="0" w:space="0" w:color="auto"/>
        <w:right w:val="none" w:sz="0" w:space="0" w:color="auto"/>
      </w:divBdr>
      <w:divsChild>
        <w:div w:id="196041135">
          <w:marLeft w:val="0"/>
          <w:marRight w:val="0"/>
          <w:marTop w:val="0"/>
          <w:marBottom w:val="0"/>
          <w:divBdr>
            <w:top w:val="none" w:sz="0" w:space="0" w:color="auto"/>
            <w:left w:val="none" w:sz="0" w:space="0" w:color="auto"/>
            <w:bottom w:val="none" w:sz="0" w:space="0" w:color="auto"/>
            <w:right w:val="none" w:sz="0" w:space="0" w:color="auto"/>
          </w:divBdr>
        </w:div>
        <w:div w:id="349795606">
          <w:marLeft w:val="0"/>
          <w:marRight w:val="0"/>
          <w:marTop w:val="0"/>
          <w:marBottom w:val="0"/>
          <w:divBdr>
            <w:top w:val="none" w:sz="0" w:space="0" w:color="auto"/>
            <w:left w:val="none" w:sz="0" w:space="0" w:color="auto"/>
            <w:bottom w:val="none" w:sz="0" w:space="0" w:color="auto"/>
            <w:right w:val="none" w:sz="0" w:space="0" w:color="auto"/>
          </w:divBdr>
        </w:div>
        <w:div w:id="966662708">
          <w:marLeft w:val="0"/>
          <w:marRight w:val="0"/>
          <w:marTop w:val="0"/>
          <w:marBottom w:val="0"/>
          <w:divBdr>
            <w:top w:val="none" w:sz="0" w:space="0" w:color="auto"/>
            <w:left w:val="none" w:sz="0" w:space="0" w:color="auto"/>
            <w:bottom w:val="none" w:sz="0" w:space="0" w:color="auto"/>
            <w:right w:val="none" w:sz="0" w:space="0" w:color="auto"/>
          </w:divBdr>
        </w:div>
        <w:div w:id="1326860523">
          <w:marLeft w:val="0"/>
          <w:marRight w:val="0"/>
          <w:marTop w:val="0"/>
          <w:marBottom w:val="0"/>
          <w:divBdr>
            <w:top w:val="none" w:sz="0" w:space="0" w:color="auto"/>
            <w:left w:val="none" w:sz="0" w:space="0" w:color="auto"/>
            <w:bottom w:val="none" w:sz="0" w:space="0" w:color="auto"/>
            <w:right w:val="none" w:sz="0" w:space="0" w:color="auto"/>
          </w:divBdr>
        </w:div>
        <w:div w:id="15361144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cpi.int/NR/rdonlyres/20BB4494-70F9-4698-8E3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s.parisnanterre.fr/article/quand-laccuse-devant-la-cpi-plaide-coupable-le-jugement-portant-condamnation-dahmad-al-mahdi" TargetMode="External"/><Relationship Id="rId5" Type="http://schemas.openxmlformats.org/officeDocument/2006/relationships/webSettings" Target="webSettings.xml"/><Relationship Id="rId10" Type="http://schemas.openxmlformats.org/officeDocument/2006/relationships/hyperlink" Target="https://www.sciencedirect.com/journal/annales-medico-psychologiques-revue-psychiatrique/vol/171/issue/7" TargetMode="External"/><Relationship Id="rId4" Type="http://schemas.openxmlformats.org/officeDocument/2006/relationships/settings" Target="settings.xml"/><Relationship Id="rId9" Type="http://schemas.openxmlformats.org/officeDocument/2006/relationships/hyperlink" Target="https://www.sciencedirect.com/journal/annales-medico-psychologiques-revue-psychiatriqu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logs.parisnanterre.fr/article/quand-laccuse-devant-la-cpi-plaide-coupable-le-jugement-portant-condamnation-dahmad-al-mahdi" TargetMode="External"/><Relationship Id="rId7" Type="http://schemas.openxmlformats.org/officeDocument/2006/relationships/hyperlink" Target="https://doi.org/10.4000/books.iheid.579" TargetMode="External"/><Relationship Id="rId2" Type="http://schemas.openxmlformats.org/officeDocument/2006/relationships/hyperlink" Target="http://www.victoria.ac.nz/law/nzacl/publications.aspx" TargetMode="External"/><Relationship Id="rId1" Type="http://schemas.openxmlformats.org/officeDocument/2006/relationships/hyperlink" Target="https://www.icc-cpi.int/NR/rdonlyres/20BB4494-70F9-4698-8E30" TargetMode="External"/><Relationship Id="rId6" Type="http://schemas.openxmlformats.org/officeDocument/2006/relationships/hyperlink" Target="https://www.cairn.info/revue-les-cahiers-de-la-justice-2014-3-page-373.htm" TargetMode="External"/><Relationship Id="rId5" Type="http://schemas.openxmlformats.org/officeDocument/2006/relationships/hyperlink" Target="https://www.sciencedirect.com/journal/annales-medico-psychologiques-revue-psychiatrique/vol/171/issue/7" TargetMode="External"/><Relationship Id="rId4" Type="http://schemas.openxmlformats.org/officeDocument/2006/relationships/hyperlink" Target="https://www.sciencedirect.com/journal/annales-medico-psychologiques-revue-psychiatriq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66F37-E377-4F0A-9115-8462ED7E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72075</Words>
  <Characters>378396</Characters>
  <Application>Microsoft Office Word</Application>
  <DocSecurity>0</DocSecurity>
  <Lines>5821</Lines>
  <Paragraphs>960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Ovide E. Manzanga Kpanya</vt:lpstr>
    </vt:vector>
  </TitlesOfParts>
  <Company/>
  <LinksUpToDate>false</LinksUpToDate>
  <CharactersWithSpaces>449511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Alaïs Lorenzo</cp:lastModifiedBy>
  <cp:revision>4</cp:revision>
  <dcterms:created xsi:type="dcterms:W3CDTF">2025-05-07T07:48:00Z</dcterms:created>
  <dcterms:modified xsi:type="dcterms:W3CDTF">2025-05-07T07:59:00Z</dcterms:modified>
</cp:coreProperties>
</file>