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1A8" w:rsidRDefault="000A31A8">
      <w:pPr>
        <w:spacing w:line="324" w:lineRule="auto"/>
        <w:ind w:right="-2"/>
        <w:rPr>
          <w:rFonts w:ascii="Calibri" w:hAnsi="Calibri" w:cs="Calibri"/>
          <w:b/>
          <w:bCs/>
          <w:sz w:val="25"/>
          <w:szCs w:val="25"/>
        </w:rPr>
      </w:pPr>
    </w:p>
    <w:p w:rsidR="000A31A8" w:rsidRDefault="0065345B">
      <w:pPr>
        <w:spacing w:line="324" w:lineRule="auto"/>
        <w:ind w:right="-2"/>
        <w:jc w:val="center"/>
        <w:rPr>
          <w:rFonts w:ascii="Calibri" w:hAnsi="Calibri" w:cs="Calibri"/>
          <w:b/>
          <w:bCs/>
          <w:sz w:val="44"/>
          <w:szCs w:val="44"/>
        </w:rPr>
      </w:pPr>
      <w:r>
        <w:rPr>
          <w:rFonts w:ascii="Calibri" w:hAnsi="Calibri" w:cs="Calibri"/>
          <w:b/>
          <w:noProof/>
          <w:sz w:val="44"/>
          <w:szCs w:val="44"/>
        </w:rPr>
        <w:drawing>
          <wp:inline distT="0" distB="0" distL="0" distR="0">
            <wp:extent cx="5238750" cy="3086100"/>
            <wp:effectExtent l="0" t="0" r="0" b="0"/>
            <wp:docPr id="102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8" cstate="print"/>
                    <a:srcRect/>
                    <a:stretch/>
                  </pic:blipFill>
                  <pic:spPr>
                    <a:xfrm>
                      <a:off x="0" y="0"/>
                      <a:ext cx="5238750" cy="3086100"/>
                    </a:xfrm>
                    <a:prstGeom prst="rect">
                      <a:avLst/>
                    </a:prstGeom>
                    <a:ln>
                      <a:noFill/>
                    </a:ln>
                  </pic:spPr>
                </pic:pic>
              </a:graphicData>
            </a:graphic>
          </wp:inline>
        </w:drawing>
      </w:r>
    </w:p>
    <w:p w:rsidR="000A31A8" w:rsidRDefault="0065345B">
      <w:pPr>
        <w:spacing w:line="324" w:lineRule="auto"/>
        <w:ind w:right="-2"/>
        <w:jc w:val="both"/>
        <w:rPr>
          <w:rFonts w:ascii="Calibri" w:hAnsi="Calibri" w:cs="Calibri"/>
          <w:b/>
          <w:bCs/>
          <w:sz w:val="36"/>
          <w:szCs w:val="36"/>
        </w:rPr>
      </w:pPr>
      <w:r>
        <w:rPr>
          <w:rFonts w:ascii="Calibri" w:hAnsi="Calibri" w:cs="Calibri"/>
          <w:b/>
          <w:bCs/>
          <w:sz w:val="36"/>
          <w:szCs w:val="36"/>
        </w:rPr>
        <w:t>ANTOINE NGUTE NOVATO</w:t>
      </w:r>
    </w:p>
    <w:p w:rsidR="000A31A8" w:rsidRDefault="000A31A8">
      <w:pPr>
        <w:spacing w:line="324" w:lineRule="auto"/>
        <w:ind w:right="-2"/>
        <w:jc w:val="center"/>
        <w:rPr>
          <w:rFonts w:ascii="Calibri" w:hAnsi="Calibri" w:cs="Calibri"/>
          <w:b/>
          <w:bCs/>
          <w:sz w:val="44"/>
          <w:szCs w:val="44"/>
        </w:rPr>
      </w:pPr>
    </w:p>
    <w:p w:rsidR="000A31A8" w:rsidRDefault="0065345B">
      <w:pPr>
        <w:spacing w:line="324" w:lineRule="auto"/>
        <w:ind w:right="-2"/>
        <w:jc w:val="center"/>
        <w:rPr>
          <w:rFonts w:ascii="Calibri" w:hAnsi="Calibri" w:cs="Calibri"/>
          <w:b/>
          <w:bCs/>
          <w:sz w:val="44"/>
          <w:szCs w:val="44"/>
        </w:rPr>
      </w:pPr>
      <w:r>
        <w:rPr>
          <w:rFonts w:ascii="Calibri" w:hAnsi="Calibri" w:cs="Calibri"/>
          <w:b/>
          <w:bCs/>
          <w:sz w:val="44"/>
          <w:szCs w:val="44"/>
        </w:rPr>
        <w:t>FONDEMENTS ET CRITIQUES DES THEORIES DU CONTRAT SOCIAL</w:t>
      </w:r>
    </w:p>
    <w:p w:rsidR="000A31A8" w:rsidRDefault="000A31A8">
      <w:pPr>
        <w:spacing w:line="324" w:lineRule="auto"/>
        <w:ind w:right="-2"/>
        <w:jc w:val="center"/>
        <w:rPr>
          <w:rFonts w:ascii="Calibri" w:hAnsi="Calibri" w:cs="Calibri"/>
          <w:b/>
          <w:bCs/>
          <w:sz w:val="44"/>
          <w:szCs w:val="44"/>
        </w:rPr>
      </w:pPr>
    </w:p>
    <w:p w:rsidR="000A31A8" w:rsidRDefault="000A31A8">
      <w:pPr>
        <w:spacing w:line="324" w:lineRule="auto"/>
        <w:ind w:right="-2"/>
        <w:jc w:val="center"/>
        <w:rPr>
          <w:rFonts w:ascii="Calibri" w:hAnsi="Calibri" w:cs="Calibri"/>
          <w:b/>
          <w:bCs/>
          <w:sz w:val="44"/>
          <w:szCs w:val="44"/>
        </w:rPr>
      </w:pPr>
    </w:p>
    <w:p w:rsidR="000A31A8" w:rsidRDefault="0065345B">
      <w:pPr>
        <w:spacing w:after="160" w:line="259" w:lineRule="auto"/>
        <w:rPr>
          <w:rFonts w:ascii="Calibri" w:eastAsia="Batang" w:hAnsi="Calibri" w:cs="Calibri"/>
          <w:b/>
          <w:bCs/>
          <w:kern w:val="36"/>
          <w:sz w:val="24"/>
          <w:szCs w:val="24"/>
          <w:lang w:val="fr-BE"/>
        </w:rPr>
      </w:pPr>
      <w:bookmarkStart w:id="0" w:name="_Toc127119036"/>
      <w:r>
        <w:rPr>
          <w:rFonts w:ascii="Calibri" w:hAnsi="Calibri" w:cs="Calibri"/>
          <w:kern w:val="36"/>
          <w:sz w:val="24"/>
          <w:szCs w:val="24"/>
        </w:rPr>
        <w:br w:type="page"/>
      </w:r>
    </w:p>
    <w:bookmarkStart w:id="1" w:name="_Toc127173483"/>
    <w:p w:rsidR="000A31A8" w:rsidRDefault="0065345B">
      <w:pPr>
        <w:pStyle w:val="Titre1"/>
        <w:ind w:firstLine="0"/>
        <w:jc w:val="both"/>
        <w:rPr>
          <w:rFonts w:ascii="Calibri" w:hAnsi="Calibri" w:cs="Calibri"/>
          <w:kern w:val="36"/>
          <w:sz w:val="24"/>
          <w:szCs w:val="24"/>
        </w:rPr>
      </w:pPr>
      <w:r>
        <w:rPr>
          <w:rFonts w:ascii="Calibri" w:hAnsi="Calibri" w:cs="Calibri"/>
          <w:noProof/>
          <w:kern w:val="36"/>
          <w:sz w:val="24"/>
          <w:szCs w:val="24"/>
          <w:lang w:val="fr-FR"/>
        </w:rPr>
        <w:lastRenderedPageBreak/>
        <mc:AlternateContent>
          <mc:Choice Requires="wps">
            <w:drawing>
              <wp:anchor distT="0" distB="0" distL="0" distR="0" simplePos="0" relativeHeight="6" behindDoc="0" locked="0" layoutInCell="1" allowOverlap="1">
                <wp:simplePos x="0" y="0"/>
                <wp:positionH relativeFrom="column">
                  <wp:posOffset>2355273</wp:posOffset>
                </wp:positionH>
                <wp:positionV relativeFrom="paragraph">
                  <wp:posOffset>-484909</wp:posOffset>
                </wp:positionV>
                <wp:extent cx="1357745" cy="831273"/>
                <wp:effectExtent l="0" t="0" r="13970" b="2603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745" cy="831273"/>
                        </a:xfrm>
                        <a:prstGeom prst="rect">
                          <a:avLst/>
                        </a:prstGeom>
                        <a:solidFill>
                          <a:srgbClr val="FFFFFF"/>
                        </a:solidFill>
                        <a:ln w="12700" cap="flat" cmpd="sng">
                          <a:solidFill>
                            <a:srgbClr val="FFFFFF"/>
                          </a:solidFill>
                          <a:prstDash val="solid"/>
                          <a:miter/>
                          <a:headEnd/>
                          <a:tailEnd/>
                        </a:ln>
                      </wps:spPr>
                      <wps:bodyPr>
                        <a:prstTxWarp prst="textNoShape">
                          <a:avLst/>
                        </a:prstTxWarp>
                      </wps:bodyPr>
                    </wps:wsp>
                  </a:graphicData>
                </a:graphic>
              </wp:anchor>
            </w:drawing>
          </mc:Choice>
          <mc:Fallback xmlns:cx1="http://schemas.microsoft.com/office/drawing/2015/9/8/chartex">
            <w:pict>
              <v:rect w14:anchorId="314BBB8E" id="Rectangle 6" o:spid="_x0000_s1026" style="position:absolute;margin-left:185.45pt;margin-top:-38.2pt;width:106.9pt;height:65.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" strokecolor="white" strokeweight="1pt">
                <v:path arrowok="t"/>
              </v:rect>
            </w:pict>
          </mc:Fallback>
        </mc:AlternateContent>
      </w:r>
      <w:bookmarkEnd w:id="1"/>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pStyle w:val="Titre1"/>
        <w:ind w:firstLine="0"/>
        <w:jc w:val="both"/>
        <w:rPr>
          <w:rFonts w:ascii="Calibri" w:hAnsi="Calibri" w:cs="Calibri"/>
          <w:kern w:val="36"/>
          <w:sz w:val="24"/>
          <w:szCs w:val="24"/>
        </w:rPr>
      </w:pPr>
    </w:p>
    <w:p w:rsidR="000A31A8" w:rsidRDefault="000A31A8">
      <w:pPr>
        <w:rPr>
          <w:lang w:val="fr-BE"/>
        </w:rPr>
      </w:pPr>
    </w:p>
    <w:p w:rsidR="000A31A8" w:rsidRDefault="000A31A8">
      <w:pPr>
        <w:rPr>
          <w:lang w:val="fr-BE"/>
        </w:rPr>
      </w:pPr>
    </w:p>
    <w:p w:rsidR="000A31A8" w:rsidRDefault="000A31A8">
      <w:pPr>
        <w:rPr>
          <w:lang w:val="fr-BE"/>
        </w:rPr>
      </w:pPr>
    </w:p>
    <w:p w:rsidR="000A31A8" w:rsidRDefault="000A31A8">
      <w:pPr>
        <w:rPr>
          <w:lang w:val="fr-BE"/>
        </w:rPr>
      </w:pPr>
    </w:p>
    <w:p w:rsidR="000A31A8" w:rsidRDefault="000A31A8">
      <w:pPr>
        <w:rPr>
          <w:lang w:val="fr-BE"/>
        </w:rPr>
      </w:pPr>
    </w:p>
    <w:p w:rsidR="000A31A8" w:rsidRDefault="000A31A8">
      <w:pPr>
        <w:rPr>
          <w:lang w:val="fr-BE"/>
        </w:rPr>
      </w:pPr>
    </w:p>
    <w:p w:rsidR="000A31A8" w:rsidRDefault="000A31A8">
      <w:pPr>
        <w:rPr>
          <w:lang w:val="fr-BE"/>
        </w:rPr>
      </w:pPr>
    </w:p>
    <w:p w:rsidR="000A31A8" w:rsidRDefault="000A31A8">
      <w:pPr>
        <w:rPr>
          <w:lang w:val="fr-BE"/>
        </w:rPr>
      </w:pPr>
    </w:p>
    <w:p w:rsidR="000A31A8" w:rsidRDefault="000A31A8">
      <w:pPr>
        <w:rPr>
          <w:lang w:val="fr-BE"/>
        </w:rPr>
      </w:pPr>
    </w:p>
    <w:p w:rsidR="000A31A8" w:rsidRDefault="000A31A8">
      <w:pPr>
        <w:rPr>
          <w:lang w:val="fr-BE"/>
        </w:rPr>
      </w:pPr>
    </w:p>
    <w:p w:rsidR="000A31A8" w:rsidRDefault="000A31A8">
      <w:pPr>
        <w:pStyle w:val="Titre1"/>
        <w:ind w:left="0" w:firstLine="0"/>
        <w:jc w:val="both"/>
        <w:rPr>
          <w:rFonts w:ascii="Calibri" w:hAnsi="Calibri" w:cs="Calibri"/>
          <w:kern w:val="36"/>
          <w:sz w:val="24"/>
          <w:szCs w:val="24"/>
        </w:rPr>
      </w:pPr>
      <w:bookmarkStart w:id="2" w:name="_Toc127173136"/>
      <w:bookmarkStart w:id="3" w:name="_Toc127173484"/>
    </w:p>
    <w:p w:rsidR="000A31A8" w:rsidRDefault="000A31A8">
      <w:pPr>
        <w:pStyle w:val="Titre1"/>
        <w:ind w:left="0" w:firstLine="0"/>
        <w:jc w:val="both"/>
        <w:rPr>
          <w:rFonts w:ascii="Calibri" w:hAnsi="Calibri" w:cs="Calibri"/>
          <w:kern w:val="36"/>
          <w:sz w:val="24"/>
          <w:szCs w:val="24"/>
        </w:rPr>
      </w:pPr>
    </w:p>
    <w:p w:rsidR="000A31A8" w:rsidRDefault="000A31A8">
      <w:pPr>
        <w:pStyle w:val="Titre1"/>
        <w:ind w:left="0" w:firstLine="0"/>
        <w:jc w:val="both"/>
        <w:rPr>
          <w:rFonts w:ascii="Calibri" w:hAnsi="Calibri" w:cs="Calibri"/>
          <w:kern w:val="36"/>
          <w:sz w:val="24"/>
          <w:szCs w:val="24"/>
        </w:rPr>
      </w:pPr>
    </w:p>
    <w:p w:rsidR="000A31A8" w:rsidRDefault="000A31A8">
      <w:pPr>
        <w:pStyle w:val="Titre1"/>
        <w:ind w:left="0" w:firstLine="0"/>
        <w:jc w:val="both"/>
        <w:rPr>
          <w:rFonts w:ascii="Calibri" w:hAnsi="Calibri" w:cs="Calibri"/>
          <w:kern w:val="36"/>
          <w:sz w:val="24"/>
          <w:szCs w:val="24"/>
        </w:rPr>
      </w:pPr>
    </w:p>
    <w:p w:rsidR="000A31A8" w:rsidRDefault="0065345B">
      <w:pPr>
        <w:pStyle w:val="Titre1"/>
        <w:ind w:left="0" w:firstLine="0"/>
        <w:jc w:val="both"/>
        <w:rPr>
          <w:rFonts w:ascii="Calibri" w:hAnsi="Calibri" w:cs="Calibri"/>
          <w:b w:val="0"/>
          <w:bCs w:val="0"/>
          <w:i/>
          <w:sz w:val="28"/>
          <w:szCs w:val="28"/>
        </w:rPr>
        <w:sectPr w:rsidR="000A31A8">
          <w:headerReference w:type="default" r:id="rId9"/>
          <w:pgSz w:w="11906" w:h="16838"/>
          <w:pgMar w:top="1440" w:right="1440" w:bottom="1440" w:left="1800" w:header="850" w:footer="850" w:gutter="0"/>
          <w:cols w:space="720"/>
          <w:titlePg/>
          <w:docGrid w:linePitch="272"/>
        </w:sectPr>
      </w:pPr>
      <w:r>
        <w:rPr>
          <w:rFonts w:ascii="Calibri" w:hAnsi="Calibri" w:cs="Calibri"/>
          <w:kern w:val="36"/>
          <w:sz w:val="24"/>
          <w:szCs w:val="24"/>
        </w:rPr>
        <w:t>Photo de couverture : Développement de l’esprit d’équipe dans une entreprise en Afrique</w:t>
      </w:r>
      <w:bookmarkEnd w:id="0"/>
      <w:r>
        <w:rPr>
          <w:rFonts w:ascii="Calibri" w:hAnsi="Calibri" w:cs="Calibri"/>
          <w:b w:val="0"/>
          <w:bCs w:val="0"/>
          <w:kern w:val="36"/>
          <w:sz w:val="24"/>
          <w:szCs w:val="24"/>
        </w:rPr>
        <w:t xml:space="preserve"> </w:t>
      </w:r>
      <w:r>
        <w:rPr>
          <w:rFonts w:ascii="Calibri" w:hAnsi="Calibri" w:cs="Calibri"/>
          <w:kern w:val="36"/>
          <w:sz w:val="24"/>
          <w:szCs w:val="24"/>
        </w:rPr>
        <w:t xml:space="preserve"> </w:t>
      </w:r>
      <w:bookmarkStart w:id="4" w:name="_Toc127119037"/>
      <w:r>
        <w:rPr>
          <w:rFonts w:ascii="Calibri" w:hAnsi="Calibri" w:cs="Calibri"/>
          <w:kern w:val="36"/>
          <w:sz w:val="24"/>
          <w:szCs w:val="24"/>
        </w:rPr>
        <w:t>(©https://talent2africa.com/)</w:t>
      </w:r>
      <w:bookmarkEnd w:id="2"/>
      <w:bookmarkEnd w:id="3"/>
      <w:bookmarkEnd w:id="4"/>
    </w:p>
    <w:p w:rsidR="000A31A8" w:rsidRDefault="0065345B">
      <w:pPr>
        <w:pStyle w:val="Titre1"/>
        <w:spacing w:after="0" w:line="324" w:lineRule="auto"/>
        <w:ind w:left="0" w:firstLine="0"/>
        <w:jc w:val="both"/>
        <w:rPr>
          <w:rFonts w:ascii="Calibri" w:hAnsi="Calibri" w:cs="Calibri"/>
          <w:bCs w:val="0"/>
          <w:sz w:val="25"/>
          <w:szCs w:val="25"/>
        </w:rPr>
      </w:pPr>
      <w:bookmarkStart w:id="5" w:name="_Toc127173485"/>
      <w:r>
        <w:rPr>
          <w:rFonts w:ascii="Calibri" w:hAnsi="Calibri" w:cs="Calibri"/>
          <w:bCs w:val="0"/>
          <w:sz w:val="25"/>
          <w:szCs w:val="25"/>
        </w:rPr>
        <w:lastRenderedPageBreak/>
        <w:t>TABLE DES MATIÈRES</w:t>
      </w:r>
      <w:bookmarkEnd w:id="5"/>
      <w:r>
        <w:rPr>
          <w:rFonts w:ascii="Calibri" w:hAnsi="Calibri" w:cs="Calibri"/>
          <w:bCs w:val="0"/>
          <w:sz w:val="25"/>
          <w:szCs w:val="25"/>
        </w:rPr>
        <w:t xml:space="preserve"> </w:t>
      </w:r>
    </w:p>
    <w:p w:rsidR="000A31A8" w:rsidRDefault="0065345B">
      <w:pPr>
        <w:pStyle w:val="TM1"/>
        <w:tabs>
          <w:tab w:val="right" w:leader="dot" w:pos="8656"/>
        </w:tabs>
        <w:jc w:val="both"/>
        <w:rPr>
          <w:rFonts w:ascii="Calibri" w:eastAsia="SimSun" w:hAnsi="Calibri" w:cs="SimSun"/>
          <w:noProof/>
          <w:sz w:val="25"/>
          <w:szCs w:val="25"/>
        </w:rPr>
      </w:pPr>
      <w:r>
        <w:rPr>
          <w:rFonts w:ascii="Calibri" w:hAnsi="Calibri" w:cs="Calibri"/>
          <w:b/>
          <w:sz w:val="25"/>
          <w:szCs w:val="25"/>
        </w:rPr>
        <w:fldChar w:fldCharType="begin"/>
      </w:r>
      <w:r>
        <w:rPr>
          <w:rFonts w:ascii="Calibri" w:hAnsi="Calibri" w:cs="Calibri"/>
          <w:b/>
          <w:sz w:val="25"/>
          <w:szCs w:val="25"/>
        </w:rPr>
        <w:instrText xml:space="preserve"> TOC \o "1-3" \h \z \u </w:instrText>
      </w:r>
      <w:r>
        <w:rPr>
          <w:rFonts w:ascii="Calibri" w:hAnsi="Calibri" w:cs="Calibri"/>
          <w:b/>
          <w:sz w:val="25"/>
          <w:szCs w:val="25"/>
        </w:rPr>
        <w:fldChar w:fldCharType="separate"/>
      </w:r>
      <w:hyperlink w:anchor="_Toc127173485" w:history="1">
        <w:r>
          <w:rPr>
            <w:rStyle w:val="Lienhypertexte"/>
            <w:rFonts w:ascii="Calibri" w:hAnsi="Calibri" w:cs="Calibri"/>
            <w:noProof/>
            <w:sz w:val="25"/>
            <w:szCs w:val="25"/>
          </w:rPr>
          <w:t>TABLE DES MATIÈRES</w:t>
        </w:r>
        <w:r>
          <w:rPr>
            <w:rFonts w:ascii="Calibri" w:hAnsi="Calibri"/>
            <w:noProof/>
            <w:webHidden/>
            <w:sz w:val="25"/>
            <w:szCs w:val="25"/>
          </w:rPr>
          <w:tab/>
        </w:r>
        <w:r>
          <w:rPr>
            <w:rFonts w:ascii="Calibri" w:hAnsi="Calibri"/>
            <w:noProof/>
            <w:webHidden/>
            <w:sz w:val="25"/>
            <w:szCs w:val="25"/>
          </w:rPr>
          <w:fldChar w:fldCharType="begin"/>
        </w:r>
        <w:r>
          <w:rPr>
            <w:rFonts w:ascii="Calibri" w:hAnsi="Calibri"/>
            <w:noProof/>
            <w:webHidden/>
            <w:sz w:val="25"/>
            <w:szCs w:val="25"/>
          </w:rPr>
          <w:instrText xml:space="preserve"> PAGEREF _Toc127173485 \h </w:instrText>
        </w:r>
        <w:r>
          <w:rPr>
            <w:rFonts w:ascii="Calibri" w:hAnsi="Calibri"/>
            <w:noProof/>
            <w:webHidden/>
            <w:sz w:val="25"/>
            <w:szCs w:val="25"/>
          </w:rPr>
        </w:r>
        <w:r>
          <w:rPr>
            <w:rFonts w:ascii="Calibri" w:hAnsi="Calibri"/>
            <w:noProof/>
            <w:webHidden/>
            <w:sz w:val="25"/>
            <w:szCs w:val="25"/>
          </w:rPr>
          <w:fldChar w:fldCharType="separate"/>
        </w:r>
        <w:r>
          <w:rPr>
            <w:rFonts w:ascii="Calibri" w:hAnsi="Calibri"/>
            <w:noProof/>
            <w:webHidden/>
            <w:sz w:val="25"/>
            <w:szCs w:val="25"/>
          </w:rPr>
          <w:t>i</w:t>
        </w:r>
        <w:r>
          <w:rPr>
            <w:rFonts w:ascii="Calibri" w:hAnsi="Calibri"/>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b/>
          <w:noProof/>
          <w:sz w:val="25"/>
          <w:szCs w:val="25"/>
        </w:rPr>
      </w:pPr>
    </w:p>
    <w:p w:rsidR="000A31A8" w:rsidRDefault="00146B38">
      <w:pPr>
        <w:pStyle w:val="TM1"/>
        <w:tabs>
          <w:tab w:val="right" w:leader="dot" w:pos="8656"/>
        </w:tabs>
        <w:jc w:val="both"/>
        <w:rPr>
          <w:rFonts w:ascii="Calibri" w:eastAsia="SimSun" w:hAnsi="Calibri" w:cs="SimSun"/>
          <w:b/>
          <w:noProof/>
          <w:sz w:val="25"/>
          <w:szCs w:val="25"/>
        </w:rPr>
      </w:pPr>
      <w:hyperlink w:anchor="_Toc127173486" w:history="1">
        <w:r w:rsidR="0065345B">
          <w:rPr>
            <w:rStyle w:val="Lienhypertexte"/>
            <w:rFonts w:ascii="Calibri" w:hAnsi="Calibri" w:cs="Calibri"/>
            <w:b/>
            <w:noProof/>
            <w:sz w:val="25"/>
            <w:szCs w:val="25"/>
          </w:rPr>
          <w:t>INTRODUCTION</w:t>
        </w:r>
        <w:r w:rsidR="0065345B">
          <w:rPr>
            <w:rFonts w:ascii="Calibri" w:hAnsi="Calibri"/>
            <w:b/>
            <w:noProof/>
            <w:webHidden/>
            <w:sz w:val="25"/>
            <w:szCs w:val="25"/>
          </w:rPr>
          <w:tab/>
        </w:r>
        <w:r w:rsidR="0065345B">
          <w:rPr>
            <w:rFonts w:ascii="Calibri" w:hAnsi="Calibri"/>
            <w:b/>
            <w:noProof/>
            <w:webHidden/>
            <w:sz w:val="25"/>
            <w:szCs w:val="25"/>
          </w:rPr>
          <w:fldChar w:fldCharType="begin"/>
        </w:r>
        <w:r w:rsidR="0065345B">
          <w:rPr>
            <w:rFonts w:ascii="Calibri" w:hAnsi="Calibri"/>
            <w:b/>
            <w:noProof/>
            <w:webHidden/>
            <w:sz w:val="25"/>
            <w:szCs w:val="25"/>
          </w:rPr>
          <w:instrText xml:space="preserve"> PAGEREF _Toc127173486 \h </w:instrText>
        </w:r>
        <w:r w:rsidR="0065345B">
          <w:rPr>
            <w:rFonts w:ascii="Calibri" w:hAnsi="Calibri"/>
            <w:b/>
            <w:noProof/>
            <w:webHidden/>
            <w:sz w:val="25"/>
            <w:szCs w:val="25"/>
          </w:rPr>
        </w:r>
        <w:r w:rsidR="0065345B">
          <w:rPr>
            <w:rFonts w:ascii="Calibri" w:hAnsi="Calibri"/>
            <w:b/>
            <w:noProof/>
            <w:webHidden/>
            <w:sz w:val="25"/>
            <w:szCs w:val="25"/>
          </w:rPr>
          <w:fldChar w:fldCharType="separate"/>
        </w:r>
        <w:r w:rsidR="0065345B">
          <w:rPr>
            <w:rFonts w:ascii="Calibri" w:hAnsi="Calibri"/>
            <w:b/>
            <w:noProof/>
            <w:webHidden/>
            <w:sz w:val="25"/>
            <w:szCs w:val="25"/>
          </w:rPr>
          <w:t>1</w:t>
        </w:r>
        <w:r w:rsidR="0065345B">
          <w:rPr>
            <w:rFonts w:ascii="Calibri" w:hAnsi="Calibri"/>
            <w:b/>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noProof/>
          <w:sz w:val="25"/>
          <w:szCs w:val="25"/>
        </w:rPr>
      </w:pPr>
    </w:p>
    <w:p w:rsidR="000A31A8" w:rsidRDefault="00146B38">
      <w:pPr>
        <w:pStyle w:val="TM1"/>
        <w:tabs>
          <w:tab w:val="right" w:leader="dot" w:pos="8656"/>
        </w:tabs>
        <w:jc w:val="both"/>
        <w:rPr>
          <w:rFonts w:ascii="Calibri" w:eastAsia="SimSun" w:hAnsi="Calibri" w:cs="SimSun"/>
          <w:noProof/>
          <w:sz w:val="25"/>
          <w:szCs w:val="25"/>
        </w:rPr>
      </w:pPr>
      <w:hyperlink w:anchor="_Toc127173487" w:history="1">
        <w:r w:rsidR="0065345B">
          <w:rPr>
            <w:rStyle w:val="Lienhypertexte"/>
            <w:rFonts w:ascii="Calibri" w:hAnsi="Calibri" w:cs="Calibri"/>
            <w:b/>
            <w:bCs/>
            <w:noProof/>
            <w:sz w:val="25"/>
            <w:szCs w:val="25"/>
          </w:rPr>
          <w:t>CHAPITRE PREMIER : LES THEORIES DU CONTRAT SOCIAL</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_Toc127173487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5</w:t>
        </w:r>
        <w:r w:rsidR="0065345B">
          <w:rPr>
            <w:rFonts w:ascii="Calibri" w:hAnsi="Calibri"/>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noProof/>
          <w:sz w:val="25"/>
          <w:szCs w:val="25"/>
        </w:rPr>
      </w:pPr>
    </w:p>
    <w:p w:rsidR="000A31A8" w:rsidRDefault="00146B38">
      <w:pPr>
        <w:pStyle w:val="TM1"/>
        <w:tabs>
          <w:tab w:val="right" w:leader="dot" w:pos="8656"/>
        </w:tabs>
        <w:jc w:val="both"/>
        <w:rPr>
          <w:rFonts w:ascii="Calibri" w:eastAsia="SimSun" w:hAnsi="Calibri" w:cs="SimSun"/>
          <w:b/>
          <w:noProof/>
          <w:sz w:val="25"/>
          <w:szCs w:val="25"/>
        </w:rPr>
      </w:pPr>
      <w:hyperlink w:anchor="_Toc127173488" w:history="1">
        <w:r w:rsidR="0065345B">
          <w:rPr>
            <w:rStyle w:val="Lienhypertexte"/>
            <w:rFonts w:ascii="Calibri" w:hAnsi="Calibri" w:cs="Calibri"/>
            <w:b/>
            <w:noProof/>
            <w:sz w:val="25"/>
            <w:szCs w:val="25"/>
          </w:rPr>
          <w:t>CHAPITRE DEUXIÈME : SOUBASSEMENT DE LA THEORIE RAWLSIENNE DU CONTRAT SOCIAL : CRITIQUE DE L’ABSOLUTISME</w:t>
        </w:r>
        <w:r w:rsidR="0065345B">
          <w:rPr>
            <w:rFonts w:ascii="Calibri" w:hAnsi="Calibri"/>
            <w:b/>
            <w:noProof/>
            <w:webHidden/>
            <w:sz w:val="25"/>
            <w:szCs w:val="25"/>
          </w:rPr>
          <w:tab/>
        </w:r>
        <w:r w:rsidR="0065345B">
          <w:rPr>
            <w:rFonts w:ascii="Calibri" w:hAnsi="Calibri"/>
            <w:b/>
            <w:noProof/>
            <w:webHidden/>
            <w:sz w:val="25"/>
            <w:szCs w:val="25"/>
          </w:rPr>
          <w:fldChar w:fldCharType="begin"/>
        </w:r>
        <w:r w:rsidR="0065345B">
          <w:rPr>
            <w:rFonts w:ascii="Calibri" w:hAnsi="Calibri"/>
            <w:b/>
            <w:noProof/>
            <w:webHidden/>
            <w:sz w:val="25"/>
            <w:szCs w:val="25"/>
          </w:rPr>
          <w:instrText xml:space="preserve"> PAGEREF _Toc127173488 \h </w:instrText>
        </w:r>
        <w:r w:rsidR="0065345B">
          <w:rPr>
            <w:rFonts w:ascii="Calibri" w:hAnsi="Calibri"/>
            <w:b/>
            <w:noProof/>
            <w:webHidden/>
            <w:sz w:val="25"/>
            <w:szCs w:val="25"/>
          </w:rPr>
        </w:r>
        <w:r w:rsidR="0065345B">
          <w:rPr>
            <w:rFonts w:ascii="Calibri" w:hAnsi="Calibri"/>
            <w:b/>
            <w:noProof/>
            <w:webHidden/>
            <w:sz w:val="25"/>
            <w:szCs w:val="25"/>
          </w:rPr>
          <w:fldChar w:fldCharType="separate"/>
        </w:r>
        <w:r w:rsidR="0065345B">
          <w:rPr>
            <w:rFonts w:ascii="Calibri" w:hAnsi="Calibri"/>
            <w:b/>
            <w:noProof/>
            <w:webHidden/>
            <w:sz w:val="25"/>
            <w:szCs w:val="25"/>
          </w:rPr>
          <w:t>17</w:t>
        </w:r>
        <w:r w:rsidR="0065345B">
          <w:rPr>
            <w:rFonts w:ascii="Calibri" w:hAnsi="Calibri"/>
            <w:b/>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89" w:history="1">
        <w:r w:rsidR="0065345B">
          <w:rPr>
            <w:rStyle w:val="Lienhypertexte"/>
            <w:rFonts w:ascii="Calibri" w:hAnsi="Calibri" w:cs="Calibri"/>
            <w:noProof/>
            <w:sz w:val="25"/>
            <w:szCs w:val="25"/>
          </w:rPr>
          <w:t>2. 1. LE RECOURS AU CONSTRUCTIVISME KANTIEN</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_Toc127173489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18</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90" w:history="1">
        <w:r w:rsidR="0065345B">
          <w:rPr>
            <w:rStyle w:val="Lienhypertexte"/>
            <w:rFonts w:ascii="Calibri" w:hAnsi="Calibri" w:cs="Calibri"/>
            <w:noProof/>
            <w:sz w:val="25"/>
            <w:szCs w:val="25"/>
          </w:rPr>
          <w:t>2. 2. LA CRITIQUE DE L’ABSOLUTISME HOBBESSIEN</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_Toc127173490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19</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91" w:history="1">
        <w:r w:rsidR="0065345B">
          <w:rPr>
            <w:rStyle w:val="Lienhypertexte"/>
            <w:rFonts w:ascii="Calibri" w:hAnsi="Calibri" w:cs="Calibri"/>
            <w:noProof/>
            <w:sz w:val="25"/>
            <w:szCs w:val="25"/>
          </w:rPr>
          <w:t>2.3. L’ALTERNATIVE RAWLSIENNE : LA POSITION ORIGINELLE ET LE CONSENSUS</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_Toc127173491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24</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92" w:history="1">
        <w:r w:rsidR="0065345B">
          <w:rPr>
            <w:rStyle w:val="Lienhypertexte"/>
            <w:rFonts w:ascii="Calibri" w:hAnsi="Calibri" w:cs="Calibri"/>
            <w:noProof/>
            <w:sz w:val="25"/>
            <w:szCs w:val="25"/>
          </w:rPr>
          <w:t>2.4. LES EXIGENCES DU CONSENSUS</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_Toc127173492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29</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93" w:history="1">
        <w:r w:rsidR="0065345B">
          <w:rPr>
            <w:rStyle w:val="Lienhypertexte"/>
            <w:rFonts w:ascii="Calibri" w:hAnsi="Calibri" w:cs="Calibri"/>
            <w:bCs/>
            <w:noProof/>
            <w:sz w:val="25"/>
            <w:szCs w:val="25"/>
          </w:rPr>
          <w:t>2.5. QUELQUES OBJECTIONS CONTRE L’IDÉE DU CONSENSUS</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_Toc127173493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32</w:t>
        </w:r>
        <w:r w:rsidR="0065345B">
          <w:rPr>
            <w:rFonts w:ascii="Calibri" w:hAnsi="Calibri"/>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noProof/>
          <w:sz w:val="25"/>
          <w:szCs w:val="25"/>
        </w:rPr>
      </w:pPr>
    </w:p>
    <w:p w:rsidR="000A31A8" w:rsidRDefault="00146B38">
      <w:pPr>
        <w:pStyle w:val="TM1"/>
        <w:tabs>
          <w:tab w:val="right" w:leader="dot" w:pos="8656"/>
        </w:tabs>
        <w:jc w:val="both"/>
        <w:rPr>
          <w:rFonts w:ascii="Calibri" w:eastAsia="SimSun" w:hAnsi="Calibri" w:cs="SimSun"/>
          <w:b/>
          <w:noProof/>
          <w:sz w:val="25"/>
          <w:szCs w:val="25"/>
        </w:rPr>
      </w:pPr>
      <w:hyperlink w:anchor="_Toc127173494" w:history="1">
        <w:r w:rsidR="0065345B">
          <w:rPr>
            <w:rStyle w:val="Lienhypertexte"/>
            <w:rFonts w:ascii="Calibri" w:hAnsi="Calibri" w:cs="Calibri"/>
            <w:b/>
            <w:noProof/>
            <w:sz w:val="25"/>
            <w:szCs w:val="25"/>
          </w:rPr>
          <w:t>CHAPITRE TROISIÈME : LA SOLUTION CONSTRUCTIVISTE ET LE PLURALISME RAWLSIEN</w:t>
        </w:r>
        <w:r w:rsidR="0065345B">
          <w:rPr>
            <w:rFonts w:ascii="Calibri" w:hAnsi="Calibri"/>
            <w:b/>
            <w:noProof/>
            <w:webHidden/>
            <w:sz w:val="25"/>
            <w:szCs w:val="25"/>
          </w:rPr>
          <w:tab/>
        </w:r>
        <w:r w:rsidR="0065345B">
          <w:rPr>
            <w:rFonts w:ascii="Calibri" w:hAnsi="Calibri"/>
            <w:b/>
            <w:noProof/>
            <w:webHidden/>
            <w:sz w:val="25"/>
            <w:szCs w:val="25"/>
          </w:rPr>
          <w:fldChar w:fldCharType="begin"/>
        </w:r>
        <w:r w:rsidR="0065345B">
          <w:rPr>
            <w:rFonts w:ascii="Calibri" w:hAnsi="Calibri"/>
            <w:b/>
            <w:noProof/>
            <w:webHidden/>
            <w:sz w:val="25"/>
            <w:szCs w:val="25"/>
          </w:rPr>
          <w:instrText xml:space="preserve"> PAGEREF _Toc127173494 \h </w:instrText>
        </w:r>
        <w:r w:rsidR="0065345B">
          <w:rPr>
            <w:rFonts w:ascii="Calibri" w:hAnsi="Calibri"/>
            <w:b/>
            <w:noProof/>
            <w:webHidden/>
            <w:sz w:val="25"/>
            <w:szCs w:val="25"/>
          </w:rPr>
        </w:r>
        <w:r w:rsidR="0065345B">
          <w:rPr>
            <w:rFonts w:ascii="Calibri" w:hAnsi="Calibri"/>
            <w:b/>
            <w:noProof/>
            <w:webHidden/>
            <w:sz w:val="25"/>
            <w:szCs w:val="25"/>
          </w:rPr>
          <w:fldChar w:fldCharType="separate"/>
        </w:r>
        <w:r w:rsidR="0065345B">
          <w:rPr>
            <w:rFonts w:ascii="Calibri" w:hAnsi="Calibri"/>
            <w:b/>
            <w:noProof/>
            <w:webHidden/>
            <w:sz w:val="25"/>
            <w:szCs w:val="25"/>
          </w:rPr>
          <w:t>35</w:t>
        </w:r>
        <w:r w:rsidR="0065345B">
          <w:rPr>
            <w:rFonts w:ascii="Calibri" w:hAnsi="Calibri"/>
            <w:b/>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95" w:history="1">
        <w:r w:rsidR="0065345B">
          <w:rPr>
            <w:rStyle w:val="Lienhypertexte"/>
            <w:rFonts w:ascii="Calibri" w:hAnsi="Calibri" w:cs="Calibri"/>
            <w:noProof/>
            <w:sz w:val="25"/>
            <w:szCs w:val="25"/>
          </w:rPr>
          <w:t>3.1. LES PRÉSOMPTIONS DE L’UTILITARISME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_Toc127173495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35</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96" w:history="1">
        <w:r w:rsidR="0065345B">
          <w:rPr>
            <w:rStyle w:val="Lienhypertexte"/>
            <w:rFonts w:ascii="Calibri" w:hAnsi="Calibri" w:cs="Calibri"/>
            <w:noProof/>
            <w:sz w:val="25"/>
            <w:szCs w:val="25"/>
          </w:rPr>
          <w:t>3.2. LA REMISE EN QUESTION DE L’UTILITARISME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_Toc127173496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37</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97" w:history="1">
        <w:r w:rsidR="0065345B">
          <w:rPr>
            <w:rStyle w:val="Lienhypertexte"/>
            <w:rFonts w:ascii="Calibri" w:hAnsi="Calibri" w:cs="Calibri"/>
            <w:noProof/>
            <w:sz w:val="25"/>
            <w:szCs w:val="25"/>
          </w:rPr>
          <w:t>3.3. L’IDÉE DU PLURALISME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_Toc127173497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42</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498" w:history="1">
        <w:r w:rsidR="0065345B">
          <w:rPr>
            <w:rStyle w:val="Lienhypertexte"/>
            <w:rFonts w:ascii="Calibri" w:hAnsi="Calibri" w:cs="Calibri"/>
            <w:noProof/>
            <w:sz w:val="25"/>
            <w:szCs w:val="25"/>
          </w:rPr>
          <w:t>3.4. LE DOUBLE PRINCIPE DU LIBÉRALISME DÉMOCRATIQUE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_Toc127173498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52</w:t>
        </w:r>
        <w:r w:rsidR="0065345B">
          <w:rPr>
            <w:rFonts w:ascii="Calibri" w:hAnsi="Calibri"/>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noProof/>
          <w:sz w:val="25"/>
          <w:szCs w:val="25"/>
        </w:rPr>
      </w:pPr>
    </w:p>
    <w:p w:rsidR="000A31A8" w:rsidRDefault="00146B38">
      <w:pPr>
        <w:pStyle w:val="TM1"/>
        <w:tabs>
          <w:tab w:val="right" w:leader="dot" w:pos="8656"/>
        </w:tabs>
        <w:jc w:val="both"/>
        <w:rPr>
          <w:rFonts w:ascii="Calibri" w:eastAsia="SimSun" w:hAnsi="Calibri" w:cs="SimSun"/>
          <w:b/>
          <w:noProof/>
          <w:sz w:val="25"/>
          <w:szCs w:val="25"/>
        </w:rPr>
      </w:pPr>
      <w:hyperlink w:anchor="_Toc127173499" w:history="1">
        <w:r w:rsidR="0065345B">
          <w:rPr>
            <w:rStyle w:val="Lienhypertexte"/>
            <w:rFonts w:ascii="Calibri" w:hAnsi="Calibri" w:cs="Calibri"/>
            <w:b/>
            <w:noProof/>
            <w:sz w:val="25"/>
            <w:szCs w:val="25"/>
          </w:rPr>
          <w:t>CHAPITRE QUATRIÈME : LA DECONSTRUCTION DU CONTRACTUALISME ET DU LIBERALISME</w:t>
        </w:r>
        <w:r w:rsidR="0065345B">
          <w:rPr>
            <w:rFonts w:ascii="Calibri" w:hAnsi="Calibri"/>
            <w:b/>
            <w:noProof/>
            <w:webHidden/>
            <w:sz w:val="25"/>
            <w:szCs w:val="25"/>
          </w:rPr>
          <w:tab/>
        </w:r>
        <w:r w:rsidR="0065345B">
          <w:rPr>
            <w:rFonts w:ascii="Calibri" w:hAnsi="Calibri"/>
            <w:b/>
            <w:noProof/>
            <w:webHidden/>
            <w:sz w:val="25"/>
            <w:szCs w:val="25"/>
          </w:rPr>
          <w:fldChar w:fldCharType="begin"/>
        </w:r>
        <w:r w:rsidR="0065345B">
          <w:rPr>
            <w:rFonts w:ascii="Calibri" w:hAnsi="Calibri"/>
            <w:b/>
            <w:noProof/>
            <w:webHidden/>
            <w:sz w:val="25"/>
            <w:szCs w:val="25"/>
          </w:rPr>
          <w:instrText xml:space="preserve"> PAGEREF _Toc127173499 \h </w:instrText>
        </w:r>
        <w:r w:rsidR="0065345B">
          <w:rPr>
            <w:rFonts w:ascii="Calibri" w:hAnsi="Calibri"/>
            <w:b/>
            <w:noProof/>
            <w:webHidden/>
            <w:sz w:val="25"/>
            <w:szCs w:val="25"/>
          </w:rPr>
        </w:r>
        <w:r w:rsidR="0065345B">
          <w:rPr>
            <w:rFonts w:ascii="Calibri" w:hAnsi="Calibri"/>
            <w:b/>
            <w:noProof/>
            <w:webHidden/>
            <w:sz w:val="25"/>
            <w:szCs w:val="25"/>
          </w:rPr>
          <w:fldChar w:fldCharType="separate"/>
        </w:r>
        <w:r w:rsidR="0065345B">
          <w:rPr>
            <w:rFonts w:ascii="Calibri" w:hAnsi="Calibri"/>
            <w:b/>
            <w:noProof/>
            <w:webHidden/>
            <w:sz w:val="25"/>
            <w:szCs w:val="25"/>
          </w:rPr>
          <w:t>57</w:t>
        </w:r>
        <w:r w:rsidR="0065345B">
          <w:rPr>
            <w:rFonts w:ascii="Calibri" w:hAnsi="Calibri"/>
            <w:b/>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500" w:history="1">
        <w:r w:rsidR="0065345B">
          <w:rPr>
            <w:rStyle w:val="Lienhypertexte"/>
            <w:rFonts w:ascii="Calibri" w:hAnsi="Calibri" w:cs="Calibri"/>
            <w:noProof/>
            <w:sz w:val="25"/>
            <w:szCs w:val="25"/>
          </w:rPr>
          <w:t>4.1. LA TENDANCE POSTMODERNE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_Toc127173500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57</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501" w:history="1">
        <w:r w:rsidR="0065345B">
          <w:rPr>
            <w:rStyle w:val="Lienhypertexte"/>
            <w:rFonts w:ascii="Calibri" w:hAnsi="Calibri" w:cs="Calibri"/>
            <w:noProof/>
            <w:sz w:val="25"/>
            <w:szCs w:val="25"/>
          </w:rPr>
          <w:t xml:space="preserve">4.2. LA </w:t>
        </w:r>
        <w:r w:rsidR="0065345B">
          <w:rPr>
            <w:rStyle w:val="Lienhypertexte"/>
            <w:rFonts w:ascii="Calibri" w:hAnsi="Calibri" w:cs="Calibri"/>
            <w:iCs/>
            <w:noProof/>
            <w:sz w:val="25"/>
            <w:szCs w:val="25"/>
          </w:rPr>
          <w:t>SOCIETAS</w:t>
        </w:r>
        <w:r w:rsidR="0065345B">
          <w:rPr>
            <w:rStyle w:val="Lienhypertexte"/>
            <w:rFonts w:ascii="Calibri" w:hAnsi="Calibri" w:cs="Calibri"/>
            <w:noProof/>
            <w:sz w:val="25"/>
            <w:szCs w:val="25"/>
          </w:rPr>
          <w:t xml:space="preserve"> ET L’</w:t>
        </w:r>
        <w:r w:rsidR="0065345B">
          <w:rPr>
            <w:rStyle w:val="Lienhypertexte"/>
            <w:rFonts w:ascii="Calibri" w:hAnsi="Calibri" w:cs="Calibri"/>
            <w:iCs/>
            <w:noProof/>
            <w:sz w:val="25"/>
            <w:szCs w:val="25"/>
          </w:rPr>
          <w:t>UNIVERSITAS</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_Toc127173501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64</w:t>
        </w:r>
        <w:r w:rsidR="0065345B">
          <w:rPr>
            <w:rFonts w:ascii="Calibri" w:hAnsi="Calibri"/>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b/>
          <w:noProof/>
          <w:sz w:val="25"/>
          <w:szCs w:val="25"/>
        </w:rPr>
      </w:pPr>
    </w:p>
    <w:p w:rsidR="000A31A8" w:rsidRDefault="00146B38">
      <w:pPr>
        <w:pStyle w:val="TM1"/>
        <w:tabs>
          <w:tab w:val="right" w:leader="dot" w:pos="8656"/>
        </w:tabs>
        <w:jc w:val="both"/>
        <w:rPr>
          <w:rFonts w:ascii="Calibri" w:eastAsia="SimSun" w:hAnsi="Calibri" w:cs="SimSun"/>
          <w:b/>
          <w:noProof/>
          <w:sz w:val="25"/>
          <w:szCs w:val="25"/>
        </w:rPr>
      </w:pPr>
      <w:hyperlink w:anchor="_Toc127173502" w:history="1">
        <w:r w:rsidR="0065345B">
          <w:rPr>
            <w:rStyle w:val="Lienhypertexte"/>
            <w:rFonts w:ascii="Calibri" w:hAnsi="Calibri" w:cs="Calibri"/>
            <w:b/>
            <w:noProof/>
            <w:sz w:val="25"/>
            <w:szCs w:val="25"/>
          </w:rPr>
          <w:t>CHAPITRE CINQUIÈME : CRITIQUES DES FONDEMENTS CONTRACTUALISTES</w:t>
        </w:r>
        <w:r w:rsidR="0065345B">
          <w:rPr>
            <w:rFonts w:ascii="Calibri" w:hAnsi="Calibri"/>
            <w:b/>
            <w:noProof/>
            <w:webHidden/>
            <w:sz w:val="25"/>
            <w:szCs w:val="25"/>
          </w:rPr>
          <w:tab/>
        </w:r>
        <w:r w:rsidR="0065345B">
          <w:rPr>
            <w:rFonts w:ascii="Calibri" w:hAnsi="Calibri"/>
            <w:b/>
            <w:noProof/>
            <w:webHidden/>
            <w:sz w:val="25"/>
            <w:szCs w:val="25"/>
          </w:rPr>
          <w:fldChar w:fldCharType="begin"/>
        </w:r>
        <w:r w:rsidR="0065345B">
          <w:rPr>
            <w:rFonts w:ascii="Calibri" w:hAnsi="Calibri"/>
            <w:b/>
            <w:noProof/>
            <w:webHidden/>
            <w:sz w:val="25"/>
            <w:szCs w:val="25"/>
          </w:rPr>
          <w:instrText xml:space="preserve"> PAGEREF _Toc127173502 \h </w:instrText>
        </w:r>
        <w:r w:rsidR="0065345B">
          <w:rPr>
            <w:rFonts w:ascii="Calibri" w:hAnsi="Calibri"/>
            <w:b/>
            <w:noProof/>
            <w:webHidden/>
            <w:sz w:val="25"/>
            <w:szCs w:val="25"/>
          </w:rPr>
        </w:r>
        <w:r w:rsidR="0065345B">
          <w:rPr>
            <w:rFonts w:ascii="Calibri" w:hAnsi="Calibri"/>
            <w:b/>
            <w:noProof/>
            <w:webHidden/>
            <w:sz w:val="25"/>
            <w:szCs w:val="25"/>
          </w:rPr>
          <w:fldChar w:fldCharType="separate"/>
        </w:r>
        <w:r w:rsidR="0065345B">
          <w:rPr>
            <w:rFonts w:ascii="Calibri" w:hAnsi="Calibri"/>
            <w:b/>
            <w:noProof/>
            <w:webHidden/>
            <w:sz w:val="25"/>
            <w:szCs w:val="25"/>
          </w:rPr>
          <w:t>71</w:t>
        </w:r>
        <w:r w:rsidR="0065345B">
          <w:rPr>
            <w:rFonts w:ascii="Calibri" w:hAnsi="Calibri"/>
            <w:b/>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503" w:history="1">
        <w:r w:rsidR="0065345B">
          <w:rPr>
            <w:rStyle w:val="Lienhypertexte"/>
            <w:rFonts w:ascii="Calibri" w:hAnsi="Calibri" w:cs="Calibri"/>
            <w:noProof/>
            <w:sz w:val="25"/>
            <w:szCs w:val="25"/>
          </w:rPr>
          <w:t>5.1. L’IDEE DIRECTRICE DES THEORIES CONTRACTUALISTES</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_Toc127173503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71</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504" w:history="1">
        <w:r w:rsidR="0065345B">
          <w:rPr>
            <w:rStyle w:val="Lienhypertexte"/>
            <w:rFonts w:ascii="Calibri" w:hAnsi="Calibri" w:cs="Calibri"/>
            <w:bCs/>
            <w:noProof/>
            <w:sz w:val="25"/>
            <w:szCs w:val="25"/>
          </w:rPr>
          <w:t>5.2. LES CRITIQUES FORMULÉES PAR LA GAUCHE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_Toc127173504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77</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505" w:history="1">
        <w:r w:rsidR="0065345B">
          <w:rPr>
            <w:rStyle w:val="Lienhypertexte"/>
            <w:rFonts w:ascii="Calibri" w:hAnsi="Calibri" w:cs="Calibri"/>
            <w:noProof/>
            <w:sz w:val="25"/>
            <w:szCs w:val="25"/>
          </w:rPr>
          <w:t>5.3. LES CRITIQUES FORMULÉES PAR LES COMMUNAUTARISTES</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_Toc127173505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79</w:t>
        </w:r>
        <w:r w:rsidR="0065345B">
          <w:rPr>
            <w:rFonts w:ascii="Calibri" w:hAnsi="Calibri"/>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noProof/>
          <w:sz w:val="25"/>
          <w:szCs w:val="25"/>
        </w:rPr>
      </w:pPr>
    </w:p>
    <w:p w:rsidR="000A31A8" w:rsidRDefault="00146B38">
      <w:pPr>
        <w:pStyle w:val="TM1"/>
        <w:tabs>
          <w:tab w:val="right" w:leader="dot" w:pos="8656"/>
        </w:tabs>
        <w:jc w:val="both"/>
        <w:rPr>
          <w:rFonts w:ascii="Calibri" w:eastAsia="SimSun" w:hAnsi="Calibri" w:cs="SimSun"/>
          <w:b/>
          <w:noProof/>
          <w:sz w:val="25"/>
          <w:szCs w:val="25"/>
        </w:rPr>
      </w:pPr>
      <w:hyperlink w:anchor="_Toc127173506" w:history="1">
        <w:r w:rsidR="0065345B">
          <w:rPr>
            <w:rStyle w:val="Lienhypertexte"/>
            <w:rFonts w:ascii="Calibri" w:hAnsi="Calibri" w:cs="Calibri"/>
            <w:b/>
            <w:noProof/>
            <w:sz w:val="25"/>
            <w:szCs w:val="25"/>
          </w:rPr>
          <w:t>CHAPITRE SIXIÈME : AUTRES FONDEMENTS</w:t>
        </w:r>
        <w:r w:rsidR="0065345B">
          <w:rPr>
            <w:rFonts w:ascii="Calibri" w:hAnsi="Calibri"/>
            <w:b/>
            <w:noProof/>
            <w:webHidden/>
            <w:sz w:val="25"/>
            <w:szCs w:val="25"/>
          </w:rPr>
          <w:tab/>
        </w:r>
        <w:r w:rsidR="0065345B">
          <w:rPr>
            <w:rFonts w:ascii="Calibri" w:hAnsi="Calibri"/>
            <w:b/>
            <w:noProof/>
            <w:webHidden/>
            <w:sz w:val="25"/>
            <w:szCs w:val="25"/>
          </w:rPr>
          <w:fldChar w:fldCharType="begin"/>
        </w:r>
        <w:r w:rsidR="0065345B">
          <w:rPr>
            <w:rFonts w:ascii="Calibri" w:hAnsi="Calibri"/>
            <w:b/>
            <w:noProof/>
            <w:webHidden/>
            <w:sz w:val="25"/>
            <w:szCs w:val="25"/>
          </w:rPr>
          <w:instrText xml:space="preserve"> PAGEREF _Toc127173506 \h </w:instrText>
        </w:r>
        <w:r w:rsidR="0065345B">
          <w:rPr>
            <w:rFonts w:ascii="Calibri" w:hAnsi="Calibri"/>
            <w:b/>
            <w:noProof/>
            <w:webHidden/>
            <w:sz w:val="25"/>
            <w:szCs w:val="25"/>
          </w:rPr>
        </w:r>
        <w:r w:rsidR="0065345B">
          <w:rPr>
            <w:rFonts w:ascii="Calibri" w:hAnsi="Calibri"/>
            <w:b/>
            <w:noProof/>
            <w:webHidden/>
            <w:sz w:val="25"/>
            <w:szCs w:val="25"/>
          </w:rPr>
          <w:fldChar w:fldCharType="separate"/>
        </w:r>
        <w:r w:rsidR="0065345B">
          <w:rPr>
            <w:rFonts w:ascii="Calibri" w:hAnsi="Calibri"/>
            <w:b/>
            <w:noProof/>
            <w:webHidden/>
            <w:sz w:val="25"/>
            <w:szCs w:val="25"/>
          </w:rPr>
          <w:t>93</w:t>
        </w:r>
        <w:r w:rsidR="0065345B">
          <w:rPr>
            <w:rFonts w:ascii="Calibri" w:hAnsi="Calibri"/>
            <w:b/>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507" w:history="1">
        <w:r w:rsidR="0065345B">
          <w:rPr>
            <w:rStyle w:val="Lienhypertexte"/>
            <w:rFonts w:ascii="Calibri" w:hAnsi="Calibri" w:cs="Calibri"/>
            <w:noProof/>
            <w:sz w:val="25"/>
            <w:szCs w:val="25"/>
          </w:rPr>
          <w:t>6.1. MBOLOKALA IMBULI : UNE POSSIBLE LECTURE DE L’UTILITARISME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_Toc127173507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93</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508" w:history="1">
        <w:r w:rsidR="0065345B">
          <w:rPr>
            <w:rStyle w:val="Lienhypertexte"/>
            <w:rFonts w:ascii="Calibri" w:hAnsi="Calibri" w:cs="Calibri"/>
            <w:noProof/>
            <w:sz w:val="25"/>
            <w:szCs w:val="25"/>
          </w:rPr>
          <w:t>6.2. L’UNIVERSALITÉ DU PLURALISME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_Toc127173508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97</w:t>
        </w:r>
        <w:r w:rsidR="0065345B">
          <w:rPr>
            <w:rFonts w:ascii="Calibri" w:hAnsi="Calibri"/>
            <w:noProof/>
            <w:webHidden/>
            <w:sz w:val="25"/>
            <w:szCs w:val="25"/>
          </w:rPr>
          <w:fldChar w:fldCharType="end"/>
        </w:r>
      </w:hyperlink>
    </w:p>
    <w:p w:rsidR="000A31A8" w:rsidRDefault="00146B38">
      <w:pPr>
        <w:pStyle w:val="TM1"/>
        <w:tabs>
          <w:tab w:val="right" w:leader="dot" w:pos="8656"/>
        </w:tabs>
        <w:jc w:val="both"/>
        <w:rPr>
          <w:rFonts w:ascii="Calibri" w:eastAsia="SimSun" w:hAnsi="Calibri" w:cs="SimSun"/>
          <w:noProof/>
          <w:sz w:val="25"/>
          <w:szCs w:val="25"/>
        </w:rPr>
      </w:pPr>
      <w:hyperlink w:anchor="_Toc127173509" w:history="1">
        <w:r w:rsidR="0065345B">
          <w:rPr>
            <w:rStyle w:val="Lienhypertexte"/>
            <w:rFonts w:ascii="Calibri" w:hAnsi="Calibri" w:cs="Calibri"/>
            <w:noProof/>
            <w:sz w:val="25"/>
            <w:szCs w:val="25"/>
          </w:rPr>
          <w:t>6.3. LES SOURCES AFRICAINES DE LA DÉMOCRATIE</w:t>
        </w:r>
        <w:r w:rsidR="0065345B">
          <w:rPr>
            <w:rFonts w:ascii="Calibri" w:hAnsi="Calibri"/>
            <w:noProof/>
            <w:webHidden/>
            <w:sz w:val="25"/>
            <w:szCs w:val="25"/>
          </w:rPr>
          <w:tab/>
        </w:r>
        <w:r w:rsidR="0065345B">
          <w:rPr>
            <w:rFonts w:ascii="Calibri" w:hAnsi="Calibri"/>
            <w:noProof/>
            <w:webHidden/>
            <w:sz w:val="25"/>
            <w:szCs w:val="25"/>
          </w:rPr>
          <w:fldChar w:fldCharType="begin"/>
        </w:r>
        <w:r w:rsidR="0065345B">
          <w:rPr>
            <w:rFonts w:ascii="Calibri" w:hAnsi="Calibri"/>
            <w:noProof/>
            <w:webHidden/>
            <w:sz w:val="25"/>
            <w:szCs w:val="25"/>
          </w:rPr>
          <w:instrText xml:space="preserve"> PAGEREF _Toc127173509 \h </w:instrText>
        </w:r>
        <w:r w:rsidR="0065345B">
          <w:rPr>
            <w:rFonts w:ascii="Calibri" w:hAnsi="Calibri"/>
            <w:noProof/>
            <w:webHidden/>
            <w:sz w:val="25"/>
            <w:szCs w:val="25"/>
          </w:rPr>
        </w:r>
        <w:r w:rsidR="0065345B">
          <w:rPr>
            <w:rFonts w:ascii="Calibri" w:hAnsi="Calibri"/>
            <w:noProof/>
            <w:webHidden/>
            <w:sz w:val="25"/>
            <w:szCs w:val="25"/>
          </w:rPr>
          <w:fldChar w:fldCharType="separate"/>
        </w:r>
        <w:r w:rsidR="0065345B">
          <w:rPr>
            <w:rFonts w:ascii="Calibri" w:hAnsi="Calibri"/>
            <w:noProof/>
            <w:webHidden/>
            <w:sz w:val="25"/>
            <w:szCs w:val="25"/>
          </w:rPr>
          <w:t>100</w:t>
        </w:r>
        <w:r w:rsidR="0065345B">
          <w:rPr>
            <w:rFonts w:ascii="Calibri" w:hAnsi="Calibri"/>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b/>
          <w:noProof/>
          <w:sz w:val="25"/>
          <w:szCs w:val="25"/>
        </w:rPr>
      </w:pPr>
    </w:p>
    <w:p w:rsidR="000A31A8" w:rsidRDefault="00146B38">
      <w:pPr>
        <w:pStyle w:val="TM1"/>
        <w:tabs>
          <w:tab w:val="right" w:leader="dot" w:pos="8656"/>
        </w:tabs>
        <w:jc w:val="both"/>
        <w:rPr>
          <w:rFonts w:ascii="Calibri" w:eastAsia="SimSun" w:hAnsi="Calibri" w:cs="SimSun"/>
          <w:b/>
          <w:noProof/>
          <w:sz w:val="25"/>
          <w:szCs w:val="25"/>
        </w:rPr>
      </w:pPr>
      <w:hyperlink w:anchor="_Toc127173510" w:history="1">
        <w:r w:rsidR="0065345B">
          <w:rPr>
            <w:rStyle w:val="Lienhypertexte"/>
            <w:rFonts w:ascii="Calibri" w:hAnsi="Calibri" w:cs="Calibri"/>
            <w:b/>
            <w:noProof/>
            <w:sz w:val="25"/>
            <w:szCs w:val="25"/>
          </w:rPr>
          <w:t>CONCLUSION</w:t>
        </w:r>
        <w:r w:rsidR="0065345B">
          <w:rPr>
            <w:rFonts w:ascii="Calibri" w:hAnsi="Calibri"/>
            <w:b/>
            <w:noProof/>
            <w:webHidden/>
            <w:sz w:val="25"/>
            <w:szCs w:val="25"/>
          </w:rPr>
          <w:tab/>
        </w:r>
        <w:r w:rsidR="0065345B">
          <w:rPr>
            <w:rFonts w:ascii="Calibri" w:hAnsi="Calibri"/>
            <w:b/>
            <w:noProof/>
            <w:webHidden/>
            <w:sz w:val="25"/>
            <w:szCs w:val="25"/>
          </w:rPr>
          <w:fldChar w:fldCharType="begin"/>
        </w:r>
        <w:r w:rsidR="0065345B">
          <w:rPr>
            <w:rFonts w:ascii="Calibri" w:hAnsi="Calibri"/>
            <w:b/>
            <w:noProof/>
            <w:webHidden/>
            <w:sz w:val="25"/>
            <w:szCs w:val="25"/>
          </w:rPr>
          <w:instrText xml:space="preserve"> PAGEREF _Toc127173510 \h </w:instrText>
        </w:r>
        <w:r w:rsidR="0065345B">
          <w:rPr>
            <w:rFonts w:ascii="Calibri" w:hAnsi="Calibri"/>
            <w:b/>
            <w:noProof/>
            <w:webHidden/>
            <w:sz w:val="25"/>
            <w:szCs w:val="25"/>
          </w:rPr>
        </w:r>
        <w:r w:rsidR="0065345B">
          <w:rPr>
            <w:rFonts w:ascii="Calibri" w:hAnsi="Calibri"/>
            <w:b/>
            <w:noProof/>
            <w:webHidden/>
            <w:sz w:val="25"/>
            <w:szCs w:val="25"/>
          </w:rPr>
          <w:fldChar w:fldCharType="separate"/>
        </w:r>
        <w:r w:rsidR="0065345B">
          <w:rPr>
            <w:rFonts w:ascii="Calibri" w:hAnsi="Calibri"/>
            <w:b/>
            <w:noProof/>
            <w:webHidden/>
            <w:sz w:val="25"/>
            <w:szCs w:val="25"/>
          </w:rPr>
          <w:t>115</w:t>
        </w:r>
        <w:r w:rsidR="0065345B">
          <w:rPr>
            <w:rFonts w:ascii="Calibri" w:hAnsi="Calibri"/>
            <w:b/>
            <w:noProof/>
            <w:webHidden/>
            <w:sz w:val="25"/>
            <w:szCs w:val="25"/>
          </w:rPr>
          <w:fldChar w:fldCharType="end"/>
        </w:r>
      </w:hyperlink>
    </w:p>
    <w:p w:rsidR="000A31A8" w:rsidRDefault="000A31A8">
      <w:pPr>
        <w:pStyle w:val="TM1"/>
        <w:tabs>
          <w:tab w:val="right" w:leader="dot" w:pos="8656"/>
        </w:tabs>
        <w:jc w:val="both"/>
        <w:rPr>
          <w:rStyle w:val="Lienhypertexte"/>
          <w:rFonts w:ascii="Calibri" w:hAnsi="Calibri"/>
          <w:b/>
          <w:noProof/>
          <w:sz w:val="25"/>
          <w:szCs w:val="25"/>
        </w:rPr>
      </w:pPr>
    </w:p>
    <w:p w:rsidR="000A31A8" w:rsidRDefault="00146B38">
      <w:pPr>
        <w:pStyle w:val="TM1"/>
        <w:tabs>
          <w:tab w:val="right" w:leader="dot" w:pos="8656"/>
        </w:tabs>
        <w:jc w:val="both"/>
        <w:rPr>
          <w:rFonts w:ascii="Calibri" w:eastAsia="SimSun" w:hAnsi="Calibri" w:cs="SimSun"/>
          <w:b/>
          <w:noProof/>
          <w:sz w:val="25"/>
          <w:szCs w:val="25"/>
        </w:rPr>
      </w:pPr>
      <w:hyperlink w:anchor="_Toc127173511" w:history="1">
        <w:r w:rsidR="0065345B">
          <w:rPr>
            <w:rStyle w:val="Lienhypertexte"/>
            <w:rFonts w:ascii="Calibri" w:hAnsi="Calibri" w:cs="Calibri"/>
            <w:b/>
            <w:noProof/>
            <w:sz w:val="25"/>
            <w:szCs w:val="25"/>
          </w:rPr>
          <w:t>BIBLIOGRAPHIE</w:t>
        </w:r>
        <w:r w:rsidR="0065345B">
          <w:rPr>
            <w:rFonts w:ascii="Calibri" w:hAnsi="Calibri"/>
            <w:b/>
            <w:noProof/>
            <w:webHidden/>
            <w:sz w:val="25"/>
            <w:szCs w:val="25"/>
          </w:rPr>
          <w:tab/>
        </w:r>
        <w:r w:rsidR="0065345B">
          <w:rPr>
            <w:rFonts w:ascii="Calibri" w:hAnsi="Calibri"/>
            <w:b/>
            <w:noProof/>
            <w:webHidden/>
            <w:sz w:val="25"/>
            <w:szCs w:val="25"/>
          </w:rPr>
          <w:fldChar w:fldCharType="begin"/>
        </w:r>
        <w:r w:rsidR="0065345B">
          <w:rPr>
            <w:rFonts w:ascii="Calibri" w:hAnsi="Calibri"/>
            <w:b/>
            <w:noProof/>
            <w:webHidden/>
            <w:sz w:val="25"/>
            <w:szCs w:val="25"/>
          </w:rPr>
          <w:instrText xml:space="preserve"> PAGEREF _Toc127173511 \h </w:instrText>
        </w:r>
        <w:r w:rsidR="0065345B">
          <w:rPr>
            <w:rFonts w:ascii="Calibri" w:hAnsi="Calibri"/>
            <w:b/>
            <w:noProof/>
            <w:webHidden/>
            <w:sz w:val="25"/>
            <w:szCs w:val="25"/>
          </w:rPr>
        </w:r>
        <w:r w:rsidR="0065345B">
          <w:rPr>
            <w:rFonts w:ascii="Calibri" w:hAnsi="Calibri"/>
            <w:b/>
            <w:noProof/>
            <w:webHidden/>
            <w:sz w:val="25"/>
            <w:szCs w:val="25"/>
          </w:rPr>
          <w:fldChar w:fldCharType="separate"/>
        </w:r>
        <w:r w:rsidR="0065345B">
          <w:rPr>
            <w:rFonts w:ascii="Calibri" w:hAnsi="Calibri"/>
            <w:b/>
            <w:noProof/>
            <w:webHidden/>
            <w:sz w:val="25"/>
            <w:szCs w:val="25"/>
          </w:rPr>
          <w:t>119</w:t>
        </w:r>
        <w:r w:rsidR="0065345B">
          <w:rPr>
            <w:rFonts w:ascii="Calibri" w:hAnsi="Calibri"/>
            <w:b/>
            <w:noProof/>
            <w:webHidden/>
            <w:sz w:val="25"/>
            <w:szCs w:val="25"/>
          </w:rPr>
          <w:fldChar w:fldCharType="end"/>
        </w:r>
      </w:hyperlink>
    </w:p>
    <w:p w:rsidR="000A31A8" w:rsidRDefault="0065345B" w:rsidP="00C727A7">
      <w:r>
        <w:fldChar w:fldCharType="end"/>
      </w: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4"/>
          <w:szCs w:val="24"/>
        </w:rPr>
      </w:pPr>
    </w:p>
    <w:p w:rsidR="000A31A8" w:rsidRDefault="000A31A8" w:rsidP="00C727A7">
      <w:pPr>
        <w:rPr>
          <w:sz w:val="28"/>
          <w:szCs w:val="28"/>
        </w:rPr>
      </w:pPr>
    </w:p>
    <w:p w:rsidR="000A31A8" w:rsidRDefault="000A31A8" w:rsidP="00C727A7">
      <w:pPr>
        <w:rPr>
          <w:sz w:val="28"/>
          <w:szCs w:val="28"/>
        </w:rPr>
      </w:pPr>
    </w:p>
    <w:p w:rsidR="000A31A8" w:rsidRDefault="000A31A8">
      <w:pPr>
        <w:rPr>
          <w:rFonts w:ascii="Calibri" w:hAnsi="Calibri" w:cs="Calibri"/>
          <w:sz w:val="28"/>
          <w:szCs w:val="28"/>
        </w:rPr>
        <w:sectPr w:rsidR="000A31A8">
          <w:pgSz w:w="11906" w:h="16838"/>
          <w:pgMar w:top="1440" w:right="1440" w:bottom="1440" w:left="1800" w:header="850" w:footer="850" w:gutter="0"/>
          <w:pgNumType w:fmt="lowerRoman" w:start="1"/>
          <w:cols w:space="720"/>
          <w:docGrid w:linePitch="272"/>
        </w:sectPr>
      </w:pPr>
    </w:p>
    <w:p w:rsidR="000A31A8" w:rsidRDefault="0065345B">
      <w:pPr>
        <w:pStyle w:val="Titre1"/>
        <w:spacing w:after="0"/>
        <w:ind w:left="0" w:firstLine="0"/>
        <w:jc w:val="both"/>
        <w:rPr>
          <w:rFonts w:ascii="Calibri" w:hAnsi="Calibri" w:cs="Calibri"/>
          <w:bCs w:val="0"/>
          <w:sz w:val="36"/>
          <w:szCs w:val="36"/>
        </w:rPr>
      </w:pPr>
      <w:bookmarkStart w:id="6" w:name="_Toc127173486"/>
      <w:r>
        <w:rPr>
          <w:rFonts w:ascii="Calibri" w:hAnsi="Calibri" w:cs="Calibri"/>
          <w:sz w:val="36"/>
          <w:szCs w:val="36"/>
        </w:rPr>
        <w:lastRenderedPageBreak/>
        <w:t xml:space="preserve">INTRODUCTION </w:t>
      </w:r>
      <w:bookmarkEnd w:id="6"/>
    </w:p>
    <w:p w:rsidR="000A31A8" w:rsidRDefault="000A31A8">
      <w:pPr>
        <w:spacing w:line="324" w:lineRule="auto"/>
        <w:ind w:right="-2" w:firstLine="709"/>
        <w:rPr>
          <w:rFonts w:ascii="Calibri" w:hAnsi="Calibri" w:cs="Calibri"/>
          <w:color w:val="000000"/>
          <w:sz w:val="25"/>
          <w:szCs w:val="25"/>
          <w:lang w:val="fr-BE"/>
        </w:rPr>
      </w:pPr>
    </w:p>
    <w:p w:rsidR="000A31A8" w:rsidRDefault="0065345B">
      <w:pPr>
        <w:spacing w:line="324" w:lineRule="auto"/>
        <w:ind w:right="-2"/>
        <w:jc w:val="both"/>
        <w:rPr>
          <w:rFonts w:ascii="Calibri" w:hAnsi="Calibri" w:cs="Calibri"/>
          <w:sz w:val="25"/>
          <w:szCs w:val="25"/>
        </w:rPr>
      </w:pPr>
      <w:bookmarkStart w:id="7" w:name="_Toc60824124"/>
      <w:bookmarkStart w:id="8" w:name="_Toc61276619"/>
      <w:bookmarkStart w:id="9" w:name="_Toc61541121"/>
      <w:bookmarkStart w:id="10" w:name="_Toc63602896"/>
      <w:r>
        <w:rPr>
          <w:rFonts w:ascii="Calibri" w:hAnsi="Calibri" w:cs="Calibri"/>
          <w:sz w:val="25"/>
          <w:szCs w:val="25"/>
        </w:rPr>
        <w:t xml:space="preserve">La question principale à laquelle s’applique John Rawls  depuis </w:t>
      </w:r>
      <w:r>
        <w:rPr>
          <w:rFonts w:ascii="Calibri" w:hAnsi="Calibri" w:cs="Calibri"/>
          <w:i/>
          <w:iCs/>
          <w:sz w:val="25"/>
          <w:szCs w:val="25"/>
        </w:rPr>
        <w:t>Théorie de la justice</w:t>
      </w:r>
      <w:r>
        <w:rPr>
          <w:rFonts w:ascii="Calibri" w:hAnsi="Calibri" w:cs="Calibri"/>
          <w:sz w:val="25"/>
          <w:szCs w:val="25"/>
        </w:rPr>
        <w:t xml:space="preserve"> jusqu’à </w:t>
      </w:r>
      <w:r>
        <w:rPr>
          <w:rFonts w:ascii="Calibri" w:hAnsi="Calibri" w:cs="Calibri"/>
          <w:i/>
          <w:iCs/>
          <w:sz w:val="25"/>
          <w:szCs w:val="25"/>
        </w:rPr>
        <w:t>Droits des gens</w:t>
      </w:r>
      <w:r>
        <w:rPr>
          <w:rFonts w:ascii="Calibri" w:hAnsi="Calibri" w:cs="Calibri"/>
          <w:sz w:val="25"/>
          <w:szCs w:val="25"/>
        </w:rPr>
        <w:t xml:space="preserve">  est celle de la légitimation juridique de la démocratie. Au fait, comment fonder cette légitimation ? Le débat que mène Rawls avec les </w:t>
      </w:r>
      <w:r>
        <w:rPr>
          <w:rFonts w:ascii="Calibri" w:hAnsi="Calibri" w:cs="Calibri"/>
          <w:i/>
          <w:iCs/>
          <w:sz w:val="25"/>
          <w:szCs w:val="25"/>
        </w:rPr>
        <w:t>théories non souhaitables</w:t>
      </w:r>
      <w:r>
        <w:rPr>
          <w:rFonts w:ascii="Calibri" w:hAnsi="Calibri" w:cs="Calibri"/>
          <w:sz w:val="25"/>
          <w:szCs w:val="25"/>
        </w:rPr>
        <w:t xml:space="preserve"> récuse certains modes de légitimation  du pouvoir politique.</w:t>
      </w:r>
      <w:bookmarkEnd w:id="7"/>
      <w:bookmarkEnd w:id="8"/>
      <w:r>
        <w:rPr>
          <w:rFonts w:ascii="Calibri" w:hAnsi="Calibri" w:cs="Calibri"/>
          <w:sz w:val="25"/>
          <w:szCs w:val="25"/>
        </w:rPr>
        <w:t xml:space="preserve"> L’option de l’auteur de </w:t>
      </w:r>
      <w:r>
        <w:rPr>
          <w:rFonts w:ascii="Calibri" w:hAnsi="Calibri" w:cs="Calibri"/>
          <w:i/>
          <w:iCs/>
          <w:sz w:val="25"/>
          <w:szCs w:val="25"/>
        </w:rPr>
        <w:t>Théorie de la justice</w:t>
      </w:r>
      <w:r>
        <w:rPr>
          <w:rFonts w:ascii="Calibri" w:hAnsi="Calibri" w:cs="Calibri"/>
          <w:sz w:val="25"/>
          <w:szCs w:val="25"/>
        </w:rPr>
        <w:t xml:space="preserve"> pour la démocratie pluraliste lui demande de gros  efforts d’élucidation. Ces efforts passent par une reprise critique des philosophies politiques anglo-saxonnes, précisément l’absolutisme de Thomas Hobbes et les démocraties libérales à l’instar de l’utilitarisme. Le but de la paix poursuivi par exemple par Thomas Hobbes est-il réellement possible par l’absolutisme que prône l’auteur de </w:t>
      </w:r>
      <w:r>
        <w:rPr>
          <w:rFonts w:ascii="Calibri" w:hAnsi="Calibri" w:cs="Calibri"/>
          <w:i/>
          <w:iCs/>
          <w:sz w:val="25"/>
          <w:szCs w:val="25"/>
        </w:rPr>
        <w:t>Léviathan </w:t>
      </w:r>
      <w:r>
        <w:rPr>
          <w:rFonts w:ascii="Calibri" w:hAnsi="Calibri" w:cs="Calibri"/>
          <w:sz w:val="25"/>
          <w:szCs w:val="25"/>
        </w:rPr>
        <w:t>? Les théories sur l’homme et sur la liberté, théories qui constituent les fondements sur lesquelles Hobbes construit sa pensée politique et par lesquelles il légitime le pouvoir absolu sont-elles seulement acceptables ? Voilà posées les questions de la liberté autour de laquelle tourne le débat philosophique et politique chez les Anglo-saxons.</w:t>
      </w:r>
      <w:bookmarkEnd w:id="9"/>
      <w:bookmarkEnd w:id="10"/>
    </w:p>
    <w:p w:rsidR="000A31A8" w:rsidRDefault="000A31A8">
      <w:pPr>
        <w:spacing w:line="324" w:lineRule="auto"/>
        <w:ind w:right="-2"/>
        <w:jc w:val="both"/>
        <w:rPr>
          <w:rFonts w:ascii="Calibri" w:eastAsia="Batang" w:hAnsi="Calibri" w:cs="Calibri"/>
          <w:sz w:val="25"/>
          <w:szCs w:val="25"/>
          <w:lang w:val="fr-BE"/>
        </w:rPr>
      </w:pPr>
    </w:p>
    <w:p w:rsidR="000A31A8" w:rsidRDefault="0065345B">
      <w:pPr>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La première intuition de cette réflexion appréhende les différentes conceptions du pouvoir chez les théoriciens </w:t>
      </w:r>
      <w:bookmarkStart w:id="11" w:name="_GoBack"/>
      <w:bookmarkEnd w:id="11"/>
      <w:r>
        <w:rPr>
          <w:rFonts w:ascii="Calibri" w:eastAsia="Batang" w:hAnsi="Calibri" w:cs="Calibri"/>
          <w:sz w:val="25"/>
          <w:szCs w:val="25"/>
          <w:lang w:val="fr-BE"/>
        </w:rPr>
        <w:t>du contrat social comme dépendant essentiellement des conceptions anthropologiques, en général, et de celle de la liberté, en particulier, comme qui dirait à telle conception de la liberté correspond telle conception du pouvoir. La liberté reconnue comme absolue avant la formation de la société civile est présentée par Hobbes comme dangereuse dans la mesure où elle pose le problème du rapport entre individus, lequel rapport est d’ailleurs, le moins qu’on puisse dire, à l’origine de tout questionnement politique. Cependant, dans quelle mesure la réduction pure et simple des libertés individuelles résout-elle le problème de l’homme en société ou de la nécessaire coexistence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En outre, affirmer le contraire de Hobbes, c’est-à-dire poser la liberté sans possible limitation dans un cadre républicain peut-il être utile à la survie de la République ? La liberté individuelle considérée comme finalité exclusive du politique ou l’utilité comme l’unique motivation de l’action humaine – comme le prône les utilitaristes – ne constitue-t-elle pas aussi un danger pour l’homme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Ces questions qui traversent la pensée politique contractualiste constituent le cadre théorique de cette étude. Le débat contemporain ouvert par Rawls avec l’absolutisme hobbesien et l’utilitarisme est un contexte et/ou un prétexte qui fait naître l’idéologie libérale rawlsienne qui, elle-même, se veut une réflexion et une interpellation de la démocratie occidentale en passe de devenir un terrain d’affrontement entre les disciples de Locke – qui soutiennent le primat de la liberté sur l’égalité – et ceux de Rousseau qui affirment le contraire. D’où la nécessité de revenir sur les arguments de ces </w:t>
      </w:r>
      <w:r>
        <w:rPr>
          <w:rFonts w:ascii="Calibri" w:eastAsia="Batang" w:hAnsi="Calibri" w:cs="Calibri"/>
          <w:i/>
          <w:iCs/>
          <w:sz w:val="25"/>
          <w:szCs w:val="25"/>
          <w:lang w:val="fr-BE"/>
        </w:rPr>
        <w:t>théories non souhaitables</w:t>
      </w:r>
      <w:r>
        <w:rPr>
          <w:rFonts w:ascii="Calibri" w:eastAsia="Batang" w:hAnsi="Calibri" w:cs="Calibri"/>
          <w:sz w:val="25"/>
          <w:szCs w:val="25"/>
          <w:lang w:val="fr-BE"/>
        </w:rPr>
        <w:t xml:space="preserve"> (l’absolutisme hobbessien et les démocraties libérales, en particulier l’utilitarisme) pour saisir la pertinence de la reprise critique de Rawls et son choix pour le pluralisme.</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La critique que Rawls formule contre l’absolutisme de Hobbes - à savoir, l’identification du pouvoir  de l’Etat à la souveraineté indivise qui entraîne, en plus des menaces que recèle l’absolutisme, la dangereuse conséquence que toute forme d’Etat évolue vers une  mauvaise gestion et surtout tend vers l’absence d’Etat ou l’anarchie, la légitimation de l’absolutisme qui donne l’autorisation à l’Etat d’user de pleins pouvoirs, néglige dangereusement le problème des limites normatives du pouvoir et du contrôle – aboutit à la clarification de la contradiction fondamentale qui résulte de la séparation que Hobbes fait entre la conscience et la politique. Donc, en fonction de la théorie elle-même, l’absolutisme est indéfendable. Cette conclusion à laquelle débouche Rawls est une réponse aux questions préalables sur la paix. Au fait, est-il soutenable que l’absolutisme politique, plus que tout autre type de pouvoir, soit capable de garantir la paix à l’intérieur des Etats ? Dans quelle mesure la réduction des libertés individuelles peut-elle instaurer une paix durable ? Autrement dit, est-il possible de parvenir à la paix sans que l’homme n’use de sa liberté ? Ces questions auxquelles Rawls répond par la négative posent le problème de la place de la liberté dans toute conception et gestion du pouvoir.</w:t>
      </w:r>
    </w:p>
    <w:p w:rsidR="000A31A8" w:rsidRDefault="000A31A8">
      <w:pPr>
        <w:pStyle w:val="Retraitcorpsdetexte"/>
        <w:tabs>
          <w:tab w:val="clear" w:pos="1185"/>
        </w:tabs>
        <w:spacing w:line="324" w:lineRule="auto"/>
        <w:ind w:left="0" w:right="-2" w:firstLine="0"/>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 xml:space="preserve">Par ailleurs, faut-il affirmer les libertés individuelles comme finalité exclusive et ultime du politique, comme le font les démocraties libérales à l’instar de l’utilitarisme ? Cette option recèlerait le danger de s’opposer à la loi commune ; car, elle pose le problème de compatibilité entre liberté et égalité et la lutte entre personnes privées pour leurs intérêts respectifs. C’est ici que naît la question de la pluralité sociale et politique qui </w:t>
      </w:r>
      <w:r>
        <w:rPr>
          <w:rFonts w:ascii="Calibri" w:hAnsi="Calibri" w:cs="Calibri"/>
          <w:sz w:val="25"/>
          <w:szCs w:val="25"/>
        </w:rPr>
        <w:lastRenderedPageBreak/>
        <w:t>exige une position médiane entre liberté et égalité. L’un des plus grands reproches que Rawls retient à charge de l’utilitarisme est celui de séparer la démocratie d’une adhésion à ses principes de base. C’est ce qui justifie le plaidoyer rawlsien pour le consensus ; car, ce qui est particulier au « contexte social », ce sont les divergences d’opinions ou la pluralité des croyances qui réclament un droit égal à la coexistence. D’où le pluralisme politique capable de justifier et de conjuguer liberté et égalité dans une nouvelle théorie qui inaugure la théorie de la justice comme équité.</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Le but de Rawls n’est pas seulement de critiquer les </w:t>
      </w:r>
      <w:r>
        <w:rPr>
          <w:rFonts w:ascii="Calibri" w:eastAsia="Batang" w:hAnsi="Calibri" w:cs="Calibri"/>
          <w:i/>
          <w:iCs/>
          <w:sz w:val="25"/>
          <w:szCs w:val="25"/>
          <w:lang w:val="fr-BE"/>
        </w:rPr>
        <w:t>théories non souhaitables</w:t>
      </w:r>
      <w:r>
        <w:rPr>
          <w:rFonts w:ascii="Calibri" w:eastAsia="Batang" w:hAnsi="Calibri" w:cs="Calibri"/>
          <w:sz w:val="25"/>
          <w:szCs w:val="25"/>
          <w:lang w:val="fr-BE"/>
        </w:rPr>
        <w:t xml:space="preserve"> qui, en contexte anglo-saxon, ont connu une large diffusion ; il veut aussi mettre en place une théorie qui s’y substituerait carrément. Ainsi, dans la lignée des théoriciens du  contrat social  (Locke et Rousseau) et de la philosophie morale de Kant, Rawls développe une théorie systématique de la justice reposant essentiellement sur deux principes rationnels : </w:t>
      </w:r>
      <w:r>
        <w:rPr>
          <w:rFonts w:ascii="Calibri" w:eastAsia="Batang" w:hAnsi="Calibri" w:cs="Calibri"/>
          <w:i/>
          <w:iCs/>
          <w:sz w:val="25"/>
          <w:szCs w:val="25"/>
          <w:lang w:val="fr-BE"/>
        </w:rPr>
        <w:t>le principe de liberté</w:t>
      </w:r>
      <w:r>
        <w:rPr>
          <w:rFonts w:ascii="Calibri" w:eastAsia="Batang" w:hAnsi="Calibri" w:cs="Calibri"/>
          <w:sz w:val="25"/>
          <w:szCs w:val="25"/>
          <w:lang w:val="fr-BE"/>
        </w:rPr>
        <w:t xml:space="preserve">, qui pose pour tous les individus un droit égal à la plus grande liberté compatible avec la liberté d’autrui et </w:t>
      </w:r>
      <w:r>
        <w:rPr>
          <w:rFonts w:ascii="Calibri" w:eastAsia="Batang" w:hAnsi="Calibri" w:cs="Calibri"/>
          <w:i/>
          <w:iCs/>
          <w:sz w:val="25"/>
          <w:szCs w:val="25"/>
          <w:lang w:val="fr-BE"/>
        </w:rPr>
        <w:t>le principe de différence</w:t>
      </w:r>
      <w:r>
        <w:rPr>
          <w:rFonts w:ascii="Calibri" w:eastAsia="Batang" w:hAnsi="Calibri" w:cs="Calibri"/>
          <w:sz w:val="25"/>
          <w:szCs w:val="25"/>
          <w:lang w:val="fr-BE"/>
        </w:rPr>
        <w:t xml:space="preserve"> qui est le plus original, en ce qu’il aboutit paradoxalement à l’idée d’inégalités justes.</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Cependant, la philosophie de Rawls - fondée sur les idées de la démocratie, du libéralisme et du pluralisme -, s’inscrit dans le débat politique contemporain. Rawls a réussi peut être à conclure le débat qui opposait jadis les héritiers de Locke et de Rousseau (le débat entre liberté et égalité) ; mais ce qui est sûr ce qu’il  anime le débat contemporain. Les uns (la Gauche) lui reprochent sa légitimation des inégalités sociales produites par le capitalisme, les autres (la Droite libérale) lui reprochent d’exiger une action en faveur des plus démunis. Les reproches de la Gauche mettent le libéralisme face à une idéologie tout à fait opposée du communautarisme. Le débat qui s’installe entre libéralisme représenté par Rawls et le communautarisme représenté par Taylor fait penser à d’autres discussions similaires : discussion entre liberté et égalité, liberté des modernes et liberté des anciens, etc.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hAnsi="Calibri" w:cs="Calibri"/>
          <w:sz w:val="25"/>
          <w:szCs w:val="25"/>
        </w:rPr>
      </w:pPr>
      <w:r>
        <w:rPr>
          <w:rFonts w:ascii="Calibri" w:eastAsia="Batang" w:hAnsi="Calibri" w:cs="Calibri"/>
          <w:sz w:val="25"/>
          <w:szCs w:val="25"/>
          <w:lang w:val="fr-BE"/>
        </w:rPr>
        <w:t xml:space="preserve">Rawls estimait avoir résolu ces questions par son alliance avec Locke et Rousseau et par son recours à Kant. </w:t>
      </w:r>
      <w:r>
        <w:rPr>
          <w:rFonts w:ascii="Calibri" w:hAnsi="Calibri" w:cs="Calibri"/>
          <w:sz w:val="25"/>
          <w:szCs w:val="25"/>
        </w:rPr>
        <w:t xml:space="preserve">Seulement, le libéralisme a aussi ses faiblesses. La légitimation des inégalités sociales ne peut être soutenue, même pas par une quelconque conception de la justice ; les personnes démunies ne peuvent pas se contenter de la bienfaisance des personnes nanties. </w:t>
      </w:r>
    </w:p>
    <w:p w:rsidR="000A31A8" w:rsidRDefault="0065345B">
      <w:pPr>
        <w:tabs>
          <w:tab w:val="left" w:pos="2520"/>
        </w:tabs>
        <w:spacing w:line="324" w:lineRule="auto"/>
        <w:ind w:right="-2"/>
        <w:jc w:val="both"/>
        <w:rPr>
          <w:rFonts w:ascii="Calibri" w:hAnsi="Calibri" w:cs="Calibri"/>
          <w:sz w:val="25"/>
          <w:szCs w:val="25"/>
        </w:rPr>
      </w:pPr>
      <w:r>
        <w:rPr>
          <w:rFonts w:ascii="Calibri" w:hAnsi="Calibri" w:cs="Calibri"/>
          <w:sz w:val="25"/>
          <w:szCs w:val="25"/>
        </w:rPr>
        <w:lastRenderedPageBreak/>
        <w:t>Les six chapitres que nous proposons auront comme prétexte les théories du contrat social. Nous nous étendrons sur le contractualisme contemporain de Rawls et opposerons les arguments du communautarisme contre ceux du libéralisme. Enfin, nous examinerons quelques lectures et points de vue des philosophes africains sur le fondement philosophique du pouvoir</w:t>
      </w:r>
    </w:p>
    <w:p w:rsidR="000A31A8" w:rsidRDefault="0065345B">
      <w:pPr>
        <w:spacing w:line="324" w:lineRule="auto"/>
        <w:rPr>
          <w:rFonts w:ascii="Calibri" w:hAnsi="Calibri" w:cs="Calibri"/>
          <w:sz w:val="25"/>
          <w:szCs w:val="25"/>
        </w:rPr>
      </w:pPr>
      <w:r>
        <w:rPr>
          <w:rFonts w:ascii="Calibri" w:hAnsi="Calibri" w:cs="Calibri"/>
          <w:sz w:val="25"/>
          <w:szCs w:val="25"/>
        </w:rPr>
        <w:br w:type="page"/>
      </w:r>
    </w:p>
    <w:p w:rsidR="000A31A8" w:rsidRDefault="0065345B">
      <w:pPr>
        <w:pStyle w:val="Textebrut"/>
        <w:spacing w:line="324" w:lineRule="auto"/>
        <w:ind w:right="-2"/>
        <w:outlineLvl w:val="0"/>
        <w:rPr>
          <w:rFonts w:ascii="Calibri" w:hAnsi="Calibri" w:cs="Calibri"/>
          <w:b/>
          <w:bCs/>
          <w:sz w:val="32"/>
          <w:szCs w:val="32"/>
        </w:rPr>
      </w:pPr>
      <w:bookmarkStart w:id="12" w:name="_Toc127173487"/>
      <w:r>
        <w:rPr>
          <w:rFonts w:ascii="Calibri" w:hAnsi="Calibri" w:cs="Calibri"/>
          <w:b/>
          <w:bCs/>
          <w:sz w:val="32"/>
          <w:szCs w:val="32"/>
        </w:rPr>
        <w:lastRenderedPageBreak/>
        <w:t>CHAPITRE PREMIER : LES THEORIES DU CONTRAT SOCIAL</w:t>
      </w:r>
      <w:bookmarkEnd w:id="12"/>
    </w:p>
    <w:p w:rsidR="000A31A8" w:rsidRDefault="000A31A8">
      <w:pPr>
        <w:pStyle w:val="Textebrut"/>
        <w:spacing w:line="324" w:lineRule="auto"/>
        <w:ind w:right="-2" w:firstLine="709"/>
        <w:jc w:val="both"/>
        <w:rPr>
          <w:rFonts w:ascii="Calibri" w:hAnsi="Calibri" w:cs="Calibri"/>
          <w:sz w:val="25"/>
          <w:szCs w:val="25"/>
        </w:rPr>
      </w:pPr>
    </w:p>
    <w:p w:rsidR="000A31A8" w:rsidRDefault="0065345B">
      <w:pPr>
        <w:pStyle w:val="Textebrut"/>
        <w:spacing w:line="324" w:lineRule="auto"/>
        <w:ind w:right="-2"/>
        <w:jc w:val="both"/>
        <w:rPr>
          <w:rFonts w:ascii="Calibri" w:hAnsi="Calibri" w:cs="Calibri"/>
          <w:sz w:val="25"/>
          <w:szCs w:val="25"/>
        </w:rPr>
      </w:pPr>
      <w:r>
        <w:rPr>
          <w:rFonts w:ascii="Calibri" w:hAnsi="Calibri" w:cs="Calibri"/>
          <w:sz w:val="25"/>
          <w:szCs w:val="25"/>
        </w:rPr>
        <w:t>Avant la période moderne, le pouvoir n’a jamais été fondé sur le contrat social. Ce dernier est une invention des modernes. Chez les anciens, le pouvoir est fondé sur le lien de sang, les richesses et surtout sur la sagesse. Lorsqu’on parcourt l’œuvre de Platon, on se rend compte que la contemplation ne signifie nullement une vision mystique, mais un savoir, une science. En bon disciple de Socrate</w:t>
      </w:r>
      <w:r>
        <w:rPr>
          <w:rStyle w:val="Appelnotedebasdep"/>
          <w:rFonts w:ascii="Calibri" w:hAnsi="Calibri" w:cs="Calibri"/>
          <w:sz w:val="25"/>
          <w:szCs w:val="25"/>
        </w:rPr>
        <w:footnoteReference w:id="1"/>
      </w:r>
      <w:r>
        <w:rPr>
          <w:rFonts w:ascii="Calibri" w:hAnsi="Calibri" w:cs="Calibri"/>
          <w:sz w:val="25"/>
          <w:szCs w:val="25"/>
        </w:rPr>
        <w:t xml:space="preserve">, Platon trouve en la condamnation de son maître le degré le plus élevé de la corruption de la </w:t>
      </w:r>
      <w:r>
        <w:rPr>
          <w:rFonts w:ascii="Calibri" w:hAnsi="Calibri" w:cs="Calibri"/>
          <w:i/>
          <w:iCs/>
          <w:sz w:val="25"/>
          <w:szCs w:val="25"/>
        </w:rPr>
        <w:t>cité</w:t>
      </w:r>
      <w:r>
        <w:rPr>
          <w:rFonts w:ascii="Calibri" w:hAnsi="Calibri" w:cs="Calibri"/>
          <w:sz w:val="25"/>
          <w:szCs w:val="25"/>
        </w:rPr>
        <w:t xml:space="preserve"> grecque et la nécessité de présenter une cité idéale. La condamnation de son maître, l’influence néfaste des sophistes qui se préoccupent seulement du vraisemblable, sont une preuve de la distance qui sépare désormais la philosophie des citoyens Grecs. La mauvaise image de la philosophie véhiculée par les sophistes est à l’origine du mépris et de l’inutilité de la philosophie. Il y a donc nécessité de réconcilier le sage et la cité, en montrant notamment comment la philosophie est l’unique chemin qui conduit à la connaissance de la science politique. D’où le principe de gouvernement nommé « sophocratie » : le pouvoir de la sagesse, le pouvoir du sage. C’est la souveraineté et la domination de l’intelligence en politique. </w:t>
      </w:r>
    </w:p>
    <w:p w:rsidR="000A31A8" w:rsidRDefault="000A31A8">
      <w:pPr>
        <w:pStyle w:val="Textebrut"/>
        <w:spacing w:line="324" w:lineRule="auto"/>
        <w:ind w:right="-2"/>
        <w:jc w:val="both"/>
        <w:rPr>
          <w:rFonts w:ascii="Calibri" w:hAnsi="Calibri" w:cs="Calibri"/>
          <w:sz w:val="25"/>
          <w:szCs w:val="25"/>
        </w:rPr>
      </w:pPr>
    </w:p>
    <w:p w:rsidR="000A31A8" w:rsidRDefault="0065345B">
      <w:pPr>
        <w:pStyle w:val="Textebrut"/>
        <w:spacing w:line="324" w:lineRule="auto"/>
        <w:ind w:right="-2"/>
        <w:jc w:val="both"/>
        <w:rPr>
          <w:rFonts w:ascii="Calibri" w:hAnsi="Calibri" w:cs="Calibri"/>
          <w:sz w:val="25"/>
          <w:szCs w:val="25"/>
        </w:rPr>
      </w:pPr>
      <w:r>
        <w:rPr>
          <w:rFonts w:ascii="Calibri" w:hAnsi="Calibri" w:cs="Calibri"/>
          <w:sz w:val="25"/>
          <w:szCs w:val="25"/>
        </w:rPr>
        <w:t xml:space="preserve">Il est donc clair que l’on ne peut gouverner sans connaissance suffisante de la structure même de l’être. Or le philosophe, c’est le sage. Il est le seul capable d’ascension dialectique jusqu’à l’idée du bien. La connaissance des lois, de la </w:t>
      </w:r>
      <w:r>
        <w:rPr>
          <w:rFonts w:ascii="Calibri" w:hAnsi="Calibri" w:cs="Calibri"/>
          <w:i/>
          <w:iCs/>
          <w:sz w:val="25"/>
          <w:szCs w:val="25"/>
        </w:rPr>
        <w:t>physis</w:t>
      </w:r>
      <w:r>
        <w:rPr>
          <w:rFonts w:ascii="Calibri" w:hAnsi="Calibri" w:cs="Calibri"/>
          <w:sz w:val="25"/>
          <w:szCs w:val="25"/>
        </w:rPr>
        <w:t xml:space="preserve"> et de la morale donne au philosophe ou au sage le moyen et le pouvoir de transcender l’égoïsme. Quant à la cité, elle est composée de trois classes : les producteurs dont la qualité principale de l’âme est l’appétit ; les guerriers, dont l’âme est caractérisée par l’énergie et les philosophes qui sont les meilleurs gardiens de la cité puisque leur âme se réfère à la raison.</w:t>
      </w:r>
    </w:p>
    <w:p w:rsidR="000A31A8" w:rsidRDefault="000A31A8">
      <w:pPr>
        <w:pStyle w:val="Textebrut"/>
        <w:spacing w:line="324" w:lineRule="auto"/>
        <w:ind w:right="-2"/>
        <w:jc w:val="both"/>
        <w:rPr>
          <w:rFonts w:ascii="Calibri" w:hAnsi="Calibri" w:cs="Calibri"/>
          <w:sz w:val="25"/>
          <w:szCs w:val="25"/>
        </w:rPr>
      </w:pPr>
    </w:p>
    <w:p w:rsidR="000A31A8" w:rsidRDefault="0065345B">
      <w:pPr>
        <w:pStyle w:val="Textebrut"/>
        <w:spacing w:line="324" w:lineRule="auto"/>
        <w:ind w:right="-2"/>
        <w:jc w:val="both"/>
        <w:rPr>
          <w:rFonts w:ascii="Calibri" w:hAnsi="Calibri" w:cs="Calibri"/>
          <w:sz w:val="25"/>
          <w:szCs w:val="25"/>
        </w:rPr>
      </w:pPr>
      <w:r>
        <w:rPr>
          <w:rFonts w:ascii="Calibri" w:hAnsi="Calibri" w:cs="Calibri"/>
          <w:sz w:val="25"/>
          <w:szCs w:val="25"/>
        </w:rPr>
        <w:t>Avec Aristote,</w:t>
      </w:r>
      <w:r>
        <w:rPr>
          <w:rFonts w:ascii="Calibri" w:hAnsi="Calibri" w:cs="Calibri"/>
          <w:b/>
          <w:bCs/>
          <w:sz w:val="25"/>
          <w:szCs w:val="25"/>
        </w:rPr>
        <w:t xml:space="preserve"> </w:t>
      </w:r>
      <w:r>
        <w:rPr>
          <w:rFonts w:ascii="Calibri" w:hAnsi="Calibri" w:cs="Calibri"/>
          <w:sz w:val="25"/>
          <w:szCs w:val="25"/>
        </w:rPr>
        <w:t>les fondements de la vie politique changent</w:t>
      </w:r>
      <w:r>
        <w:rPr>
          <w:rFonts w:ascii="Calibri" w:hAnsi="Calibri" w:cs="Calibri"/>
          <w:b/>
          <w:bCs/>
          <w:sz w:val="25"/>
          <w:szCs w:val="25"/>
        </w:rPr>
        <w:t xml:space="preserve">. </w:t>
      </w:r>
      <w:r>
        <w:rPr>
          <w:rFonts w:ascii="Calibri" w:hAnsi="Calibri" w:cs="Calibri"/>
          <w:sz w:val="25"/>
          <w:szCs w:val="25"/>
        </w:rPr>
        <w:t xml:space="preserve">Le </w:t>
      </w:r>
      <w:r>
        <w:rPr>
          <w:rFonts w:ascii="Calibri" w:hAnsi="Calibri" w:cs="Calibri"/>
          <w:i/>
          <w:iCs/>
          <w:sz w:val="25"/>
          <w:szCs w:val="25"/>
        </w:rPr>
        <w:t>sophos</w:t>
      </w:r>
      <w:r>
        <w:rPr>
          <w:rFonts w:ascii="Calibri" w:hAnsi="Calibri" w:cs="Calibri"/>
          <w:sz w:val="25"/>
          <w:szCs w:val="25"/>
        </w:rPr>
        <w:t xml:space="preserve"> contemplatif cède la place au </w:t>
      </w:r>
      <w:r>
        <w:rPr>
          <w:rFonts w:ascii="Calibri" w:hAnsi="Calibri" w:cs="Calibri"/>
          <w:i/>
          <w:iCs/>
          <w:sz w:val="25"/>
          <w:szCs w:val="25"/>
        </w:rPr>
        <w:t>sophos</w:t>
      </w:r>
      <w:r>
        <w:rPr>
          <w:rFonts w:ascii="Calibri" w:hAnsi="Calibri" w:cs="Calibri"/>
          <w:sz w:val="25"/>
          <w:szCs w:val="25"/>
        </w:rPr>
        <w:t xml:space="preserve"> pratique. L’auteur de </w:t>
      </w:r>
      <w:r>
        <w:rPr>
          <w:rFonts w:ascii="Calibri" w:hAnsi="Calibri" w:cs="Calibri"/>
          <w:i/>
          <w:iCs/>
          <w:sz w:val="25"/>
          <w:szCs w:val="25"/>
        </w:rPr>
        <w:t>La politique</w:t>
      </w:r>
      <w:r>
        <w:rPr>
          <w:rFonts w:ascii="Calibri" w:hAnsi="Calibri" w:cs="Calibri"/>
          <w:sz w:val="25"/>
          <w:szCs w:val="25"/>
        </w:rPr>
        <w:t xml:space="preserve"> démontre que la contemplation n’est pas l’unique voie pouvant conduire à la vertu et au bonheur. Il </w:t>
      </w:r>
      <w:r>
        <w:rPr>
          <w:rFonts w:ascii="Calibri" w:hAnsi="Calibri" w:cs="Calibri"/>
          <w:sz w:val="25"/>
          <w:szCs w:val="25"/>
        </w:rPr>
        <w:lastRenderedPageBreak/>
        <w:t xml:space="preserve">faut prendre en compte la fin propre à chaque individu puisque les solutions des problèmes de la vie et de la cité ne peuvent venir des essences. C’est en ce sens que l’une des préoccupations majeures de </w:t>
      </w:r>
      <w:r>
        <w:rPr>
          <w:rFonts w:ascii="Calibri" w:hAnsi="Calibri" w:cs="Calibri"/>
          <w:i/>
          <w:iCs/>
          <w:sz w:val="25"/>
          <w:szCs w:val="25"/>
        </w:rPr>
        <w:t>L’éthique à Nicomaque</w:t>
      </w:r>
      <w:r>
        <w:rPr>
          <w:rFonts w:ascii="Calibri" w:hAnsi="Calibri" w:cs="Calibri"/>
          <w:sz w:val="25"/>
          <w:szCs w:val="25"/>
        </w:rPr>
        <w:t xml:space="preserve"> est celle de présenter la politique comme science des fins les plus élevées. C’est ici que </w:t>
      </w:r>
      <w:r>
        <w:rPr>
          <w:rFonts w:ascii="Calibri" w:hAnsi="Calibri" w:cs="Calibri"/>
          <w:i/>
          <w:iCs/>
          <w:sz w:val="25"/>
          <w:szCs w:val="25"/>
        </w:rPr>
        <w:t>L’éthique à Nicomaque</w:t>
      </w:r>
      <w:r>
        <w:rPr>
          <w:rFonts w:ascii="Calibri" w:hAnsi="Calibri" w:cs="Calibri"/>
          <w:sz w:val="25"/>
          <w:szCs w:val="25"/>
        </w:rPr>
        <w:t xml:space="preserve"> rejoint </w:t>
      </w:r>
      <w:r>
        <w:rPr>
          <w:rFonts w:ascii="Calibri" w:hAnsi="Calibri" w:cs="Calibri"/>
          <w:i/>
          <w:iCs/>
          <w:sz w:val="25"/>
          <w:szCs w:val="25"/>
        </w:rPr>
        <w:t xml:space="preserve">La politique </w:t>
      </w:r>
      <w:r>
        <w:rPr>
          <w:rFonts w:ascii="Calibri" w:hAnsi="Calibri" w:cs="Calibri"/>
          <w:sz w:val="25"/>
          <w:szCs w:val="25"/>
        </w:rPr>
        <w:t xml:space="preserve">dans son idée de l’homme comme </w:t>
      </w:r>
      <w:r>
        <w:rPr>
          <w:rFonts w:ascii="Calibri" w:hAnsi="Calibri" w:cs="Calibri"/>
          <w:i/>
          <w:iCs/>
          <w:sz w:val="25"/>
          <w:szCs w:val="25"/>
        </w:rPr>
        <w:t xml:space="preserve">zoon politikon. </w:t>
      </w:r>
      <w:r>
        <w:rPr>
          <w:rFonts w:ascii="Calibri" w:hAnsi="Calibri" w:cs="Calibri"/>
          <w:sz w:val="25"/>
          <w:szCs w:val="25"/>
        </w:rPr>
        <w:t>Le réalisme aristotélicien exige qu’on détermine les fins en recourant à l’expérience, en consultant le sage politique. D’où son intérêt pour l’étude des faits, pour l’étude comparative des régimes existants en vue d’en sélectionner le meilleur</w:t>
      </w:r>
      <w:r>
        <w:rPr>
          <w:rStyle w:val="Appelnotedebasdep"/>
          <w:rFonts w:ascii="Calibri" w:hAnsi="Calibri" w:cs="Calibri"/>
          <w:sz w:val="25"/>
          <w:szCs w:val="25"/>
        </w:rPr>
        <w:footnoteReference w:id="2"/>
      </w:r>
      <w:r>
        <w:rPr>
          <w:rFonts w:ascii="Calibri" w:hAnsi="Calibri" w:cs="Calibri"/>
          <w:sz w:val="25"/>
          <w:szCs w:val="25"/>
        </w:rPr>
        <w:t>. C’est donc à juste titre que le maître de l’Académie est considéré comme le père de la sociologie politique.</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Ce sont les modernes qui inventent la théorie  du contrat social. Celle –ci se caractérise par la supposition d’un état antérieur à la société civile. La philosophie  politique a accordé une large attention à l’examen des théories de contrat social développées aux XVIIe et XVIIIe siècles par Locke, Hobbes, Rousseau et Kant. L’une des œuvres contemporaines importantes du contractualisme est la </w:t>
      </w:r>
      <w:r>
        <w:rPr>
          <w:rFonts w:ascii="Calibri" w:eastAsia="Batang" w:hAnsi="Calibri" w:cs="Calibri"/>
          <w:i/>
          <w:iCs/>
          <w:sz w:val="25"/>
          <w:szCs w:val="25"/>
          <w:lang w:val="fr-BE"/>
        </w:rPr>
        <w:t>Théorie de la justice</w:t>
      </w:r>
      <w:r>
        <w:rPr>
          <w:rFonts w:ascii="Calibri" w:eastAsia="Batang" w:hAnsi="Calibri" w:cs="Calibri"/>
          <w:sz w:val="25"/>
          <w:szCs w:val="25"/>
          <w:lang w:val="fr-BE"/>
        </w:rPr>
        <w:t xml:space="preserve"> de Rawls (1971). En tout cas, les théories du contrat social restent attachées aux figures philosophiques comme celles de Locke, Hobbes, Rousseau, Spinoza. Ce sont ces derniers qui ont élaboré une réflexion profonde sur la naissance et la vie du corps social et politique.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Mais c’est Hugues Cornet dit Grotius qui aborde pour la première fois dans l’histoire de la philosophie politique la définition et la théorisation du contrat social. L’avènement des théories du contrat coïncide avec l’incapacité des théories du pouvoir divin à répondre au scepticisme des questions qui se sont trouvées sans réponse. Même si le contrat social reste un événement hypothétique et  empiriquement invérifiable, il donne une nouvelle alternative aux questions demeurées insolubles : pourquoi la société ? Pourquoi vivre avec des hommes avec qui l’on n’a pas nécessairement voulu vivre ?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lastRenderedPageBreak/>
        <w:t>Face à ce type de questions, les philosophes ont créé un cadre théorique par la recherche des hypothèses de la création. C’est ainsi que Rousseau par exemple va élaborer un modèle pour répondre à la question du fondement de l’Etat : comment les hommes libres, égaux et indépendants par leur nature se soumettent-ils à une autorité tout en conservant leurs droits individuels ? C’est de la réponse à cette question que l’on verra naître l’idée de souveraineté du peuple, souveraineté inaliénable, indivisible, infaillible, absolue, etc.</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Pour revenir à Hobbes, bien connu pour ses deux formules qui résument la situation des hommes avant l’institution du souverain : « La guerre de tous contre tous » et « l’homme est un loup pour l’homme » Lucien Jaume fait remarquer, avec perspicacité, que la seconde formule (qui n’est pas dans le </w:t>
      </w:r>
      <w:r>
        <w:rPr>
          <w:rFonts w:ascii="Calibri" w:eastAsia="Batang" w:hAnsi="Calibri" w:cs="Calibri"/>
          <w:i/>
          <w:iCs/>
          <w:sz w:val="25"/>
          <w:szCs w:val="25"/>
          <w:lang w:val="fr-BE"/>
        </w:rPr>
        <w:t>Léviathan</w:t>
      </w:r>
      <w:r>
        <w:rPr>
          <w:rFonts w:ascii="Calibri" w:eastAsia="Batang" w:hAnsi="Calibri" w:cs="Calibri"/>
          <w:sz w:val="25"/>
          <w:szCs w:val="25"/>
          <w:lang w:val="fr-BE"/>
        </w:rPr>
        <w:t xml:space="preserve">, mais dans le </w:t>
      </w:r>
      <w:r>
        <w:rPr>
          <w:rFonts w:ascii="Calibri" w:eastAsia="Batang" w:hAnsi="Calibri" w:cs="Calibri"/>
          <w:i/>
          <w:iCs/>
          <w:sz w:val="25"/>
          <w:szCs w:val="25"/>
          <w:lang w:val="fr-BE"/>
        </w:rPr>
        <w:t>De cive)</w:t>
      </w:r>
      <w:r>
        <w:rPr>
          <w:rFonts w:ascii="Calibri" w:eastAsia="Batang" w:hAnsi="Calibri" w:cs="Calibri"/>
          <w:sz w:val="25"/>
          <w:szCs w:val="25"/>
          <w:lang w:val="fr-BE"/>
        </w:rPr>
        <w:t>, se trouvait accompagnée d’une autre moins souvent citée : « l’homme est un dieu pour l’homme »</w:t>
      </w:r>
      <w:r>
        <w:rPr>
          <w:rStyle w:val="Appelnotedebasdep"/>
          <w:rFonts w:ascii="Calibri" w:eastAsia="Batang" w:hAnsi="Calibri" w:cs="Calibri"/>
          <w:sz w:val="25"/>
          <w:szCs w:val="25"/>
          <w:lang w:val="fr-BE"/>
        </w:rPr>
        <w:footnoteReference w:id="3"/>
      </w:r>
      <w:r>
        <w:rPr>
          <w:rFonts w:ascii="Calibri" w:eastAsia="Batang" w:hAnsi="Calibri" w:cs="Calibri"/>
          <w:sz w:val="25"/>
          <w:szCs w:val="25"/>
          <w:lang w:val="fr-BE"/>
        </w:rPr>
        <w:t xml:space="preserve">. Ces deux formules trahissent le caractère de l’individualisme illimité de la pensée hobbesienne, lequel individualisme résulte des fondements anthropologiques des premiers chapitres de </w:t>
      </w:r>
      <w:r>
        <w:rPr>
          <w:rFonts w:ascii="Calibri" w:eastAsia="Batang" w:hAnsi="Calibri" w:cs="Calibri"/>
          <w:i/>
          <w:iCs/>
          <w:sz w:val="25"/>
          <w:szCs w:val="25"/>
          <w:lang w:val="fr-BE"/>
        </w:rPr>
        <w:t>Léviathan</w:t>
      </w:r>
      <w:r>
        <w:rPr>
          <w:rFonts w:ascii="Calibri" w:eastAsia="Batang" w:hAnsi="Calibri" w:cs="Calibri"/>
          <w:sz w:val="25"/>
          <w:szCs w:val="25"/>
          <w:lang w:val="fr-BE"/>
        </w:rPr>
        <w:t xml:space="preserve"> et de </w:t>
      </w:r>
      <w:r>
        <w:rPr>
          <w:rFonts w:ascii="Calibri" w:eastAsia="Batang" w:hAnsi="Calibri" w:cs="Calibri"/>
          <w:i/>
          <w:iCs/>
          <w:sz w:val="25"/>
          <w:szCs w:val="25"/>
          <w:lang w:val="fr-BE"/>
        </w:rPr>
        <w:t>De cive</w:t>
      </w:r>
      <w:r>
        <w:rPr>
          <w:rStyle w:val="Appelnotedebasdep"/>
          <w:rFonts w:ascii="Calibri" w:eastAsia="Batang" w:hAnsi="Calibri" w:cs="Calibri"/>
          <w:i/>
          <w:iCs/>
          <w:sz w:val="25"/>
          <w:szCs w:val="25"/>
          <w:lang w:val="fr-BE"/>
        </w:rPr>
        <w:footnoteReference w:id="4"/>
      </w:r>
      <w:r>
        <w:rPr>
          <w:rFonts w:ascii="Calibri" w:eastAsia="Batang" w:hAnsi="Calibri" w:cs="Calibri"/>
          <w:sz w:val="25"/>
          <w:szCs w:val="25"/>
          <w:lang w:val="fr-BE"/>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En effet, après avoir défini l'homme comme être de désir, Hobbes s'en va stigmatiser la conséquence de cette considération. La relativisation des notions du Bien et du Mal donne lieu à un état dans lequel chaque homme est inquiet et redoute les intentions de chaque autre homme, pour autant que chacun se trouve être le prédateur de l'autre. C'est l'état de nature où l'homme est un loup pour l'homme, </w:t>
      </w:r>
      <w:r>
        <w:rPr>
          <w:rFonts w:ascii="Calibri" w:eastAsia="Batang" w:hAnsi="Calibri" w:cs="Calibri"/>
          <w:i/>
          <w:iCs/>
          <w:sz w:val="25"/>
          <w:szCs w:val="25"/>
          <w:lang w:val="fr-BE"/>
        </w:rPr>
        <w:t>homo homini lupus</w:t>
      </w:r>
      <w:r>
        <w:rPr>
          <w:rFonts w:ascii="Calibri" w:eastAsia="Batang" w:hAnsi="Calibri" w:cs="Calibri"/>
          <w:sz w:val="25"/>
          <w:szCs w:val="25"/>
          <w:lang w:val="fr-BE"/>
        </w:rPr>
        <w:t>. Ce qui caractérise l'état de  nature, c'est l'incertitude qui ronge de l'intérieur les relations inter humaines et conduit à la recherche de supériorité, à la rivalité et à la défiance. C'est l'état où les hommes sombrent dans des relations d'inimitié que Hobbes appelle "état de guerre". Dialectiquement, c'est aussi l'état dans lequel on sent la nécessité d'un pouvoir fort et capable d'établir des principes de paix.</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Pour Hobbes, toutes les actions de l'homme obéissent à deux mobiles issus de l'instinct élémentaire de conservation : Amour et recherche de plaisir, crainte et fuite de douleur. A la source de toutes nos valeurs il y a ce que Hobbes appelle </w:t>
      </w:r>
      <w:r>
        <w:rPr>
          <w:rFonts w:ascii="Calibri" w:eastAsia="Batang" w:hAnsi="Calibri" w:cs="Calibri"/>
          <w:i/>
          <w:iCs/>
          <w:sz w:val="25"/>
          <w:szCs w:val="25"/>
          <w:lang w:val="fr-BE"/>
        </w:rPr>
        <w:t>endavour</w:t>
      </w:r>
      <w:r>
        <w:rPr>
          <w:rFonts w:ascii="Calibri" w:eastAsia="Batang" w:hAnsi="Calibri" w:cs="Calibri"/>
          <w:sz w:val="25"/>
          <w:szCs w:val="25"/>
          <w:lang w:val="fr-BE"/>
        </w:rPr>
        <w:t xml:space="preserve">, en latin </w:t>
      </w:r>
      <w:r>
        <w:rPr>
          <w:rFonts w:ascii="Calibri" w:eastAsia="Batang" w:hAnsi="Calibri" w:cs="Calibri"/>
          <w:i/>
          <w:iCs/>
          <w:sz w:val="25"/>
          <w:szCs w:val="25"/>
          <w:lang w:val="fr-BE"/>
        </w:rPr>
        <w:t>conatus</w:t>
      </w:r>
      <w:r>
        <w:rPr>
          <w:rFonts w:ascii="Calibri" w:eastAsia="Batang" w:hAnsi="Calibri" w:cs="Calibri"/>
          <w:sz w:val="25"/>
          <w:szCs w:val="25"/>
          <w:lang w:val="fr-BE"/>
        </w:rPr>
        <w:t xml:space="preserve">, c'est-à-dire l'instinct de conservation ou plus exactement </w:t>
      </w:r>
      <w:r>
        <w:rPr>
          <w:rFonts w:ascii="Calibri" w:eastAsia="Batang" w:hAnsi="Calibri" w:cs="Calibri"/>
          <w:sz w:val="25"/>
          <w:szCs w:val="25"/>
          <w:lang w:val="fr-BE"/>
        </w:rPr>
        <w:lastRenderedPageBreak/>
        <w:t>d'affirmation et d'accroissement de soi-même, l'effort propre à tous les êtres pour joindre ce qui leur plaît ou fuir ce qui leur déplaît</w:t>
      </w:r>
      <w:r>
        <w:rPr>
          <w:rStyle w:val="Appelnotedebasdep"/>
          <w:rFonts w:ascii="Calibri" w:eastAsia="Batang" w:hAnsi="Calibri" w:cs="Calibri"/>
          <w:sz w:val="25"/>
          <w:szCs w:val="25"/>
          <w:lang w:val="fr-BE"/>
        </w:rPr>
        <w:footnoteReference w:id="5"/>
      </w:r>
      <w:r>
        <w:rPr>
          <w:rFonts w:ascii="Calibri" w:eastAsia="Batang" w:hAnsi="Calibri" w:cs="Calibri"/>
          <w:sz w:val="25"/>
          <w:szCs w:val="25"/>
          <w:lang w:val="fr-BE"/>
        </w:rPr>
        <w:t>. Tous les sentiments humains se ramènent donc à des sentiments égoïstes dont l'intérêt personnel est le seul principe et le seul guide. Nous pouvons comprendre qu'entre de tels êtres, dont chacun est un tout à lui-même, la société ne saurait donc être un fait naturel. Avant que l'on puisse se servir des mots justes ou injustes, il faut qu'il y ait un pouvoir contraignant d'abord pour forcer les hommes à exécuter leurs pactes par la crainte d'une punition plus grande que le bénéfice qu'ils pourraient espérer en les violant ; ensuite, pour leur garantir la propriété de ce qu'ils acquièrent par contrat mutuel en lieu et place du droit universel qu'ils perdent. Et un tel pouvoir contraignant, il n'y en a pas avant l'institution de l'Etat. Donc tant qu'il n'y en a pas il n'y aura rien qui soit injuste</w:t>
      </w:r>
      <w:r>
        <w:rPr>
          <w:rStyle w:val="Appelnotedebasdep"/>
          <w:rFonts w:ascii="Calibri" w:eastAsia="Batang" w:hAnsi="Calibri" w:cs="Calibri"/>
          <w:sz w:val="25"/>
          <w:szCs w:val="25"/>
          <w:lang w:val="fr-BE"/>
        </w:rPr>
        <w:footnoteReference w:id="6"/>
      </w:r>
      <w:r>
        <w:rPr>
          <w:rFonts w:ascii="Calibri" w:eastAsia="Batang" w:hAnsi="Calibri" w:cs="Calibri"/>
          <w:sz w:val="25"/>
          <w:szCs w:val="25"/>
          <w:lang w:val="fr-BE"/>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Le pacte ou la promesse d'observer le contrat a donc pour seul motif notre propre conservation</w:t>
      </w:r>
      <w:r>
        <w:rPr>
          <w:rStyle w:val="Appelnotedebasdep"/>
          <w:rFonts w:ascii="Calibri" w:eastAsia="Batang" w:hAnsi="Calibri" w:cs="Calibri"/>
          <w:sz w:val="25"/>
          <w:szCs w:val="25"/>
          <w:lang w:val="fr-BE"/>
        </w:rPr>
        <w:footnoteReference w:id="7"/>
      </w:r>
      <w:r>
        <w:rPr>
          <w:rFonts w:ascii="Calibri" w:eastAsia="Batang" w:hAnsi="Calibri" w:cs="Calibri"/>
          <w:sz w:val="25"/>
          <w:szCs w:val="25"/>
          <w:lang w:val="fr-BE"/>
        </w:rPr>
        <w:t>. Dans l'état de nature les hommes n'ont aucun motif de respecter les pactes qui sont pourtant la garantie de la paix. Le seul motif qui pourrait les y conduire c'est la crainte des conséquences qui résulteraient pour eux de la violation de ces pactes. Il faut donc faire naître en eux une crainte assez forte pour équilibrer l'intérêt qu'ils croient avoir à user des droits que leur donne la nature sur toutes choses</w:t>
      </w:r>
      <w:r>
        <w:rPr>
          <w:rStyle w:val="Appelnotedebasdep"/>
          <w:rFonts w:ascii="Calibri" w:eastAsia="Batang" w:hAnsi="Calibri" w:cs="Calibri"/>
          <w:sz w:val="25"/>
          <w:szCs w:val="25"/>
          <w:lang w:val="fr-BE"/>
        </w:rPr>
        <w:footnoteReference w:id="8"/>
      </w:r>
      <w:r>
        <w:rPr>
          <w:rFonts w:ascii="Calibri" w:eastAsia="Batang" w:hAnsi="Calibri" w:cs="Calibri"/>
          <w:sz w:val="25"/>
          <w:szCs w:val="25"/>
          <w:lang w:val="fr-BE"/>
        </w:rPr>
        <w:t xml:space="preserve">. </w:t>
      </w:r>
      <w:r>
        <w:rPr>
          <w:rFonts w:ascii="Calibri" w:eastAsia="Batang" w:hAnsi="Calibri" w:cs="Calibri"/>
          <w:sz w:val="25"/>
          <w:szCs w:val="25"/>
        </w:rPr>
        <w:t>On ne peut pas parler de  l'absoluité de la liberté sans évoquer  un rapprochement de Hobbes avec John Locke et Jean-Jacques Rousseau.</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Les remarques de Locke tournent spécialement autour des notions de liberté et de l'état de nature. Pour Locke, la liberté naturelle de l'homme consiste à ne reconnaître aucun pouvoir souverain sur la terre, et de n'être point assujetti à la volonté ou à l'autorité législative de qui que ce soit, mais de suivre seulement les lois de la nature. La liberté, dans la société civile, consiste à n'être soumis à aucun pouvoir législatif, qu'à celui qui a été établi par le consentement de la communauté, ni à aucun autre empire qu'à celui qu'on reconnaît, ou à d'autres lois qu'à celles que ce même pouvoir législatif peut faire, conformément au droit qui lui a été communiqué</w:t>
      </w:r>
      <w:r>
        <w:rPr>
          <w:rStyle w:val="Appelnotedebasdep"/>
          <w:rFonts w:ascii="Calibri" w:eastAsia="Batang" w:hAnsi="Calibri" w:cs="Calibri"/>
          <w:sz w:val="25"/>
          <w:szCs w:val="25"/>
          <w:lang w:val="fr-BE"/>
        </w:rPr>
        <w:footnoteReference w:id="9"/>
      </w:r>
      <w:r>
        <w:rPr>
          <w:rFonts w:ascii="Calibri" w:eastAsia="Batang" w:hAnsi="Calibri" w:cs="Calibri"/>
          <w:sz w:val="25"/>
          <w:szCs w:val="25"/>
          <w:lang w:val="fr-BE"/>
        </w:rPr>
        <w:t>.</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lastRenderedPageBreak/>
        <w:t>La liberté n'est donc point une liberté par laquelle chacun fait ce qu'il veut, vit comme cela lui plaît, et n'est lié à aucune loi comme l'affirme Hobbes. La liberté de la nature consiste tout simplement à n'être soumise à aucune  loi, sauf celle de la nature. Dans les</w:t>
      </w:r>
      <w:r>
        <w:rPr>
          <w:rFonts w:ascii="Calibri" w:eastAsia="Batang" w:hAnsi="Calibri" w:cs="Calibri"/>
          <w:i/>
          <w:iCs/>
          <w:sz w:val="25"/>
          <w:szCs w:val="25"/>
          <w:lang w:val="fr-BE"/>
        </w:rPr>
        <w:t xml:space="preserve"> Quatre lettres à Philippe de Limborch, </w:t>
      </w:r>
      <w:r>
        <w:rPr>
          <w:rFonts w:ascii="Calibri" w:eastAsia="Batang" w:hAnsi="Calibri" w:cs="Calibri"/>
          <w:sz w:val="25"/>
          <w:szCs w:val="25"/>
          <w:lang w:val="fr-BE"/>
        </w:rPr>
        <w:t>Locke précise que la liberté consiste uniquement en la puissance d’agir ou de ne pas agir selon que nous le voulons : « Un homme aime le vin,  dit Locke, il juge que le vin est un bien pour lui et, de sa propre volonté, il boit ; il n’y a là aucune indifférence, et cependant, cette action, est absolument libre, puisqu’il lui suffirait de changer sa volonté pour s’en abstenir »</w:t>
      </w:r>
      <w:r>
        <w:rPr>
          <w:rStyle w:val="Appelnotedebasdep"/>
          <w:rFonts w:ascii="Calibri" w:eastAsia="Batang" w:hAnsi="Calibri" w:cs="Calibri"/>
          <w:sz w:val="25"/>
          <w:szCs w:val="25"/>
          <w:lang w:val="fr-BE"/>
        </w:rPr>
        <w:footnoteReference w:id="10"/>
      </w:r>
      <w:r>
        <w:rPr>
          <w:rFonts w:ascii="Calibri" w:eastAsia="Batang" w:hAnsi="Calibri" w:cs="Calibri"/>
          <w:sz w:val="25"/>
          <w:szCs w:val="25"/>
          <w:lang w:val="fr-BE"/>
        </w:rPr>
        <w:t>. Locke établit également un rapport étroit entre la loi et la liberté. Il analyse ces deux concepts relativement aux conditions qui sont celles, d’une part, de l’état dit de nature, d’autre part, de la société civile</w:t>
      </w:r>
      <w:r>
        <w:rPr>
          <w:rStyle w:val="Appelnotedebasdep"/>
          <w:rFonts w:ascii="Calibri" w:eastAsia="Batang" w:hAnsi="Calibri" w:cs="Calibri"/>
          <w:sz w:val="25"/>
          <w:szCs w:val="25"/>
          <w:lang w:val="fr-BE"/>
        </w:rPr>
        <w:footnoteReference w:id="11"/>
      </w:r>
      <w:r>
        <w:rPr>
          <w:rFonts w:ascii="Calibri" w:eastAsia="Batang" w:hAnsi="Calibri" w:cs="Calibri"/>
          <w:sz w:val="25"/>
          <w:szCs w:val="25"/>
          <w:lang w:val="fr-BE"/>
        </w:rPr>
        <w:t>. L’argument principal de Locke est que ce qui est constitutif aussi bien de la loi que de la liberté, c’est l’absence de tout pouvoir arbitraire (qu’il soit exercé par moi-même ou par les autres, par le souverain ou par les sujets)</w:t>
      </w:r>
      <w:r>
        <w:rPr>
          <w:rStyle w:val="Appelnotedebasdep"/>
          <w:rFonts w:ascii="Calibri" w:eastAsia="Batang" w:hAnsi="Calibri" w:cs="Calibri"/>
          <w:sz w:val="25"/>
          <w:szCs w:val="25"/>
          <w:lang w:val="fr-BE"/>
        </w:rPr>
        <w:footnoteReference w:id="12"/>
      </w:r>
      <w:r>
        <w:rPr>
          <w:rFonts w:ascii="Calibri" w:eastAsia="Batang" w:hAnsi="Calibri" w:cs="Calibri"/>
          <w:sz w:val="25"/>
          <w:szCs w:val="25"/>
          <w:lang w:val="fr-BE"/>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Le pouvoir arbitraire apparaît, en conséquence, comme illégitime dans les contextes politique ou non politique. Ce, dans la mesure où l’homme, dans l’état de nature, ne peut ni renoncer à la liberté, ni la transférer à qui que ce soit ; et il n’a pas non plus, dans l’état de nature toujours, le droit absolu et arbitraire d’agir contre la loi naturelle, c’est-à-dire de détruire ou de vendre sa propre vie,  de prendre à tout homme sa vie, sa liberté ou sa propriété</w:t>
      </w:r>
      <w:r>
        <w:rPr>
          <w:rStyle w:val="Appelnotedebasdep"/>
          <w:rFonts w:ascii="Calibri" w:eastAsia="Batang" w:hAnsi="Calibri" w:cs="Calibri"/>
          <w:sz w:val="25"/>
          <w:szCs w:val="25"/>
          <w:lang w:val="fr-BE"/>
        </w:rPr>
        <w:footnoteReference w:id="13"/>
      </w:r>
      <w:r>
        <w:rPr>
          <w:rFonts w:ascii="Calibri" w:eastAsia="Batang" w:hAnsi="Calibri" w:cs="Calibri"/>
          <w:sz w:val="25"/>
          <w:szCs w:val="25"/>
          <w:lang w:val="fr-BE"/>
        </w:rPr>
        <w:t xml:space="preserve">. </w:t>
      </w:r>
      <w:r>
        <w:rPr>
          <w:rFonts w:ascii="Calibri" w:eastAsia="Batang" w:hAnsi="Calibri" w:cs="Calibri"/>
          <w:sz w:val="25"/>
          <w:szCs w:val="25"/>
        </w:rPr>
        <w:t>Il se dégage de ce qui précède que la liberté se définit tout simplement comme le droit de ne subir ni contrainte ni intervention de l’extérieur. La liberté est l’absence de contrainte qui viendrait de l’intervention délibérée, organisée et légale des hommes.</w:t>
      </w:r>
      <w:r>
        <w:rPr>
          <w:rFonts w:ascii="Calibri" w:eastAsia="Batang" w:hAnsi="Calibri" w:cs="Calibri"/>
          <w:sz w:val="25"/>
          <w:szCs w:val="25"/>
          <w:lang w:val="fr-BE"/>
        </w:rPr>
        <w:t xml:space="preserve"> Il s’ensuit aussi que  l’obéissance à la loi de la nature (manifestation, selon Locke, de la volonté de Dieu) est une condition suffisante de la liberté et de la conservation de l’homme en tant qu’elles sont par lui définies comme « propriété»</w:t>
      </w:r>
      <w:r>
        <w:rPr>
          <w:rStyle w:val="Appelnotedebasdep"/>
          <w:rFonts w:ascii="Calibri" w:eastAsia="Batang" w:hAnsi="Calibri" w:cs="Calibri"/>
          <w:sz w:val="25"/>
          <w:szCs w:val="25"/>
          <w:lang w:val="fr-BE"/>
        </w:rPr>
        <w:footnoteReference w:id="14"/>
      </w:r>
      <w:r>
        <w:rPr>
          <w:rFonts w:ascii="Calibri" w:eastAsia="Batang" w:hAnsi="Calibri" w:cs="Calibri"/>
          <w:sz w:val="25"/>
          <w:szCs w:val="25"/>
          <w:lang w:val="fr-BE"/>
        </w:rPr>
        <w:t>. Et Locke considère cette obéissance à la loi comme condition suffisante et nécessaire de la liberté et de la conservation des hommes</w:t>
      </w:r>
      <w:r>
        <w:rPr>
          <w:rStyle w:val="Appelnotedebasdep"/>
          <w:rFonts w:ascii="Calibri" w:eastAsia="Batang" w:hAnsi="Calibri" w:cs="Calibri"/>
          <w:sz w:val="25"/>
          <w:szCs w:val="25"/>
          <w:lang w:val="fr-BE"/>
        </w:rPr>
        <w:footnoteReference w:id="15"/>
      </w:r>
      <w:r>
        <w:rPr>
          <w:rFonts w:ascii="Calibri" w:eastAsia="Batang" w:hAnsi="Calibri" w:cs="Calibri"/>
          <w:sz w:val="25"/>
          <w:szCs w:val="25"/>
          <w:lang w:val="fr-BE"/>
        </w:rPr>
        <w:t>.</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lastRenderedPageBreak/>
        <w:t>Quant à l'état de nature, Locke le comprend comme Hobbes en tant qu'un état de parfaite liberté. A l'idée de Hobbes selon laquelle l'état de nature est l'état dans lequel, sans demander de permission à personne, les hommes peuvent faire ce qui leur plaît, Locke ajoute : « pourvu qu'ils se tiennent dans les bornes de la loi de la nature »</w:t>
      </w:r>
      <w:r>
        <w:rPr>
          <w:rStyle w:val="Appelnotedebasdep"/>
          <w:rFonts w:ascii="Calibri" w:eastAsia="Batang" w:hAnsi="Calibri" w:cs="Calibri"/>
          <w:sz w:val="25"/>
          <w:szCs w:val="25"/>
          <w:lang w:val="fr-BE"/>
        </w:rPr>
        <w:footnoteReference w:id="16"/>
      </w:r>
      <w:r>
        <w:rPr>
          <w:rFonts w:ascii="Calibri" w:eastAsia="Batang" w:hAnsi="Calibri" w:cs="Calibri"/>
          <w:sz w:val="25"/>
          <w:szCs w:val="25"/>
          <w:lang w:val="fr-BE"/>
        </w:rPr>
        <w:t xml:space="preserve">. </w:t>
      </w:r>
      <w:r>
        <w:rPr>
          <w:rFonts w:ascii="Calibri" w:eastAsia="Batang" w:hAnsi="Calibri" w:cs="Calibri"/>
          <w:sz w:val="25"/>
          <w:szCs w:val="25"/>
        </w:rPr>
        <w:t>Pour Locke, l'état de nature est cet état d'égalité où tout pouvoir et toute juridiction sont réciproques dans la mesure où un homme n'en a pas plus qu'un autre. C'est de cette égalité que Locke veut faire le fondement de l'obligation qu'ont les hommes de s'aimer mutuellement. C'est sur ce principe d'égalité qu'il fonde tous les devoirs de charité et de justice, lesquels devoirs sont des obligations des uns envers les autres</w:t>
      </w:r>
      <w:r>
        <w:rPr>
          <w:rStyle w:val="Appelnotedebasdep"/>
          <w:rFonts w:ascii="Calibri" w:eastAsia="Batang" w:hAnsi="Calibri" w:cs="Calibri"/>
          <w:sz w:val="25"/>
          <w:szCs w:val="25"/>
        </w:rPr>
        <w:footnoteReference w:id="17"/>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Alors que pour Hobbes l'instinct de l'homme le met en conflit avec les autres,  pour Locke, le même instinct porte les hommes dans l'obligation d'aimer les autres comme ils s'aiment eux-mêmes. C'est pourquoi le désir que j'ai d'être aimé, autant qu'il est possible, de ceux qui me sont égaux dans l'état de nature, m'impose une obligation naturelle de leur porter et témoigner une semblable affection. Car, enfin, il n'y a personne qui puisse ignorer la relation d'égalité entre nous-mêmes et les autres hommes, qui sont d'autres nous-mêmes, les règles et les lois que la raison naturelle a prescrites pour la conduite de la vie.</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Cependant, quoique l'état de nature soit un état de liberté, ce n'est nullement un état de licence. Certainement, un homme en cet état a une liberté incontestable par laquelle il peut disposer, comme il veut, de sa personne ou de ce qu'il possède; mais il n'a pas la liberté de se détruire lui-même, non plus celle de faire tort à aucune autre personne ou de la troubler dans ce dont elle jouit ; il doit faire de sa liberté le meilleur et le plus noble usage que sa propre conservation demande de lui.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A l'état de nature donc, chacun est obligé de se soumettre ou d'obéir à la loi de la nature. Or, celle-ci est enseignée par la raison qui oblige chacun de se conserver lui-</w:t>
      </w:r>
      <w:r>
        <w:rPr>
          <w:rFonts w:ascii="Calibri" w:eastAsia="Batang" w:hAnsi="Calibri" w:cs="Calibri"/>
          <w:sz w:val="25"/>
          <w:szCs w:val="25"/>
          <w:lang w:val="fr-BE"/>
        </w:rPr>
        <w:lastRenderedPageBreak/>
        <w:t>même et de conserver le reste des humains. Locke tient à faire la différence entre l’état de nature et l’état de guerre : l’état de guerre est un état d’inimitié et de destruction. Lorsque, dans l’état de nature, quelqu’un veut ravir la liberté qui appartient à tous ceux qui sont dans cet état, il faut nécessairement supposer qu’il veut ravir toutes les autres choses, puisque la liberté est le fondement de tout le reste ; il entre donc en état de guerre avec tous les autres. Il n’y a donc pas de commune mesure entre l’état de nature, qui est un état de paix, de bienveillance, d’assistance et de conservation mutuelle et l’état de guerre, qui est un état d’inimitié, de malice, de violence et de mutuelle destruction. Lorsque les hommes vivent ensemble conformément à la raison, sans aucun supérieur sur la terre, qui ait l’autorité de juger leurs différends, ils sont précisément dans l’état de nature : ainsi la violence, ou un dessein ouvert de violence d’une personne à l’égard d’une autre, dans une circonstance où il n’y a, sur la terre, nul supérieur commun à qui l’on puisse appeler, produit l’état de guerre</w:t>
      </w:r>
      <w:r>
        <w:rPr>
          <w:rStyle w:val="Appelnotedebasdep"/>
          <w:rFonts w:ascii="Calibri" w:eastAsia="Batang" w:hAnsi="Calibri" w:cs="Calibri"/>
          <w:sz w:val="25"/>
          <w:szCs w:val="25"/>
          <w:lang w:val="fr-BE"/>
        </w:rPr>
        <w:footnoteReference w:id="18"/>
      </w:r>
      <w:r>
        <w:rPr>
          <w:rFonts w:ascii="Calibri" w:eastAsia="Batang" w:hAnsi="Calibri" w:cs="Calibri"/>
          <w:sz w:val="25"/>
          <w:szCs w:val="25"/>
          <w:lang w:val="fr-BE"/>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Cette façon de concevoir la loi de la nature pousse Locke à une analyse plus profonde de l’état de nature. En effet, il estime que la loi de la nature ne peut être une véritable loi si elle n’est pas efficace dans l’état de nature. Elle ne peut être efficace dans l’état de nature si l’état de nature n’est pas un état de paix</w:t>
      </w:r>
      <w:r>
        <w:rPr>
          <w:rStyle w:val="Appelnotedebasdep"/>
          <w:rFonts w:ascii="Calibri" w:eastAsia="Batang" w:hAnsi="Calibri" w:cs="Calibri"/>
          <w:sz w:val="25"/>
          <w:szCs w:val="25"/>
          <w:lang w:val="fr-BE"/>
        </w:rPr>
        <w:footnoteReference w:id="19"/>
      </w:r>
      <w:r>
        <w:rPr>
          <w:rFonts w:ascii="Calibri" w:eastAsia="Batang" w:hAnsi="Calibri" w:cs="Calibri"/>
          <w:sz w:val="25"/>
          <w:szCs w:val="25"/>
          <w:lang w:val="fr-BE"/>
        </w:rPr>
        <w:t>. Par contre, si l’état de nature était caractérisé par un conflit habituel entre le souci de sa propre conservation et celle des autres hommes, la loi de la nature, qui veut la paix et la conservation de tout le genre humain soit inopérante ; le souci de sa propre conservation primerait et ne laisserait pas de place au souci de la conservation d’autrui. C’est pourquoi, l’état de nature doit être un état de paix, de bonne volonté, d’assistance mutuelle et de conservation. Autrement dit, l’état de nature doit être un état social dans lequel tous les hommes forment une seule société par la loi de nature, bien qu’ils n’aient aucun supérieur commun sur la terre</w:t>
      </w:r>
      <w:r>
        <w:rPr>
          <w:rStyle w:val="Appelnotedebasdep"/>
          <w:rFonts w:ascii="Calibri" w:eastAsia="Batang" w:hAnsi="Calibri" w:cs="Calibri"/>
          <w:sz w:val="25"/>
          <w:szCs w:val="25"/>
          <w:lang w:val="fr-BE"/>
        </w:rPr>
        <w:footnoteReference w:id="20"/>
      </w:r>
      <w:r>
        <w:rPr>
          <w:rFonts w:ascii="Calibri" w:eastAsia="Batang" w:hAnsi="Calibri" w:cs="Calibri"/>
          <w:sz w:val="25"/>
          <w:szCs w:val="25"/>
          <w:lang w:val="fr-BE"/>
        </w:rPr>
        <w:t>.</w:t>
      </w:r>
    </w:p>
    <w:p w:rsidR="000A31A8" w:rsidRDefault="000A31A8">
      <w:pPr>
        <w:tabs>
          <w:tab w:val="left" w:pos="2520"/>
          <w:tab w:val="left" w:pos="5360"/>
        </w:tabs>
        <w:spacing w:line="324" w:lineRule="auto"/>
        <w:ind w:right="-2"/>
        <w:jc w:val="both"/>
        <w:rPr>
          <w:rFonts w:ascii="Calibri" w:eastAsia="Batang" w:hAnsi="Calibri" w:cs="Calibri"/>
          <w:sz w:val="25"/>
          <w:szCs w:val="25"/>
          <w:lang w:val="fr-BE"/>
        </w:rPr>
      </w:pPr>
    </w:p>
    <w:p w:rsidR="000A31A8" w:rsidRDefault="0065345B">
      <w:pPr>
        <w:tabs>
          <w:tab w:val="left" w:pos="2520"/>
          <w:tab w:val="left" w:pos="5360"/>
        </w:tabs>
        <w:spacing w:line="324" w:lineRule="auto"/>
        <w:ind w:right="-2"/>
        <w:jc w:val="both"/>
        <w:rPr>
          <w:rFonts w:ascii="Calibri" w:eastAsia="Batang" w:hAnsi="Calibri" w:cs="Calibri"/>
          <w:sz w:val="25"/>
          <w:szCs w:val="25"/>
        </w:rPr>
      </w:pPr>
      <w:r>
        <w:rPr>
          <w:rFonts w:ascii="Calibri" w:eastAsia="Batang" w:hAnsi="Calibri" w:cs="Calibri"/>
          <w:sz w:val="25"/>
          <w:szCs w:val="25"/>
          <w:lang w:val="fr-BE"/>
        </w:rPr>
        <w:t xml:space="preserve">Après avoir ébauché ou suggéré cette peinture de l’état de nature, en particulier dans les premières pages du </w:t>
      </w:r>
      <w:r>
        <w:rPr>
          <w:rFonts w:ascii="Calibri" w:eastAsia="Batang" w:hAnsi="Calibri" w:cs="Calibri"/>
          <w:i/>
          <w:iCs/>
          <w:sz w:val="25"/>
          <w:szCs w:val="25"/>
          <w:lang w:val="fr-BE"/>
        </w:rPr>
        <w:t> Treatise</w:t>
      </w:r>
      <w:r>
        <w:rPr>
          <w:rFonts w:ascii="Calibri" w:eastAsia="Batang" w:hAnsi="Calibri" w:cs="Calibri"/>
          <w:sz w:val="25"/>
          <w:szCs w:val="25"/>
          <w:lang w:val="fr-BE"/>
        </w:rPr>
        <w:t xml:space="preserve">, Locke la démolit au fur et à mesure qu’avance son raisonnement. L’état de nature qui, au premier coup d’œil, semble être l’âge d’or sous </w:t>
      </w:r>
      <w:r>
        <w:rPr>
          <w:rFonts w:ascii="Calibri" w:eastAsia="Batang" w:hAnsi="Calibri" w:cs="Calibri"/>
          <w:sz w:val="25"/>
          <w:szCs w:val="25"/>
          <w:lang w:val="fr-BE"/>
        </w:rPr>
        <w:lastRenderedPageBreak/>
        <w:t>le gouvernement de Dieu ou de bons démons, est littéralement un état sans gouvernement, une pure anarchie</w:t>
      </w:r>
      <w:r>
        <w:rPr>
          <w:rStyle w:val="Appelnotedebasdep"/>
          <w:rFonts w:ascii="Calibri" w:eastAsia="Batang" w:hAnsi="Calibri" w:cs="Calibri"/>
          <w:sz w:val="25"/>
          <w:szCs w:val="25"/>
          <w:lang w:val="fr-BE"/>
        </w:rPr>
        <w:footnoteReference w:id="21"/>
      </w:r>
      <w:r>
        <w:rPr>
          <w:rFonts w:ascii="Calibri" w:eastAsia="Batang" w:hAnsi="Calibri" w:cs="Calibri"/>
          <w:sz w:val="25"/>
          <w:szCs w:val="25"/>
          <w:lang w:val="fr-BE"/>
        </w:rPr>
        <w:t xml:space="preserve">. Lorsque les hommes n’observent pas les règles de l’équité et de justice, l’état de nature a alors beaucoup d’inconvénients ;  il est rempli de crainte et de continuels dangers. Dans ces conditions, loin d’être un état de paix, il est un état d’incertitude. </w:t>
      </w:r>
      <w:r>
        <w:rPr>
          <w:rFonts w:ascii="Calibri" w:eastAsia="Batang" w:hAnsi="Calibri" w:cs="Calibri"/>
          <w:sz w:val="25"/>
          <w:szCs w:val="25"/>
        </w:rPr>
        <w:t xml:space="preserve">C’est pourquoi Locke pousse et affirme que l’état de paix est la société civile ; et l’état antérieur à la société civile est l’état de guerre. Donc, l’état de nature ne serait un état de paix et de bonne volonté qu’à condition que les hommes soient sous la loi de la nature. </w:t>
      </w:r>
    </w:p>
    <w:p w:rsidR="000A31A8" w:rsidRDefault="0065345B">
      <w:pPr>
        <w:tabs>
          <w:tab w:val="left" w:pos="2520"/>
          <w:tab w:val="left" w:pos="5360"/>
        </w:tabs>
        <w:spacing w:line="324" w:lineRule="auto"/>
        <w:ind w:right="-2" w:firstLine="709"/>
        <w:jc w:val="both"/>
        <w:rPr>
          <w:rFonts w:ascii="Calibri" w:eastAsia="Batang" w:hAnsi="Calibri" w:cs="Calibri"/>
          <w:sz w:val="25"/>
          <w:szCs w:val="25"/>
          <w:lang w:val="fr-BE"/>
        </w:rPr>
      </w:pPr>
      <w:r>
        <w:rPr>
          <w:rFonts w:ascii="Calibri" w:eastAsia="Batang" w:hAnsi="Calibri" w:cs="Calibri"/>
          <w:sz w:val="25"/>
          <w:szCs w:val="25"/>
        </w:rPr>
        <w:t xml:space="preserve">Quand on parcourt le </w:t>
      </w:r>
      <w:r>
        <w:rPr>
          <w:rFonts w:ascii="Calibri" w:eastAsia="Batang" w:hAnsi="Calibri" w:cs="Calibri"/>
          <w:i/>
          <w:iCs/>
          <w:sz w:val="25"/>
          <w:szCs w:val="25"/>
        </w:rPr>
        <w:t> Traité du gouvernement civil</w:t>
      </w:r>
      <w:r>
        <w:rPr>
          <w:rFonts w:ascii="Calibri" w:eastAsia="Batang" w:hAnsi="Calibri" w:cs="Calibri"/>
          <w:sz w:val="25"/>
          <w:szCs w:val="25"/>
        </w:rPr>
        <w:t>, on note que Locke est d’accord avec Hobbes que le remède de l’état de nature (état de guerre) est bien le gouvernement civil. Seulement, si l’état de nature doit être abrogé parce que les hommes en cet état étaient juges dans leurs propres causes, on pourrait dire la même chose des monarques absolus</w:t>
      </w:r>
      <w:r>
        <w:rPr>
          <w:rStyle w:val="Appelnotedebasdep"/>
          <w:rFonts w:ascii="Calibri" w:eastAsia="Batang" w:hAnsi="Calibri" w:cs="Calibri"/>
          <w:sz w:val="25"/>
          <w:szCs w:val="25"/>
        </w:rPr>
        <w:footnoteReference w:id="22"/>
      </w:r>
      <w:r>
        <w:rPr>
          <w:rFonts w:ascii="Calibri" w:eastAsia="Batang" w:hAnsi="Calibri" w:cs="Calibri"/>
          <w:sz w:val="25"/>
          <w:szCs w:val="25"/>
        </w:rPr>
        <w:t>. Le pacte social n’est plus comme chez Hobbes le simple renoncement de l’individu qui abdique tout pouvoir entre les mains du souverain. Le souverain n’est plus que le mandataire du peuple qui conserve, au cas où l’Etat abuserait de l’autorité, le droit d’insurrection</w:t>
      </w:r>
      <w:r>
        <w:rPr>
          <w:rStyle w:val="Appelnotedebasdep"/>
          <w:rFonts w:ascii="Calibri" w:eastAsia="Batang" w:hAnsi="Calibri" w:cs="Calibri"/>
          <w:sz w:val="25"/>
          <w:szCs w:val="25"/>
        </w:rPr>
        <w:footnoteReference w:id="23"/>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La réflexion de Rousseau, quant à elle, est l'aboutissement d'une démarche critique intéressante et pertinente. En effet, Rousseau fait une remarque importante pour commencer sa critique : </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 Les philosophes qui ont examiné les fondements de la société, ont senti la nécessité de remonter jusqu’à l’état de nature, mais aucun d’eux n’y est arrivé. Les uns n’ont point balancé à supposer à l’homme dans cet état la notion du juste et de l’injuste, sans se soucier de montrer qu’il dût avoir cette notion, ni même qu’elle fût utile. D’autres ont parlé du droit naturel que chacun a de conserver ce qui lui appartient, sans expliquer ce qu’ils entendaient par appartenir. D’autres, donnant d’abord au plus fort l’autorité sur le plus faible, ont aussitôt fait naître le gouvernement, sans songer </w:t>
      </w:r>
      <w:r>
        <w:rPr>
          <w:rFonts w:ascii="Calibri" w:eastAsia="Batang" w:hAnsi="Calibri" w:cs="Calibri"/>
          <w:sz w:val="25"/>
          <w:szCs w:val="25"/>
          <w:lang w:val="fr-BE"/>
        </w:rPr>
        <w:lastRenderedPageBreak/>
        <w:t>au temps qui dut s’écouler avant que le sens des mots d’autorité et de gouvernement pût exister parmi les hommes »</w:t>
      </w:r>
      <w:r>
        <w:rPr>
          <w:rStyle w:val="Appelnotedebasdep"/>
          <w:rFonts w:ascii="Calibri" w:eastAsia="Batang" w:hAnsi="Calibri" w:cs="Calibri"/>
          <w:sz w:val="25"/>
          <w:szCs w:val="25"/>
          <w:lang w:val="fr-BE"/>
        </w:rPr>
        <w:footnoteReference w:id="24"/>
      </w:r>
      <w:r>
        <w:rPr>
          <w:rFonts w:ascii="Calibri" w:eastAsia="Batang" w:hAnsi="Calibri" w:cs="Calibri"/>
          <w:sz w:val="25"/>
          <w:szCs w:val="25"/>
          <w:lang w:val="fr-BE"/>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Hobbes prétend que l’homme est naturellement intrépide et ne cherche qu’à attaquer et combattre</w:t>
      </w:r>
      <w:r>
        <w:rPr>
          <w:rStyle w:val="Appelnotedebasdep"/>
          <w:rFonts w:ascii="Calibri" w:eastAsia="Batang" w:hAnsi="Calibri" w:cs="Calibri"/>
          <w:sz w:val="25"/>
          <w:szCs w:val="25"/>
          <w:lang w:val="fr-BE"/>
        </w:rPr>
        <w:footnoteReference w:id="25"/>
      </w:r>
      <w:r>
        <w:rPr>
          <w:rFonts w:ascii="Calibri" w:eastAsia="Batang" w:hAnsi="Calibri" w:cs="Calibri"/>
          <w:sz w:val="25"/>
          <w:szCs w:val="25"/>
          <w:lang w:val="fr-BE"/>
        </w:rPr>
        <w:t>, mais l’homme, dans cet état de nature, est plutôt timide, tremblant et prêt à fuir au moindre bruit qui le frappe</w:t>
      </w:r>
      <w:r>
        <w:rPr>
          <w:rStyle w:val="Appelnotedebasdep"/>
          <w:rFonts w:ascii="Calibri" w:eastAsia="Batang" w:hAnsi="Calibri" w:cs="Calibri"/>
          <w:sz w:val="25"/>
          <w:szCs w:val="25"/>
          <w:lang w:val="fr-BE"/>
        </w:rPr>
        <w:footnoteReference w:id="26"/>
      </w:r>
      <w:r>
        <w:rPr>
          <w:rFonts w:ascii="Calibri" w:eastAsia="Batang" w:hAnsi="Calibri" w:cs="Calibri"/>
          <w:sz w:val="25"/>
          <w:szCs w:val="25"/>
          <w:lang w:val="fr-BE"/>
        </w:rPr>
        <w:t>. Selon Rousseau, Hobbes et les autres philosophes de l’état de nature  ont tous, en essayant de peindre l'homme dans son état de nature, peint plutôt l'homme civilisé. C'est-à-dire, c'est l'image de l'homme civilisé qui influence les caractéristiques qu'on donne à l'homme naturel. Ceci montre, selon Rousseau, que les philosophes antérieurs ne sont jamais parvenus à l'état de nature ; car, ils ont essayé de dégager les caractères de l'homme naturel en regardant comme il est aujourd'hui</w:t>
      </w:r>
      <w:r>
        <w:rPr>
          <w:rStyle w:val="Appelnotedebasdep"/>
          <w:rFonts w:ascii="Calibri" w:eastAsia="Batang" w:hAnsi="Calibri" w:cs="Calibri"/>
          <w:sz w:val="25"/>
          <w:szCs w:val="25"/>
          <w:lang w:val="fr-BE"/>
        </w:rPr>
        <w:footnoteReference w:id="27"/>
      </w:r>
      <w:r>
        <w:rPr>
          <w:rFonts w:ascii="Calibri" w:eastAsia="Batang" w:hAnsi="Calibri" w:cs="Calibri"/>
          <w:sz w:val="25"/>
          <w:szCs w:val="25"/>
          <w:lang w:val="fr-BE"/>
        </w:rPr>
        <w:t>.  Or, la démarche était raisonnable à condition d'admettre que l'homme est social par nature comme l'affirmait Aristote</w:t>
      </w:r>
      <w:r>
        <w:rPr>
          <w:rStyle w:val="Appelnotedebasdep"/>
          <w:rFonts w:ascii="Calibri" w:eastAsia="Batang" w:hAnsi="Calibri" w:cs="Calibri"/>
          <w:sz w:val="25"/>
          <w:szCs w:val="25"/>
          <w:lang w:val="fr-BE"/>
        </w:rPr>
        <w:footnoteReference w:id="28"/>
      </w:r>
      <w:r>
        <w:rPr>
          <w:rFonts w:ascii="Calibri" w:eastAsia="Batang" w:hAnsi="Calibri" w:cs="Calibri"/>
          <w:sz w:val="25"/>
          <w:szCs w:val="25"/>
          <w:lang w:val="fr-BE"/>
        </w:rPr>
        <w:t>.</w:t>
      </w:r>
    </w:p>
    <w:p w:rsidR="000A31A8" w:rsidRDefault="000A31A8">
      <w:pPr>
        <w:pStyle w:val="Retraitcorpsdetexte"/>
        <w:tabs>
          <w:tab w:val="clear" w:pos="1185"/>
        </w:tabs>
        <w:spacing w:line="324" w:lineRule="auto"/>
        <w:ind w:left="0" w:right="-2" w:firstLine="0"/>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 xml:space="preserve">Mais dès lors qu’on nie la sociabilité naturelle de l'homme comme le fait Hobbes, on est en droit de penser que certaines de nos passions ont leur origine dans l'influence sociale et deviennent ensuite conventionnelles. Rousseau ne s'oppose donc pas sans raison à Hobbes; car il convient avec ce dernier quant à la négation de l'état social naturel de l'homme. Seulement, il trouve que l’auteur de </w:t>
      </w:r>
      <w:r>
        <w:rPr>
          <w:rFonts w:ascii="Calibri" w:hAnsi="Calibri" w:cs="Calibri"/>
          <w:i/>
          <w:iCs/>
          <w:sz w:val="25"/>
          <w:szCs w:val="25"/>
        </w:rPr>
        <w:t>Léviathan</w:t>
      </w:r>
      <w:r>
        <w:rPr>
          <w:rFonts w:ascii="Calibri" w:hAnsi="Calibri" w:cs="Calibri"/>
          <w:sz w:val="25"/>
          <w:szCs w:val="25"/>
        </w:rPr>
        <w:t xml:space="preserve"> est grossièrement incohérent parce que d'une part il nie que l'homme est par nature social et de l'autre il essaie de dégager les caractères de l'homme naturel en se référant à son expérience des hommes qui est celle de l'homme social. En plus, l’auteur du </w:t>
      </w:r>
      <w:r>
        <w:rPr>
          <w:rFonts w:ascii="Calibri" w:hAnsi="Calibri" w:cs="Calibri"/>
          <w:i/>
          <w:iCs/>
          <w:sz w:val="25"/>
          <w:szCs w:val="25"/>
        </w:rPr>
        <w:t>Contrat Social</w:t>
      </w:r>
      <w:r>
        <w:rPr>
          <w:rFonts w:ascii="Calibri" w:hAnsi="Calibri" w:cs="Calibri"/>
          <w:sz w:val="25"/>
          <w:szCs w:val="25"/>
        </w:rPr>
        <w:t xml:space="preserve"> trouve que la critique hobbesienne de la conception traditionnelle est tout à fait valable. Mais </w:t>
      </w:r>
      <w:r>
        <w:rPr>
          <w:rFonts w:ascii="Calibri" w:hAnsi="Calibri" w:cs="Calibri"/>
          <w:sz w:val="25"/>
          <w:szCs w:val="25"/>
        </w:rPr>
        <w:lastRenderedPageBreak/>
        <w:t>ce qu'il critique, c'est la conception de droit de nature et des lois de la nature. Pour Rousseau et pour Pufendorf, il est clair qu’un homme n’est un</w:t>
      </w:r>
      <w:r>
        <w:rPr>
          <w:rFonts w:ascii="Calibri" w:hAnsi="Calibri" w:cs="Calibri"/>
          <w:i/>
          <w:iCs/>
          <w:sz w:val="25"/>
          <w:szCs w:val="25"/>
        </w:rPr>
        <w:t xml:space="preserve"> animal politique</w:t>
      </w:r>
      <w:r>
        <w:rPr>
          <w:rFonts w:ascii="Calibri" w:hAnsi="Calibri" w:cs="Calibri"/>
          <w:sz w:val="25"/>
          <w:szCs w:val="25"/>
        </w:rPr>
        <w:t xml:space="preserve">, un </w:t>
      </w:r>
      <w:r>
        <w:rPr>
          <w:rFonts w:ascii="Calibri" w:hAnsi="Calibri" w:cs="Calibri"/>
          <w:i/>
          <w:iCs/>
          <w:sz w:val="25"/>
          <w:szCs w:val="25"/>
        </w:rPr>
        <w:t>être propre à la société civile</w:t>
      </w:r>
      <w:r>
        <w:rPr>
          <w:rFonts w:ascii="Calibri" w:hAnsi="Calibri" w:cs="Calibri"/>
          <w:sz w:val="25"/>
          <w:szCs w:val="25"/>
        </w:rPr>
        <w:t xml:space="preserve"> que par le truchement de l’éducation et cela signifie clairement que l’homme est fait pour la société et qu’il la recherche naturellement (ou plutôt doit la rechercher conformément à son obligation envers la loi naturelle). Il ne s’ensuit pas que la nature, par elle-même, le porte précisément à former des sociétés civiles</w:t>
      </w:r>
      <w:r>
        <w:rPr>
          <w:rStyle w:val="Appelnotedebasdep"/>
          <w:rFonts w:ascii="Calibri" w:hAnsi="Calibri" w:cs="Calibri"/>
          <w:sz w:val="25"/>
          <w:szCs w:val="25"/>
        </w:rPr>
        <w:footnoteReference w:id="29"/>
      </w:r>
      <w:r>
        <w:rPr>
          <w:rFonts w:ascii="Calibri"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La seconde critique porte sur la conception hobbesienne selon laquelle l'homme est raisonnable par nature. Il n'y a point de constitution naturelle de l'homme dans la mesure où tout ce qui est humain spécifiquement est acquis. Ceci signifie que l'homme est toujours perfectible et qu’il est façonné par la société. Hobbes a donc tort d'affirmer que l'homme pré- social est déjà raisonnable et capable de signer des contrats. Il a en conséquence tort de faire coïncider le passage de l'état de nature à la société civile avec la conclusion du contrat social dans la mesure où l'abandon de l'état de nature n'est pas dû à l'usage de la liberté, mais à une série d'accidents naturels.</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La raison vient après les besoins élémentaires du corps. Elle apparaît au cours de leur satisfaction. L'esprit se développe rigoureusement proportionnellement à la façon particulière dont les besoins fondamentaux ou leur satisfaction sont modifiés par des conditions particulières. Les circonstances façonnent la pensée des hommes. Le progrès de l'esprit est donc un processus nécessaire, parce que les hommes sont forcés de faire preuve d'invention au gré des transformations</w:t>
      </w:r>
      <w:r>
        <w:rPr>
          <w:rStyle w:val="Appelnotedebasdep"/>
          <w:rFonts w:ascii="Calibri" w:eastAsia="Batang" w:hAnsi="Calibri" w:cs="Calibri"/>
          <w:sz w:val="25"/>
          <w:szCs w:val="25"/>
          <w:lang w:val="fr-BE"/>
        </w:rPr>
        <w:footnoteReference w:id="30"/>
      </w:r>
      <w:r>
        <w:rPr>
          <w:rFonts w:ascii="Calibri" w:eastAsia="Batang" w:hAnsi="Calibri" w:cs="Calibri"/>
          <w:sz w:val="25"/>
          <w:szCs w:val="25"/>
          <w:lang w:val="fr-BE"/>
        </w:rPr>
        <w:t>.</w:t>
      </w:r>
    </w:p>
    <w:p w:rsidR="000A31A8" w:rsidRDefault="000A31A8">
      <w:pPr>
        <w:pStyle w:val="Corpsdetexte"/>
        <w:tabs>
          <w:tab w:val="left" w:pos="2520"/>
        </w:tabs>
        <w:spacing w:line="324" w:lineRule="auto"/>
        <w:ind w:right="-2"/>
        <w:rPr>
          <w:rFonts w:ascii="Calibri" w:eastAsia="Batang" w:hAnsi="Calibri" w:cs="Calibri"/>
          <w:sz w:val="25"/>
          <w:szCs w:val="25"/>
        </w:rPr>
      </w:pPr>
    </w:p>
    <w:p w:rsidR="000A31A8" w:rsidRDefault="0065345B">
      <w:pPr>
        <w:pStyle w:val="Corpsdetexte"/>
        <w:tabs>
          <w:tab w:val="left" w:pos="2520"/>
        </w:tabs>
        <w:spacing w:line="324" w:lineRule="auto"/>
        <w:ind w:right="-2"/>
        <w:rPr>
          <w:rFonts w:ascii="Calibri" w:eastAsia="Batang" w:hAnsi="Calibri" w:cs="Calibri"/>
          <w:sz w:val="25"/>
          <w:szCs w:val="25"/>
        </w:rPr>
      </w:pPr>
      <w:r>
        <w:rPr>
          <w:rFonts w:ascii="Calibri" w:eastAsia="Batang" w:hAnsi="Calibri" w:cs="Calibri"/>
          <w:sz w:val="25"/>
          <w:szCs w:val="25"/>
        </w:rPr>
        <w:t xml:space="preserve">Chez Hobbes, l'état de nature avait été un étalon négatif : l'état de nature se caractérisait par une contradiction interne qui appelle une et une seule solution suffisante : celle du puissant Léviathan dont le sang est l'argent. Mais Rousseau pense que c'est la société civile comme telle, pour ne rien dire de la société civile comme Hobbes et Locke l'entendent, qui se caractérise par une contradiction interne fondamentale. C'est par contre l'état de nature qui est dépourvu de ces contradictions. En conséquence, l'homme dans l'état de nature est heureux dans la mesure où son </w:t>
      </w:r>
      <w:r>
        <w:rPr>
          <w:rFonts w:ascii="Calibri" w:eastAsia="Batang" w:hAnsi="Calibri" w:cs="Calibri"/>
          <w:sz w:val="25"/>
          <w:szCs w:val="25"/>
        </w:rPr>
        <w:lastRenderedPageBreak/>
        <w:t xml:space="preserve">indépendance est radicale. Donc, l'état de nature apparaît comme quelque chose de positif. Autrement dit, puisque l'état social est nécessaire, l'homme ne pouvant plus se passer du secours de l'homme, puisque cet état n'est pas naturel et repose sur des conventions, comment déterminer une formation des conventions tel que les avantages certains de l'état social se combinent avec ceux de l'état de nature? Tel est le problème propre du </w:t>
      </w:r>
      <w:r>
        <w:rPr>
          <w:rFonts w:ascii="Calibri" w:eastAsia="Batang" w:hAnsi="Calibri" w:cs="Calibri"/>
          <w:i/>
          <w:sz w:val="25"/>
          <w:szCs w:val="25"/>
        </w:rPr>
        <w:t>Contrat social ou principes du droit politique</w:t>
      </w:r>
      <w:r>
        <w:rPr>
          <w:rFonts w:ascii="Calibri" w:eastAsia="Batang" w:hAnsi="Calibri" w:cs="Calibri"/>
          <w:sz w:val="25"/>
          <w:szCs w:val="25"/>
        </w:rPr>
        <w:t>. Telles sont les caractéristiques du contractualisme moderne, un préalable nécessaire pour entrer dans l’entendement du contractualisme rawlsien.</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Rawls commence par une critique contre Hobbes. Il estime que la construction de l'Etat chez Hobbes requiert un élément démocratique par le fait qu'il représente l'Etat monarchique, aristocratique ou démocratique comme l'émanation de tous les individus. Selon Hobbes, le contrat ne résulte que de l'engagement de chacun. Cela a pour conséquence que le représentant se voit investi d'un pouvoir illimité ; il devient finalement un souverain absolu investi par le contrat qui prend réellement la forme de soumission. </w:t>
      </w:r>
      <w:r>
        <w:rPr>
          <w:rFonts w:ascii="Calibri" w:hAnsi="Calibri" w:cs="Calibri"/>
          <w:sz w:val="25"/>
          <w:szCs w:val="25"/>
        </w:rPr>
        <w:t>Rawls fait remarquer que Hobbes ne plaide pas uniquement pour l'absolutisme. Le souci de celui-ci étant d'identifier le pouvoir de l’Etat à  la souveraineté indivise. Et c'est à ce niveau que Rawls perçoit un danger réel. Comme le perçoit Höffe,  l’identification du pouvoir de l’Etat et de l'absolutisme entraîne, en plus de menaces que ce dernier recèle, la dangereuse conséquence que toute forme d’Etat – et cela est vrai même pour l’Etat de droit et pour l’Etat constitutionnel – (où les pouvoirs sont partagés) – non seulement évolue vers une plus mauvaise forme d’Etat, mais tend vers l'absence d’Etat, variante de l'état de nature et de l'anarchie</w:t>
      </w:r>
      <w:r>
        <w:rPr>
          <w:rStyle w:val="Appelnotedebasdep"/>
          <w:rFonts w:ascii="Calibri" w:hAnsi="Calibri" w:cs="Calibri"/>
          <w:sz w:val="25"/>
          <w:szCs w:val="25"/>
        </w:rPr>
        <w:footnoteReference w:id="31"/>
      </w:r>
      <w:r>
        <w:rPr>
          <w:rFonts w:ascii="Calibri"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C'est par sa théorie du représentant</w:t>
      </w:r>
      <w:r>
        <w:rPr>
          <w:rStyle w:val="Appelnotedebasdep"/>
          <w:rFonts w:ascii="Calibri" w:eastAsia="Batang" w:hAnsi="Calibri" w:cs="Calibri"/>
          <w:sz w:val="25"/>
          <w:szCs w:val="25"/>
          <w:lang w:val="fr-BE"/>
        </w:rPr>
        <w:footnoteReference w:id="32"/>
      </w:r>
      <w:r>
        <w:rPr>
          <w:rFonts w:ascii="Calibri" w:eastAsia="Batang" w:hAnsi="Calibri" w:cs="Calibri"/>
          <w:sz w:val="25"/>
          <w:szCs w:val="25"/>
          <w:lang w:val="fr-BE"/>
        </w:rPr>
        <w:t xml:space="preserve"> que Hobbes arrive à justifier l’Etat absolutiste. Au cours du développement de sa pensée dans le </w:t>
      </w:r>
      <w:r>
        <w:rPr>
          <w:rFonts w:ascii="Calibri" w:eastAsia="Batang" w:hAnsi="Calibri" w:cs="Calibri"/>
          <w:i/>
          <w:iCs/>
          <w:sz w:val="25"/>
          <w:szCs w:val="25"/>
          <w:lang w:val="fr-BE"/>
        </w:rPr>
        <w:t>Léviathan,</w:t>
      </w:r>
      <w:r>
        <w:rPr>
          <w:rFonts w:ascii="Calibri" w:eastAsia="Batang" w:hAnsi="Calibri" w:cs="Calibri"/>
          <w:sz w:val="25"/>
          <w:szCs w:val="25"/>
          <w:lang w:val="fr-BE"/>
        </w:rPr>
        <w:t xml:space="preserve"> la justification de l’absolutisme n’apparaît qu’après le fondement anthropologique, la théorie du représentant, la théorie de l'état de nature et la justification des 19 lois de nature. On ne la trouve que dans les chapitres 16 et 17 qui constituent la conclusion de la première partie et le début de la deuxième. Ce n'est donc que de manière tardive que </w:t>
      </w:r>
      <w:r>
        <w:rPr>
          <w:rFonts w:ascii="Calibri" w:eastAsia="Batang" w:hAnsi="Calibri" w:cs="Calibri"/>
          <w:sz w:val="25"/>
          <w:szCs w:val="25"/>
          <w:lang w:val="fr-BE"/>
        </w:rPr>
        <w:lastRenderedPageBreak/>
        <w:t>Hobbes légitime l’absolutisme. Certes, il est clair que cette légitimation de l'absolutisme donne l'autorisation  à l’Etat d'user de pleins pouvoirs. Autrement dit, le pouvoir public ne peut aucunement être soumis à des limitations normatives. Son unique devoir étant de veiller à la paix et à la défense commune. Ainsi, l'absolutisme hobbesien apparaît comme condition nécessaire et suffisante de l'état de paix et demeure pour finir un moyen qui mène au bonheur des citoyens.</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Rawls note que l'absolutisme hobbesien qui donne un pouvoir illimité au souverain a provoqué une opposition passionnée de Locke, de Rousseau et de Kant. Dans la logique hobbesienne, le contrat implique l'aliénation irrévocable de tous les droits naturels des hommes. Alors qu'à l'état de nature, l'homme possède – conformément au principe de la libre conservation de soi – un droit à tout, dans la situation étatique, il possède seulement, dans le meilleur des cas, un droit à la paix intérieure et extérieure –paix nécessaire à la libre conservation de soi et au bonheur. En plus de cela Hobbes légitime encore d'autres critères normatifs pour la paix. Ces critères normatifs sont ce qu'il appelle </w:t>
      </w:r>
      <w:r>
        <w:rPr>
          <w:rFonts w:ascii="Calibri" w:eastAsia="Batang" w:hAnsi="Calibri" w:cs="Calibri"/>
          <w:i/>
          <w:iCs/>
          <w:sz w:val="25"/>
          <w:szCs w:val="25"/>
          <w:lang w:val="fr-BE"/>
        </w:rPr>
        <w:t>lois naturelles</w:t>
      </w:r>
      <w:r>
        <w:rPr>
          <w:rFonts w:ascii="Calibri" w:eastAsia="Batang" w:hAnsi="Calibri" w:cs="Calibri"/>
          <w:sz w:val="25"/>
          <w:szCs w:val="25"/>
          <w:lang w:val="fr-BE"/>
        </w:rPr>
        <w:t>. Celles-ci se situent par ailleurs en dehors de sa définition de l’Etat. Conséquence : la non obligation du droit positif à l'égard des droits de l'homme. Et malgré la prise en compte des lois naturelles, personne n'est libéré de l'obéissance aux lois positives, même au cas où celles-ci entrent en contradiction avec les lois naturelles. Rawls conclut que la théorie hobbesienne de l'Etat est le prolongement et le brusque tournant de l'histoire dans la mesure où la justification rationnelle de    l’Etat, en général, débouche sur la légitimation d'un souverain absolu et au-dessus des lois positives et naturelles.</w:t>
      </w:r>
    </w:p>
    <w:p w:rsidR="000A31A8" w:rsidRDefault="0065345B">
      <w:pPr>
        <w:pStyle w:val="Titre1"/>
        <w:tabs>
          <w:tab w:val="clear" w:pos="1185"/>
        </w:tabs>
        <w:spacing w:after="0" w:line="324" w:lineRule="auto"/>
        <w:ind w:left="0" w:right="-2" w:firstLine="0"/>
        <w:jc w:val="both"/>
        <w:rPr>
          <w:rFonts w:ascii="Calibri" w:hAnsi="Calibri" w:cs="Calibri"/>
          <w:bCs w:val="0"/>
          <w:sz w:val="32"/>
          <w:szCs w:val="32"/>
        </w:rPr>
      </w:pPr>
      <w:r>
        <w:rPr>
          <w:rFonts w:ascii="Calibri" w:hAnsi="Calibri" w:cs="Calibri"/>
          <w:color w:val="000080"/>
          <w:sz w:val="25"/>
          <w:szCs w:val="25"/>
        </w:rPr>
        <w:br w:type="page"/>
      </w:r>
      <w:bookmarkStart w:id="13" w:name="_Toc127173488"/>
      <w:r>
        <w:rPr>
          <w:rFonts w:ascii="Calibri" w:hAnsi="Calibri" w:cs="Calibri"/>
          <w:color w:val="000000"/>
          <w:sz w:val="32"/>
          <w:szCs w:val="32"/>
        </w:rPr>
        <w:lastRenderedPageBreak/>
        <w:t xml:space="preserve">CHAPITRE DEUXIÈME : </w:t>
      </w:r>
      <w:r>
        <w:rPr>
          <w:rFonts w:ascii="Calibri" w:hAnsi="Calibri" w:cs="Calibri"/>
          <w:bCs w:val="0"/>
          <w:sz w:val="32"/>
          <w:szCs w:val="32"/>
        </w:rPr>
        <w:t>SOUBASSEMENT DE LA THEORIE RAWLSIENNE DU CONTRAT SOCIAL : CRITIQUE DE L’ABSOLUTISME</w:t>
      </w:r>
      <w:bookmarkEnd w:id="13"/>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Dans ce chapitre, nous nous proposons de relever les principales critiques formulées par John Rawls contre les vues exprimées par ses prédécesseurs, notamment Hobbes. Il comprendra grosso modo l’examen de la théorie politique hobbesienne et la solution de rechange proposée par l’auteur de</w:t>
      </w:r>
      <w:r>
        <w:rPr>
          <w:rFonts w:ascii="Calibri" w:eastAsia="Batang" w:hAnsi="Calibri" w:cs="Calibri"/>
          <w:i/>
          <w:iCs/>
          <w:sz w:val="25"/>
          <w:szCs w:val="25"/>
          <w:lang w:val="fr-BE"/>
        </w:rPr>
        <w:t xml:space="preserve"> Théorie de la justice. </w:t>
      </w:r>
      <w:r>
        <w:rPr>
          <w:rFonts w:ascii="Calibri" w:hAnsi="Calibri" w:cs="Calibri"/>
          <w:sz w:val="25"/>
          <w:szCs w:val="25"/>
        </w:rPr>
        <w:t xml:space="preserve">Le fondement rawlsien apporte une touche particulière dans le contractualisme. Lorsque Gérard Mairet analyse, en 1978,  les concepts liberté et égalité à la lumière de la Révolution Française, </w:t>
      </w:r>
      <w:r>
        <w:rPr>
          <w:rFonts w:ascii="Calibri" w:hAnsi="Calibri" w:cs="Calibri"/>
          <w:i/>
          <w:iCs/>
          <w:sz w:val="25"/>
          <w:szCs w:val="25"/>
        </w:rPr>
        <w:t>Theory of justice</w:t>
      </w:r>
      <w:r>
        <w:rPr>
          <w:rFonts w:ascii="Calibri" w:hAnsi="Calibri" w:cs="Calibri"/>
          <w:sz w:val="25"/>
          <w:szCs w:val="25"/>
        </w:rPr>
        <w:t xml:space="preserve"> avait paru il y a quelques années déjà (depuis 1971). Il est vrai que le monde francophone ne sera servi qu’en 1987 avec la traduction de Catherine Audard. Mairet présente encore liberté et égalité comme des droits existant par nature. Liberté et égalité sont pour Mairet « le fait de l’homme en tant qu’homme, mais c’est dans la politique, sous la protection de l’Etat, que ces qualités intrinsèques sont garanties, étendues et sauvegardées »</w:t>
      </w:r>
      <w:r>
        <w:rPr>
          <w:rStyle w:val="Appelnotedebasdep"/>
          <w:rFonts w:ascii="Calibri" w:hAnsi="Calibri" w:cs="Calibri"/>
          <w:sz w:val="25"/>
          <w:szCs w:val="25"/>
        </w:rPr>
        <w:footnoteReference w:id="33"/>
      </w:r>
      <w:r>
        <w:rPr>
          <w:rFonts w:ascii="Calibri"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Pour fonder le pouvoir dans l'organisation politique de la République, Rawls a recours à Kant. Le recours à une « construction kantienne » est essentiel à la démarche de Rawls. Sans elle, il ne peut pas espérer mettre fin aux « troubles » qui agitent la tradition démocratique, mais les conditions qui la définissent reflètent</w:t>
      </w:r>
      <w:r>
        <w:rPr>
          <w:rFonts w:ascii="Calibri" w:eastAsia="Batang" w:hAnsi="Calibri" w:cs="Calibri"/>
          <w:b/>
          <w:bCs/>
          <w:sz w:val="25"/>
          <w:szCs w:val="25"/>
        </w:rPr>
        <w:t xml:space="preserve"> </w:t>
      </w:r>
      <w:r>
        <w:rPr>
          <w:rFonts w:ascii="Calibri" w:eastAsia="Batang" w:hAnsi="Calibri" w:cs="Calibri"/>
          <w:sz w:val="25"/>
          <w:szCs w:val="25"/>
        </w:rPr>
        <w:t>une « conception particulière de la personne » historiquement située</w:t>
      </w:r>
      <w:r>
        <w:rPr>
          <w:rStyle w:val="Appelnotedebasdep"/>
          <w:rFonts w:ascii="Calibri" w:eastAsia="Batang" w:hAnsi="Calibri" w:cs="Calibri"/>
          <w:b/>
          <w:bCs/>
          <w:sz w:val="25"/>
          <w:szCs w:val="25"/>
        </w:rPr>
        <w:footnoteReference w:id="34"/>
      </w:r>
      <w:r>
        <w:rPr>
          <w:rFonts w:ascii="Calibri" w:eastAsia="Batang" w:hAnsi="Calibri" w:cs="Calibri"/>
          <w:b/>
          <w:bCs/>
          <w:sz w:val="25"/>
          <w:szCs w:val="25"/>
        </w:rPr>
        <w:t xml:space="preserve">. </w:t>
      </w:r>
      <w:r>
        <w:rPr>
          <w:rFonts w:ascii="Calibri" w:eastAsia="Batang" w:hAnsi="Calibri" w:cs="Calibri"/>
          <w:sz w:val="25"/>
          <w:szCs w:val="25"/>
        </w:rPr>
        <w:t xml:space="preserve">Dans un monde où les libertés doivent agir en se respectant mutuellement, le droit est requis pour affronter les questions qui se posent aux personnes qui reconnaissent qu'elles n'existent pas seules et qu'elles ne représentent pas elles-mêmes tout l'homme, qu'elles sont liées à une particularité. Qu'un homme soit une partie de l'homme, cela signifie des contraintes, tant dans sa prétention d'être homme, que dans la réalisation  </w:t>
      </w:r>
      <w:r>
        <w:rPr>
          <w:rFonts w:ascii="Calibri" w:eastAsia="Batang" w:hAnsi="Calibri" w:cs="Calibri"/>
          <w:sz w:val="25"/>
          <w:szCs w:val="25"/>
        </w:rPr>
        <w:lastRenderedPageBreak/>
        <w:t>de sa liberté</w:t>
      </w:r>
      <w:r>
        <w:rPr>
          <w:rStyle w:val="Appelnotedebasdep"/>
          <w:rFonts w:ascii="Calibri" w:eastAsia="Batang" w:hAnsi="Calibri" w:cs="Calibri"/>
          <w:sz w:val="25"/>
          <w:szCs w:val="25"/>
        </w:rPr>
        <w:footnoteReference w:id="35"/>
      </w:r>
      <w:r>
        <w:rPr>
          <w:rFonts w:ascii="Calibri" w:eastAsia="Batang" w:hAnsi="Calibri" w:cs="Calibri"/>
          <w:sz w:val="25"/>
          <w:szCs w:val="25"/>
        </w:rPr>
        <w:t>. L'homme doit prendre en compte les autres parties de l'être homme, les autres hommes qui tous contestent sa liberté</w:t>
      </w:r>
      <w:r>
        <w:rPr>
          <w:rStyle w:val="Appelnotedebasdep"/>
          <w:rFonts w:ascii="Calibri" w:eastAsia="Batang" w:hAnsi="Calibri" w:cs="Calibri"/>
          <w:sz w:val="25"/>
          <w:szCs w:val="25"/>
        </w:rPr>
        <w:footnoteReference w:id="36"/>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b/>
          <w:bCs/>
          <w:sz w:val="25"/>
          <w:szCs w:val="25"/>
        </w:rPr>
      </w:pPr>
    </w:p>
    <w:p w:rsidR="000A31A8" w:rsidRDefault="0065345B">
      <w:pPr>
        <w:pStyle w:val="Titre1"/>
        <w:spacing w:after="0" w:line="324" w:lineRule="auto"/>
        <w:ind w:left="0" w:firstLine="0"/>
        <w:jc w:val="both"/>
        <w:rPr>
          <w:rFonts w:ascii="Calibri" w:hAnsi="Calibri" w:cs="Calibri"/>
          <w:bCs w:val="0"/>
          <w:sz w:val="28"/>
          <w:szCs w:val="28"/>
        </w:rPr>
      </w:pPr>
      <w:bookmarkStart w:id="14" w:name="_Toc127173489"/>
      <w:r>
        <w:rPr>
          <w:rFonts w:ascii="Calibri" w:hAnsi="Calibri" w:cs="Calibri"/>
          <w:bCs w:val="0"/>
          <w:sz w:val="28"/>
          <w:szCs w:val="28"/>
        </w:rPr>
        <w:t>2. 1. LE RECOURS AU CONSTRUCTIVISME KANTIEN</w:t>
      </w:r>
      <w:bookmarkEnd w:id="14"/>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réflexion de Kant met en évidence  les contraintes que s'imposent mutuellement les libertés qui doivent se réaliser dans l'espace et dans le temps</w:t>
      </w:r>
      <w:r>
        <w:rPr>
          <w:rStyle w:val="Appelnotedebasdep"/>
          <w:rFonts w:ascii="Calibri" w:eastAsia="Batang" w:hAnsi="Calibri" w:cs="Calibri"/>
          <w:sz w:val="25"/>
          <w:szCs w:val="25"/>
        </w:rPr>
        <w:footnoteReference w:id="37"/>
      </w:r>
      <w:r>
        <w:rPr>
          <w:rFonts w:ascii="Calibri" w:eastAsia="Batang" w:hAnsi="Calibri" w:cs="Calibri"/>
          <w:sz w:val="25"/>
          <w:szCs w:val="25"/>
        </w:rPr>
        <w:t xml:space="preserve">. Dans la </w:t>
      </w:r>
      <w:r>
        <w:rPr>
          <w:rFonts w:ascii="Calibri" w:eastAsia="Batang" w:hAnsi="Calibri" w:cs="Calibri"/>
          <w:i/>
          <w:iCs/>
          <w:sz w:val="25"/>
          <w:szCs w:val="25"/>
        </w:rPr>
        <w:t>Critique de la faculté de juger,</w:t>
      </w:r>
      <w:r>
        <w:rPr>
          <w:rFonts w:ascii="Calibri" w:eastAsia="Batang" w:hAnsi="Calibri" w:cs="Calibri"/>
          <w:sz w:val="25"/>
          <w:szCs w:val="25"/>
        </w:rPr>
        <w:t xml:space="preserve"> Kant estime que dans l'acte esthétique de l’homme, affirmant l'universalité de son sentiment, dépasse son « je » et rejoint l'autre. D'où la maxime penser en se mettant à la place de tout autre être humain  qui exprime la décentration du cogito cartésien. D'après Rawls, le kantisme est en mesure de rendre compatible la liberté et l'égalité, la pluralité et l'unité, parce qu'il les rattache également à une même conception morale de la personne</w:t>
      </w:r>
      <w:r>
        <w:rPr>
          <w:rStyle w:val="Appelnotedebasdep"/>
          <w:rFonts w:ascii="Calibri" w:eastAsia="Batang" w:hAnsi="Calibri" w:cs="Calibri"/>
          <w:b/>
          <w:bCs/>
          <w:sz w:val="25"/>
          <w:szCs w:val="25"/>
        </w:rPr>
        <w:footnoteReference w:id="38"/>
      </w:r>
      <w:r>
        <w:rPr>
          <w:rFonts w:ascii="Calibri" w:eastAsia="Batang" w:hAnsi="Calibri" w:cs="Calibri"/>
          <w:b/>
          <w:bCs/>
          <w:sz w:val="25"/>
          <w:szCs w:val="25"/>
        </w:rPr>
        <w:t xml:space="preserve">. </w:t>
      </w:r>
      <w:r>
        <w:rPr>
          <w:rFonts w:ascii="Calibri" w:eastAsia="Batang" w:hAnsi="Calibri" w:cs="Calibri"/>
          <w:sz w:val="25"/>
          <w:szCs w:val="25"/>
        </w:rPr>
        <w:t>La spécification des relations appropriées entre citoyens libres et égaux doit être complétée par une conception de la personne dans la mesure où les caractéristiques formelles de la position originelle ne font qu’exprimer la norme de réciprocité ou l’idée de raisonnable</w:t>
      </w:r>
      <w:r>
        <w:rPr>
          <w:rStyle w:val="Appelnotedebasdep"/>
          <w:rFonts w:ascii="Calibri" w:eastAsia="Batang" w:hAnsi="Calibri" w:cs="Calibri"/>
          <w:sz w:val="25"/>
          <w:szCs w:val="25"/>
        </w:rPr>
        <w:footnoteReference w:id="39"/>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réciprocité apparaît alors comme un idéal social puisque dans une démocratie les citoyens sont les auteurs des normes qui régissent leur existence sociale et politique : ce qui implique que les pratiques dans lesquelles ils s’engagent doivent être considérées comme le fruit de leur coopération et non comme le résultat d’une simple coordination des actions d’individus isolés sous l’autorité de l’utilité sociale</w:t>
      </w:r>
      <w:r>
        <w:rPr>
          <w:rStyle w:val="Appelnotedebasdep"/>
          <w:rFonts w:ascii="Calibri" w:eastAsia="Batang" w:hAnsi="Calibri" w:cs="Calibri"/>
          <w:sz w:val="25"/>
          <w:szCs w:val="25"/>
        </w:rPr>
        <w:footnoteReference w:id="40"/>
      </w:r>
      <w:r>
        <w:rPr>
          <w:rFonts w:ascii="Calibri" w:eastAsia="Batang" w:hAnsi="Calibri" w:cs="Calibri"/>
          <w:sz w:val="25"/>
          <w:szCs w:val="25"/>
        </w:rPr>
        <w:t xml:space="preserve">. La philosophie pertinente de la justice doit intégrer l’idéal de réciprocité. En effet, ce que Rawls trouve chez Kant, c'est le devoir des hommes de se traiter les uns les autres </w:t>
      </w:r>
      <w:r>
        <w:rPr>
          <w:rFonts w:ascii="Calibri" w:eastAsia="Batang" w:hAnsi="Calibri" w:cs="Calibri"/>
          <w:sz w:val="25"/>
          <w:szCs w:val="25"/>
        </w:rPr>
        <w:lastRenderedPageBreak/>
        <w:t>comme fin en soi.</w:t>
      </w:r>
      <w:r>
        <w:rPr>
          <w:rFonts w:ascii="Calibri" w:eastAsia="Batang" w:hAnsi="Calibri" w:cs="Calibri"/>
          <w:b/>
          <w:bCs/>
          <w:sz w:val="25"/>
          <w:szCs w:val="25"/>
        </w:rPr>
        <w:t xml:space="preserve"> </w:t>
      </w:r>
      <w:r>
        <w:rPr>
          <w:rFonts w:ascii="Calibri" w:eastAsia="Batang" w:hAnsi="Calibri" w:cs="Calibri"/>
          <w:sz w:val="25"/>
          <w:szCs w:val="25"/>
        </w:rPr>
        <w:t>Traiter les hommes comme des fins en soi implique de les traiter en accord avec les principes auxquels, dans une position originelle d'égalité, ils consentiraient. Ceci suppose la considération du contrat définissant que les hommes doivent être traités comme des fins et non pas seulement comme des moyens et adoptant les principes rationnels</w:t>
      </w:r>
      <w:r>
        <w:rPr>
          <w:rStyle w:val="Appelnotedebasdep"/>
          <w:rFonts w:ascii="Calibri" w:eastAsia="Batang" w:hAnsi="Calibri" w:cs="Calibri"/>
          <w:sz w:val="25"/>
          <w:szCs w:val="25"/>
        </w:rPr>
        <w:footnoteReference w:id="41"/>
      </w:r>
      <w:r>
        <w:rPr>
          <w:rFonts w:ascii="Calibri" w:eastAsia="Batang" w:hAnsi="Calibri" w:cs="Calibri"/>
          <w:sz w:val="25"/>
          <w:szCs w:val="25"/>
        </w:rPr>
        <w:t xml:space="preserve"> pour protéger les revendications de leur personne</w:t>
      </w:r>
      <w:r>
        <w:rPr>
          <w:rFonts w:ascii="Calibri" w:eastAsia="Batang" w:hAnsi="Calibri" w:cs="Calibri"/>
          <w:b/>
          <w:bCs/>
          <w:sz w:val="25"/>
          <w:szCs w:val="25"/>
        </w:rPr>
        <w:t xml:space="preserve">. </w:t>
      </w:r>
      <w:r>
        <w:rPr>
          <w:rFonts w:ascii="Calibri" w:eastAsia="Batang" w:hAnsi="Calibri" w:cs="Calibri"/>
          <w:sz w:val="25"/>
          <w:szCs w:val="25"/>
        </w:rPr>
        <w:t xml:space="preserve">Puisque les inégalités de naissance et donc naturels sont immérités, il faut, en quelque façon, y apporter des compensations.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rPr>
        <w:t>Pour Rawls, les partenaires, dans la position originelle, sont des agents rationnellement autonomes d'un processus de construction et cette autonomie complète des citoyens dans la vie quotidienne, ayant une certaine vision d'eux-mêmes, défendant et appliquant les principes premiers de justice sur lesquels ils se sont mis d'accord.</w:t>
      </w:r>
      <w:r>
        <w:rPr>
          <w:rFonts w:ascii="Calibri" w:eastAsia="Batang" w:hAnsi="Calibri" w:cs="Calibri"/>
          <w:sz w:val="25"/>
          <w:szCs w:val="25"/>
          <w:lang w:val="fr-BE"/>
        </w:rPr>
        <w:t xml:space="preserve"> L’on sait, par ailleurs, que le projet de Hobbes ne se limite pas simplement à la proposition d'un pouvoir commun ; il soutient avec force qu'il n'y a  qu’un pouvoir étatique indivis qui soit à mesure de garantir la paix et la conservation de soi. Rawls estime que cette affirmation part de la difficulté de l'établissement du pouvoir public née de la bipolarité chiasmatique entre le contrat et le pouvoir public.</w:t>
      </w:r>
    </w:p>
    <w:p w:rsidR="000A31A8" w:rsidRDefault="000A31A8">
      <w:pPr>
        <w:tabs>
          <w:tab w:val="left" w:pos="2520"/>
        </w:tabs>
        <w:spacing w:line="324" w:lineRule="auto"/>
        <w:ind w:right="-2" w:firstLine="709"/>
        <w:jc w:val="both"/>
        <w:rPr>
          <w:rFonts w:ascii="Calibri" w:eastAsia="Batang" w:hAnsi="Calibri" w:cs="Calibri"/>
          <w:sz w:val="25"/>
          <w:szCs w:val="25"/>
          <w:lang w:val="fr-BE"/>
        </w:rPr>
      </w:pPr>
    </w:p>
    <w:p w:rsidR="000A31A8" w:rsidRDefault="0065345B">
      <w:pPr>
        <w:pStyle w:val="Titre1"/>
        <w:spacing w:after="0" w:line="324" w:lineRule="auto"/>
        <w:ind w:left="0" w:firstLine="0"/>
        <w:jc w:val="both"/>
        <w:rPr>
          <w:rFonts w:ascii="Calibri" w:hAnsi="Calibri" w:cs="Calibri"/>
          <w:bCs w:val="0"/>
          <w:sz w:val="28"/>
          <w:szCs w:val="28"/>
        </w:rPr>
      </w:pPr>
      <w:bookmarkStart w:id="15" w:name="_Toc127173490"/>
      <w:r>
        <w:rPr>
          <w:rFonts w:ascii="Calibri" w:hAnsi="Calibri" w:cs="Calibri"/>
          <w:bCs w:val="0"/>
          <w:sz w:val="28"/>
          <w:szCs w:val="28"/>
        </w:rPr>
        <w:t>2. 2. LA CRITIQUE DE L’ABSOLUTISME HOBBESSIEN</w:t>
      </w:r>
      <w:bookmarkEnd w:id="15"/>
    </w:p>
    <w:p w:rsidR="000A31A8" w:rsidRDefault="000A31A8">
      <w:pPr>
        <w:tabs>
          <w:tab w:val="left" w:pos="2520"/>
        </w:tabs>
        <w:spacing w:line="324" w:lineRule="auto"/>
        <w:ind w:right="-2" w:firstLine="709"/>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Le fondement hobbesien de l'Etat a comme base la théorie du contrat : d'un côté, le souverain est institué par le contrat et de l'autre côté, le respect du contrat est garanti par ce souverain, donc par l'Etat. L'unique façon, pour Hobbes, de parer à cette difficulté est de recourir à l'idée du représentant, laquelle idée est développée au seizième et au dix-septième chapitre de </w:t>
      </w:r>
      <w:r>
        <w:rPr>
          <w:rFonts w:ascii="Calibri" w:eastAsia="Batang" w:hAnsi="Calibri" w:cs="Calibri"/>
          <w:i/>
          <w:iCs/>
          <w:sz w:val="25"/>
          <w:szCs w:val="25"/>
          <w:lang w:val="fr-BE"/>
        </w:rPr>
        <w:t>Léviathan</w:t>
      </w:r>
      <w:r>
        <w:rPr>
          <w:rFonts w:ascii="Calibri" w:eastAsia="Batang" w:hAnsi="Calibri" w:cs="Calibri"/>
          <w:sz w:val="25"/>
          <w:szCs w:val="25"/>
          <w:lang w:val="fr-BE"/>
        </w:rPr>
        <w:t xml:space="preserve">. Il s'agit d'une cession des droits des partenaires. Ces derniers cèdent leurs droits au mandataire (représentant) qui peut être soit un homme seul (dans une monarchie), soit un groupe de représentants (dans une aristocratie), soit encore, enfin, le peuple tout entier (dans une démocratie). </w:t>
      </w:r>
      <w:r>
        <w:rPr>
          <w:rFonts w:ascii="Calibri" w:eastAsia="Batang" w:hAnsi="Calibri" w:cs="Calibri"/>
          <w:sz w:val="25"/>
          <w:szCs w:val="25"/>
          <w:lang w:val="fr-BE"/>
        </w:rPr>
        <w:lastRenderedPageBreak/>
        <w:t>En tant que représentant de toutes les parties, le souverain est sans nul doute, hiérarchiquement, au-dessus des parties dans la mesure où il incarne la volonté de paix.</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Pour Rawls, la construction de l'Etat chez Hobbes requiert un élément démocratique par le fait qu'il représente l'Etat monarchique, aristocratique ou démocratique comme l'émanation de tous les individus. Selon Hobbes, le contrat ne résulte que de l'engagement de chacun. Cela a pour conséquence que le représentant se voit investi d'un pouvoir illimité ; il devient finalement un souverain absolu investi par le contrat qui prend réellement la forme de soumission. </w:t>
      </w:r>
      <w:r>
        <w:rPr>
          <w:rFonts w:ascii="Calibri" w:hAnsi="Calibri" w:cs="Calibri"/>
          <w:sz w:val="25"/>
          <w:szCs w:val="25"/>
        </w:rPr>
        <w:t>Rawls fait remarquer que Hobbes ne plaide pas uniquement pour l'absolutisme. Le souci de celui-ci étant d'identifier le pouvoir de l'Etat à  la souveraineté indivise. Et c'est à ce niveau que Rawls perçoit un danger réel. Comme le perçoit Höffe,  l’identification du pouvoir de l'Etat et de l'absolutisme entraîne, en plus de menaces que ce dernier recèle, la dangereuse conséquence que toute forme d'Etat – et cela est vrai même pour l'Etat de droit et pour l'Etat constitutionnel  (où les pouvoirs sont partagés) – non seulement évolue vers une plus mauvaise forme d'Etat, mais tend vers l'absence d'Etat, variante de l'état de nature et de l'anarchie</w:t>
      </w:r>
      <w:r>
        <w:rPr>
          <w:rStyle w:val="Appelnotedebasdep"/>
          <w:rFonts w:ascii="Calibri" w:hAnsi="Calibri" w:cs="Calibri"/>
          <w:sz w:val="25"/>
          <w:szCs w:val="25"/>
        </w:rPr>
        <w:footnoteReference w:id="42"/>
      </w:r>
      <w:r>
        <w:rPr>
          <w:rFonts w:ascii="Calibri"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En outre c'est par sa théorie du représentant</w:t>
      </w:r>
      <w:r>
        <w:rPr>
          <w:rStyle w:val="Appelnotedebasdep"/>
          <w:rFonts w:ascii="Calibri" w:eastAsia="Batang" w:hAnsi="Calibri" w:cs="Calibri"/>
          <w:sz w:val="25"/>
          <w:szCs w:val="25"/>
          <w:lang w:val="fr-BE"/>
        </w:rPr>
        <w:footnoteReference w:id="43"/>
      </w:r>
      <w:r>
        <w:rPr>
          <w:rFonts w:ascii="Calibri" w:eastAsia="Batang" w:hAnsi="Calibri" w:cs="Calibri"/>
          <w:sz w:val="25"/>
          <w:szCs w:val="25"/>
          <w:lang w:val="fr-BE"/>
        </w:rPr>
        <w:t xml:space="preserve"> que Hobbes arrive à justifier l'Etat absolutiste. Au cours du développement de sa pensée dans </w:t>
      </w:r>
      <w:r>
        <w:rPr>
          <w:rFonts w:ascii="Calibri" w:eastAsia="Batang" w:hAnsi="Calibri" w:cs="Calibri"/>
          <w:i/>
          <w:iCs/>
          <w:sz w:val="25"/>
          <w:szCs w:val="25"/>
          <w:lang w:val="fr-BE"/>
        </w:rPr>
        <w:t>Léviathan</w:t>
      </w:r>
      <w:r>
        <w:rPr>
          <w:rFonts w:ascii="Calibri" w:eastAsia="Batang" w:hAnsi="Calibri" w:cs="Calibri"/>
          <w:sz w:val="25"/>
          <w:szCs w:val="25"/>
          <w:lang w:val="fr-BE"/>
        </w:rPr>
        <w:t xml:space="preserve"> apparaît après l'anthropologie, la théorie du représentant, la théorie de l'état de nature et la justification des 19 lois de nature. On ne la trouve que dans les chapitres 16 et 17 qui constituent la conclusion de la première partie et le début de la deuxième. Ce n'est donc que dans une argumentation tardive de l'œuvre de Hobbes qu'apparaît la légitimation de l'absolutisme</w:t>
      </w:r>
      <w:r>
        <w:rPr>
          <w:rStyle w:val="Appelnotedebasdep"/>
          <w:rFonts w:ascii="Calibri" w:eastAsia="Batang" w:hAnsi="Calibri" w:cs="Calibri"/>
          <w:sz w:val="25"/>
          <w:szCs w:val="25"/>
          <w:lang w:val="fr-BE"/>
        </w:rPr>
        <w:footnoteReference w:id="44"/>
      </w:r>
      <w:r>
        <w:rPr>
          <w:rFonts w:ascii="Calibri" w:eastAsia="Batang" w:hAnsi="Calibri" w:cs="Calibri"/>
          <w:sz w:val="25"/>
          <w:szCs w:val="25"/>
          <w:lang w:val="fr-BE"/>
        </w:rPr>
        <w:t xml:space="preserve">. Il est clair que cette légitimation de l'absolutisme donne l'autorisation  à l'Etat d'user de pleins pouvoirs. Autrement dit, le pouvoir public ne peut aucunement être soumis à des limitations normatives. Son unique devoir est de veiller à la paix et à la défense commune. L'Etat ou le souverain ne possède de </w:t>
      </w:r>
      <w:r>
        <w:rPr>
          <w:rFonts w:ascii="Calibri" w:eastAsia="Batang" w:hAnsi="Calibri" w:cs="Calibri"/>
          <w:sz w:val="25"/>
          <w:szCs w:val="25"/>
          <w:lang w:val="fr-BE"/>
        </w:rPr>
        <w:lastRenderedPageBreak/>
        <w:t>l’autorité, selon la logique développée un peu plus haut, que dans la mesure où il garantit la protection de la vie des citoyens. Ceci implique en outre qu'un souverain incapable de garantir la paix devrait être déchu.</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L'absolutisme hobbesien qui donne un pouvoir illimité au souverain a provoqué une opposition passionnée des Anglais. Il a aussi suscité une réaction de Locke, de Rousseau et de Kant. Dans la logique hobbessienne, le contrat implique l'aliénation irrévocable et totale de tous les droits naturels des hommes. Alors qu'à l'état de nature, l'homme possède – conformément au principe de la libre conservation de soi – un droit à tout, dans la situation étatique, il possède seulement, dans le meilleur des cas, un droit à la paix intérieure et extérieure –paix nécessaire à la libre conservation de soi et au bonheur–</w:t>
      </w:r>
      <w:r>
        <w:rPr>
          <w:rStyle w:val="Appelnotedebasdep"/>
          <w:rFonts w:ascii="Calibri" w:eastAsia="Batang" w:hAnsi="Calibri" w:cs="Calibri"/>
          <w:sz w:val="25"/>
          <w:szCs w:val="25"/>
          <w:lang w:val="fr-BE"/>
        </w:rPr>
        <w:footnoteReference w:id="45"/>
      </w:r>
      <w:r>
        <w:rPr>
          <w:rFonts w:ascii="Calibri" w:eastAsia="Batang" w:hAnsi="Calibri" w:cs="Calibri"/>
          <w:sz w:val="25"/>
          <w:szCs w:val="25"/>
          <w:lang w:val="fr-BE"/>
        </w:rPr>
        <w:t xml:space="preserve">. Hobbes légitime aussi d'autres critères normatifs pour la paix. Ces critères normatifs sont ce qu'il appelle </w:t>
      </w:r>
      <w:r>
        <w:rPr>
          <w:rFonts w:ascii="Calibri" w:eastAsia="Batang" w:hAnsi="Calibri" w:cs="Calibri"/>
          <w:i/>
          <w:iCs/>
          <w:sz w:val="25"/>
          <w:szCs w:val="25"/>
          <w:lang w:val="fr-BE"/>
        </w:rPr>
        <w:t>lois naturelles</w:t>
      </w:r>
      <w:r>
        <w:rPr>
          <w:rFonts w:ascii="Calibri" w:eastAsia="Batang" w:hAnsi="Calibri" w:cs="Calibri"/>
          <w:sz w:val="25"/>
          <w:szCs w:val="25"/>
          <w:lang w:val="fr-BE"/>
        </w:rPr>
        <w:t>. Celles-ci se situent par ailleurs en dehors de sa définition de l'Etat.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La conséquence qui vient de cette conception est la non obligation du droit positif à l'égard des droits de l'homme. Et malgré la prise en compte des lois naturelles, personne n'est libéré de l'obéissance aux lois positives, même au cas où  celles-ci entrent en contradiction avec les lois naturelles. Rawls conclut que la théorie hobbesienne de l'Etat est le prolongement et le brusque tournant de l'histoire dans la mesure où la justification rationnelle de l'Etat en général débouche sur la légitimation d'un souverain absolu et au-dessus des lois positives et naturelles. En dépit de ces implications absolutistes, Hobbes croit que l'homme est motivé uniquement par son propre intérêt rationnel; il est en conséquence intéressé à l'Etat de paix, c'est-à-dire à la soumission au souverain qui, lui, possède l'autorité la plus haute et la plus universelle.</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L’auteur de la </w:t>
      </w:r>
      <w:r>
        <w:rPr>
          <w:rFonts w:ascii="Calibri" w:eastAsia="Batang" w:hAnsi="Calibri" w:cs="Calibri"/>
          <w:i/>
          <w:sz w:val="25"/>
          <w:szCs w:val="25"/>
          <w:lang w:val="fr-BE"/>
        </w:rPr>
        <w:t>Théorie de justice</w:t>
      </w:r>
      <w:r>
        <w:rPr>
          <w:rFonts w:ascii="Calibri" w:eastAsia="Batang" w:hAnsi="Calibri" w:cs="Calibri"/>
          <w:sz w:val="25"/>
          <w:szCs w:val="25"/>
          <w:lang w:val="fr-BE"/>
        </w:rPr>
        <w:t xml:space="preserve"> attire l'attention sur les limites et la subtilité de la théorie hobbesienne  du pouvoir du souverain. Ce dernier ne possède  le pouvoir absolu que tant qu'il garantit la protection de la vie des citoyens à l'intérieur tout comme à l'extérieur. Si le souverain ne peut plus s'acquitter de cette tâche de protection et de paix, le fondement du contrat disparaît logiquement. Lorsque le but </w:t>
      </w:r>
      <w:r>
        <w:rPr>
          <w:rFonts w:ascii="Calibri" w:eastAsia="Batang" w:hAnsi="Calibri" w:cs="Calibri"/>
          <w:sz w:val="25"/>
          <w:szCs w:val="25"/>
          <w:lang w:val="fr-BE"/>
        </w:rPr>
        <w:lastRenderedPageBreak/>
        <w:t>– à savoir assurer et permettre la libre conservation de soi des citoyens – n'est pas atteint, le devoir d'obéissance prend fin</w:t>
      </w:r>
      <w:r>
        <w:rPr>
          <w:rStyle w:val="Appelnotedebasdep"/>
          <w:rFonts w:ascii="Calibri" w:eastAsia="Batang" w:hAnsi="Calibri" w:cs="Calibri"/>
          <w:sz w:val="25"/>
          <w:szCs w:val="25"/>
          <w:lang w:val="fr-BE"/>
        </w:rPr>
        <w:footnoteReference w:id="46"/>
      </w:r>
      <w:r>
        <w:rPr>
          <w:rFonts w:ascii="Calibri" w:eastAsia="Batang" w:hAnsi="Calibri" w:cs="Calibri"/>
          <w:sz w:val="25"/>
          <w:szCs w:val="25"/>
          <w:lang w:val="fr-BE"/>
        </w:rPr>
        <w:t>.</w:t>
      </w:r>
    </w:p>
    <w:p w:rsidR="000A31A8" w:rsidRDefault="000A31A8">
      <w:pPr>
        <w:pStyle w:val="Corpsdetexte"/>
        <w:tabs>
          <w:tab w:val="left" w:pos="2520"/>
        </w:tabs>
        <w:spacing w:line="324" w:lineRule="auto"/>
        <w:ind w:right="-2"/>
        <w:rPr>
          <w:rFonts w:ascii="Calibri" w:eastAsia="Batang" w:hAnsi="Calibri" w:cs="Calibri"/>
          <w:sz w:val="25"/>
          <w:szCs w:val="25"/>
        </w:rPr>
      </w:pPr>
    </w:p>
    <w:p w:rsidR="000A31A8" w:rsidRDefault="0065345B">
      <w:pPr>
        <w:pStyle w:val="Corpsdetexte"/>
        <w:tabs>
          <w:tab w:val="left" w:pos="2520"/>
        </w:tabs>
        <w:spacing w:line="324" w:lineRule="auto"/>
        <w:ind w:right="-2"/>
        <w:rPr>
          <w:rFonts w:ascii="Calibri" w:eastAsia="Batang" w:hAnsi="Calibri" w:cs="Calibri"/>
          <w:sz w:val="25"/>
          <w:szCs w:val="25"/>
        </w:rPr>
      </w:pPr>
      <w:r>
        <w:rPr>
          <w:rFonts w:ascii="Calibri" w:eastAsia="Batang" w:hAnsi="Calibri" w:cs="Calibri"/>
          <w:sz w:val="25"/>
          <w:szCs w:val="25"/>
        </w:rPr>
        <w:t>Pour Rawls donc, l'absolutisme hobbesien n'est pas un but en soi et ne repose pas non plus sur une théorie politique quelconque; il est plutôt la condition nécessaire et suffisante de l'état de paix et un moyen dont la fin demeure le bonheur des citoyens. C'est pourquoi Rawls estime qu'on ne peut pas reprocher à Hobbes d'avoir succombé à une apologie de l'Etat. L'Etat proposé par Hobbes n'est pas complètement absolutiste ; car, bien qu'ayant une tendance à l'absolutisme quant à la garantie de la paix, l'Etat hobbesien est libéral quant à son contenu dans la mesure où il n'intervient pas dans la libre conservation de soi. L’on pourrait poser: "Est-ce que le souverain absolu est le meilleur choix, est-ce qu'il est indubitablement une condition nécessaire et suffisante pour la paix et le bonheur des citoyens?"</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Par conséquent, La théorie hobbesienne peut paraître plausible dans l'abstraction. Mais sa faiblesse apparaît nettement quand elle doit saisir la réalité politique. Car, en tant que réalité, la souveraineté doit se concrétiser dans des personnes. C'est à ce niveau que la théorie hobbesienne se révèle vraiment absolutiste et entre en contradiction avec sa propre fin qui est la conservation de soi, la paix, le bonheur.</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Hobbes a négligé deux problèmes fondamentaux inhérents à toute théorie et à toute pratique politique : Où sont les limites normatives du pouvoir? Qui contrôle le souverain? Au sujet de la première question, il manque dans la conception hobbesienne une réflexion sur les droits de l'homme qu'aucun Etat ne peut accorder originairement mais qu'il ne peut que garantir. Hobbes développe, dans le chapitre 18 du </w:t>
      </w:r>
      <w:r>
        <w:rPr>
          <w:rFonts w:ascii="Calibri" w:eastAsia="Batang" w:hAnsi="Calibri" w:cs="Calibri"/>
          <w:i/>
          <w:iCs/>
          <w:sz w:val="25"/>
          <w:szCs w:val="25"/>
          <w:lang w:val="fr-BE"/>
        </w:rPr>
        <w:t>Léviathan,</w:t>
      </w:r>
      <w:r>
        <w:rPr>
          <w:rFonts w:ascii="Calibri" w:eastAsia="Batang" w:hAnsi="Calibri" w:cs="Calibri"/>
          <w:sz w:val="25"/>
          <w:szCs w:val="25"/>
          <w:lang w:val="fr-BE"/>
        </w:rPr>
        <w:t xml:space="preserve"> la conception selon laquelle le souverain ne peut faire de tort à ses sujets.  Par rapport à la deuxième question, le souverain absolu, selon Hobbes, n'est responsable que devant sa conscience et devant Dieu. Cette réponse est tout simplement d'ordre moral et religieux parce qu'il n'est pas possible, dans le cadre de la souveraineté absolue de l'Etat, de donner une réponse politique. En fait une réponse politique supposerait une puissance politique supérieure. Or, si tel est le cas, </w:t>
      </w:r>
      <w:r>
        <w:rPr>
          <w:rFonts w:ascii="Calibri" w:eastAsia="Batang" w:hAnsi="Calibri" w:cs="Calibri"/>
          <w:sz w:val="25"/>
          <w:szCs w:val="25"/>
          <w:lang w:val="fr-BE"/>
        </w:rPr>
        <w:lastRenderedPageBreak/>
        <w:t>c'est cette puissance politique qui est le souverain. Mais cette réponse d'ordre moral et religieux est aussi illogique.</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Hobbes a séparé rigoureusement la conscience de la politique. A ce sujet Rawls  écrit : </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Mais alors la théorie du souverain absolu recèle une contradiction fondamentale : ce qui ne doit avoir validité que dans la sphère politique, ou ce qui est simplement moral et religieux, reçoit une signification politique dans la personne du souverain absolu. Le sommet de la théorie politique de Hobbes, la doctrine de la souveraineté absolue, est indéfendable en fonction de la théorie elle-même »</w:t>
      </w:r>
      <w:r>
        <w:rPr>
          <w:rStyle w:val="Appelnotedebasdep"/>
          <w:rFonts w:ascii="Calibri" w:eastAsia="Batang" w:hAnsi="Calibri" w:cs="Calibri"/>
          <w:sz w:val="25"/>
          <w:szCs w:val="25"/>
          <w:lang w:val="fr-BE"/>
        </w:rPr>
        <w:footnoteReference w:id="47"/>
      </w:r>
      <w:r>
        <w:rPr>
          <w:rFonts w:ascii="Calibri" w:eastAsia="Batang" w:hAnsi="Calibri" w:cs="Calibri"/>
          <w:sz w:val="25"/>
          <w:szCs w:val="25"/>
          <w:lang w:val="fr-BE"/>
        </w:rPr>
        <w:t>. Si l'on exprime cela politiquement, on peut dire que face au risque d'anarchie, Hobbes a préféré minimiser le danger complémentaire de la tyrannie. Dans la mesure où une philosophie politique équitable se donne pour tâche de défendre une coexistence libre contre le double danger de la guerre civile et du pouvoir arbitraire, force nous est de constater que la construction politique de Hobbes a échoué</w:t>
      </w:r>
      <w:r>
        <w:rPr>
          <w:rStyle w:val="Appelnotedebasdep"/>
          <w:rFonts w:ascii="Calibri" w:eastAsia="Batang" w:hAnsi="Calibri" w:cs="Calibri"/>
          <w:sz w:val="25"/>
          <w:szCs w:val="25"/>
          <w:lang w:val="fr-BE"/>
        </w:rPr>
        <w:footnoteReference w:id="48"/>
      </w:r>
      <w:r>
        <w:rPr>
          <w:rFonts w:ascii="Calibri" w:eastAsia="Batang" w:hAnsi="Calibri" w:cs="Calibri"/>
          <w:sz w:val="25"/>
          <w:szCs w:val="25"/>
          <w:lang w:val="fr-BE"/>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De ces différentes remarques on peut aboutir à la conclusion suivante : « La logique impitoyable du système tant célébré (la construction de l’Etat sur une base anthropologique extrêmement étroite posée par Hobbes) infirme le propos même de Hobbes »</w:t>
      </w:r>
      <w:r>
        <w:rPr>
          <w:rStyle w:val="Appelnotedebasdep"/>
          <w:rFonts w:ascii="Calibri" w:eastAsia="Batang" w:hAnsi="Calibri" w:cs="Calibri"/>
          <w:sz w:val="25"/>
          <w:szCs w:val="25"/>
          <w:lang w:val="fr-BE"/>
        </w:rPr>
        <w:footnoteReference w:id="49"/>
      </w:r>
      <w:r>
        <w:rPr>
          <w:rFonts w:ascii="Calibri" w:eastAsia="Batang" w:hAnsi="Calibri" w:cs="Calibri"/>
          <w:sz w:val="25"/>
          <w:szCs w:val="25"/>
          <w:lang w:val="fr-BE"/>
        </w:rPr>
        <w:t>.  Si les raisons de méthode peuvent justifier le fondement anthropologique, l’absolutisme, lui, contredit précisément le principe de base de la libre conservation de soi, ce qui fragilise, de l’intérieur, la construction hobbesienne de l’Etat</w:t>
      </w:r>
      <w:r>
        <w:rPr>
          <w:rStyle w:val="Appelnotedebasdep"/>
          <w:rFonts w:ascii="Calibri" w:eastAsia="Batang" w:hAnsi="Calibri" w:cs="Calibri"/>
          <w:sz w:val="25"/>
          <w:szCs w:val="25"/>
          <w:lang w:val="fr-BE"/>
        </w:rPr>
        <w:footnoteReference w:id="50"/>
      </w:r>
      <w:r>
        <w:rPr>
          <w:rFonts w:ascii="Calibri" w:eastAsia="Batang" w:hAnsi="Calibri" w:cs="Calibri"/>
          <w:sz w:val="25"/>
          <w:szCs w:val="25"/>
          <w:lang w:val="fr-BE"/>
        </w:rPr>
        <w:t>. L’interprétation d’un individualisme radical viable dans des conditions extrêmes de domination n’est plus plausible.</w:t>
      </w:r>
    </w:p>
    <w:p w:rsidR="000A31A8" w:rsidRDefault="000A31A8">
      <w:pPr>
        <w:pStyle w:val="Corpsdetexte"/>
        <w:tabs>
          <w:tab w:val="left" w:pos="2520"/>
        </w:tabs>
        <w:spacing w:line="324" w:lineRule="auto"/>
        <w:ind w:right="-2"/>
        <w:rPr>
          <w:rFonts w:ascii="Calibri" w:eastAsia="Batang" w:hAnsi="Calibri" w:cs="Calibri"/>
          <w:sz w:val="25"/>
          <w:szCs w:val="25"/>
        </w:rPr>
      </w:pPr>
    </w:p>
    <w:p w:rsidR="000A31A8" w:rsidRDefault="0065345B">
      <w:pPr>
        <w:pStyle w:val="Corpsdetexte"/>
        <w:tabs>
          <w:tab w:val="left" w:pos="2520"/>
        </w:tabs>
        <w:spacing w:line="324" w:lineRule="auto"/>
        <w:ind w:right="-2"/>
        <w:rPr>
          <w:rFonts w:ascii="Calibri" w:eastAsia="Batang" w:hAnsi="Calibri" w:cs="Calibri"/>
          <w:sz w:val="25"/>
          <w:szCs w:val="25"/>
        </w:rPr>
      </w:pPr>
      <w:r>
        <w:rPr>
          <w:rFonts w:ascii="Calibri" w:eastAsia="Batang" w:hAnsi="Calibri" w:cs="Calibri"/>
          <w:sz w:val="25"/>
          <w:szCs w:val="25"/>
        </w:rPr>
        <w:t xml:space="preserve">Pour clore, Rawls pense que la solution au problème de la souveraineté de la paix, lequel problème est posé par Hobbes avec vigueur, ne réside ni dans l'anarchie, ni dans la souveraineté absolue, mais dans la réalisation continuelle d'un Etat démocratique (constitutionnel et social). L'étude de Hobbes nous laisse remarquer l'importance de la notion de liberté. Celle-ci est à la base de toute sa construction politique. En effet, la notion de liberté comprise comme le pouvoir de faire tout ce </w:t>
      </w:r>
      <w:r>
        <w:rPr>
          <w:rFonts w:ascii="Calibri" w:eastAsia="Batang" w:hAnsi="Calibri" w:cs="Calibri"/>
          <w:sz w:val="25"/>
          <w:szCs w:val="25"/>
        </w:rPr>
        <w:lastRenderedPageBreak/>
        <w:t>qu'on veut, fait aboutir, selon Hobbes, à  la proposition d'un pouvoir absolu qui est réducteur des libertés individuelles. Cet absolutisme est par principe contraire à toute idée de liberté.</w:t>
      </w:r>
    </w:p>
    <w:p w:rsidR="000A31A8" w:rsidRDefault="000A31A8">
      <w:pPr>
        <w:pStyle w:val="Titre1"/>
        <w:spacing w:after="0" w:line="324" w:lineRule="auto"/>
        <w:ind w:left="0" w:firstLine="0"/>
        <w:jc w:val="left"/>
        <w:rPr>
          <w:rFonts w:ascii="Calibri" w:hAnsi="Calibri" w:cs="Calibri"/>
          <w:sz w:val="25"/>
          <w:szCs w:val="25"/>
        </w:rPr>
      </w:pPr>
    </w:p>
    <w:p w:rsidR="000A31A8" w:rsidRDefault="0065345B">
      <w:pPr>
        <w:pStyle w:val="Titre1"/>
        <w:spacing w:after="0" w:line="324" w:lineRule="auto"/>
        <w:ind w:left="0" w:firstLine="0"/>
        <w:jc w:val="left"/>
        <w:rPr>
          <w:rFonts w:ascii="Calibri" w:hAnsi="Calibri" w:cs="Calibri"/>
          <w:bCs w:val="0"/>
          <w:sz w:val="28"/>
          <w:szCs w:val="28"/>
        </w:rPr>
      </w:pPr>
      <w:bookmarkStart w:id="16" w:name="_Toc127173491"/>
      <w:r>
        <w:rPr>
          <w:rFonts w:ascii="Calibri" w:hAnsi="Calibri" w:cs="Calibri"/>
          <w:bCs w:val="0"/>
          <w:sz w:val="28"/>
          <w:szCs w:val="28"/>
        </w:rPr>
        <w:t>2.3. L’ALTERNATIVE RAWLSIENNE : LA POSITION ORIGINELLE ET LE CONSENSUS</w:t>
      </w:r>
      <w:bookmarkEnd w:id="16"/>
    </w:p>
    <w:p w:rsidR="000A31A8" w:rsidRDefault="000A31A8">
      <w:pPr>
        <w:tabs>
          <w:tab w:val="left" w:pos="2520"/>
        </w:tabs>
        <w:spacing w:line="324" w:lineRule="auto"/>
        <w:ind w:right="-2" w:firstLine="709"/>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L'instauration d'un Etat de paix (dont Hobbes était aussi à la recherche)  ne peut se faire que dans le contexte d'un Etat démocratique (constitutionnel et social) censé garantir la liberté et la justice. Tel est le but que Rawls attribue au </w:t>
      </w:r>
      <w:r>
        <w:rPr>
          <w:rFonts w:ascii="Calibri" w:eastAsia="Batang" w:hAnsi="Calibri" w:cs="Calibri"/>
          <w:i/>
          <w:sz w:val="25"/>
          <w:szCs w:val="25"/>
          <w:lang w:val="fr-BE"/>
        </w:rPr>
        <w:t>Libéralisme politique</w:t>
      </w:r>
      <w:r>
        <w:rPr>
          <w:rFonts w:ascii="Calibri" w:eastAsia="Batang" w:hAnsi="Calibri" w:cs="Calibri"/>
          <w:sz w:val="25"/>
          <w:szCs w:val="25"/>
          <w:lang w:val="fr-BE"/>
        </w:rPr>
        <w:t>. L'intention hobbesienne de pouvoir contribuer à l'instauration d'un Etat de paix se heurte malheureusement à une solution non propice de l'absolutisme politique. En réalité, Hobbes n'est pas le seul à voir les choses de cette façon-là. L’on sait  que son schème de pensée a été suivi par nombre de chefs d'Etat africains qui, scandalisés par les troubles qui ont caractérisé leurs Etats respectifs durant les premières années de l'indépendance, ont pensé trouver la cause de ces troubles dans l'usage abusif de la liberté. C'est pour cette raison que, comme Hobbes, ils ont opté pour l'absolutisme politique incarné dans l'engouement du monopartisme.  En ce sens, la lecture de Rawls n'est pas du tout sans intérêt et sans actualité car l'idée selon laquelle seul un Etat démocratique peut, à l'état actuel de choses, favoriser une paix durable est caractéristique de l’Etat moderne.</w:t>
      </w:r>
    </w:p>
    <w:p w:rsidR="000A31A8" w:rsidRDefault="000A31A8">
      <w:pPr>
        <w:pStyle w:val="Corpsdetexte"/>
        <w:tabs>
          <w:tab w:val="left" w:pos="2520"/>
        </w:tabs>
        <w:spacing w:line="324" w:lineRule="auto"/>
        <w:ind w:right="-2"/>
        <w:rPr>
          <w:rFonts w:ascii="Calibri" w:eastAsia="Batang" w:hAnsi="Calibri" w:cs="Calibri"/>
          <w:sz w:val="25"/>
          <w:szCs w:val="25"/>
        </w:rPr>
      </w:pPr>
    </w:p>
    <w:p w:rsidR="000A31A8" w:rsidRDefault="0065345B">
      <w:pPr>
        <w:pStyle w:val="Corpsdetexte"/>
        <w:tabs>
          <w:tab w:val="left" w:pos="2520"/>
        </w:tabs>
        <w:spacing w:line="324" w:lineRule="auto"/>
        <w:ind w:right="-2"/>
        <w:rPr>
          <w:rFonts w:ascii="Calibri" w:eastAsia="Batang" w:hAnsi="Calibri" w:cs="Calibri"/>
          <w:sz w:val="25"/>
          <w:szCs w:val="25"/>
        </w:rPr>
      </w:pPr>
      <w:r>
        <w:rPr>
          <w:rFonts w:ascii="Calibri" w:eastAsia="Batang" w:hAnsi="Calibri" w:cs="Calibri"/>
          <w:sz w:val="25"/>
          <w:szCs w:val="25"/>
        </w:rPr>
        <w:t>A propos de la liberté, Rawls ne veut pas s'inscrire dans une discussion définitionnelle du concept de liberté (liberté positive et liberté négative), mais il veut saisir les valeurs relatives des multiples libertés quand elles entrent en contradiction. Il y a ce qu'on appelle la liberté des Modernes et la liberté des Anciens. Mais Rawls soutient que la liberté des Modernes a plus de valeur que la liberté des Anciens</w:t>
      </w:r>
      <w:r>
        <w:rPr>
          <w:rStyle w:val="Appelnotedebasdep"/>
          <w:rFonts w:ascii="Calibri" w:eastAsia="Batang" w:hAnsi="Calibri" w:cs="Calibri"/>
          <w:sz w:val="25"/>
          <w:szCs w:val="25"/>
        </w:rPr>
        <w:footnoteReference w:id="51"/>
      </w:r>
      <w:r>
        <w:rPr>
          <w:rFonts w:ascii="Calibri" w:eastAsia="Batang" w:hAnsi="Calibri" w:cs="Calibri"/>
          <w:sz w:val="25"/>
          <w:szCs w:val="25"/>
        </w:rPr>
        <w:t xml:space="preserve">. Bien que les deux sortes de liberté soient profondément enracinées dans les aspirations humaines, la </w:t>
      </w:r>
      <w:r>
        <w:rPr>
          <w:rFonts w:ascii="Calibri" w:eastAsia="Batang" w:hAnsi="Calibri" w:cs="Calibri"/>
          <w:sz w:val="25"/>
          <w:szCs w:val="25"/>
        </w:rPr>
        <w:lastRenderedPageBreak/>
        <w:t>liberté de pensée et de conscience, la liberté de la personne et les libertés civiques ne doivent pas être sacrifiées à la liberté de participer dans l'égalité, aux affaires politiques</w:t>
      </w:r>
      <w:r>
        <w:rPr>
          <w:rStyle w:val="Appelnotedebasdep"/>
          <w:rFonts w:ascii="Calibri" w:eastAsia="Batang" w:hAnsi="Calibri" w:cs="Calibri"/>
          <w:sz w:val="25"/>
          <w:szCs w:val="25"/>
        </w:rPr>
        <w:footnoteReference w:id="52"/>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En effet, cette théorie est concrètement du ressort de la philosophie politique ; d'où la nécessité d'une théorie du Juste et de la Justice pour y comprendre quelque chose. C'est pour cette raison que Rawls se contente d'affirmer que le concept de liberté peut être expliqué par rapport aux agents qui sont libres, par rapport aux restrictions dont ils sont libérés et par rapport à ce qui leur est permis de faire ou de ne pas faire. Cette description générale peut s'énoncer de la manière suivante: "Cette personne (ou ces personnes) est libre (ou non libre) à l'égard de telle ou telle contrainte (ou de tel ou tel ensemble de contraintes) de faire (ou de ne pas faire) ceci et cela". Chaque forme de liberté de base est donc caractérisée par un ensemble complexe de droits et de devoirs.</w:t>
      </w:r>
      <w:r>
        <w:rPr>
          <w:rStyle w:val="Appelnotedebasdep"/>
          <w:rFonts w:ascii="Calibri" w:eastAsia="Batang" w:hAnsi="Calibri" w:cs="Calibri"/>
          <w:sz w:val="25"/>
          <w:szCs w:val="25"/>
          <w:lang w:val="fr-BE"/>
        </w:rPr>
        <w:footnoteReference w:id="53"/>
      </w:r>
      <w:r>
        <w:rPr>
          <w:rFonts w:ascii="Calibri" w:eastAsia="Batang" w:hAnsi="Calibri" w:cs="Calibri"/>
          <w:sz w:val="25"/>
          <w:szCs w:val="25"/>
          <w:lang w:val="fr-BE"/>
        </w:rPr>
        <w:t xml:space="preserve"> Ici déjà, nous pouvons sentir une petite démarcation de Rawls par rapport à Hobbes pour qui la notion de liberté ne comportait pratiquement que des droits. Les libertés de base doivent être évaluées comme un tout et la valeur d'une forme de liberté dépend normalement de la définition des autres libertés de façon qu'on puisse garantir simultanément l'application la plus centrale de chacune et protéger les intérêts les plus fondamentaux.</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Ces remarques sur le concept de liberté, bien qu'abstraites, mettent toutes les libertés au point d'égalité. C'est d'ailleurs pour cela que Rawls parle de liberté égale pour tous. </w:t>
      </w:r>
      <w:r>
        <w:rPr>
          <w:rFonts w:ascii="Calibri" w:eastAsia="Batang" w:hAnsi="Calibri" w:cs="Calibri"/>
          <w:sz w:val="25"/>
          <w:szCs w:val="25"/>
        </w:rPr>
        <w:t xml:space="preserve">Pour mieux comprendre ces remarques de Rawls sur le concept de liberté, il est nécessaire de contextualiser sa réflexion. Au fait, le point de départ des analyses de Rawls se situe dans une critique morale de la démocratie libérale et de l'utilitarisme. Cette contextualisation est bien faite par Catherine Audard, traductrice de la plupart des œuvres de Rawls en Français, dans l'introduction qu'elle fait dans </w:t>
      </w:r>
      <w:r>
        <w:rPr>
          <w:rFonts w:ascii="Calibri" w:eastAsia="Batang" w:hAnsi="Calibri" w:cs="Calibri"/>
          <w:i/>
          <w:iCs/>
          <w:sz w:val="25"/>
          <w:szCs w:val="25"/>
        </w:rPr>
        <w:t>Justice et Démocratie</w:t>
      </w:r>
      <w:r>
        <w:rPr>
          <w:rFonts w:ascii="Calibri" w:eastAsia="Batang" w:hAnsi="Calibri" w:cs="Calibri"/>
          <w:sz w:val="25"/>
          <w:szCs w:val="25"/>
        </w:rPr>
        <w:t>.</w:t>
      </w:r>
      <w:r>
        <w:rPr>
          <w:rFonts w:ascii="Calibri" w:eastAsia="Batang" w:hAnsi="Calibri" w:cs="Calibri"/>
          <w:sz w:val="25"/>
          <w:szCs w:val="25"/>
          <w:lang w:val="fr-BE"/>
        </w:rPr>
        <w:t xml:space="preserve"> La notion clé est celle de l'équité qui traduit plus ou moins bien l'expression  </w:t>
      </w:r>
      <w:r>
        <w:rPr>
          <w:rFonts w:ascii="Calibri" w:eastAsia="Batang" w:hAnsi="Calibri" w:cs="Calibri"/>
          <w:i/>
          <w:iCs/>
          <w:sz w:val="25"/>
          <w:szCs w:val="25"/>
          <w:lang w:val="fr-BE"/>
        </w:rPr>
        <w:t>fainerss</w:t>
      </w:r>
      <w:r>
        <w:rPr>
          <w:rFonts w:ascii="Calibri" w:eastAsia="Batang" w:hAnsi="Calibri" w:cs="Calibri"/>
          <w:sz w:val="25"/>
          <w:szCs w:val="25"/>
          <w:lang w:val="fr-BE"/>
        </w:rPr>
        <w:t xml:space="preserve">. En lieu et place d'un critère unique d'arbitrage, Rawls propose une situation mentale, une sorte d'expérience par la pensée que chaque individu peut faire quand il doit restreindre –au sens du refus de la </w:t>
      </w:r>
      <w:r>
        <w:rPr>
          <w:rFonts w:ascii="Calibri" w:eastAsia="Batang" w:hAnsi="Calibri" w:cs="Calibri"/>
          <w:i/>
          <w:iCs/>
          <w:sz w:val="25"/>
          <w:szCs w:val="25"/>
          <w:lang w:val="fr-BE"/>
        </w:rPr>
        <w:t>pleonexia</w:t>
      </w:r>
      <w:r>
        <w:rPr>
          <w:rFonts w:ascii="Calibri" w:eastAsia="Batang" w:hAnsi="Calibri" w:cs="Calibri"/>
          <w:sz w:val="25"/>
          <w:szCs w:val="25"/>
          <w:lang w:val="fr-BE"/>
        </w:rPr>
        <w:t xml:space="preserve"> chez Aristote– sa recherche du bonheur pour la rendre compatible avec celle des autres. Chacun </w:t>
      </w:r>
      <w:r>
        <w:rPr>
          <w:rFonts w:ascii="Calibri" w:eastAsia="Batang" w:hAnsi="Calibri" w:cs="Calibri"/>
          <w:sz w:val="25"/>
          <w:szCs w:val="25"/>
          <w:lang w:val="fr-BE"/>
        </w:rPr>
        <w:lastRenderedPageBreak/>
        <w:t>recherchera à adopter certains principes pour guider cet arbitrage de manière qu'il lui soit bénéfique et en même temps acceptable par les autres, dans le respect de la liberté de chacun, puisque c'est de cette façon que ses propres intérêts seront protégés d'une manière durable.</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Cette situation mentale hypothétique, Rawls la nomme </w:t>
      </w:r>
      <w:r>
        <w:rPr>
          <w:rFonts w:ascii="Calibri" w:eastAsia="Batang" w:hAnsi="Calibri" w:cs="Calibri"/>
          <w:i/>
          <w:iCs/>
          <w:sz w:val="25"/>
          <w:szCs w:val="25"/>
          <w:lang w:val="fr-BE"/>
        </w:rPr>
        <w:t>position originelle</w:t>
      </w:r>
      <w:r>
        <w:rPr>
          <w:rFonts w:ascii="Calibri" w:eastAsia="Batang" w:hAnsi="Calibri" w:cs="Calibri"/>
          <w:sz w:val="25"/>
          <w:szCs w:val="25"/>
          <w:lang w:val="fr-BE"/>
        </w:rPr>
        <w:t>. Elle est comparable au contrat social de Locke, de Rousseau et de Kant</w:t>
      </w:r>
      <w:r>
        <w:rPr>
          <w:rStyle w:val="Appelnotedebasdep"/>
          <w:rFonts w:ascii="Calibri" w:eastAsia="Batang" w:hAnsi="Calibri" w:cs="Calibri"/>
          <w:sz w:val="25"/>
          <w:szCs w:val="25"/>
          <w:lang w:val="fr-BE"/>
        </w:rPr>
        <w:footnoteReference w:id="54"/>
      </w:r>
      <w:r>
        <w:rPr>
          <w:rFonts w:ascii="Calibri" w:eastAsia="Batang" w:hAnsi="Calibri" w:cs="Calibri"/>
          <w:sz w:val="25"/>
          <w:szCs w:val="25"/>
          <w:lang w:val="fr-BE"/>
        </w:rPr>
        <w:t>. Elle est caractérisée par l'égalité entre les contractants et, surtout, par l'impartialité puisque le choix de ces principes étant fait au hasard et déterminé par la contingence des circonstances sociales n'avantage ni ne désavantage personne. La solution de rechange que Rawls propose pour fonder l’Etat est le consensus par recoupement. Après avoir démontré l'incohérence de la théorie hobbesienne et l'impossibilité de sa réussite en pratique, il propose l'élaboration d'une conception politique de la justice qui s'accorde avec les convictions des uns et des autres. Il propose un système où les citoyens peuvent, à partir de leurs propres doctrines, considérer que la conception politique est vraie, ou raisonnable, selon les conclusions auxquelles leurs doctrines arrivent. Il s'agit d'un système qui a l’exigence de vérité contrairement à tout autre système ou doctrine qui implique l'indifférence ou le scepticisme, en préférant mettre de côté ou ignorer la vérité.</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En effet, Rawls ne veut pas éliminer les problèmes de la discussion politique sous le seul prétexte qu'ils seraient une source de conflit. Il invoque plutôt une conception politique de la justice afin de distinguer parmi ces problèmes, ceux qui peuvent raisonnablement être éliminés et ceux qui ne le peuvent pas. Certains problèmes débattus politiquement demeurent sans solution, au moins jusqu'à un certain point ; ce qui est tout à fait normal pour des questions politiques. Afin d'illustrer cela, Rawls suppose qu'au sein d'une conception politique de la justice nous puissions justifier à </w:t>
      </w:r>
      <w:r>
        <w:rPr>
          <w:rFonts w:ascii="Calibri" w:eastAsia="Batang" w:hAnsi="Calibri" w:cs="Calibri"/>
          <w:sz w:val="25"/>
          <w:szCs w:val="25"/>
          <w:lang w:val="fr-BE"/>
        </w:rPr>
        <w:lastRenderedPageBreak/>
        <w:t xml:space="preserve">la fois l'égalité de la liberté de conscience, ce qui élimine les vérités religieuses de la discussion politique, et des libertés politiques et civiles égales pour tous, qui en excluant le servage ou l'esclavage, éliminent la possibilité de ces institutions.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Il est inévitable que des questions sans solution demeurent. Par exemple, comment devrait-on tracer, avec plus d'exactitude, les limites entre les libertés de base, quand elles entrent en conflit ou mettre la séparation entre l'Eglise et l'Etat</w:t>
      </w:r>
      <w:r>
        <w:rPr>
          <w:rStyle w:val="Appelnotedebasdep"/>
          <w:rFonts w:ascii="Calibri" w:eastAsia="Batang" w:hAnsi="Calibri" w:cs="Calibri"/>
          <w:sz w:val="25"/>
          <w:szCs w:val="25"/>
          <w:lang w:val="fr-BE"/>
        </w:rPr>
        <w:footnoteReference w:id="55"/>
      </w:r>
      <w:r>
        <w:rPr>
          <w:rFonts w:ascii="Calibri" w:eastAsia="Batang" w:hAnsi="Calibri" w:cs="Calibri"/>
          <w:sz w:val="25"/>
          <w:szCs w:val="25"/>
          <w:lang w:val="fr-BE"/>
        </w:rPr>
        <w:t> ? Comment interpréter les exigences de la justice distributive même dans le cas où il existe un accord considérable sur des principes généraux à appliquer à la structure sociale? Et pour finir, comment saisir la portée des problèmes de politique générale liés, par exemple, au recours aux armes nucléaires? Il faut convenir, avec Rawls, que ces questions ne peuvent être éliminées de la discussion politique; elles ne méritent ni indifférence ni scepticisme.</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Ici, Rawls prend position: il faut laisser de côté notre propre doctrine religieuse ou notre philosophie compréhensive</w:t>
      </w:r>
      <w:r>
        <w:rPr>
          <w:rStyle w:val="Appelnotedebasdep"/>
          <w:rFonts w:ascii="Calibri" w:eastAsia="Batang" w:hAnsi="Calibri" w:cs="Calibri"/>
          <w:sz w:val="25"/>
          <w:szCs w:val="25"/>
          <w:lang w:val="fr-BE"/>
        </w:rPr>
        <w:footnoteReference w:id="56"/>
      </w:r>
      <w:r>
        <w:rPr>
          <w:rFonts w:ascii="Calibri" w:eastAsia="Batang" w:hAnsi="Calibri" w:cs="Calibri"/>
          <w:sz w:val="25"/>
          <w:szCs w:val="25"/>
          <w:lang w:val="fr-BE"/>
        </w:rPr>
        <w:t xml:space="preserve">. Supposons que des croyants rationalistes prétendent que leurs croyances sont accessibles à la raison et peuvent même être complètement prouvées grâce à elle. Dans ce cas, les croyants nient ce que Rawls appelle le "fait du pluralisme raisonnable". On peut constater que ces croyants rationalistes sont dans l'erreur en niant ce fait; mais on n'est pas obligé de dire que leurs croyances religieuses sont fausses.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Par ailleurs, si la théorie de la justice comme équité rendait possible un consensus par recoupement, elle compléterait et élargirait le mouvement de pensée, qui a commencé il y a trois siècles, avec l'acceptation progressive du principe de tolérance et qui a conduit vers l'Etat laïc et vers l'égalité de la liberté de conscience : </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"Cet élargissement (…) est nécessaire pour parvenir à un accord sur une conception politique de la justice, compte tenu du contexte historique et social d'une société démocratique. En appliquant le principe de tolérance à la philosophie elle-même, la tâche de résoudre individuellement les problèmes religieux, philosophiques et moraux </w:t>
      </w:r>
      <w:r>
        <w:rPr>
          <w:rFonts w:ascii="Calibri" w:eastAsia="Batang" w:hAnsi="Calibri" w:cs="Calibri"/>
          <w:sz w:val="25"/>
          <w:szCs w:val="25"/>
          <w:lang w:val="fr-BE"/>
        </w:rPr>
        <w:lastRenderedPageBreak/>
        <w:t>reviennent aux citoyens eux-mêmes, en fonction des opinions qu'ils défendent librement"</w:t>
      </w:r>
      <w:r>
        <w:rPr>
          <w:rStyle w:val="Appelnotedebasdep"/>
          <w:rFonts w:ascii="Calibri" w:eastAsia="Batang" w:hAnsi="Calibri" w:cs="Calibri"/>
          <w:sz w:val="25"/>
          <w:szCs w:val="25"/>
          <w:lang w:val="fr-BE"/>
        </w:rPr>
        <w:footnoteReference w:id="57"/>
      </w:r>
      <w:r>
        <w:rPr>
          <w:rFonts w:ascii="Calibri" w:eastAsia="Batang" w:hAnsi="Calibri" w:cs="Calibri"/>
          <w:sz w:val="25"/>
          <w:szCs w:val="25"/>
          <w:lang w:val="fr-BE"/>
        </w:rPr>
        <w:t>.</w:t>
      </w:r>
    </w:p>
    <w:p w:rsidR="000A31A8" w:rsidRDefault="000A31A8">
      <w:pPr>
        <w:pStyle w:val="Titre4"/>
        <w:tabs>
          <w:tab w:val="clear" w:pos="1185"/>
        </w:tabs>
        <w:spacing w:after="0" w:line="324" w:lineRule="auto"/>
        <w:ind w:left="0" w:right="-2" w:firstLine="0"/>
        <w:rPr>
          <w:rFonts w:ascii="Calibri" w:hAnsi="Calibri" w:cs="Calibri"/>
          <w:b w:val="0"/>
          <w:bCs w:val="0"/>
          <w:sz w:val="25"/>
          <w:szCs w:val="25"/>
        </w:rPr>
      </w:pPr>
    </w:p>
    <w:p w:rsidR="000A31A8" w:rsidRDefault="0065345B">
      <w:pPr>
        <w:pStyle w:val="Titre4"/>
        <w:tabs>
          <w:tab w:val="clear" w:pos="1185"/>
        </w:tabs>
        <w:spacing w:after="0" w:line="324" w:lineRule="auto"/>
        <w:ind w:left="0" w:right="-2" w:firstLine="0"/>
        <w:rPr>
          <w:rFonts w:ascii="Calibri" w:hAnsi="Calibri" w:cs="Calibri"/>
          <w:b w:val="0"/>
          <w:bCs w:val="0"/>
          <w:sz w:val="25"/>
          <w:szCs w:val="25"/>
        </w:rPr>
      </w:pPr>
      <w:r>
        <w:rPr>
          <w:rFonts w:ascii="Calibri" w:hAnsi="Calibri" w:cs="Calibri"/>
          <w:b w:val="0"/>
          <w:bCs w:val="0"/>
          <w:sz w:val="25"/>
          <w:szCs w:val="25"/>
        </w:rPr>
        <w:t>La première étape du consensus par recoupement est le consensus constitutionnel. Un consensus par recoupement n'est pas utopique dans la mesure où il existe des forces politiques, sociales ou psychologiques pour le susciter ou pour le stabiliser. Rawls va esquisser les grandes lignes d'un processus susceptible de produire un tel consensus et d'en garantir la stabilité.</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L'esquisse comprend deux étapes ou moments. Le premier moment s'achève avec un consensus constitutionnel et le deuxième avec un consensus par recoupement. La constitution satisfait certains principes libéraux de justice politique. Ces principes sont acceptés tout simplement comme principes et ne se fondent aucunement sur certaines conceptions ou idées de la société et de la personne, propres à une conception politique ; ces principes ne sont non plus fondés sur une conception publique commune. C'est en ce sens que le consensus constitutionnel n'est pas profond.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Au fait, dans le consensus constitutionnel, une Constitution satisfaisant certains principes de base arrive à établir des procédures démocratiques pour réduire les conflits politiques internes. Cependant, bien qu'il y ait accord sur certains droits et libertés de base – sur le droit de vote et la liberté d'expression et d'association -, il y a désaccord parmi ceux qui défendent des principes libéraux en ce qui concerne le contenu et les limites plus précises de ces droits et libertés:</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Mais il y a aussi désaccord en ce qui concerne les autres droits et libertés sur ceux qui comptent comme droits et libertés de base et méritent une protection légale, si ce n'est constitutionnel. Le consensus constitutionnel n'est pas profond, mais  il n'est pas non plus étendu; sa portée est étroite puisqu'il n'inclut pas la structure de base, mais seulement des procédures politiques du gouvernement démocratique"</w:t>
      </w:r>
      <w:r>
        <w:rPr>
          <w:rStyle w:val="Appelnotedebasdep"/>
          <w:rFonts w:ascii="Calibri" w:eastAsia="Batang" w:hAnsi="Calibri" w:cs="Calibri"/>
          <w:sz w:val="25"/>
          <w:szCs w:val="25"/>
          <w:lang w:val="fr-BE"/>
        </w:rPr>
        <w:footnoteReference w:id="58"/>
      </w:r>
      <w:r>
        <w:rPr>
          <w:rFonts w:ascii="Calibri" w:eastAsia="Batang" w:hAnsi="Calibri" w:cs="Calibri"/>
          <w:sz w:val="25"/>
          <w:szCs w:val="25"/>
          <w:lang w:val="fr-BE"/>
        </w:rPr>
        <w:t>.</w:t>
      </w:r>
    </w:p>
    <w:p w:rsidR="000A31A8" w:rsidRDefault="000A31A8">
      <w:pPr>
        <w:tabs>
          <w:tab w:val="left" w:pos="2520"/>
        </w:tabs>
        <w:spacing w:line="324" w:lineRule="auto"/>
        <w:ind w:right="-2" w:firstLine="709"/>
        <w:jc w:val="both"/>
        <w:rPr>
          <w:rFonts w:ascii="Calibri" w:eastAsia="Batang" w:hAnsi="Calibri" w:cs="Calibri"/>
          <w:sz w:val="25"/>
          <w:szCs w:val="25"/>
          <w:lang w:val="fr-BE"/>
        </w:rPr>
      </w:pPr>
    </w:p>
    <w:p w:rsidR="000A31A8" w:rsidRDefault="0065345B">
      <w:pPr>
        <w:pStyle w:val="Titre1"/>
        <w:spacing w:after="0" w:line="324" w:lineRule="auto"/>
        <w:ind w:left="0" w:firstLine="0"/>
        <w:jc w:val="both"/>
        <w:rPr>
          <w:rFonts w:ascii="Calibri" w:hAnsi="Calibri" w:cs="Calibri"/>
          <w:bCs w:val="0"/>
          <w:sz w:val="28"/>
          <w:szCs w:val="28"/>
        </w:rPr>
      </w:pPr>
      <w:bookmarkStart w:id="17" w:name="_Toc127173492"/>
      <w:r>
        <w:rPr>
          <w:rFonts w:ascii="Calibri" w:hAnsi="Calibri" w:cs="Calibri"/>
          <w:bCs w:val="0"/>
          <w:sz w:val="28"/>
          <w:szCs w:val="28"/>
        </w:rPr>
        <w:lastRenderedPageBreak/>
        <w:t>2.4. LES EXIGENCES DU CONSENSUS</w:t>
      </w:r>
      <w:bookmarkEnd w:id="17"/>
    </w:p>
    <w:p w:rsidR="000A31A8" w:rsidRDefault="000A31A8">
      <w:pPr>
        <w:tabs>
          <w:tab w:val="left" w:pos="2520"/>
        </w:tabs>
        <w:spacing w:line="324" w:lineRule="auto"/>
        <w:ind w:right="-2" w:firstLine="709"/>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Il s’agit pour Rawls de répondre à la question : "Comment atteindre un processus constitutionnel?" Autrement dit, en vertu de quelles valeurs politiques, des principes libéraux de justice sont-ils susceptibles d'entraîner l'obéissance? Lorsque les principes libéraux gouvernent efficacement les institutions politiques fondamentales, ils satisfont à trois exigences essentielles d'un consensus constitutionnel stable.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La première exigence est que, étant donné le "fait du pluralisme raisonnable" – le fait qui rend nécessaire, au premier chef, un régime libéral en tant que "</w:t>
      </w:r>
      <w:r>
        <w:rPr>
          <w:rFonts w:ascii="Calibri" w:eastAsia="Batang" w:hAnsi="Calibri" w:cs="Calibri"/>
          <w:i/>
          <w:iCs/>
          <w:sz w:val="25"/>
          <w:szCs w:val="25"/>
          <w:lang w:val="fr-BE"/>
        </w:rPr>
        <w:t>modus vivendi</w:t>
      </w:r>
      <w:r>
        <w:rPr>
          <w:rFonts w:ascii="Calibri" w:eastAsia="Batang" w:hAnsi="Calibri" w:cs="Calibri"/>
          <w:sz w:val="25"/>
          <w:szCs w:val="25"/>
          <w:lang w:val="fr-BE"/>
        </w:rPr>
        <w:t>" -, des principes libéraux satisfont à la nécessité politique urgente de fixer, une fois pour toutes, le contenu des libertés et des droits de base et de leur assigner une priorité particulière"</w:t>
      </w:r>
      <w:r>
        <w:rPr>
          <w:rStyle w:val="Appelnotedebasdep"/>
          <w:rFonts w:ascii="Calibri" w:eastAsia="Batang" w:hAnsi="Calibri" w:cs="Calibri"/>
          <w:sz w:val="25"/>
          <w:szCs w:val="25"/>
          <w:lang w:val="fr-BE"/>
        </w:rPr>
        <w:footnoteReference w:id="59"/>
      </w:r>
      <w:r>
        <w:rPr>
          <w:rFonts w:ascii="Calibri" w:eastAsia="Batang" w:hAnsi="Calibri" w:cs="Calibri"/>
          <w:sz w:val="25"/>
          <w:szCs w:val="25"/>
          <w:lang w:val="fr-BE"/>
        </w:rPr>
        <w:t xml:space="preserve">.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Et « La seconde exigence d'un consensus constitutionnel stable est liée au genre de raison publique que l'application des principes libéraux de justice demande. Étant donné le contenu de ces principes et le fait qu'ils se réfèrent seulement aux faits institutionnels concernant les procédures politiques et les droits et les libertés de base, les principes libéraux peuvent être appliqués en suivant les directives habituelles qui sont utilisées par les enquêtes et les règles publiques pour évaluer les preuves. En outre, étant donné le fait du pluralisme raisonnable, ces directives et ces règles doivent être précises… Cela aide à s'assurer que la raison publique est reconnue publiquement – comme elle doit l'être – comme correcte et digne de confiance d'après ses propres termes »</w:t>
      </w:r>
      <w:r>
        <w:rPr>
          <w:rStyle w:val="Appelnotedebasdep"/>
          <w:rFonts w:ascii="Calibri" w:eastAsia="Batang" w:hAnsi="Calibri" w:cs="Calibri"/>
          <w:sz w:val="25"/>
          <w:szCs w:val="25"/>
          <w:lang w:val="fr-BE"/>
        </w:rPr>
        <w:footnoteReference w:id="60"/>
      </w:r>
      <w:r>
        <w:rPr>
          <w:rFonts w:ascii="Calibri" w:eastAsia="Batang" w:hAnsi="Calibri" w:cs="Calibri"/>
          <w:sz w:val="25"/>
          <w:szCs w:val="25"/>
          <w:lang w:val="fr-BE"/>
        </w:rPr>
        <w:t>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La troisième exigence est la réussite de deux précédentes :"Les institutions politiques de base qui incorporent ces principes et la forme de raison publique que manifeste leur application, s'ils sont appliqués effectivement et avec succès pendant longtemps, tendent à encourager les vertus coopératives de la vie politique; la vertu de modération et le sens de l'équité, un esprit de compromis et une propension à </w:t>
      </w:r>
      <w:r>
        <w:rPr>
          <w:rFonts w:ascii="Calibri" w:eastAsia="Batang" w:hAnsi="Calibri" w:cs="Calibri"/>
          <w:sz w:val="25"/>
          <w:szCs w:val="25"/>
          <w:lang w:val="fr-BE"/>
        </w:rPr>
        <w:lastRenderedPageBreak/>
        <w:t>rejoindre les autres à mi-chemin sont autant des vertus liées au désir de coopérer avec les autres en des termes politiques que chacun puisse publiquement accepter"</w:t>
      </w:r>
      <w:r>
        <w:rPr>
          <w:rStyle w:val="Appelnotedebasdep"/>
          <w:rFonts w:ascii="Calibri" w:eastAsia="Batang" w:hAnsi="Calibri" w:cs="Calibri"/>
          <w:sz w:val="25"/>
          <w:szCs w:val="25"/>
          <w:lang w:val="fr-BE"/>
        </w:rPr>
        <w:footnoteReference w:id="61"/>
      </w:r>
      <w:r>
        <w:rPr>
          <w:rFonts w:ascii="Calibri" w:eastAsia="Batang" w:hAnsi="Calibri" w:cs="Calibri"/>
          <w:sz w:val="25"/>
          <w:szCs w:val="25"/>
          <w:lang w:val="fr-BE"/>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En définitive, le consensus constitutionnel est atteint lorsque : </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1° outre une capacité à concevoir le bien, les citoyens ont une capacité à accepter des principes politiques raisonnables de justice et ils ont le désir d'agir selon ces principes;</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2° les citoyens croient que les institutions et les procédures politiques sont justes (au sens déterminé par ces principes) et qu'ils sont prêts à assumer leur rôle dans cette organisation s'ils ont la garantie que les autres feront de même;</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3° d'autres personnes assument ce rôle, en montrant clairement leur intention de le faire, les gens auront tendance à avoir confiance en eux;</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4° et cette confiance se fortifiera avec le succès durable de cette organisation;</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5° la confiance augmentera d'autant plus que les institutions de base, conçues pour garantir nos intérêts fondamentaux, seront reconnues avec fermeté et de plein gré.</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Bref, c'est grâce à l'utilisation et l'adoption par les citoyens de la raison publique qu'ils peuvent savoir que leurs institutions politiques et leurs procédures démocratiques sont reconnues. Au premier stade du consensus constitutionnel, les principes libéraux de justice acceptés initialement comme un </w:t>
      </w:r>
      <w:r>
        <w:rPr>
          <w:rFonts w:ascii="Calibri" w:eastAsia="Batang" w:hAnsi="Calibri" w:cs="Calibri"/>
          <w:i/>
          <w:iCs/>
          <w:sz w:val="25"/>
          <w:szCs w:val="25"/>
          <w:lang w:val="fr-BE"/>
        </w:rPr>
        <w:t xml:space="preserve">modus vivendi </w:t>
      </w:r>
      <w:r>
        <w:rPr>
          <w:rFonts w:ascii="Calibri" w:eastAsia="Batang" w:hAnsi="Calibri" w:cs="Calibri"/>
          <w:sz w:val="25"/>
          <w:szCs w:val="25"/>
          <w:lang w:val="fr-BE"/>
        </w:rPr>
        <w:t>et adoptés dans la Constitution tendent à modifier les doctrines compréhensives des citoyens, si bien qu'ils finissent par accepter les principes d'une Constitution libérale. Ce sont ces principes qui garantissent, par ailleurs, certains droits et libertés politiques de base en établissant ainsi des procédures démocratiques capables de réduire, tant soit peu, les conflits politiques. Dans cette perspective, le pluralisme simple cède la place à un pluralisme raisonnable: le consensus constitutionnel.</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Un consensus constitutionnel est appelé à se transformer en un consensus par recoupement. Rawls distingue la profondeur et l'étendue d'un consensus par recoupement et le caractère précis de son contenu. La profondeur d'un consensus par recoupement réside dans le fait que ses principes et ses idéaux politiques sont fondés sur une conception politique de la justice qui utilise les idées fondamentales de société et de personnes à la manière dont la théorie de la justice l'illustre (justice comme </w:t>
      </w:r>
      <w:r>
        <w:rPr>
          <w:rFonts w:ascii="Calibri" w:eastAsia="Batang" w:hAnsi="Calibri" w:cs="Calibri"/>
          <w:sz w:val="25"/>
          <w:szCs w:val="25"/>
          <w:lang w:val="fr-BE"/>
        </w:rPr>
        <w:lastRenderedPageBreak/>
        <w:t>équité). En plus, sa portée dépasse les principes politiques qui instituent les procédures démocratiques en incluant ainsi les principes qui couvrent la structure de base comme un tout ; c'est pour cette raison que ses principes établissent certains droits substantiels à l'instar de la liberté de conscience et de pensée, sans oublier l'égalité équitable des chances concernant certains besoins essentiels.</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Toujours au sujet de la profondeur, une fois qu'un consensus constitutionnel est en place, les groupes politiques doivent entrer dans le forum public de la discussion politique et faire appel à d'autres groupes qui ne partagent pas leur doctrine compréhensive. C'est ce qui fait qu'il est rationnel, pour eux, de sortir du cercle plus étroit de leur position personnelle et développer des conceptions politiques ; ce n’est qu’au bout de telles conceptions politiques qu'ils peuvent expliquer et justifier les programmes politiques qu'ils préfèrent devant un public plus large afin de réunir une majorité. Ce faisant, ils sont conduits à formuler des conceptions politiques de la justice. Ces conceptions fournissent le </w:t>
      </w:r>
      <w:r>
        <w:rPr>
          <w:rFonts w:ascii="Calibri" w:eastAsia="Batang" w:hAnsi="Calibri" w:cs="Calibri"/>
          <w:i/>
          <w:iCs/>
          <w:sz w:val="25"/>
          <w:szCs w:val="25"/>
          <w:lang w:val="fr-BE"/>
        </w:rPr>
        <w:t xml:space="preserve">medium </w:t>
      </w:r>
      <w:r>
        <w:rPr>
          <w:rFonts w:ascii="Calibri" w:eastAsia="Batang" w:hAnsi="Calibri" w:cs="Calibri"/>
          <w:sz w:val="25"/>
          <w:szCs w:val="25"/>
          <w:lang w:val="fr-BE"/>
        </w:rPr>
        <w:t>de discussion et une base plus profonde et pour expliquer la signification et les implications des principes et des programmes auxquels chaque gouvernement souscrit</w:t>
      </w:r>
      <w:r>
        <w:rPr>
          <w:rStyle w:val="Appelnotedebasdep"/>
          <w:rFonts w:ascii="Calibri" w:eastAsia="Batang" w:hAnsi="Calibri" w:cs="Calibri"/>
          <w:sz w:val="25"/>
          <w:szCs w:val="25"/>
          <w:lang w:val="fr-BE"/>
        </w:rPr>
        <w:footnoteReference w:id="62"/>
      </w:r>
      <w:r>
        <w:rPr>
          <w:rFonts w:ascii="Calibri" w:eastAsia="Batang" w:hAnsi="Calibri" w:cs="Calibri"/>
          <w:sz w:val="25"/>
          <w:szCs w:val="25"/>
          <w:lang w:val="fr-BE"/>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La principale considération sur l'étendue du consensus est qu'un consensus constitutionnel purement politique et procédural s'avérera trop étroit d'autant plus qu'il ne promulguera pas la législation nécessaire aux questions constitutionnelles essentielles ainsi qu'aux questions de justice. Dans ces conditions, des conflits éclateront à ce sujet. D'où la nécessité de l'existence d'une législation fondamentale qui garantisse la liberté de parole et de pensée politique, la liberté de conscience. Il faut également une législation assurant la liberté d'association, de mouvement pour permettre aux citoyens de participer à la vie socio - politique.</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A ce propos, l'idée n'est pas, comme chez Hobbes, de satisfaire les besoins par opposition à des simples désirs ou envie : l'exigence constitutionnelle essentielle ici est bien plutôt qu'en deçà d'un certain niveau du bien-être matériel et social,  de formation et d'éducation, il est hors de question que les gens puissent participer à la société comme des citoyens, encore moins comme des citoyens égaux.</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 xml:space="preserve">Enfin, concernant le degré de précision du consensus par recoupement, son objet est la conception de la justice comme équité. L'objet du consensus par recoupement est une classe de conceptions libérales qui varient à l'intérieur d'une certaine gamme plus ou moins étroite. Juste deux considérations émises à ce propos par Rawls : « L'une concerne la gamme des positions qui peuvent être élaborées de manière plausible à partir des idées fondamentales de la société et de la personne que l'on trouve dans la culture publique d'un régime constitutionnel.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La théorie de la justice comme équité travaille à partir des idées fondamentales de la société comme système équitable de coopération et de la personne comme libre et égale. Ces idées sont traitées comme centrales pour l'idéal démocratique »</w:t>
      </w:r>
      <w:r>
        <w:rPr>
          <w:rStyle w:val="Appelnotedebasdep"/>
          <w:rFonts w:ascii="Calibri" w:eastAsia="Batang" w:hAnsi="Calibri" w:cs="Calibri"/>
          <w:sz w:val="25"/>
          <w:szCs w:val="25"/>
          <w:lang w:val="fr-BE"/>
        </w:rPr>
        <w:footnoteReference w:id="63"/>
      </w:r>
      <w:r>
        <w:rPr>
          <w:rFonts w:ascii="Calibri" w:eastAsia="Batang" w:hAnsi="Calibri" w:cs="Calibri"/>
          <w:sz w:val="25"/>
          <w:szCs w:val="25"/>
          <w:lang w:val="fr-BE"/>
        </w:rPr>
        <w:t>.</w:t>
      </w:r>
      <w:r>
        <w:rPr>
          <w:rFonts w:ascii="Calibri" w:hAnsi="Calibri" w:cs="Calibri"/>
          <w:sz w:val="25"/>
          <w:szCs w:val="25"/>
        </w:rPr>
        <w:t> La seconde considération postule qu'on peut supposer que des intérêts économiques et sociaux différents soutiennent des conceptions libérales différentes. Les différences entre conceptions expriment, en partie, un conflit entre ces intérêts (…) L'étendue de la gamme des conceptions libérales sera déterminée par le degré d'opposition entre ces intérêts</w:t>
      </w:r>
      <w:r>
        <w:rPr>
          <w:rStyle w:val="Appelnotedebasdep"/>
          <w:rFonts w:ascii="Calibri" w:hAnsi="Calibri" w:cs="Calibri"/>
          <w:sz w:val="25"/>
          <w:szCs w:val="25"/>
        </w:rPr>
        <w:footnoteReference w:id="64"/>
      </w:r>
      <w:r>
        <w:rPr>
          <w:rFonts w:ascii="Calibri" w:hAnsi="Calibri" w:cs="Calibri"/>
          <w:sz w:val="25"/>
          <w:szCs w:val="25"/>
        </w:rPr>
        <w:t>.</w:t>
      </w:r>
    </w:p>
    <w:p w:rsidR="000A31A8" w:rsidRDefault="000A31A8">
      <w:pPr>
        <w:pStyle w:val="Retraitcorpsdetexte3"/>
        <w:tabs>
          <w:tab w:val="clear" w:pos="1185"/>
        </w:tabs>
        <w:spacing w:line="324" w:lineRule="auto"/>
        <w:ind w:firstLine="0"/>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t>Or, justement, si les conceptions libérales, conçues correctement à partir des idées fondamentales d'une culture publique démocratique, sont soutenues par des intérêts économiques et politiques qu'elles encouragent et qui sont en même temps en conflit profond, et s'il n'est pas possible de concevoir un régime constitutionnel qui dépasse cette situation, alors un consensus par recoupement complet ne peut pas être atteint.</w:t>
      </w:r>
    </w:p>
    <w:p w:rsidR="000A31A8" w:rsidRDefault="000A31A8">
      <w:pPr>
        <w:pStyle w:val="Retraitcorpsdetexte3"/>
        <w:tabs>
          <w:tab w:val="clear" w:pos="1185"/>
        </w:tabs>
        <w:spacing w:line="324" w:lineRule="auto"/>
        <w:ind w:firstLine="0"/>
        <w:outlineLvl w:val="0"/>
        <w:rPr>
          <w:rFonts w:ascii="Calibri" w:hAnsi="Calibri" w:cs="Calibri"/>
          <w:sz w:val="25"/>
          <w:szCs w:val="25"/>
        </w:rPr>
      </w:pPr>
    </w:p>
    <w:p w:rsidR="000A31A8" w:rsidRDefault="0065345B">
      <w:pPr>
        <w:pStyle w:val="Retraitcorpsdetexte3"/>
        <w:tabs>
          <w:tab w:val="clear" w:pos="1185"/>
        </w:tabs>
        <w:spacing w:line="324" w:lineRule="auto"/>
        <w:ind w:firstLine="0"/>
        <w:outlineLvl w:val="0"/>
        <w:rPr>
          <w:rFonts w:ascii="Calibri" w:hAnsi="Calibri" w:cs="Calibri"/>
          <w:b/>
          <w:bCs/>
          <w:sz w:val="28"/>
          <w:szCs w:val="28"/>
        </w:rPr>
      </w:pPr>
      <w:bookmarkStart w:id="18" w:name="_Toc127173493"/>
      <w:r>
        <w:rPr>
          <w:rFonts w:ascii="Calibri" w:hAnsi="Calibri" w:cs="Calibri"/>
          <w:b/>
          <w:bCs/>
          <w:sz w:val="28"/>
          <w:szCs w:val="28"/>
        </w:rPr>
        <w:t>2.5. QUELQUES OBJECTIONS CONTRE L’IDÉE DU CONSENSUS</w:t>
      </w:r>
      <w:bookmarkEnd w:id="18"/>
    </w:p>
    <w:p w:rsidR="000A31A8" w:rsidRDefault="000A31A8">
      <w:pPr>
        <w:pStyle w:val="Retraitcorpsdetexte3"/>
        <w:tabs>
          <w:tab w:val="clear" w:pos="1185"/>
        </w:tabs>
        <w:spacing w:line="324" w:lineRule="auto"/>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t xml:space="preserve">Muriel Ruol estime que le changement initié par le </w:t>
      </w:r>
      <w:r>
        <w:rPr>
          <w:rFonts w:ascii="Calibri" w:hAnsi="Calibri" w:cs="Calibri"/>
          <w:i/>
          <w:iCs/>
          <w:sz w:val="25"/>
          <w:szCs w:val="25"/>
        </w:rPr>
        <w:t>libéralisme politique</w:t>
      </w:r>
      <w:r>
        <w:rPr>
          <w:rFonts w:ascii="Calibri" w:hAnsi="Calibri" w:cs="Calibri"/>
          <w:sz w:val="25"/>
          <w:szCs w:val="25"/>
        </w:rPr>
        <w:t xml:space="preserve"> par rapport à </w:t>
      </w:r>
      <w:r>
        <w:rPr>
          <w:rFonts w:ascii="Calibri" w:hAnsi="Calibri" w:cs="Calibri"/>
          <w:i/>
          <w:iCs/>
          <w:sz w:val="25"/>
          <w:szCs w:val="25"/>
        </w:rPr>
        <w:t>Théorie de la justice</w:t>
      </w:r>
      <w:r>
        <w:rPr>
          <w:rFonts w:ascii="Calibri" w:hAnsi="Calibri" w:cs="Calibri"/>
          <w:sz w:val="25"/>
          <w:szCs w:val="25"/>
        </w:rPr>
        <w:t xml:space="preserve"> est resté en grande partie incompris. Pour cet auteur « les débats contemporains se focalisent, en effet, pour la plupart sur la notion de neutralité (entendue dans son acception très large d’impartialité par rapport aux diverses conceptions du bien adoptées par les citoyens). Or, si l’idée de neutralité a séduit </w:t>
      </w:r>
      <w:r>
        <w:rPr>
          <w:rFonts w:ascii="Calibri" w:hAnsi="Calibri" w:cs="Calibri"/>
          <w:sz w:val="25"/>
          <w:szCs w:val="25"/>
        </w:rPr>
        <w:lastRenderedPageBreak/>
        <w:t xml:space="preserve">nombre de défenseurs du libéralisme politique, elle n’en dresse pas moins, selon les dires de Rawls, un « écran » déformant « mal venu » entre son œuvre et le lecteur désireux de comprendre le sens du renouvellement qu’accomplit </w:t>
      </w:r>
      <w:r>
        <w:rPr>
          <w:rFonts w:ascii="Calibri" w:hAnsi="Calibri" w:cs="Calibri"/>
          <w:i/>
          <w:iCs/>
          <w:sz w:val="25"/>
          <w:szCs w:val="25"/>
        </w:rPr>
        <w:t>Libéralisme politique »</w:t>
      </w:r>
      <w:r>
        <w:rPr>
          <w:rStyle w:val="Appelnotedebasdep"/>
          <w:rFonts w:ascii="Calibri" w:hAnsi="Calibri" w:cs="Calibri"/>
          <w:i/>
          <w:iCs/>
          <w:sz w:val="25"/>
          <w:szCs w:val="25"/>
        </w:rPr>
        <w:footnoteReference w:id="65"/>
      </w:r>
      <w:r>
        <w:rPr>
          <w:rFonts w:ascii="Calibri" w:hAnsi="Calibri" w:cs="Calibri"/>
          <w:sz w:val="25"/>
          <w:szCs w:val="25"/>
        </w:rPr>
        <w:t>.</w:t>
      </w:r>
    </w:p>
    <w:p w:rsidR="000A31A8" w:rsidRDefault="000A31A8">
      <w:pPr>
        <w:pStyle w:val="Retraitcorpsdetexte3"/>
        <w:tabs>
          <w:tab w:val="clear" w:pos="1185"/>
        </w:tabs>
        <w:spacing w:line="324" w:lineRule="auto"/>
        <w:ind w:firstLine="0"/>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t>En effet, selon Ruol, en introduisant la notion de consensus par recoupement, Rawls ne renonce nullement aux prétentions à fonder un point de vue moral et public</w:t>
      </w:r>
      <w:r>
        <w:rPr>
          <w:rStyle w:val="Appelnotedebasdep"/>
          <w:rFonts w:ascii="Calibri" w:hAnsi="Calibri" w:cs="Calibri"/>
          <w:sz w:val="25"/>
          <w:szCs w:val="25"/>
        </w:rPr>
        <w:footnoteReference w:id="66"/>
      </w:r>
      <w:r>
        <w:rPr>
          <w:rFonts w:ascii="Calibri" w:hAnsi="Calibri" w:cs="Calibri"/>
          <w:sz w:val="25"/>
          <w:szCs w:val="25"/>
        </w:rPr>
        <w:t>. Son souci est plutôt de compléter la fondation déontologique des principes par une prise en compte des conditions contextuelles de leur acceptation, autrement dit, de choisir la question du pluralisme comme un test de la capacité de la théorie d’assumer son propre soutien dans le contexte des démocraties contemporaines</w:t>
      </w:r>
      <w:r>
        <w:rPr>
          <w:rStyle w:val="Appelnotedebasdep"/>
          <w:rFonts w:ascii="Calibri" w:hAnsi="Calibri" w:cs="Calibri"/>
          <w:sz w:val="25"/>
          <w:szCs w:val="25"/>
        </w:rPr>
        <w:footnoteReference w:id="67"/>
      </w:r>
      <w:r>
        <w:rPr>
          <w:rFonts w:ascii="Calibri" w:hAnsi="Calibri" w:cs="Calibri"/>
          <w:sz w:val="25"/>
          <w:szCs w:val="25"/>
        </w:rPr>
        <w:t xml:space="preserve">. C’est en sens que la prétention de </w:t>
      </w:r>
      <w:r>
        <w:rPr>
          <w:rFonts w:ascii="Calibri" w:hAnsi="Calibri" w:cs="Calibri"/>
          <w:i/>
          <w:iCs/>
          <w:sz w:val="25"/>
          <w:szCs w:val="25"/>
        </w:rPr>
        <w:t xml:space="preserve">Libéralisme politique </w:t>
      </w:r>
      <w:r>
        <w:rPr>
          <w:rFonts w:ascii="Calibri" w:hAnsi="Calibri" w:cs="Calibri"/>
          <w:sz w:val="25"/>
          <w:szCs w:val="25"/>
        </w:rPr>
        <w:t>était avant tout celle de l’universalité des principes publics tout en préservant le potentiel argumentatif des doctrines compréhensives</w:t>
      </w:r>
      <w:r>
        <w:rPr>
          <w:rStyle w:val="Appelnotedebasdep"/>
          <w:rFonts w:ascii="Calibri" w:hAnsi="Calibri" w:cs="Calibri"/>
          <w:sz w:val="25"/>
          <w:szCs w:val="25"/>
        </w:rPr>
        <w:footnoteReference w:id="68"/>
      </w:r>
      <w:r>
        <w:rPr>
          <w:rFonts w:ascii="Calibri" w:hAnsi="Calibri" w:cs="Calibri"/>
          <w:sz w:val="25"/>
          <w:szCs w:val="25"/>
        </w:rPr>
        <w:t>.</w:t>
      </w:r>
    </w:p>
    <w:p w:rsidR="000A31A8" w:rsidRDefault="000A31A8">
      <w:pPr>
        <w:pStyle w:val="Retraitcorpsdetexte3"/>
        <w:tabs>
          <w:tab w:val="clear" w:pos="1185"/>
        </w:tabs>
        <w:spacing w:line="324" w:lineRule="auto"/>
        <w:ind w:firstLine="0"/>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t xml:space="preserve">C’est justement de ce qui précède que naît le questionnement post - moderne. En matière de pluralisme culturel par exemple, « comment une société libérale </w:t>
      </w:r>
      <w:r>
        <w:rPr>
          <w:rFonts w:ascii="Calibri" w:hAnsi="Calibri" w:cs="Calibri"/>
          <w:i/>
          <w:iCs/>
          <w:sz w:val="25"/>
          <w:szCs w:val="25"/>
        </w:rPr>
        <w:t>lato sensu</w:t>
      </w:r>
      <w:r>
        <w:rPr>
          <w:rFonts w:ascii="Calibri" w:hAnsi="Calibri" w:cs="Calibri"/>
          <w:sz w:val="25"/>
          <w:szCs w:val="25"/>
        </w:rPr>
        <w:t xml:space="preserve"> doit-elle se soucier de la diversité des cultures en protégeant, au besoin, les cultures minoritaires ? Ou bien doit-elle ignorer cet enjeu dès lors, qu’en vertu du principe moderne d’égalité, les citoyens ne peuvent être traités et considérés qu’en fonction de leurs statuts ou leurs appartenances ? Un Etat libéral peut-il, doit-il, pratiquer des politiques multiculturelles ? »</w:t>
      </w:r>
      <w:r>
        <w:rPr>
          <w:rStyle w:val="Appelnotedebasdep"/>
          <w:rFonts w:ascii="Calibri" w:hAnsi="Calibri" w:cs="Calibri"/>
          <w:sz w:val="25"/>
          <w:szCs w:val="25"/>
        </w:rPr>
        <w:footnoteReference w:id="69"/>
      </w:r>
      <w:r>
        <w:rPr>
          <w:rFonts w:ascii="Calibri" w:hAnsi="Calibri" w:cs="Calibri"/>
          <w:sz w:val="25"/>
          <w:szCs w:val="25"/>
        </w:rPr>
        <w:t>.</w:t>
      </w:r>
    </w:p>
    <w:p w:rsidR="000A31A8" w:rsidRDefault="000A31A8">
      <w:pPr>
        <w:pStyle w:val="Retraitcorpsdetexte3"/>
        <w:tabs>
          <w:tab w:val="clear" w:pos="1185"/>
        </w:tabs>
        <w:spacing w:line="324" w:lineRule="auto"/>
        <w:ind w:firstLine="0"/>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t xml:space="preserve">Répondre par l’affirmative, c’est choisir de se placer devant deux types d’objections : objections sociologiques et morales. Les objections sociologiques mettent en garde contre les dangers de dissolution du lien social et du lien politique puisqu’en introduisant les différences culturelles dans l’espace public, la politique multiculturaliste induit une dissolution du lien politique et l’engagement en faveur du </w:t>
      </w:r>
      <w:r>
        <w:rPr>
          <w:rFonts w:ascii="Calibri" w:hAnsi="Calibri" w:cs="Calibri"/>
          <w:sz w:val="25"/>
          <w:szCs w:val="25"/>
        </w:rPr>
        <w:lastRenderedPageBreak/>
        <w:t>groupe culturel tend à primer sur l’engagement citoyen</w:t>
      </w:r>
      <w:r>
        <w:rPr>
          <w:rStyle w:val="Appelnotedebasdep"/>
          <w:rFonts w:ascii="Calibri" w:hAnsi="Calibri" w:cs="Calibri"/>
          <w:sz w:val="25"/>
          <w:szCs w:val="25"/>
        </w:rPr>
        <w:footnoteReference w:id="70"/>
      </w:r>
      <w:r>
        <w:rPr>
          <w:rFonts w:ascii="Calibri" w:hAnsi="Calibri" w:cs="Calibri"/>
          <w:sz w:val="25"/>
          <w:szCs w:val="25"/>
        </w:rPr>
        <w:t xml:space="preserve">. D’une part La politique multiculturaliste ouvre également une brèche à l’autonomisation politique de chaque groupe par rapport à la communauté. </w:t>
      </w:r>
    </w:p>
    <w:p w:rsidR="000A31A8" w:rsidRDefault="000A31A8">
      <w:pPr>
        <w:pStyle w:val="Retraitcorpsdetexte3"/>
        <w:tabs>
          <w:tab w:val="clear" w:pos="1185"/>
        </w:tabs>
        <w:spacing w:line="324" w:lineRule="auto"/>
        <w:ind w:firstLine="0"/>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t>D’autre part, en reconnaissant des droits collectifs, les politiques multiculturalistes donnent aux groupes une emprise sur les individus qui en sont membres et violent en même temps leur autonomie</w:t>
      </w:r>
      <w:r>
        <w:rPr>
          <w:rStyle w:val="Appelnotedebasdep"/>
          <w:rFonts w:ascii="Calibri" w:hAnsi="Calibri" w:cs="Calibri"/>
          <w:sz w:val="25"/>
          <w:szCs w:val="25"/>
        </w:rPr>
        <w:footnoteReference w:id="71"/>
      </w:r>
      <w:r>
        <w:rPr>
          <w:rFonts w:ascii="Calibri" w:hAnsi="Calibri" w:cs="Calibri"/>
          <w:sz w:val="25"/>
          <w:szCs w:val="25"/>
        </w:rPr>
        <w:t xml:space="preserve">. Les objections morales sont celles qui considèrent qu’en accordant des droits spécifiques à certains groupes, en promouvant des identités culturelles, ces politiques minent les exigences universalistes de liberté et d’égalité. Hervé Pourtois relève trois difficultés auxquelles butent les politiques multiculturalistes tirées du consensus par recoupement : </w:t>
      </w:r>
    </w:p>
    <w:p w:rsidR="000A31A8" w:rsidRDefault="000A31A8">
      <w:pPr>
        <w:pStyle w:val="Retraitcorpsdetexte3"/>
        <w:tabs>
          <w:tab w:val="clear" w:pos="1185"/>
        </w:tabs>
        <w:spacing w:line="324" w:lineRule="auto"/>
        <w:ind w:firstLine="0"/>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t>La première est qu’il semble difficile dans les sociétés contemporaines de développer une politique de tolérance, donc d’abstention, à l’égard des identités culturelles</w:t>
      </w:r>
      <w:r>
        <w:rPr>
          <w:rStyle w:val="Appelnotedebasdep"/>
          <w:rFonts w:ascii="Calibri" w:hAnsi="Calibri" w:cs="Calibri"/>
          <w:sz w:val="25"/>
          <w:szCs w:val="25"/>
        </w:rPr>
        <w:footnoteReference w:id="72"/>
      </w:r>
      <w:r>
        <w:rPr>
          <w:rFonts w:ascii="Calibri" w:hAnsi="Calibri" w:cs="Calibri"/>
          <w:sz w:val="25"/>
          <w:szCs w:val="25"/>
        </w:rPr>
        <w:t>dans la mesure où l’Etat moderne est appelé à intervenir parfois de manière massive, dans les différentes sphères de la vie sociale</w:t>
      </w:r>
      <w:r>
        <w:rPr>
          <w:rStyle w:val="Appelnotedebasdep"/>
          <w:rFonts w:ascii="Calibri" w:hAnsi="Calibri" w:cs="Calibri"/>
          <w:sz w:val="25"/>
          <w:szCs w:val="25"/>
        </w:rPr>
        <w:footnoteReference w:id="73"/>
      </w:r>
      <w:r>
        <w:rPr>
          <w:rFonts w:ascii="Calibri" w:hAnsi="Calibri" w:cs="Calibri"/>
          <w:sz w:val="25"/>
          <w:szCs w:val="25"/>
        </w:rPr>
        <w:t xml:space="preserve"> : famille, éducation, économie, etc. </w:t>
      </w:r>
    </w:p>
    <w:p w:rsidR="000A31A8" w:rsidRDefault="000A31A8">
      <w:pPr>
        <w:pStyle w:val="Retraitcorpsdetexte3"/>
        <w:tabs>
          <w:tab w:val="clear" w:pos="1185"/>
        </w:tabs>
        <w:spacing w:line="324" w:lineRule="auto"/>
        <w:ind w:firstLine="0"/>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t xml:space="preserve">La deuxième difficulté est en rapport avec le droit de sortie : Un Etat libéral doit garantir à chaque citoyen le droit de rompre avec ses appartenances quelles qu’elles soient. Le problème, c’est que l’Etat doit en même temps faire en sorte que le départ n’implique pas des coûts matériels et psychiques et cela suppose aussi que celui qui renonce au groupe dispose de la capacité de juger. Dans ce contexte il est difficile que l’Etat demeure neutre. </w:t>
      </w:r>
    </w:p>
    <w:p w:rsidR="000A31A8" w:rsidRDefault="000A31A8">
      <w:pPr>
        <w:pStyle w:val="Retraitcorpsdetexte3"/>
        <w:tabs>
          <w:tab w:val="clear" w:pos="1185"/>
        </w:tabs>
        <w:spacing w:line="324" w:lineRule="auto"/>
        <w:ind w:firstLine="0"/>
        <w:rPr>
          <w:rFonts w:ascii="Calibri" w:hAnsi="Calibri" w:cs="Calibri"/>
          <w:sz w:val="25"/>
          <w:szCs w:val="25"/>
        </w:rPr>
      </w:pPr>
    </w:p>
    <w:p w:rsidR="000A31A8" w:rsidRDefault="0065345B">
      <w:pPr>
        <w:pStyle w:val="Retraitcorpsdetexte3"/>
        <w:tabs>
          <w:tab w:val="clear" w:pos="1185"/>
        </w:tabs>
        <w:spacing w:line="324" w:lineRule="auto"/>
        <w:ind w:firstLine="0"/>
        <w:rPr>
          <w:rFonts w:ascii="Calibri" w:hAnsi="Calibri" w:cs="Calibri"/>
          <w:sz w:val="25"/>
          <w:szCs w:val="25"/>
        </w:rPr>
      </w:pPr>
      <w:r>
        <w:rPr>
          <w:rFonts w:ascii="Calibri" w:hAnsi="Calibri" w:cs="Calibri"/>
          <w:sz w:val="25"/>
          <w:szCs w:val="25"/>
        </w:rPr>
        <w:lastRenderedPageBreak/>
        <w:t>Enfin, la difficulté philosophique essentielle de l’approche qui précède est qu’elle considère que l’appartenance ou la non appartenance à une culture est purement et simplement l’objet de choix</w:t>
      </w:r>
      <w:r>
        <w:rPr>
          <w:rStyle w:val="Appelnotedebasdep"/>
          <w:rFonts w:ascii="Calibri" w:hAnsi="Calibri" w:cs="Calibri"/>
          <w:sz w:val="25"/>
          <w:szCs w:val="25"/>
        </w:rPr>
        <w:footnoteReference w:id="74"/>
      </w:r>
      <w:r>
        <w:rPr>
          <w:rFonts w:ascii="Calibri" w:hAnsi="Calibri" w:cs="Calibri"/>
          <w:sz w:val="25"/>
          <w:szCs w:val="25"/>
        </w:rPr>
        <w:t xml:space="preserve">. </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Pour Habermas, la manière dont Rawls développe l’intuition procédurale a pour « conséquence involontaire » de réduire la prétention épistémique de sa théorie et, le modèle de justification publique lié au consensus par recoupement raisonnable ne parvient pas à assurer un point de vue d’appréciation impartiale</w:t>
      </w:r>
      <w:r>
        <w:rPr>
          <w:rStyle w:val="Appelnotedebasdep"/>
          <w:rFonts w:ascii="Calibri" w:eastAsia="Batang" w:hAnsi="Calibri" w:cs="Calibri"/>
          <w:sz w:val="25"/>
          <w:szCs w:val="25"/>
        </w:rPr>
        <w:footnoteReference w:id="75"/>
      </w:r>
      <w:r>
        <w:rPr>
          <w:rFonts w:ascii="Calibri" w:eastAsia="Batang" w:hAnsi="Calibri" w:cs="Calibri"/>
          <w:sz w:val="25"/>
          <w:szCs w:val="25"/>
        </w:rPr>
        <w:t xml:space="preserve">. Ce que </w:t>
      </w:r>
      <w:r>
        <w:rPr>
          <w:rFonts w:ascii="Calibri" w:eastAsia="Batang" w:hAnsi="Calibri" w:cs="Calibri"/>
          <w:i/>
          <w:iCs/>
          <w:sz w:val="25"/>
          <w:szCs w:val="25"/>
        </w:rPr>
        <w:t>la Théorie de l’agir communicationnel</w:t>
      </w:r>
      <w:r>
        <w:rPr>
          <w:rFonts w:ascii="Calibri" w:eastAsia="Batang" w:hAnsi="Calibri" w:cs="Calibri"/>
          <w:sz w:val="25"/>
          <w:szCs w:val="25"/>
        </w:rPr>
        <w:t xml:space="preserve"> reproche premièrement au </w:t>
      </w:r>
      <w:r>
        <w:rPr>
          <w:rFonts w:ascii="Calibri" w:eastAsia="Batang" w:hAnsi="Calibri" w:cs="Calibri"/>
          <w:i/>
          <w:iCs/>
          <w:sz w:val="25"/>
          <w:szCs w:val="25"/>
        </w:rPr>
        <w:t>Libéralisme politique</w:t>
      </w:r>
      <w:r>
        <w:rPr>
          <w:rFonts w:ascii="Calibri" w:eastAsia="Batang" w:hAnsi="Calibri" w:cs="Calibri"/>
          <w:sz w:val="25"/>
          <w:szCs w:val="25"/>
        </w:rPr>
        <w:t>, c’est de recourir à deux procédures de fondation (la position originelle et le consensus par recoupement). Habermas intègre, dans un même point de vue moral, la dimension déontologique de la validité et la dimension pragmatique de l’espace public. En effet, le</w:t>
      </w:r>
      <w:r>
        <w:rPr>
          <w:rFonts w:ascii="Calibri" w:eastAsia="Batang" w:hAnsi="Calibri" w:cs="Calibri"/>
          <w:i/>
          <w:iCs/>
          <w:sz w:val="25"/>
          <w:szCs w:val="25"/>
        </w:rPr>
        <w:t xml:space="preserve"> Libéralisme politique</w:t>
      </w:r>
      <w:r>
        <w:rPr>
          <w:rFonts w:ascii="Calibri" w:eastAsia="Batang" w:hAnsi="Calibri" w:cs="Calibri"/>
          <w:sz w:val="25"/>
          <w:szCs w:val="25"/>
        </w:rPr>
        <w:t xml:space="preserve"> procède à une </w:t>
      </w:r>
      <w:r>
        <w:rPr>
          <w:rFonts w:ascii="Calibri" w:eastAsia="Batang" w:hAnsi="Calibri" w:cs="Calibri"/>
          <w:i/>
          <w:iCs/>
          <w:sz w:val="25"/>
          <w:szCs w:val="25"/>
        </w:rPr>
        <w:t>disjonction </w:t>
      </w:r>
      <w:r>
        <w:rPr>
          <w:rFonts w:ascii="Calibri" w:eastAsia="Batang" w:hAnsi="Calibri" w:cs="Calibri"/>
          <w:sz w:val="25"/>
          <w:szCs w:val="25"/>
        </w:rPr>
        <w:t xml:space="preserve">: la </w:t>
      </w:r>
      <w:r>
        <w:rPr>
          <w:rFonts w:ascii="Calibri" w:eastAsia="Batang" w:hAnsi="Calibri" w:cs="Calibri"/>
          <w:i/>
          <w:iCs/>
          <w:sz w:val="25"/>
          <w:szCs w:val="25"/>
        </w:rPr>
        <w:t>validité</w:t>
      </w:r>
      <w:r>
        <w:rPr>
          <w:rFonts w:ascii="Calibri" w:eastAsia="Batang" w:hAnsi="Calibri" w:cs="Calibri"/>
          <w:sz w:val="25"/>
          <w:szCs w:val="25"/>
        </w:rPr>
        <w:t xml:space="preserve"> est prise en charge par la position originelle ; tandis que la </w:t>
      </w:r>
      <w:r>
        <w:rPr>
          <w:rFonts w:ascii="Calibri" w:eastAsia="Batang" w:hAnsi="Calibri" w:cs="Calibri"/>
          <w:i/>
          <w:iCs/>
          <w:sz w:val="25"/>
          <w:szCs w:val="25"/>
        </w:rPr>
        <w:t>légitimité</w:t>
      </w:r>
      <w:r>
        <w:rPr>
          <w:rFonts w:ascii="Calibri" w:eastAsia="Batang" w:hAnsi="Calibri" w:cs="Calibri"/>
          <w:sz w:val="25"/>
          <w:szCs w:val="25"/>
        </w:rPr>
        <w:t xml:space="preserve"> par la raison publique. </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Deuxièmement, Habermas reproche au </w:t>
      </w:r>
      <w:r>
        <w:rPr>
          <w:rFonts w:ascii="Calibri" w:eastAsia="Batang" w:hAnsi="Calibri" w:cs="Calibri"/>
          <w:i/>
          <w:iCs/>
          <w:sz w:val="25"/>
          <w:szCs w:val="25"/>
        </w:rPr>
        <w:t>Libéralisme politique</w:t>
      </w:r>
      <w:r>
        <w:rPr>
          <w:rFonts w:ascii="Calibri" w:eastAsia="Batang" w:hAnsi="Calibri" w:cs="Calibri"/>
          <w:sz w:val="25"/>
          <w:szCs w:val="25"/>
        </w:rPr>
        <w:t xml:space="preserve"> de violer la division du travail entre théorie morale et théorie de l’action et d’introduire une confusion entre justification et acceptation pratique</w:t>
      </w:r>
      <w:r>
        <w:rPr>
          <w:rStyle w:val="Appelnotedebasdep"/>
          <w:rFonts w:ascii="Calibri" w:eastAsia="Batang" w:hAnsi="Calibri" w:cs="Calibri"/>
          <w:sz w:val="25"/>
          <w:szCs w:val="25"/>
        </w:rPr>
        <w:footnoteReference w:id="76"/>
      </w:r>
      <w:r>
        <w:rPr>
          <w:rFonts w:ascii="Calibri" w:eastAsia="Batang" w:hAnsi="Calibri" w:cs="Calibri"/>
          <w:sz w:val="25"/>
          <w:szCs w:val="25"/>
        </w:rPr>
        <w:t>. Pour lui, la stabilité politique relève avant tout de considérations empiriques liées à la théorie de l’action</w:t>
      </w:r>
      <w:r>
        <w:rPr>
          <w:rStyle w:val="Appelnotedebasdep"/>
          <w:rFonts w:ascii="Calibri" w:eastAsia="Batang" w:hAnsi="Calibri" w:cs="Calibri"/>
          <w:sz w:val="25"/>
          <w:szCs w:val="25"/>
        </w:rPr>
        <w:footnoteReference w:id="77"/>
      </w:r>
      <w:r>
        <w:rPr>
          <w:rFonts w:ascii="Calibri" w:eastAsia="Batang" w:hAnsi="Calibri" w:cs="Calibri"/>
          <w:sz w:val="25"/>
          <w:szCs w:val="25"/>
        </w:rPr>
        <w:t>.</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En définitive, la destruction des fondements qui débouchent à la légitimation de l’absolutisme est une propédeutique nécessaire pour une nouvelle fondation de la vie en communauté. Le consensus, notamment le consensus par recoupement avec ses deux moments, est la voie que choisit l’auteur de </w:t>
      </w:r>
      <w:r>
        <w:rPr>
          <w:rFonts w:ascii="Calibri" w:eastAsia="Batang" w:hAnsi="Calibri" w:cs="Calibri"/>
          <w:i/>
          <w:sz w:val="25"/>
          <w:szCs w:val="25"/>
        </w:rPr>
        <w:t>Théorie de la justice</w:t>
      </w:r>
      <w:r>
        <w:rPr>
          <w:rFonts w:ascii="Calibri" w:eastAsia="Batang" w:hAnsi="Calibri" w:cs="Calibri"/>
          <w:sz w:val="25"/>
          <w:szCs w:val="25"/>
        </w:rPr>
        <w:t>. Il veut donc construire l’Etat sur des bases anthropologiques autres que celles de Hobbes. Ce, pour éviter de tomber dans l’individualisme radical et dans l’absolutisme. Telle est le chemin qui conduit à la notion de l’équité.</w:t>
      </w:r>
    </w:p>
    <w:p w:rsidR="000A31A8" w:rsidRDefault="000A31A8">
      <w:pPr>
        <w:spacing w:line="324" w:lineRule="auto"/>
        <w:ind w:right="-2" w:firstLine="709"/>
        <w:jc w:val="center"/>
        <w:rPr>
          <w:rFonts w:ascii="Calibri" w:eastAsia="Batang" w:hAnsi="Calibri" w:cs="Calibri"/>
          <w:sz w:val="25"/>
          <w:szCs w:val="25"/>
        </w:rPr>
        <w:sectPr w:rsidR="000A31A8">
          <w:pgSz w:w="11906" w:h="16838"/>
          <w:pgMar w:top="1440" w:right="1440" w:bottom="1440" w:left="1800" w:header="850" w:footer="850" w:gutter="0"/>
          <w:pgNumType w:start="1"/>
          <w:cols w:space="720"/>
          <w:docGrid w:linePitch="272"/>
        </w:sectPr>
      </w:pPr>
    </w:p>
    <w:p w:rsidR="000A31A8" w:rsidRDefault="0065345B">
      <w:pPr>
        <w:pStyle w:val="Titre1"/>
        <w:spacing w:after="0" w:line="324" w:lineRule="auto"/>
        <w:ind w:left="0" w:firstLine="0"/>
        <w:jc w:val="both"/>
        <w:rPr>
          <w:rFonts w:ascii="Calibri" w:hAnsi="Calibri" w:cs="Calibri"/>
          <w:bCs w:val="0"/>
          <w:sz w:val="32"/>
          <w:szCs w:val="32"/>
        </w:rPr>
      </w:pPr>
      <w:bookmarkStart w:id="19" w:name="_Toc127173494"/>
      <w:r>
        <w:rPr>
          <w:rFonts w:ascii="Calibri" w:hAnsi="Calibri" w:cs="Calibri"/>
          <w:sz w:val="32"/>
          <w:szCs w:val="32"/>
        </w:rPr>
        <w:lastRenderedPageBreak/>
        <w:t xml:space="preserve">CHAPITRE TROISIÈME : </w:t>
      </w:r>
      <w:r>
        <w:rPr>
          <w:rFonts w:ascii="Calibri" w:hAnsi="Calibri" w:cs="Calibri"/>
          <w:bCs w:val="0"/>
          <w:sz w:val="32"/>
          <w:szCs w:val="32"/>
        </w:rPr>
        <w:t>LA SOLUTION CONSTRUCTIVISTE ET LE PLURALISME RAWLSIEN</w:t>
      </w:r>
      <w:bookmarkEnd w:id="19"/>
    </w:p>
    <w:p w:rsidR="000A31A8" w:rsidRDefault="000A31A8">
      <w:pPr>
        <w:pStyle w:val="Titre1"/>
        <w:spacing w:after="0" w:line="324" w:lineRule="auto"/>
        <w:rPr>
          <w:rFonts w:ascii="Calibri" w:hAnsi="Calibri" w:cs="Calibri"/>
          <w:b w:val="0"/>
          <w:bCs w:val="0"/>
          <w:sz w:val="25"/>
          <w:szCs w:val="25"/>
        </w:rPr>
      </w:pPr>
    </w:p>
    <w:p w:rsidR="000A31A8" w:rsidRDefault="0065345B">
      <w:pPr>
        <w:pStyle w:val="Titre1"/>
        <w:spacing w:after="0" w:line="324" w:lineRule="auto"/>
        <w:ind w:left="0" w:firstLine="0"/>
        <w:jc w:val="left"/>
        <w:rPr>
          <w:rFonts w:ascii="Calibri" w:hAnsi="Calibri" w:cs="Calibri"/>
          <w:bCs w:val="0"/>
          <w:sz w:val="28"/>
          <w:szCs w:val="28"/>
        </w:rPr>
      </w:pPr>
      <w:bookmarkStart w:id="20" w:name="_Toc127173495"/>
      <w:r>
        <w:rPr>
          <w:rFonts w:ascii="Calibri" w:hAnsi="Calibri" w:cs="Calibri"/>
          <w:bCs w:val="0"/>
          <w:sz w:val="28"/>
          <w:szCs w:val="28"/>
        </w:rPr>
        <w:t>3.1. LES PRÉSOMPTIONS DE L’UTILITARISME</w:t>
      </w:r>
      <w:bookmarkEnd w:id="20"/>
    </w:p>
    <w:p w:rsidR="000A31A8" w:rsidRDefault="000A31A8">
      <w:pPr>
        <w:pStyle w:val="Titre4"/>
        <w:tabs>
          <w:tab w:val="clear" w:pos="1185"/>
        </w:tabs>
        <w:spacing w:after="0" w:line="324" w:lineRule="auto"/>
        <w:ind w:left="0" w:right="-2"/>
        <w:rPr>
          <w:rFonts w:ascii="Calibri" w:hAnsi="Calibri" w:cs="Calibri"/>
          <w:b w:val="0"/>
          <w:bCs w:val="0"/>
          <w:sz w:val="25"/>
          <w:szCs w:val="25"/>
        </w:rPr>
      </w:pPr>
      <w:bookmarkStart w:id="21" w:name="_Toc61276662"/>
      <w:bookmarkStart w:id="22" w:name="_Toc61541164"/>
      <w:bookmarkStart w:id="23" w:name="_Toc63602945"/>
    </w:p>
    <w:p w:rsidR="000A31A8" w:rsidRDefault="0065345B">
      <w:pPr>
        <w:pStyle w:val="Titre4"/>
        <w:tabs>
          <w:tab w:val="clear" w:pos="1185"/>
        </w:tabs>
        <w:spacing w:after="0" w:line="324" w:lineRule="auto"/>
        <w:ind w:left="0" w:right="-2" w:firstLine="0"/>
        <w:rPr>
          <w:rFonts w:ascii="Calibri" w:hAnsi="Calibri" w:cs="Calibri"/>
          <w:b w:val="0"/>
          <w:bCs w:val="0"/>
          <w:sz w:val="25"/>
          <w:szCs w:val="25"/>
        </w:rPr>
      </w:pPr>
      <w:r>
        <w:rPr>
          <w:rFonts w:ascii="Calibri" w:hAnsi="Calibri" w:cs="Calibri"/>
          <w:b w:val="0"/>
          <w:bCs w:val="0"/>
          <w:sz w:val="25"/>
          <w:szCs w:val="25"/>
        </w:rPr>
        <w:t>Pour poser les bases de la nouvelle théorie de la justice comme équité, Rawls a besoin de Kant. Et le cadre théorique de la réflexion rawlsienne sur le pluralisme est la remise en question des limites de l'autorité de la société sur  l'individu</w:t>
      </w:r>
      <w:bookmarkEnd w:id="21"/>
      <w:bookmarkEnd w:id="22"/>
      <w:bookmarkEnd w:id="23"/>
      <w:r>
        <w:rPr>
          <w:rFonts w:ascii="Calibri" w:hAnsi="Calibri" w:cs="Calibri"/>
          <w:b w:val="0"/>
          <w:bCs w:val="0"/>
          <w:sz w:val="25"/>
          <w:szCs w:val="25"/>
        </w:rPr>
        <w:t xml:space="preserve"> telles que tracées par l’utilitarisme et les démocraties libérales en général.</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L'utilitarisme veut départager l'individu et la société en traçant la juste limite de la souveraineté de l'individu sur lui-même, en précisant la part de la vie humaine qui revient à l'individualité ou à la société. A l'individualité appartient la partie de la vie qui intéresse d'abord l'individu et, à la société celle qui intéresse la société. L'homme, par le fait qu'il vit en société, doit adopter une ligne de conduite vis-à-vis d'autrui et cette conduite consiste avant tout à ne pas nuire aux intérêts d'autrui. L'homme est même appelé à participer, par des sacrifices si cela s'avère nécessaire, à la défense de la société contre tout préjudice de vexations.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L'utilitarisme n'est donc pas une doctrine d'indifférence égoïste qui stipule que l'homme n'a pas à s'intéresser à la conduite des autres. Les hommes doivent s'aider les uns les autres à distinguer le meilleur du pire, et s'encourager à préférer l'un et à éviter l'autre</w:t>
      </w:r>
      <w:r>
        <w:rPr>
          <w:rStyle w:val="Appelnotedebasdep"/>
          <w:rFonts w:ascii="Calibri" w:eastAsia="Batang" w:hAnsi="Calibri" w:cs="Calibri"/>
          <w:sz w:val="25"/>
          <w:szCs w:val="25"/>
        </w:rPr>
        <w:footnoteReference w:id="78"/>
      </w:r>
      <w:r>
        <w:rPr>
          <w:rFonts w:ascii="Calibri" w:eastAsia="Batang" w:hAnsi="Calibri" w:cs="Calibri"/>
          <w:sz w:val="25"/>
          <w:szCs w:val="25"/>
        </w:rPr>
        <w:t>. Cependant, cela ne veut pas dire que chacun, dans son intérêt, n'est pas autorisé à faire de sa vie ce qu'il veut. Chacun est d'abord préoccupé de son propre bien-être et, l'intervention de la société pour diriger le jugement et le dessein d'un homme dans ce qui ne regarde que lui, lequel intérêt se fonde toujours sur des présomptions générales, n'a aucune légitimité tout simplement parce que ces présomptions peuvent être complètement erronées et même quand elles sont justes, il y a risque qu'elles soient mal appliquées.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C'est d'ailleurs à ce propos qu'il est important que la politique favorise qu'une personne puisse dire franchement à son voisin qu'il est en faute sans qu'elle ne soit traitée ni de grossière ni de prétentieuse. Les actes qui font encourir la réprobation morale sont ceux qui sont nuisibles : empiéter sur le droit d'autrui, infliger une perte ou un préjudice, user de fausseté et de duplicité, profiter au dépend d'autrui, etc. Donc il y a une différence entre ces actes et le discrédit que s'attire une personne pour son manque de prudence ou de dignité personnelle, cela ne regarde que la personne elle-même et ne mérite pas une réprobation. Il existe donc bel et bien une distinction entre la partie de la vie qui ne concerne que l'individu et celle qui concerne les autres. Le problème est de préciser plutôt dans quelle mesure une partie quelconque de la conduite d'un membre de la société peut rester indifférente aux autres et celle de savoir si la société doit abandonner des gens incapables de se conduire.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A ces présomptions, l'utilitarisme répond tout simplement qu'il n'est pas question de restreindre l'individualité ni d'empêcher quiconque de tenter des expériences de vie nouvelle et originale, pour autant qu'il faille beaucoup de temps pour qu'une vérité dictée par la morale ou la prudence soit tenue pour établie. Ce, tout en admettant que le tort qu'une personne se fait affecte aussi, même si c'est à un degré différent, ses proches et la société tout entière.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D'une façon brève, les objections formulées par l'utilitarisme contre l'intervention du gouvernement peuvent être contenues dans les trois schèmes suivants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Primo : par rapport aux affaires, nul n'est mieux indiqué que les individus à diriger une affaire que ceux qui y sont personnellement intéressés. Ce qui implique la condamnation des interventions des législateurs ou des fonctionnaires dans les clauses concernant l'industrie.</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Secundo : Dans la lignée du premier principe, il est souhaitable que, dans de nombreux cas, on laisse faire les individus à travers des institutions libres et populaires, des entreprises industrielles et philanthropiques, des associations volontaires. L'avantage à tirer de ce principe est que les individus et les associations, alors que le gouvernement est presque toujours en train de répéter les mêmes opérations partout, produisent une immense et constante variété de tentatives et d'expériences.</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Tertio : Le dernier schème qui constitue la plus forte raison de restreindre l'intervention du gouvernement est le parasitisme que cause l'élargissement du </w:t>
      </w:r>
      <w:r>
        <w:rPr>
          <w:rFonts w:ascii="Calibri" w:eastAsia="Batang" w:hAnsi="Calibri" w:cs="Calibri"/>
          <w:sz w:val="25"/>
          <w:szCs w:val="25"/>
        </w:rPr>
        <w:lastRenderedPageBreak/>
        <w:t>pouvoir gouvernemental. Car les gouvernements sont autant esclaves de leur orientation et de leur discipline que les gouvernés ne  le sont des gouvernants</w:t>
      </w:r>
      <w:r>
        <w:rPr>
          <w:rStyle w:val="Appelnotedebasdep"/>
          <w:rFonts w:ascii="Calibri" w:eastAsia="Batang" w:hAnsi="Calibri" w:cs="Calibri"/>
          <w:sz w:val="25"/>
          <w:szCs w:val="25"/>
        </w:rPr>
        <w:footnoteReference w:id="79"/>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Le tournant pluraliste de Rawls ou la justification des principes de justice (le principe des libertés égales et le principe de différence), le pluralisme axiologique remonte à  </w:t>
      </w:r>
      <w:r>
        <w:rPr>
          <w:rFonts w:ascii="Calibri" w:eastAsia="Batang" w:hAnsi="Calibri" w:cs="Calibri"/>
          <w:i/>
          <w:iCs/>
          <w:sz w:val="25"/>
          <w:szCs w:val="25"/>
          <w:lang w:val="fr-BE"/>
        </w:rPr>
        <w:t>Justice as fairness ; Political not metaphysical</w:t>
      </w:r>
      <w:r>
        <w:rPr>
          <w:rFonts w:ascii="Calibri" w:eastAsia="Batang" w:hAnsi="Calibri" w:cs="Calibri"/>
          <w:sz w:val="25"/>
          <w:szCs w:val="25"/>
          <w:lang w:val="fr-BE"/>
        </w:rPr>
        <w:t xml:space="preserve"> de 1985. Rawls y désavoue les prétentions excessivement universalistes de </w:t>
      </w:r>
      <w:r>
        <w:rPr>
          <w:rFonts w:ascii="Calibri" w:eastAsia="Batang" w:hAnsi="Calibri" w:cs="Calibri"/>
          <w:i/>
          <w:iCs/>
          <w:sz w:val="25"/>
          <w:szCs w:val="25"/>
          <w:lang w:val="fr-BE"/>
        </w:rPr>
        <w:t>Theory of justice</w:t>
      </w:r>
      <w:r>
        <w:rPr>
          <w:rFonts w:ascii="Calibri" w:eastAsia="Batang" w:hAnsi="Calibri" w:cs="Calibri"/>
          <w:sz w:val="25"/>
          <w:szCs w:val="25"/>
          <w:lang w:val="fr-BE"/>
        </w:rPr>
        <w:t xml:space="preserve"> de 1971.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Désormais, la justification des principes de justice devrait se faire par l’établissement d’un consensus par recoupement plutôt qu’en partant d’une famille des concepts axiologiques d’application soi-disant universelle</w:t>
      </w:r>
      <w:r>
        <w:rPr>
          <w:rStyle w:val="Appelnotedebasdep"/>
          <w:rFonts w:ascii="Calibri" w:eastAsia="Batang" w:hAnsi="Calibri" w:cs="Calibri"/>
          <w:sz w:val="25"/>
          <w:szCs w:val="25"/>
          <w:lang w:val="fr-BE"/>
        </w:rPr>
        <w:footnoteReference w:id="80"/>
      </w:r>
      <w:r>
        <w:rPr>
          <w:rFonts w:ascii="Calibri" w:eastAsia="Batang" w:hAnsi="Calibri" w:cs="Calibri"/>
          <w:sz w:val="25"/>
          <w:szCs w:val="25"/>
          <w:lang w:val="fr-BE"/>
        </w:rPr>
        <w:t xml:space="preserve">. Cette intuition qui se justifie par l’hétérogénéité morale des démocraties libérales modernes trouve sa matérialisation dans le </w:t>
      </w:r>
      <w:r>
        <w:rPr>
          <w:rFonts w:ascii="Calibri" w:eastAsia="Batang" w:hAnsi="Calibri" w:cs="Calibri"/>
          <w:i/>
          <w:iCs/>
          <w:sz w:val="25"/>
          <w:szCs w:val="25"/>
          <w:lang w:val="fr-BE"/>
        </w:rPr>
        <w:t>Libéralisme politique.</w:t>
      </w:r>
      <w:r>
        <w:rPr>
          <w:rFonts w:ascii="Calibri" w:eastAsia="Batang" w:hAnsi="Calibri" w:cs="Calibri"/>
          <w:sz w:val="25"/>
          <w:szCs w:val="25"/>
          <w:lang w:val="fr-BE"/>
        </w:rPr>
        <w:t xml:space="preserve"> Selon Rawls lui-même, ses écrits antérieurs n’avaient pas suffisamment tenu compte de ce qu’il appelle « le fait du pluralisme raisonnable », c’est-à-dire le fait que les conditions de liberté de conscience et d’expression que l’on retrouve dans une démocratie libérale garantissent que l’on y retrouve une pluralité de conceptions raisonnables du bien humain. Le fait du pluralisme exige de repenser la justification des deux principes</w:t>
      </w:r>
      <w:r>
        <w:rPr>
          <w:rStyle w:val="Appelnotedebasdep"/>
          <w:rFonts w:ascii="Calibri" w:eastAsia="Batang" w:hAnsi="Calibri" w:cs="Calibri"/>
          <w:sz w:val="25"/>
          <w:szCs w:val="25"/>
          <w:lang w:val="fr-BE"/>
        </w:rPr>
        <w:footnoteReference w:id="81"/>
      </w:r>
      <w:r>
        <w:rPr>
          <w:rFonts w:ascii="Calibri" w:eastAsia="Batang" w:hAnsi="Calibri" w:cs="Calibri"/>
          <w:sz w:val="25"/>
          <w:szCs w:val="25"/>
          <w:lang w:val="fr-BE"/>
        </w:rPr>
        <w:t>. Or l’une des démocraties libérales qui entretient le plus de confusion en cette matière est l’utilitarisme.</w:t>
      </w:r>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pStyle w:val="Titre1"/>
        <w:spacing w:after="0" w:line="324" w:lineRule="auto"/>
        <w:ind w:left="0" w:firstLine="0"/>
        <w:jc w:val="both"/>
        <w:rPr>
          <w:rFonts w:ascii="Calibri" w:hAnsi="Calibri" w:cs="Calibri"/>
          <w:bCs w:val="0"/>
          <w:sz w:val="28"/>
          <w:szCs w:val="28"/>
        </w:rPr>
      </w:pPr>
      <w:bookmarkStart w:id="24" w:name="_Toc127173496"/>
      <w:r>
        <w:rPr>
          <w:rFonts w:ascii="Calibri" w:hAnsi="Calibri" w:cs="Calibri"/>
          <w:bCs w:val="0"/>
          <w:sz w:val="28"/>
          <w:szCs w:val="28"/>
        </w:rPr>
        <w:t>3.2. LA REMISE EN QUESTION DE L’UTILITARISME</w:t>
      </w:r>
      <w:bookmarkEnd w:id="24"/>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critique que Rawls formule contre l'utilitarisme est bien loin d’être une simple remise en question. Choqué par le fait que beaucoup ont pensé que l'utilitarisme était la conception la plus rationnelle de la justice, il se propose de présenter une conception de la justice qui remplacerait carrément celle professée par les utilitaristes.  Son but est d’ailleurs d'élaborer une théorie de la justice qui représente une solution de rechange à la pensée  utilitariste</w:t>
      </w:r>
      <w:r>
        <w:rPr>
          <w:rStyle w:val="Appelnotedebasdep"/>
          <w:rFonts w:ascii="Calibri" w:eastAsia="Batang" w:hAnsi="Calibri" w:cs="Calibri"/>
          <w:sz w:val="25"/>
          <w:szCs w:val="25"/>
        </w:rPr>
        <w:footnoteReference w:id="82"/>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Pour commencer sa critique, Rawls présente l’utilitarisme tout simplement dans sa propre marche méthodologique. Si chaque homme, en satisfaisant ses propres intérêts, est libre de comptabiliser ses propres pertes face à ses propres gains, qu'est-ce qui empêcherait  qu'une société agisse selon le même principe, puisque si le bien- être  d'un individu est constitué par les séries de satisfactions expérimentées à différents moments constituant l'existence individuelle, on ne voit pas pourquoi le bien-être de la société ne serait pas constitué par la satisfaction des systèmes de désirs de nombreux individus qui en font partie. Une telle réflexion conduit droit au principe d'utilité</w:t>
      </w:r>
      <w:r>
        <w:rPr>
          <w:rStyle w:val="Appelnotedebasdep"/>
          <w:rFonts w:ascii="Calibri" w:eastAsia="Batang" w:hAnsi="Calibri" w:cs="Calibri"/>
          <w:sz w:val="25"/>
          <w:szCs w:val="25"/>
        </w:rPr>
        <w:footnoteReference w:id="83"/>
      </w:r>
      <w:r>
        <w:rPr>
          <w:rFonts w:ascii="Calibri" w:eastAsia="Batang" w:hAnsi="Calibri" w:cs="Calibri"/>
          <w:sz w:val="25"/>
          <w:szCs w:val="25"/>
        </w:rPr>
        <w:t>. On peut affirmer que « la nature de l’homme que l’utilitarisme prend comme point départ, et avec l’aide de laquelle il essaye d’ériger son édifice de félicité (</w:t>
      </w:r>
      <w:r>
        <w:rPr>
          <w:rFonts w:ascii="Calibri" w:eastAsia="Batang" w:hAnsi="Calibri" w:cs="Calibri"/>
          <w:i/>
          <w:iCs/>
          <w:sz w:val="25"/>
          <w:szCs w:val="25"/>
        </w:rPr>
        <w:t>fabric of felicity</w:t>
      </w:r>
      <w:r>
        <w:rPr>
          <w:rFonts w:ascii="Calibri" w:eastAsia="Batang" w:hAnsi="Calibri" w:cs="Calibri"/>
          <w:sz w:val="25"/>
          <w:szCs w:val="25"/>
        </w:rPr>
        <w:t>), est éclairée d’une lumière hédoniste »</w:t>
      </w:r>
      <w:r>
        <w:rPr>
          <w:rStyle w:val="Appelnotedebasdep"/>
          <w:rFonts w:ascii="Calibri" w:eastAsia="Batang" w:hAnsi="Calibri" w:cs="Calibri"/>
          <w:sz w:val="25"/>
          <w:szCs w:val="25"/>
        </w:rPr>
        <w:footnoteReference w:id="84"/>
      </w:r>
      <w:r>
        <w:rPr>
          <w:rFonts w:ascii="Calibri" w:eastAsia="Batang" w:hAnsi="Calibri" w:cs="Calibri"/>
          <w:sz w:val="25"/>
          <w:szCs w:val="25"/>
        </w:rPr>
        <w:t xml:space="preserve">. Et l’hédonisme apparaît comme le principe du jugement le plus élevé de l’agir juste (hédonisme </w:t>
      </w:r>
      <w:r>
        <w:rPr>
          <w:rFonts w:ascii="Calibri" w:eastAsia="Batang" w:hAnsi="Calibri" w:cs="Calibri"/>
          <w:i/>
          <w:iCs/>
          <w:sz w:val="25"/>
          <w:szCs w:val="25"/>
        </w:rPr>
        <w:t>éthique </w:t>
      </w:r>
      <w:r>
        <w:rPr>
          <w:rFonts w:ascii="Calibri" w:eastAsia="Batang" w:hAnsi="Calibri" w:cs="Calibri"/>
          <w:sz w:val="25"/>
          <w:szCs w:val="25"/>
        </w:rPr>
        <w:t xml:space="preserve">: rien n’est en soi bon ou n’est une fin en soi-même, excepté le plaisir), et comme structure fondamentale de la motivation humaine (hédonisme </w:t>
      </w:r>
      <w:r>
        <w:rPr>
          <w:rFonts w:ascii="Calibri" w:eastAsia="Batang" w:hAnsi="Calibri" w:cs="Calibri"/>
          <w:i/>
          <w:iCs/>
          <w:sz w:val="25"/>
          <w:szCs w:val="25"/>
        </w:rPr>
        <w:t>psychologique </w:t>
      </w:r>
      <w:r>
        <w:rPr>
          <w:rFonts w:ascii="Calibri" w:eastAsia="Batang" w:hAnsi="Calibri" w:cs="Calibri"/>
          <w:sz w:val="25"/>
          <w:szCs w:val="25"/>
        </w:rPr>
        <w:t>: le comportement humain n’est mû en dernier lieu par rien d’autre que le plaisir</w:t>
      </w:r>
      <w:r>
        <w:rPr>
          <w:rStyle w:val="Appelnotedebasdep"/>
          <w:rFonts w:ascii="Calibri" w:eastAsia="Batang" w:hAnsi="Calibri" w:cs="Calibri"/>
          <w:sz w:val="25"/>
          <w:szCs w:val="25"/>
        </w:rPr>
        <w:footnoteReference w:id="85"/>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Cette réflexion est renforcée par la considération des deux concepts principaux de l'éthique à savoir le juste et le bien dont dérive le concept de personne moralement valable. La façon la plus simple de relier ces deux notions de base est celle des théories </w:t>
      </w:r>
      <w:r>
        <w:rPr>
          <w:rFonts w:ascii="Calibri" w:eastAsia="Batang" w:hAnsi="Calibri" w:cs="Calibri"/>
          <w:sz w:val="25"/>
          <w:szCs w:val="25"/>
        </w:rPr>
        <w:lastRenderedPageBreak/>
        <w:t>téléologiques qui définissent le bien indépendamment du juste, c'est-à-dire la théorie rend compte de nos jugements bien pesés d'après lesquels certaines choses sont dites bonnes et elle nous rend en même temps capable de juger de la valeur des choses sans nous référer à ce qui est juste. Les doctrines téléologiques diffèrent alors selon qu'elles définissent le bien par le plaisir (hédonisme), par le bonheur (eudémonisme).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Troisièmement, le trait saillant de la conception utilitariste de la justice est, le fait que, la façon dont la somme totale des satisfactions est répartie entre les individus voire la façon dont un homme répartit ses satisfactions dans le temps ne compte pas du tout. La société, elle, n'a qu'à se débattre pour réunir les moyens de satisfaction.</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 sont là les convictions du sens commun dont Rawls  veut maintenant rendre compte, dans sa théorie de la justice comme équité, en insistant sur la priorité de la justice et en montrant que ces convictions du sens commun ne sont que la conséquence de la position originelle, c’est-à-dire l’égalité initiale des partenaires.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De la réflexion qui précède l’on peut  préciser quelques objections à charge de l'utilitarisme.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1°. L'utilitarisme reconnaît l'existence du conflit entre sa doctrine et ces sentiments de justice ; mais il continue à maintenir que les préceptes de justice du sens commun et les notions de droit naturel sont seulement une validité subordonnée en tant que règles secondaires ;  il cherche à rendre compte de ces règles comme si elles étaient une illusion socialement utile. A cette réflexion, Rawls oppose sa doctrine du contrat qui accepte comme fondées, dans l'ensemble, nos convictions en faveur de la priorité de la justice.</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2°. L'utilitarisme étend à la société le principe de choix valable pour un individu</w:t>
      </w:r>
      <w:r>
        <w:rPr>
          <w:rStyle w:val="Appelnotedebasdep"/>
          <w:rFonts w:ascii="Calibri" w:eastAsia="Batang" w:hAnsi="Calibri" w:cs="Calibri"/>
          <w:sz w:val="25"/>
          <w:szCs w:val="25"/>
        </w:rPr>
        <w:footnoteReference w:id="86"/>
      </w:r>
      <w:r>
        <w:rPr>
          <w:rFonts w:ascii="Calibri" w:eastAsia="Batang" w:hAnsi="Calibri" w:cs="Calibri"/>
          <w:sz w:val="25"/>
          <w:szCs w:val="25"/>
        </w:rPr>
        <w:t xml:space="preserve">. Rawls y oppose sa doctrine  du contrat qui pose les principes du choix social et ceux de la justice comme étant eux-mêmes l'objet d'un accord originel. En effet les personnes placées dans la position originelle rejetteraient le principe d'utilité et adopteraient à la place, les deux principes de la justice qu'il énonce dans sa théorie de </w:t>
      </w:r>
      <w:r>
        <w:rPr>
          <w:rFonts w:ascii="Calibri" w:eastAsia="Batang" w:hAnsi="Calibri" w:cs="Calibri"/>
          <w:sz w:val="25"/>
          <w:szCs w:val="25"/>
        </w:rPr>
        <w:lastRenderedPageBreak/>
        <w:t>la justice comme équité, l'égalité en droit et en liberté et, l'inégalité liée tout simplement à des positions et à des fonctions ouvertes à tous</w:t>
      </w:r>
      <w:r>
        <w:rPr>
          <w:rStyle w:val="Appelnotedebasdep"/>
          <w:rFonts w:ascii="Calibri" w:eastAsia="Batang" w:hAnsi="Calibri" w:cs="Calibri"/>
          <w:sz w:val="25"/>
          <w:szCs w:val="25"/>
        </w:rPr>
        <w:footnoteReference w:id="87"/>
      </w:r>
      <w:r>
        <w:rPr>
          <w:rFonts w:ascii="Calibri" w:eastAsia="Batang" w:hAnsi="Calibri" w:cs="Calibri"/>
          <w:sz w:val="25"/>
          <w:szCs w:val="25"/>
        </w:rPr>
        <w:t>.</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3°. L'utilitarisme est une théorie téléologique, c'est-à-dire qu’il définit le bien indépendamment du juste et interprète le juste comme une maximisation du bien</w:t>
      </w:r>
      <w:r>
        <w:rPr>
          <w:rStyle w:val="Appelnotedebasdep"/>
          <w:rFonts w:ascii="Calibri" w:eastAsia="Batang" w:hAnsi="Calibri" w:cs="Calibri"/>
          <w:sz w:val="25"/>
          <w:szCs w:val="25"/>
        </w:rPr>
        <w:footnoteReference w:id="88"/>
      </w:r>
      <w:r>
        <w:rPr>
          <w:rFonts w:ascii="Calibri" w:eastAsia="Batang" w:hAnsi="Calibri" w:cs="Calibri"/>
          <w:sz w:val="25"/>
          <w:szCs w:val="25"/>
        </w:rPr>
        <w:t>. Dans l'utilitarisme, la satisfaction d'un désir, quel qu'il soit, a de la valeur en elle-même ; et il faut la prendre en considération quand on décide de ce qui est juste, l'objet du désir ne compte pas. Il faut qu'on organise les institutions afin d'obtenir la plus grande somme de satisfaction sans qu'on se pose des questions ni sur la source ou leur qualité ni sur la manière dont des désirs affecteraient la quantité totale du bien-être. Le bien-être dépend directement et uniquement des niveaux de satisfaction ou d'insatisfaction des individus.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théorie de la justice comme équité est par contre une théorie déontologique : elle pose que les personnes  acceptent par avance un principe de liberté égale pour tous et elles le font dans l'ignorance de leurs fins plus particulières</w:t>
      </w:r>
      <w:r>
        <w:rPr>
          <w:rStyle w:val="Appelnotedebasdep"/>
          <w:rFonts w:ascii="Calibri" w:eastAsia="Batang" w:hAnsi="Calibri" w:cs="Calibri"/>
          <w:sz w:val="25"/>
          <w:szCs w:val="25"/>
        </w:rPr>
        <w:footnoteReference w:id="89"/>
      </w:r>
      <w:r>
        <w:rPr>
          <w:rFonts w:ascii="Calibri" w:eastAsia="Batang" w:hAnsi="Calibri" w:cs="Calibri"/>
          <w:sz w:val="25"/>
          <w:szCs w:val="25"/>
        </w:rPr>
        <w:t>. Un individu qui trouve du plaisir à voir les autres en position de moindre liberté comprendra qu'il n'a aucun droit, quel qu'il soit, à ce plaisir: les principes du juste, et donc de la justice, déterminent dans quelles limites des satisfactions ont de la valeur, dans quelles limites des conceptions du bien personnel sont raisonnables</w:t>
      </w:r>
      <w:r>
        <w:rPr>
          <w:rStyle w:val="Appelnotedebasdep"/>
          <w:rFonts w:ascii="Calibri" w:eastAsia="Batang" w:hAnsi="Calibri" w:cs="Calibri"/>
          <w:sz w:val="25"/>
          <w:szCs w:val="25"/>
        </w:rPr>
        <w:footnoteReference w:id="90"/>
      </w:r>
      <w:r>
        <w:rPr>
          <w:rFonts w:ascii="Calibri" w:eastAsia="Batang" w:hAnsi="Calibri" w:cs="Calibri"/>
          <w:sz w:val="25"/>
          <w:szCs w:val="25"/>
        </w:rPr>
        <w:t xml:space="preserve">. L'erreur de l'utilitarisme est aussi celle de prendre les tendances et les inclinations des hommes comme données, quelles qu'elles soient, pour ensuite chercher le meilleur moyen de les satisfaire. Pour Rawls, les désirs et les aspirations des hommes sont déjà limités dès le début, par les principes de la justice qui définissent les limites devant être respectées par nos systèmes de fins. Ce qui veut dire au fond que le concept du juste est antérieur à celui du bien. Un système social juste définit l'espace à l'intérieur duquel les individus doivent développer leurs objectifs et il fournit un cadre constitué de droits et de possibilités ainsi que de moyens de satisfaction, à l'intérieur duquel et grâce auquel </w:t>
      </w:r>
      <w:r>
        <w:rPr>
          <w:rFonts w:ascii="Calibri" w:eastAsia="Batang" w:hAnsi="Calibri" w:cs="Calibri"/>
          <w:sz w:val="25"/>
          <w:szCs w:val="25"/>
        </w:rPr>
        <w:lastRenderedPageBreak/>
        <w:t>ces fins peuvent être équitablement poursuivies</w:t>
      </w:r>
      <w:r>
        <w:rPr>
          <w:rStyle w:val="Appelnotedebasdep"/>
          <w:rFonts w:ascii="Calibri" w:eastAsia="Batang" w:hAnsi="Calibri" w:cs="Calibri"/>
          <w:sz w:val="25"/>
          <w:szCs w:val="25"/>
        </w:rPr>
        <w:footnoteReference w:id="91"/>
      </w:r>
      <w:r>
        <w:rPr>
          <w:rFonts w:ascii="Calibri" w:eastAsia="Batang" w:hAnsi="Calibri" w:cs="Calibri"/>
          <w:sz w:val="25"/>
          <w:szCs w:val="25"/>
        </w:rPr>
        <w:t>. Il ne fait donc aucun doute que la priorité du juste sur le bien est un trait central de la théorie de la justice comme équité. C'est la raison pour laquelle une limite est imposée à la définition même de ce qui est bien et des formes de caractère moralement valables et au genre de personnes que les hommes devraient être.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préoccupation de Rawls demeure donc celle de formuler des principes pouvant régir une société juste. Or, une société n'est juste que lorsqu'elle peut permettre l'articulation entre justice et liberté et garantir cette dernière.</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En réalité, l'utilitarisme ne s'en sort pas dans l'argumentation de l'individualité comme l'un des éléments du bien-être et la définition du principe d'utilité comme ce qui peut contribuer au bonheur du groupe, de la communauté. Si l'on s'en tient au principe d'utilité tel que Bentham le définit (on peut dire d'un homme qu'il est partisan du principe d'utilité, lorsque l'approbation qu'il manifeste à l'égard d'une action ou d'une mesure, est déterminée par la tendance qu'elle a, d'après lui, d'augmenter ou de diminuer le bonheur de la communauté)</w:t>
      </w:r>
      <w:r>
        <w:rPr>
          <w:rStyle w:val="Appelnotedebasdep"/>
          <w:rFonts w:ascii="Calibri" w:eastAsia="Batang" w:hAnsi="Calibri" w:cs="Calibri"/>
          <w:sz w:val="25"/>
          <w:szCs w:val="25"/>
        </w:rPr>
        <w:footnoteReference w:id="92"/>
      </w:r>
      <w:r>
        <w:rPr>
          <w:rFonts w:ascii="Calibri" w:eastAsia="Batang" w:hAnsi="Calibri" w:cs="Calibri"/>
          <w:sz w:val="25"/>
          <w:szCs w:val="25"/>
        </w:rPr>
        <w:t>, on peut affirmer qu'est bien ce qui peut contribuer au bonheur du groupe, de la communauté, de la macro - société. L'utilitarisme mesure le bien à l'étalon des effets qu'il génère sur la société dans son ensemble</w:t>
      </w:r>
      <w:r>
        <w:rPr>
          <w:rStyle w:val="Appelnotedebasdep"/>
          <w:rFonts w:ascii="Calibri" w:eastAsia="Batang" w:hAnsi="Calibri" w:cs="Calibri"/>
          <w:sz w:val="25"/>
          <w:szCs w:val="25"/>
        </w:rPr>
        <w:footnoteReference w:id="93"/>
      </w:r>
      <w:r>
        <w:rPr>
          <w:rFonts w:ascii="Calibri" w:eastAsia="Batang" w:hAnsi="Calibri" w:cs="Calibri"/>
          <w:sz w:val="25"/>
          <w:szCs w:val="25"/>
        </w:rPr>
        <w:t xml:space="preserve">. Dans ce sens, le principe d’utilité  privilégierait la communauté par rapport à ceux qui la compose : les individus. Si tout doit contribuer à la maximisation du bonheur du plus grand nombre des membres de la société, si une société n'est bien ordonnée et juste que lorsque ses institutions majeures ont comme fin la réalisation de la plus grande somme totale de satisfaction du plus grand nombre, c'est qu'au fait une doctrine qui affirme ces choses cautionnent les sacrifices de l'individu en faveur de la maximisation du bonheur de tous. Et privilégier ce qui est bien par rapport à ce qui est juste, le bonheur par rapport à la justice, au droit et même à la liberté, voilà qui a choqué Rawls qui défend l'inviolabilité de la personne humaine.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Ayant trouvé l'utilitarisme inacceptable en ce qu'il légitime et cautionne l'atteinte à la liberté et sacrifie l'individu, Rawls se propose de présenter une solution alternative de </w:t>
      </w:r>
      <w:r>
        <w:rPr>
          <w:rFonts w:ascii="Calibri" w:eastAsia="Batang" w:hAnsi="Calibri" w:cs="Calibri"/>
          <w:sz w:val="25"/>
          <w:szCs w:val="25"/>
        </w:rPr>
        <w:lastRenderedPageBreak/>
        <w:t xml:space="preserve">la théorie de la justice comme équité dont l'exposé des éléments essentiels nous permet d'appréhender davantage les faiblesses de l'utilitarisme, par exemple, dans la résolution de la question du pluralisme en politique.  </w:t>
      </w:r>
    </w:p>
    <w:p w:rsidR="000A31A8" w:rsidRDefault="0065345B">
      <w:pPr>
        <w:pStyle w:val="Titre1"/>
        <w:spacing w:after="0" w:line="324" w:lineRule="auto"/>
        <w:ind w:left="0" w:firstLine="0"/>
        <w:jc w:val="both"/>
        <w:rPr>
          <w:rFonts w:ascii="Calibri" w:hAnsi="Calibri" w:cs="Calibri"/>
          <w:bCs w:val="0"/>
          <w:sz w:val="28"/>
          <w:szCs w:val="28"/>
        </w:rPr>
      </w:pPr>
      <w:bookmarkStart w:id="25" w:name="_Toc127173497"/>
      <w:r>
        <w:rPr>
          <w:rFonts w:ascii="Calibri" w:hAnsi="Calibri" w:cs="Calibri"/>
          <w:bCs w:val="0"/>
          <w:sz w:val="28"/>
          <w:szCs w:val="28"/>
        </w:rPr>
        <w:t>3.3. L’IDÉE DU PLURALISME</w:t>
      </w:r>
      <w:bookmarkEnd w:id="25"/>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Après avoir indiqué les faiblesses de l'utilitarisme quant à la conciliation de la justice avec la liberté, l’auteur de </w:t>
      </w:r>
      <w:r>
        <w:rPr>
          <w:rFonts w:ascii="Calibri" w:eastAsia="Batang" w:hAnsi="Calibri" w:cs="Calibri"/>
          <w:i/>
          <w:sz w:val="25"/>
          <w:szCs w:val="25"/>
        </w:rPr>
        <w:t>Théorie de la justice</w:t>
      </w:r>
      <w:r>
        <w:rPr>
          <w:rFonts w:ascii="Calibri" w:eastAsia="Batang" w:hAnsi="Calibri" w:cs="Calibri"/>
          <w:sz w:val="25"/>
          <w:szCs w:val="25"/>
        </w:rPr>
        <w:t xml:space="preserve"> se propose de tenter de résoudre cette question avec beaucoup de subtilité, en reposant la question dans un cadre occidental où la démocratie est en passe de devenir le terrain d'un conflit d'interprétations entre liberté dont la priorité est réclamée par les disciples lointains de John Locke et l'égalité défendue par les héritiers de Rousseau.</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Cette conciliation entre liberté et égalité n'est pas évidente. Comment la liberté peut-elle à la fois justifier la diversité des opinions et fonder l'unité d'une société? Comment peut-elle respecter la différence de chacun comme une valeur irréductible tout en imposant des conditions d'une justice qui soit commune à tous ?  Si nous ne parvenons pas à concilier la tolérance libérale et l'égalité démocratique, ce que nous risquons, comme le dit Rawls avec une certaine solennité, une impasse dans notre culture politique publique</w:t>
      </w:r>
      <w:r>
        <w:rPr>
          <w:rStyle w:val="Appelnotedebasdep"/>
          <w:rFonts w:ascii="Calibri" w:eastAsia="Batang" w:hAnsi="Calibri" w:cs="Calibri"/>
          <w:sz w:val="25"/>
          <w:szCs w:val="25"/>
        </w:rPr>
        <w:footnoteReference w:id="94"/>
      </w:r>
      <w:r>
        <w:rPr>
          <w:rFonts w:ascii="Calibri" w:eastAsia="Batang" w:hAnsi="Calibri" w:cs="Calibri"/>
          <w:sz w:val="25"/>
          <w:szCs w:val="25"/>
        </w:rPr>
        <w:t>. Pour résoudre la question de la complication pluraliste ou le problème de la compatibilité entre liberté et égalité, de la pluralité et de l'unité, Rawls va en appeler à Kant avant de présenter ses solutions originales dans la théorie du libéralisme démocratique.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Lorsque Gérard Mairet analyse, en 1978,  les concepts « liberté » et « égalité », à la lumière de la Révolution Française, </w:t>
      </w:r>
      <w:r>
        <w:rPr>
          <w:rFonts w:ascii="Calibri" w:eastAsia="Batang" w:hAnsi="Calibri" w:cs="Calibri"/>
          <w:i/>
          <w:iCs/>
          <w:sz w:val="25"/>
          <w:szCs w:val="25"/>
        </w:rPr>
        <w:t>Theory of justice</w:t>
      </w:r>
      <w:r>
        <w:rPr>
          <w:rFonts w:ascii="Calibri" w:eastAsia="Batang" w:hAnsi="Calibri" w:cs="Calibri"/>
          <w:sz w:val="25"/>
          <w:szCs w:val="25"/>
        </w:rPr>
        <w:t xml:space="preserve"> avait paru il y a quelques années déjà (depuis 1971). Il est vrai que le monde francophone ne sera servi qu’en 1987 avec la traduction de Catherine Audard. Mairet présente encore liberté et égalité comme des droits existant par nature. Liberté et égalité sont, pour Mairet, « le fait de l’homme en tant qu’homme ; mais, c’est dans la politique, sous la protection de l’Etat, que ces qualités intrinsèques sont garanties, étendues et sauvegardées »</w:t>
      </w:r>
      <w:r>
        <w:rPr>
          <w:rStyle w:val="Appelnotedebasdep"/>
          <w:rFonts w:ascii="Calibri" w:eastAsia="Batang" w:hAnsi="Calibri" w:cs="Calibri"/>
          <w:sz w:val="25"/>
          <w:szCs w:val="25"/>
        </w:rPr>
        <w:footnoteReference w:id="95"/>
      </w:r>
      <w:r>
        <w:rPr>
          <w:rFonts w:ascii="Calibri" w:eastAsia="Batang" w:hAnsi="Calibri" w:cs="Calibri"/>
          <w:sz w:val="25"/>
          <w:szCs w:val="25"/>
        </w:rPr>
        <w:t xml:space="preserve">. Au XVIIIe siècle, </w:t>
      </w:r>
      <w:r>
        <w:rPr>
          <w:rFonts w:ascii="Calibri" w:eastAsia="Batang" w:hAnsi="Calibri" w:cs="Calibri"/>
          <w:sz w:val="25"/>
          <w:szCs w:val="25"/>
        </w:rPr>
        <w:lastRenderedPageBreak/>
        <w:t>les philosophes ne discutent pas du fait que liberté et égalité soient naturelles ou du fait que la société et l’Etat soient requis pour l’épanouissement de la liberté de l’homme (Hobbes, Rousseau). Mais c’est lorsqu’il s’agit de définir l’usage et l’étendue de cette liberté naturelle que la question devient cruciale. C’est justement ici que se pose la question de préséance entre liberté et égalité, laquelle question revêt pour Rawls une importance capitale en démocratie. En démocratie donc, le rapport liberté-égalité est plus que jamais une question qui cherche une réponse.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Pour résoudre la complication liberté - égalité dans l'organisation politique de la République, Rawls a recours à Kant. Le recours à une « construction kantienne » est essentiel à la démarche de Rawls ; sans elle, il ne peut pas espérer mettre fin aux « troubles » qui agitent la tradition démocratique ; mais les conditions qui la définissent reflètent une « conception particulière de la personne » historiquement située</w:t>
      </w:r>
      <w:r>
        <w:rPr>
          <w:rStyle w:val="Appelnotedebasdep"/>
          <w:rFonts w:ascii="Calibri" w:eastAsia="Batang" w:hAnsi="Calibri" w:cs="Calibri"/>
          <w:sz w:val="25"/>
          <w:szCs w:val="25"/>
        </w:rPr>
        <w:footnoteReference w:id="96"/>
      </w:r>
      <w:r>
        <w:rPr>
          <w:rFonts w:ascii="Calibri" w:eastAsia="Batang" w:hAnsi="Calibri" w:cs="Calibri"/>
          <w:sz w:val="25"/>
          <w:szCs w:val="25"/>
        </w:rPr>
        <w:t>. Dans un monde où les libertés doivent agir en se respectant mutuellement, le droit est requis pour affronter les questions qui se posent aux personnes qui reconnaissent qu'elles n'existent pas seules et qu'elles ne représentent pas elles-mêmes tout l'homme, qu'elles sont liées à une particularité. Qu'un homme soit une partie de l'homme, cela signifie des contraintes, tant dans sa prétention d'être homme, que dans la réalisation  de sa liberté</w:t>
      </w:r>
      <w:r>
        <w:rPr>
          <w:rStyle w:val="Appelnotedebasdep"/>
          <w:rFonts w:ascii="Calibri" w:eastAsia="Batang" w:hAnsi="Calibri" w:cs="Calibri"/>
          <w:sz w:val="25"/>
          <w:szCs w:val="25"/>
        </w:rPr>
        <w:footnoteReference w:id="97"/>
      </w:r>
      <w:r>
        <w:rPr>
          <w:rFonts w:ascii="Calibri" w:eastAsia="Batang" w:hAnsi="Calibri" w:cs="Calibri"/>
          <w:sz w:val="25"/>
          <w:szCs w:val="25"/>
        </w:rPr>
        <w:t>. L'homme doit prendre en compte les autres parties de l'être homme, les autres hommes qui tous contestent sa liberté</w:t>
      </w:r>
      <w:r>
        <w:rPr>
          <w:rStyle w:val="Appelnotedebasdep"/>
          <w:rFonts w:ascii="Calibri" w:eastAsia="Batang" w:hAnsi="Calibri" w:cs="Calibri"/>
          <w:sz w:val="25"/>
          <w:szCs w:val="25"/>
        </w:rPr>
        <w:footnoteReference w:id="98"/>
      </w:r>
      <w:r>
        <w:rPr>
          <w:rFonts w:ascii="Calibri" w:eastAsia="Batang" w:hAnsi="Calibri" w:cs="Calibri"/>
          <w:sz w:val="25"/>
          <w:szCs w:val="25"/>
        </w:rPr>
        <w:t>. La réflexion de Kant met en évidence  les contraintes que s'imposent mutuellement les libertés qui doivent se réaliser dans l'espace et dans le temps</w:t>
      </w:r>
      <w:r>
        <w:rPr>
          <w:rStyle w:val="Appelnotedebasdep"/>
          <w:rFonts w:ascii="Calibri" w:eastAsia="Batang" w:hAnsi="Calibri" w:cs="Calibri"/>
          <w:sz w:val="25"/>
          <w:szCs w:val="25"/>
        </w:rPr>
        <w:footnoteReference w:id="99"/>
      </w:r>
      <w:r>
        <w:rPr>
          <w:rFonts w:ascii="Calibri" w:eastAsia="Batang" w:hAnsi="Calibri" w:cs="Calibri"/>
          <w:sz w:val="25"/>
          <w:szCs w:val="25"/>
        </w:rPr>
        <w:t>.</w:t>
      </w:r>
    </w:p>
    <w:p w:rsidR="000A31A8" w:rsidRDefault="000A31A8">
      <w:pPr>
        <w:pStyle w:val="Normalcentr"/>
        <w:tabs>
          <w:tab w:val="clear" w:pos="1185"/>
        </w:tabs>
        <w:spacing w:line="324" w:lineRule="auto"/>
        <w:ind w:left="0" w:right="-2" w:firstLine="0"/>
        <w:rPr>
          <w:rFonts w:ascii="Calibri" w:hAnsi="Calibri" w:cs="Calibri"/>
          <w:sz w:val="25"/>
          <w:szCs w:val="25"/>
        </w:rPr>
      </w:pPr>
    </w:p>
    <w:p w:rsidR="000A31A8" w:rsidRDefault="0065345B">
      <w:pPr>
        <w:pStyle w:val="Normalcentr"/>
        <w:tabs>
          <w:tab w:val="clear" w:pos="1185"/>
        </w:tabs>
        <w:spacing w:line="324" w:lineRule="auto"/>
        <w:ind w:left="0" w:right="-2" w:firstLine="0"/>
        <w:rPr>
          <w:rFonts w:ascii="Calibri" w:hAnsi="Calibri" w:cs="Calibri"/>
          <w:sz w:val="25"/>
          <w:szCs w:val="25"/>
        </w:rPr>
      </w:pPr>
      <w:r>
        <w:rPr>
          <w:rFonts w:ascii="Calibri" w:hAnsi="Calibri" w:cs="Calibri"/>
          <w:sz w:val="25"/>
          <w:szCs w:val="25"/>
        </w:rPr>
        <w:t>Dans la  </w:t>
      </w:r>
      <w:r>
        <w:rPr>
          <w:rFonts w:ascii="Calibri" w:hAnsi="Calibri" w:cs="Calibri"/>
          <w:i/>
          <w:iCs/>
          <w:sz w:val="25"/>
          <w:szCs w:val="25"/>
        </w:rPr>
        <w:t>Critique de la faculté de juger,</w:t>
      </w:r>
      <w:r>
        <w:rPr>
          <w:rFonts w:ascii="Calibri" w:hAnsi="Calibri" w:cs="Calibri"/>
          <w:sz w:val="25"/>
          <w:szCs w:val="25"/>
        </w:rPr>
        <w:t xml:space="preserve"> Kant estime que dans l'acte esthétique de l’homme, affirmant l'universalité de son sentiment, l’homme dépasse son </w:t>
      </w:r>
      <w:r>
        <w:rPr>
          <w:rFonts w:ascii="Calibri" w:hAnsi="Calibri" w:cs="Calibri"/>
          <w:i/>
          <w:sz w:val="25"/>
          <w:szCs w:val="25"/>
        </w:rPr>
        <w:t>j</w:t>
      </w:r>
      <w:r>
        <w:rPr>
          <w:rFonts w:ascii="Calibri" w:hAnsi="Calibri" w:cs="Calibri"/>
          <w:sz w:val="25"/>
          <w:szCs w:val="25"/>
        </w:rPr>
        <w:t xml:space="preserve">eu et rejoint l'autre. D'où la maxime penser en se mettant à la place de tout autre être humain  qui exprime la décentration du cogito cartésien. C'est ce que Kant exprime </w:t>
      </w:r>
      <w:r>
        <w:rPr>
          <w:rFonts w:ascii="Calibri" w:hAnsi="Calibri" w:cs="Calibri"/>
          <w:sz w:val="25"/>
          <w:szCs w:val="25"/>
        </w:rPr>
        <w:lastRenderedPageBreak/>
        <w:t>dans la notion d'intersubjectivité du jugement esthétique au sujet de laquelle d'Aviau écrit notamment:</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L'intersubjectivité qui ressort du jugement esthétique se manifeste au niveau du droit par les contraintes réciproques entre des personnes qui sont insérées dans l'espace et le temps. Le droit est une limitation de la liberté de chacun, mais cette limitation vise un accord général entre les libertés. De cette manière, la contrainte que suscite la limitation de la liberté par l'arbitre de l'autre s'institue dans la réciprocité: la contrainte du droit limite les personnes pour leur permettre de faire obstacle à l'obstacle de la liberté. Elles sont ainsi invitées à s'entendre sur la base de lois universelles de la liberté qui correspondent à un contrat originel »</w:t>
      </w:r>
      <w:r>
        <w:rPr>
          <w:rStyle w:val="Appelnotedebasdep"/>
          <w:rFonts w:ascii="Calibri" w:eastAsia="Batang" w:hAnsi="Calibri" w:cs="Calibri"/>
          <w:sz w:val="25"/>
          <w:szCs w:val="25"/>
        </w:rPr>
        <w:footnoteReference w:id="100"/>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D'après Rawls, le kantisme est en mesure de rendre compatible la liberté et l'égalité, la pluralité et l'unité, parce qu'il les rattache également à une même conception morale de la personne</w:t>
      </w:r>
      <w:r>
        <w:rPr>
          <w:rStyle w:val="Appelnotedebasdep"/>
          <w:rFonts w:ascii="Calibri" w:eastAsia="Batang" w:hAnsi="Calibri" w:cs="Calibri"/>
          <w:sz w:val="25"/>
          <w:szCs w:val="25"/>
        </w:rPr>
        <w:footnoteReference w:id="101"/>
      </w:r>
      <w:r>
        <w:rPr>
          <w:rFonts w:ascii="Calibri" w:eastAsia="Batang" w:hAnsi="Calibri" w:cs="Calibri"/>
          <w:sz w:val="25"/>
          <w:szCs w:val="25"/>
        </w:rPr>
        <w:t>. La spécification des relations appropriées entre citoyens libres et égaux doit être complétée par une conception de la personne dans la mesure où les caractéristiques formelles de la position originelle ne font qu’exprimer la norme de réciprocité ou l’idée de raisonnable</w:t>
      </w:r>
      <w:r>
        <w:rPr>
          <w:rStyle w:val="Appelnotedebasdep"/>
          <w:rFonts w:ascii="Calibri" w:eastAsia="Batang" w:hAnsi="Calibri" w:cs="Calibri"/>
          <w:sz w:val="25"/>
          <w:szCs w:val="25"/>
        </w:rPr>
        <w:footnoteReference w:id="102"/>
      </w:r>
      <w:r>
        <w:rPr>
          <w:rFonts w:ascii="Calibri" w:eastAsia="Batang" w:hAnsi="Calibri" w:cs="Calibri"/>
          <w:sz w:val="25"/>
          <w:szCs w:val="25"/>
        </w:rPr>
        <w:t>. La réciprocité apparaît alors comme un idéal social puisque dans une démocratie les citoyens sont les auteurs des normes qui régissent leur existence sociale et politique : ce qui implique que les pratiques dans lesquelles ils s’engagent doivent être considérées comme le fruit de leur coopération et non comme le résultat d’une simple coordination des actions d’individus isolés sous l’autorité de l’utilité sociale</w:t>
      </w:r>
      <w:r>
        <w:rPr>
          <w:rStyle w:val="Appelnotedebasdep"/>
          <w:rFonts w:ascii="Calibri" w:eastAsia="Batang" w:hAnsi="Calibri" w:cs="Calibri"/>
          <w:sz w:val="25"/>
          <w:szCs w:val="25"/>
        </w:rPr>
        <w:footnoteReference w:id="103"/>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philosophie pertinente de la justice doit intégrer (ce qui est une conséquence non seulement logique mais nécessaire) l’idéal de réciprocité, car celui qui s’impose lorsque des personnes libres, qui n’ont pas d’autorité morale les unes sur les autres, et qui participent conjointement à une activité établissent entre elles des règles qui définissent cette activité et qui déterminent leurs parts respectives de bénéfices et de </w:t>
      </w:r>
      <w:r>
        <w:rPr>
          <w:rFonts w:ascii="Calibri" w:eastAsia="Batang" w:hAnsi="Calibri" w:cs="Calibri"/>
          <w:sz w:val="25"/>
          <w:szCs w:val="25"/>
        </w:rPr>
        <w:lastRenderedPageBreak/>
        <w:t>chances</w:t>
      </w:r>
      <w:r>
        <w:rPr>
          <w:rStyle w:val="Appelnotedebasdep"/>
          <w:rFonts w:ascii="Calibri" w:eastAsia="Batang" w:hAnsi="Calibri" w:cs="Calibri"/>
          <w:sz w:val="25"/>
          <w:szCs w:val="25"/>
        </w:rPr>
        <w:footnoteReference w:id="104"/>
      </w:r>
      <w:r>
        <w:rPr>
          <w:rFonts w:ascii="Calibri" w:eastAsia="Batang" w:hAnsi="Calibri" w:cs="Calibri"/>
          <w:sz w:val="25"/>
          <w:szCs w:val="25"/>
        </w:rPr>
        <w:t xml:space="preserve">. La liberté et l'égalité engendrent le statut de citoyen en tant que personne morale et ce concept  de </w:t>
      </w:r>
      <w:r>
        <w:rPr>
          <w:rFonts w:ascii="Calibri" w:eastAsia="Batang" w:hAnsi="Calibri" w:cs="Calibri"/>
          <w:i/>
          <w:sz w:val="25"/>
          <w:szCs w:val="25"/>
        </w:rPr>
        <w:t>personne morale</w:t>
      </w:r>
      <w:r>
        <w:rPr>
          <w:rFonts w:ascii="Calibri" w:eastAsia="Batang" w:hAnsi="Calibri" w:cs="Calibri"/>
          <w:sz w:val="25"/>
          <w:szCs w:val="25"/>
        </w:rPr>
        <w:t xml:space="preserve"> serait en mesure de fournir le contenu moral d'un consensus démocratique tout simplement parce qu'il peut résister à la diversité de croyances en les conciliant dans un même idéal de coopération sociale</w:t>
      </w:r>
      <w:r>
        <w:rPr>
          <w:rStyle w:val="Appelnotedebasdep"/>
          <w:rFonts w:ascii="Calibri" w:eastAsia="Batang" w:hAnsi="Calibri" w:cs="Calibri"/>
          <w:sz w:val="25"/>
          <w:szCs w:val="25"/>
        </w:rPr>
        <w:footnoteReference w:id="105"/>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En effet, ce que Rawls trouve chez Kant, c'est le devoir des hommes de se traiter les uns les autres comme fin en soi. Rawls estime que cette idée kantienne qui stipule qu'on doit traiter les hommes comme des fins en soi mérite d'être expliquée et interprétée. La question qu'il pose comme point de départ est bien celle-ci: "Comment peut-on traiter toujours tout le monde comme fin en soi et jamais comme un moyen? Est-ce même réalisable?</w:t>
      </w:r>
      <w:r>
        <w:rPr>
          <w:rStyle w:val="Appelnotedebasdep"/>
          <w:rFonts w:ascii="Calibri" w:eastAsia="Batang" w:hAnsi="Calibri" w:cs="Calibri"/>
          <w:sz w:val="25"/>
          <w:szCs w:val="25"/>
        </w:rPr>
        <w:footnoteReference w:id="106"/>
      </w:r>
      <w:r>
        <w:rPr>
          <w:rFonts w:ascii="Calibri" w:eastAsia="Batang" w:hAnsi="Calibri" w:cs="Calibri"/>
          <w:sz w:val="25"/>
          <w:szCs w:val="25"/>
        </w:rPr>
        <w:t xml:space="preserve"> On ne peut pas dire que traiter tout le monde comme une fin revient à traiter tout le monde d'après les principes généraux, ce qui conduirait à une interprétation tout à fait formelle de la justice. Traiter les hommes comme des fins en soi implique de les traiter en accord avec les principes auxquels, dans une position originelle d'égalité, ils consentiraient. Ceci suppose la considération du contrat définissant que les hommes doivent être traités comme des fins et non pas seulement comme des moyens et adoptant les principes rationnels</w:t>
      </w:r>
      <w:r>
        <w:rPr>
          <w:rStyle w:val="Appelnotedebasdep"/>
          <w:rFonts w:ascii="Calibri" w:eastAsia="Batang" w:hAnsi="Calibri" w:cs="Calibri"/>
          <w:sz w:val="25"/>
          <w:szCs w:val="25"/>
        </w:rPr>
        <w:footnoteReference w:id="107"/>
      </w:r>
      <w:r>
        <w:rPr>
          <w:rFonts w:ascii="Calibri" w:eastAsia="Batang" w:hAnsi="Calibri" w:cs="Calibri"/>
          <w:sz w:val="25"/>
          <w:szCs w:val="25"/>
        </w:rPr>
        <w:t xml:space="preserve"> pour protéger les revendications de leur personne.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Cette notion de la personne que Rawls tire de Kant contribue à la résolution du conflit entre liberté et égalité car tout le monde jouit également des libertés de base et le principe de différence permet d'interpréter la distinction entre traiter les hommes comme de simples moyens et les traiter comme des fins en soi. Dans la structure sociale, cela veut dire renoncer aux avantages qui ne contribuent pas aux attentes de tous</w:t>
      </w:r>
      <w:r>
        <w:rPr>
          <w:rStyle w:val="Appelnotedebasdep"/>
          <w:rFonts w:ascii="Calibri" w:eastAsia="Batang" w:hAnsi="Calibri" w:cs="Calibri"/>
          <w:sz w:val="25"/>
          <w:szCs w:val="25"/>
        </w:rPr>
        <w:footnoteReference w:id="108"/>
      </w:r>
      <w:r>
        <w:rPr>
          <w:rFonts w:ascii="Calibri" w:eastAsia="Batang" w:hAnsi="Calibri" w:cs="Calibri"/>
          <w:sz w:val="25"/>
          <w:szCs w:val="25"/>
        </w:rPr>
        <w:t xml:space="preserve">. Au contraire, traiter des personnes comme des moyens veut dire qu'on est </w:t>
      </w:r>
      <w:r>
        <w:rPr>
          <w:rFonts w:ascii="Calibri" w:eastAsia="Batang" w:hAnsi="Calibri" w:cs="Calibri"/>
          <w:sz w:val="25"/>
          <w:szCs w:val="25"/>
        </w:rPr>
        <w:lastRenderedPageBreak/>
        <w:t>prêt à imposer à ceux qui sont déjà défavorisés des perspectives de vie encore plus limitées, au nom des attentes plus élevées des autres</w:t>
      </w:r>
      <w:r>
        <w:rPr>
          <w:rStyle w:val="Appelnotedebasdep"/>
          <w:rFonts w:ascii="Calibri" w:eastAsia="Batang" w:hAnsi="Calibri" w:cs="Calibri"/>
          <w:sz w:val="25"/>
          <w:szCs w:val="25"/>
        </w:rPr>
        <w:footnoteReference w:id="109"/>
      </w:r>
      <w:r>
        <w:rPr>
          <w:rFonts w:ascii="Calibri" w:eastAsia="Batang" w:hAnsi="Calibri" w:cs="Calibri"/>
          <w:sz w:val="25"/>
          <w:szCs w:val="25"/>
        </w:rPr>
        <w:t xml:space="preserve">. La coopération sociale, entre des gens ayant du respect pour eux-mêmes, pour les autres et pour leurs institutions est plus efficace et plus  harmonieuse dans la mesure où elle aide (cette coopération sociale) dans le respect à l'établissement de la liberté égale pour tous et à l'application du principe de différence.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Ces deux principes de la justice, à savoir la liberté égale pour tous et la différence, constituent un engagement à considérer les aptitudes naturelles comme un atout collectif; car personne ne mérite ses capacités naturelles supérieures ni un point de départ plus favorable dans la société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Puisque les inégalités, poursuit Rawls, de naissance et donc naturels sont immérités, il faut en quelque façon y apporter des compensations. Ainsi ce principe affirme que, pour traiter toutes les personnes de manière égale, pour offrir une véritable égalité des chances, la société doit consacrer plus d'attention aux plus démunis quant à leurs dons naturels et aux plus défavorisés socialement par la naissance. L'idée est de corriger l'influence des contingences dans le sens de plus d'égalité. Afin de réaliser ce principe, on pourrait consacrer plus de ressources à l'éducation des moins intelligents qu'à celles des plus intelligents»</w:t>
      </w:r>
      <w:r>
        <w:rPr>
          <w:rStyle w:val="Appelnotedebasdep"/>
          <w:rFonts w:ascii="Calibri" w:eastAsia="Batang" w:hAnsi="Calibri" w:cs="Calibri"/>
          <w:sz w:val="25"/>
          <w:szCs w:val="25"/>
        </w:rPr>
        <w:footnoteReference w:id="110"/>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Le but que Rawls assigne à son recours à Kant est de trouver les conditions permettant de justifier une conception de la justice qui permette à son tour à tous les membres de la société de comprendre pourquoi les institutions et les dispositions de base qu'ils partagent sont acceptables et de les faire comprendre aux autres. Au fait, la question posée par la conception kantienne de la justice est la suivante:</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"Quels seraient les principes de liberté et d'égalité traditionnelle reconnus, ou quelles seraient les variantes naturelles de ces principes sur lesquels les personnes morales elles-mêmes, en tant que libres et égales, pourraient se mettre d'accord, si elles étaient équitablement représentées de ce seul point de vue et si elles se considéraient comme des citoyens, c'est-à-dire membres à part entière et pour toute leur vie"</w:t>
      </w:r>
      <w:r>
        <w:rPr>
          <w:rStyle w:val="Appelnotedebasdep"/>
          <w:rFonts w:ascii="Calibri" w:eastAsia="Batang" w:hAnsi="Calibri" w:cs="Calibri"/>
          <w:sz w:val="25"/>
          <w:szCs w:val="25"/>
        </w:rPr>
        <w:footnoteReference w:id="111"/>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Rawls ne veut pas résoudre ce conflit entre liberté et égalité en essayant de trouver une conception de la justice qui soit valable pour toutes les sociétés, indépendamment de leurs situations historiques ou sociales particulières; mais il a l'intention de résoudre un conflit fondamental quant à la forme juste que les institutions de base des démocraties modernes doivent avoir.</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Le rôle de la philosophie politique en démocratie étant de définir et de rendre explicite les notions et les principes partagés par le sens commun</w:t>
      </w:r>
      <w:r>
        <w:rPr>
          <w:rStyle w:val="Appelnotedebasdep"/>
          <w:rFonts w:ascii="Calibri" w:eastAsia="Batang" w:hAnsi="Calibri" w:cs="Calibri"/>
          <w:sz w:val="25"/>
          <w:szCs w:val="25"/>
        </w:rPr>
        <w:footnoteReference w:id="112"/>
      </w:r>
      <w:r>
        <w:rPr>
          <w:rFonts w:ascii="Calibri" w:eastAsia="Batang" w:hAnsi="Calibri" w:cs="Calibri"/>
          <w:sz w:val="25"/>
          <w:szCs w:val="25"/>
        </w:rPr>
        <w:t>, il faut trouver une formulation pertinente de la liberté et de l'égalité, ainsi que leur priorité relative, qui soit enracinée dans les notions les plus fondamentales de notre vie politique et qui soit en accord la conception de la personne</w:t>
      </w:r>
      <w:r>
        <w:rPr>
          <w:rStyle w:val="Appelnotedebasdep"/>
          <w:rFonts w:ascii="Calibri" w:eastAsia="Batang" w:hAnsi="Calibri" w:cs="Calibri"/>
          <w:sz w:val="25"/>
          <w:szCs w:val="25"/>
        </w:rPr>
        <w:footnoteReference w:id="113"/>
      </w:r>
      <w:r>
        <w:rPr>
          <w:rFonts w:ascii="Calibri" w:eastAsia="Batang" w:hAnsi="Calibri" w:cs="Calibri"/>
          <w:sz w:val="25"/>
          <w:szCs w:val="25"/>
        </w:rPr>
        <w:t>. Il adopte donc le constructivisme kantien qui spécifie une conception particulière de la personne comme élément dans une procédure raisonnable de construction dans laquelle des personnes sont caractérisées comme des agents de construction rationnels, spécifiant par leurs accords, les principes de la justice</w:t>
      </w:r>
      <w:r>
        <w:rPr>
          <w:rStyle w:val="Appelnotedebasdep"/>
          <w:rFonts w:ascii="Calibri" w:eastAsia="Batang" w:hAnsi="Calibri" w:cs="Calibri"/>
          <w:sz w:val="25"/>
          <w:szCs w:val="25"/>
        </w:rPr>
        <w:footnoteReference w:id="114"/>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Mais comment alors  définit-il l'impasse de la culture politique publique, à savoir le conflit entre deux traditions de la pensée démocratique associées l'une à Locke et l'autre à Rousseau? La tradition dérivée de Locke donne priorité à la liberté (libertés civiles, en particulier, liberté de conscience et de pensée) et à certains droits de base de la personne et aux droits de propriétés et d'association. Par contre Rousseau accorde la priorité aux libertés politiques égales pour tous et aux valeurs de la vie publique et considère les libertés civiles comme subordonnées.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Entendu que cette opposition est en grande partie artificielle et historiquement inexacte, et vu qu'un simple compromis entre ces deux traditions serait insuffisant, il faut  trouver une formulation conciliante dans la théorie de la justice comme équité: il s'agit des notions d'une société bien ordonnée et d'une personne morale. Ces conceptions décrivent certains traits généraux d'une société dont les membres se considéreraient eux-mêmes et leurs liens sociaux réciproques d'une certaine manière pour autant que la conception que ces membres ont d'eux-mêmes soit celle de personnes morales et de citoyens libres et égaux. Et Rawls ajoute une troisième conception - modèle pour servir de charnière entre les deux premières:</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La position originelle, écrit-il, est une troisième conception – modèle de ce genre qui a un rôle médiateur; elle sert à relier la conception - modèle de la personne morale aux principes de justice qui caractérisent les relations entre citoyens dans la conception - modèle d'une société bien ordonnée. Elle remplit ce rôle en fournissant un modèle de la manière dont les citoyens d'une société bien ordonnée, c'est-à-dire des personnes morales, sélectionneraient dans l'idéal les principes premiers de justice qui s'applique à leur société. Les contraintes imposées aux partenaires dans la position originelle et la manière de les décrire ont pour objectif de représenter la liberté et l'égalité que des personnes morales devraient posséder dans une telle société »</w:t>
      </w:r>
      <w:r>
        <w:rPr>
          <w:rStyle w:val="Appelnotedebasdep"/>
          <w:rFonts w:ascii="Calibri" w:eastAsia="Batang" w:hAnsi="Calibri" w:cs="Calibri"/>
          <w:sz w:val="25"/>
          <w:szCs w:val="25"/>
        </w:rPr>
        <w:footnoteReference w:id="115"/>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Si effectivement un accord sur certains principes est atteint de cette façon, c’est-à-dire que les membres d'une société se sentent tous égaux et libres réciproquement, on peut affirmer que le but du constructivisme kantien, celui d'établir une relation entre des principes déterminés et une conception particulière de la personne, est réalisée. Ce, dans la mesure où les partenaires dans la position originelle sont des agents rationnellement autonomes d'un processus de construction et cette autonomie complète des citoyens dans la vie quotidienne, ayant une certaine vision d'eux-mêmes, défendant et appliquant les principes premiers de justice sur lesquels ils se sont mis d'accord. En conséquence, une société bien ordonnée est celle qui est effectivement gouvernée par une conception publique de la justice où chacun accepte et sait que les autres acceptent également les mêmes principes de justice, d'une part, et une société bien ordonnée est aussi celle dont les membres sont des personnes </w:t>
      </w:r>
      <w:r>
        <w:rPr>
          <w:rFonts w:ascii="Calibri" w:eastAsia="Batang" w:hAnsi="Calibri" w:cs="Calibri"/>
          <w:sz w:val="25"/>
          <w:szCs w:val="25"/>
        </w:rPr>
        <w:lastRenderedPageBreak/>
        <w:t>morales, libres et égales se considérant eux-mêmes et les autres comme tels à travers leurs relations politiques et sociales</w:t>
      </w:r>
      <w:r>
        <w:rPr>
          <w:rStyle w:val="Appelnotedebasdep"/>
          <w:rFonts w:ascii="Calibri" w:eastAsia="Batang" w:hAnsi="Calibri" w:cs="Calibri"/>
          <w:sz w:val="25"/>
          <w:szCs w:val="25"/>
        </w:rPr>
        <w:footnoteReference w:id="116"/>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Une autre caractéristique d'une société bien ordonnée est la stabilité en matière de justice (une société qui se perpétue). Mais cette stabilité n'est pas fondée simplement sur la perception d'un équilibre des forces sociales dont tous acceptent le résultat parce que personne ne pourrait atteindre un meilleur résultat pour lui-même, mais c'est parce qu'ils ont de bonnes raisons de penser que leurs institutions présentes sont conformes à leur conception publique effective de la justice que les citoyens les défendent</w:t>
      </w:r>
      <w:r>
        <w:rPr>
          <w:rStyle w:val="Appelnotedebasdep"/>
          <w:rFonts w:ascii="Calibri" w:eastAsia="Batang" w:hAnsi="Calibri" w:cs="Calibri"/>
          <w:sz w:val="25"/>
          <w:szCs w:val="25"/>
        </w:rPr>
        <w:footnoteReference w:id="117"/>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Or la notion de publicité comprend elle-même trois niveaux</w:t>
      </w:r>
      <w:r>
        <w:rPr>
          <w:rStyle w:val="Appelnotedebasdep"/>
          <w:rFonts w:ascii="Calibri" w:eastAsia="Batang" w:hAnsi="Calibri" w:cs="Calibri"/>
          <w:sz w:val="25"/>
          <w:szCs w:val="25"/>
        </w:rPr>
        <w:footnoteReference w:id="118"/>
      </w:r>
      <w:r>
        <w:rPr>
          <w:rFonts w:ascii="Calibri" w:eastAsia="Batang" w:hAnsi="Calibri" w:cs="Calibri"/>
          <w:sz w:val="25"/>
          <w:szCs w:val="25"/>
        </w:rPr>
        <w:t>: primo, elle implique que la société soit de manière effective conduite par des principes publics de justice; secundo, que les membres de cette société soient, dans l'ensemble, d'accord sur les croyances générales à la lumière desquelles les principes premiers de justice peuvent être acceptés; tertio, que cette conception publique comporte et reflète les raisons d'agir de cette manière plutôt qu'autrement de tout le monde. Ce n'est que quand ces trois niveaux sont réalisés qu'on peut dire qu'une société bien ordonnée satisfait à la condition de publicité complète.</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En définitive, une société bien ordonnée est celle qui, bien que divisée et pluraliste, est composée des citoyens qui ont atteint un accord sur les principes qui doivent diriger leurs institutions de base même s’ils ne peuvent atteindre un accord sur tout. C’est cette idée d’une société bien ordonnée qui constitue la matrice du libéralisme démocratique de Rawls. D’ailleurs, l'échec historique de la démocratie vient du fait que, historiquement, l'un des principaux défauts du gouvernement constitutionnel a été son incapacité à assurer la juste valeur de la liberté politique. Les  mesures correctives nécessaires pour subjuguer les disparités dans la répartition de la propriété et de la richesse n'ont pas été prises. Les ressources publiques n'ont pas été affectées comme il aurait fallu  à la juste valeur politique</w:t>
      </w:r>
      <w:r>
        <w:rPr>
          <w:rStyle w:val="Appelnotedebasdep"/>
          <w:rFonts w:ascii="Calibri" w:eastAsia="Batang" w:hAnsi="Calibri" w:cs="Calibri"/>
          <w:sz w:val="25"/>
          <w:szCs w:val="25"/>
        </w:rPr>
        <w:footnoteReference w:id="119"/>
      </w:r>
      <w:r>
        <w:rPr>
          <w:rFonts w:ascii="Calibri" w:eastAsia="Batang" w:hAnsi="Calibri" w:cs="Calibri"/>
          <w:sz w:val="25"/>
          <w:szCs w:val="25"/>
        </w:rPr>
        <w:t xml:space="preserve">. La faute réside essentiellement dans </w:t>
      </w:r>
      <w:r>
        <w:rPr>
          <w:rFonts w:ascii="Calibri" w:eastAsia="Batang" w:hAnsi="Calibri" w:cs="Calibri"/>
          <w:sz w:val="25"/>
          <w:szCs w:val="25"/>
        </w:rPr>
        <w:lastRenderedPageBreak/>
        <w:t>le fait que le processus politique démocratique est aux mieux une rivalité contrôlée par des règles; il ne possède pas, même en théorie, les priorités intéressantes comme la théorie des prix accorde aux marchés véritablement concurrentiels. La fréquence des injustices dans le système politique, le fait de l'accroissement rapide et par conséquent inégal, les injustices dans le système économique et social, l'insuffisance du suffrage universel comme contre poids devant les désirs des intérêts dominants, exigent que des mesures soient prises pour maintenir la juste valeur de ces libertés.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Voilà comment la démocratie en tant que pluralisme ne va pas de soi et qui pousse Rawls à donner quelques éléments de solution dont nous retenons quelques-uns dans le cadre de cette étude: la tolérance, la justice politique, la juste répartition. La volonté rawlsienne de justifier la démocratie par un consensus sur la justice signifie qu'il entend traiter la démocratie comme valeur, valeur qui ne peut être obtenue que d'une adhésion continue et durable à ses principes de base. C'est pourquoi il veut, lui-même, éviter une conception sceptique et relativiste du pluralisme</w:t>
      </w:r>
      <w:r>
        <w:rPr>
          <w:rStyle w:val="Appelnotedebasdep"/>
          <w:rFonts w:ascii="Calibri" w:eastAsia="Batang" w:hAnsi="Calibri" w:cs="Calibri"/>
          <w:sz w:val="25"/>
          <w:szCs w:val="25"/>
        </w:rPr>
        <w:footnoteReference w:id="120"/>
      </w:r>
      <w:r>
        <w:rPr>
          <w:rFonts w:ascii="Calibri" w:eastAsia="Batang" w:hAnsi="Calibri" w:cs="Calibri"/>
          <w:sz w:val="25"/>
          <w:szCs w:val="25"/>
        </w:rPr>
        <w:t>. Car on retomberait alors dans une conception utilitariste du consensus réduit à un simple modus vivendi, ou dans un conventionnalisme forcé, à la manière de Hobbes</w:t>
      </w:r>
      <w:r>
        <w:rPr>
          <w:rStyle w:val="Appelnotedebasdep"/>
          <w:rFonts w:ascii="Calibri" w:eastAsia="Batang" w:hAnsi="Calibri" w:cs="Calibri"/>
          <w:sz w:val="25"/>
          <w:szCs w:val="25"/>
        </w:rPr>
        <w:footnoteReference w:id="121"/>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Geneviève Nootens remarque d’ailleurs que le contexte du pluralisme pose le défi fondamental que représente la définition d’une base publique, commune, de justification dans le contexte de désaccords moraux parfois très importants</w:t>
      </w:r>
      <w:r>
        <w:rPr>
          <w:rStyle w:val="Appelnotedebasdep"/>
          <w:rFonts w:ascii="Calibri" w:eastAsia="Batang" w:hAnsi="Calibri" w:cs="Calibri"/>
          <w:sz w:val="25"/>
          <w:szCs w:val="25"/>
        </w:rPr>
        <w:footnoteReference w:id="122"/>
      </w:r>
      <w:r>
        <w:rPr>
          <w:rFonts w:ascii="Calibri" w:eastAsia="Batang" w:hAnsi="Calibri" w:cs="Calibri"/>
          <w:sz w:val="25"/>
          <w:szCs w:val="25"/>
        </w:rPr>
        <w:t xml:space="preserve">. C’est pourquoi Rawls suggère d’étendre ce type de tolérance à la philosophie elle-même, c’est-à-dire de poser comme but de la philosophie politique la définition d’une conception politique comme indépendante des doctrines en conflit ; d’où sa conceptualisation de la théorie de la justice comme équité en tant que conception « indépendante » métaphysiquement et  épistémologiquement, et le recours au constructivisme pour définir les principes de justice à partir de l’usage de la raison </w:t>
      </w:r>
      <w:r>
        <w:rPr>
          <w:rFonts w:ascii="Calibri" w:eastAsia="Batang" w:hAnsi="Calibri" w:cs="Calibri"/>
          <w:sz w:val="25"/>
          <w:szCs w:val="25"/>
        </w:rPr>
        <w:lastRenderedPageBreak/>
        <w:t>pratique</w:t>
      </w:r>
      <w:r>
        <w:rPr>
          <w:rStyle w:val="Appelnotedebasdep"/>
          <w:rFonts w:ascii="Calibri" w:eastAsia="Batang" w:hAnsi="Calibri" w:cs="Calibri"/>
          <w:sz w:val="25"/>
          <w:szCs w:val="25"/>
        </w:rPr>
        <w:footnoteReference w:id="123"/>
      </w:r>
      <w:r>
        <w:rPr>
          <w:rFonts w:ascii="Calibri" w:eastAsia="Batang" w:hAnsi="Calibri" w:cs="Calibri"/>
          <w:sz w:val="25"/>
          <w:szCs w:val="25"/>
        </w:rPr>
        <w:t> :« In formulating such a conception of political justice, political liberalism applies the principle toleration to philosophy itself »</w:t>
      </w:r>
      <w:r>
        <w:rPr>
          <w:rStyle w:val="Appelnotedebasdep"/>
          <w:rFonts w:ascii="Calibri" w:eastAsia="Batang" w:hAnsi="Calibri" w:cs="Calibri"/>
          <w:sz w:val="25"/>
          <w:szCs w:val="25"/>
          <w:lang w:val="en-GB"/>
        </w:rPr>
        <w:footnoteReference w:id="124"/>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On mesure sans peine toute la difficulté de telles prémisses; l'égalité et la liberté sont ressenties comme des valeurs antagonistes</w:t>
      </w:r>
      <w:r>
        <w:rPr>
          <w:rStyle w:val="Appelnotedebasdep"/>
          <w:rFonts w:ascii="Calibri" w:eastAsia="Batang" w:hAnsi="Calibri" w:cs="Calibri"/>
          <w:sz w:val="25"/>
          <w:szCs w:val="25"/>
        </w:rPr>
        <w:footnoteReference w:id="125"/>
      </w:r>
      <w:r>
        <w:rPr>
          <w:rFonts w:ascii="Calibri" w:eastAsia="Batang" w:hAnsi="Calibri" w:cs="Calibri"/>
          <w:sz w:val="25"/>
          <w:szCs w:val="25"/>
        </w:rPr>
        <w:t>. La démocratie est aux prises avec deux régimes de tolérance qui s'excluent l'un l'autre</w:t>
      </w:r>
      <w:r>
        <w:rPr>
          <w:rStyle w:val="Appelnotedebasdep"/>
          <w:rFonts w:ascii="Calibri" w:eastAsia="Batang" w:hAnsi="Calibri" w:cs="Calibri"/>
          <w:sz w:val="25"/>
          <w:szCs w:val="25"/>
        </w:rPr>
        <w:footnoteReference w:id="126"/>
      </w:r>
      <w:r>
        <w:rPr>
          <w:rFonts w:ascii="Calibri" w:eastAsia="Batang" w:hAnsi="Calibri" w:cs="Calibri"/>
          <w:sz w:val="25"/>
          <w:szCs w:val="25"/>
        </w:rPr>
        <w:t>.On se retrouve d'une part devant un idéal de tolérance du type kantien et républicain, idéal selon lequel le droit d'accéder à la  même citoyenneté pour tous est affirmé et, d'autre part, on a affaire à un régime différentialiste qui reconnaît à chacun le droit de cultiver ses croyances et ses convictions malgré le besoin d'unité politique. Le souci de Rawls est donc, dans ce contexte, même si la thèse d'une liberté conçue comme affirmation de sa différence est d'essence libérale, d'accéder à un libéralisme démocratique. Pour résoudre cette difficulté, il adopte d'abord en 1980 (dans la continuité de son livre sur la théorie de la justice) une conception kantienne de la justice comme équité puis, en 1987, il souligne clairement qu'il ne veut pas contourner la difficulté et signifie que son orientation libérale se veut pluraliste.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Au fait, le libéralisme kantien est régi par une conception morale de l'existence humaine, mais, dans son orientation pluraliste, Rawls s'éloigne de cette fondation philosophique tout simplement parce qu'il estime qu'adhérer à un consensus démocratique du type kantien suppose qu'on a préalablement adhéré à la philosophie kantienne elle-même. Or, si l'on veut éviter les querelles doctrinales sur les fondements de la démocratie, il ne faut pas préférer une philosophie à une autre, ni une morale à une autre</w:t>
      </w:r>
      <w:r>
        <w:rPr>
          <w:rStyle w:val="Appelnotedebasdep"/>
          <w:rFonts w:ascii="Calibri" w:eastAsia="Batang" w:hAnsi="Calibri" w:cs="Calibri"/>
          <w:sz w:val="25"/>
          <w:szCs w:val="25"/>
        </w:rPr>
        <w:footnoteReference w:id="127"/>
      </w:r>
      <w:r>
        <w:rPr>
          <w:rFonts w:ascii="Calibri" w:eastAsia="Batang" w:hAnsi="Calibri" w:cs="Calibri"/>
          <w:sz w:val="25"/>
          <w:szCs w:val="25"/>
        </w:rPr>
        <w:t xml:space="preserve">. Dans un régime démocratique donc, les prétentions philosophique et culturelle n'ont pas de place. C'est d'ailleurs pour cette raison que Rawls, pour être réaliste, ne vise pas une impossible unanimité philosophique; Mais, en présentant la démocratie comme une culture partagée par le plus grand nombre, </w:t>
      </w:r>
      <w:r>
        <w:rPr>
          <w:rFonts w:ascii="Calibri" w:eastAsia="Batang" w:hAnsi="Calibri" w:cs="Calibri"/>
          <w:sz w:val="25"/>
          <w:szCs w:val="25"/>
        </w:rPr>
        <w:lastRenderedPageBreak/>
        <w:t>il vise un consensus (consensus par recoupement). Et ce consensus  repose sur la conviction selon laquelle la vie politique qui respecte la liberté est de facto bonne.</w:t>
      </w:r>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pStyle w:val="Titre1"/>
        <w:spacing w:after="0" w:line="324" w:lineRule="auto"/>
        <w:ind w:left="0" w:firstLine="0"/>
        <w:jc w:val="both"/>
        <w:rPr>
          <w:rFonts w:ascii="Calibri" w:hAnsi="Calibri" w:cs="Calibri"/>
          <w:bCs w:val="0"/>
          <w:sz w:val="28"/>
          <w:szCs w:val="28"/>
        </w:rPr>
      </w:pPr>
      <w:bookmarkStart w:id="26" w:name="_Toc127173498"/>
      <w:r>
        <w:rPr>
          <w:rFonts w:ascii="Calibri" w:hAnsi="Calibri" w:cs="Calibri"/>
          <w:bCs w:val="0"/>
          <w:sz w:val="28"/>
          <w:szCs w:val="28"/>
        </w:rPr>
        <w:t>3.4. LE DOUBLE PRINCIPE DU LIBÉRALISME DÉMOCRATIQUE</w:t>
      </w:r>
      <w:bookmarkEnd w:id="26"/>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De cette conviction découle le double principe d'un libéralisme démocratique: en se voulant pluraliste ou polythéiste, Rawls pose l'incompatibilité des valeurs comme une vérité universelle; et comme il se veut aussi démocratique et « consensualiste », il place la justice avant le bien, l'intérêt public au-dessus des conceptions intéressées du bien que cultivent les individus ou les associations privées. Le libéralisme démocratique veut être, par cette double fondation, une politique raisonnable et un espace de communication qui n'exclut personne. Dans ce contexte enfin, la personne raisonnable est celle qui veut la justice indépendamment même de ses convictions éthiques personnelles</w:t>
      </w:r>
      <w:r>
        <w:rPr>
          <w:rStyle w:val="Appelnotedebasdep"/>
          <w:rFonts w:ascii="Calibri" w:eastAsia="Batang" w:hAnsi="Calibri" w:cs="Calibri"/>
          <w:sz w:val="25"/>
          <w:szCs w:val="25"/>
        </w:rPr>
        <w:footnoteReference w:id="128"/>
      </w:r>
      <w:r>
        <w:rPr>
          <w:rFonts w:ascii="Calibri" w:eastAsia="Batang" w:hAnsi="Calibri" w:cs="Calibri"/>
          <w:sz w:val="25"/>
          <w:szCs w:val="25"/>
        </w:rPr>
        <w:t>.  La conséquence pratique de l'adoption de ces principes d'un libéralisme démocratique est le choix d'un régime garantissant la liberté morale, la liberté de pensée et de croyance, la liberté de pratique religieuse mais celles-ci restent réglementées par l'Etat au nom de l'ordre public et de la sécurité.</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Concrètement, cela veut dire que l'Etat ne peut favoriser aucune religion particulière, il ne peut y avoir aucune pénalité, aucun handicap à appartenir à une religion quelconque ou au contraire, à ne pas en faire partie</w:t>
      </w:r>
      <w:r>
        <w:rPr>
          <w:rStyle w:val="Appelnotedebasdep"/>
          <w:rFonts w:ascii="Calibri" w:eastAsia="Batang" w:hAnsi="Calibri" w:cs="Calibri"/>
          <w:sz w:val="25"/>
          <w:szCs w:val="25"/>
        </w:rPr>
        <w:footnoteReference w:id="129"/>
      </w:r>
      <w:r>
        <w:rPr>
          <w:rFonts w:ascii="Calibri" w:eastAsia="Batang" w:hAnsi="Calibri" w:cs="Calibri"/>
          <w:sz w:val="25"/>
          <w:szCs w:val="25"/>
        </w:rPr>
        <w:t>. Les associations particulières peuvent être organisées librement comme leurs membres le désirent; elles peuvent avoir leur propre vie interne, leur propre discipline à condition que leurs membres aient réellement le choix de continuer à être affiliés ou non. La loi protège le droit d'asile en ce sens que l'apostasie n'est pas reconnue comme un délit légal</w:t>
      </w:r>
      <w:r>
        <w:rPr>
          <w:rStyle w:val="Appelnotedebasdep"/>
          <w:rFonts w:ascii="Calibri" w:eastAsia="Batang" w:hAnsi="Calibri" w:cs="Calibri"/>
          <w:sz w:val="25"/>
          <w:szCs w:val="25"/>
        </w:rPr>
        <w:footnoteReference w:id="130"/>
      </w:r>
      <w:r>
        <w:rPr>
          <w:rFonts w:ascii="Calibri" w:eastAsia="Batang" w:hAnsi="Calibri" w:cs="Calibri"/>
          <w:sz w:val="25"/>
          <w:szCs w:val="25"/>
        </w:rPr>
        <w:t>. L'acceptation de la limitation de la liberté de conscience par l'intérêt commun pour l'ordre public et la sécurité n'implique et ne signifie pas que le gouvernement a le droit de réprimer les convictions philosophiques quand elles entrent en conflit avec les affaires de l'Etat. Le gouvernement ne possède pas le pouvoir de légitimer les associations non plus celui de les rendre illégitimes. L'art et la science ne sont nullement sous le pouvoir du gouvernement.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Pour Rawls, la tolérance n'est pas dérivée de nécessités pratiques ou de raisons d'Etat. La liberté morale et religieuse est la conséquence du principe de la liberté égale pour tous</w:t>
      </w:r>
      <w:r>
        <w:rPr>
          <w:rStyle w:val="Appelnotedebasdep"/>
          <w:rFonts w:ascii="Calibri" w:eastAsia="Batang" w:hAnsi="Calibri" w:cs="Calibri"/>
          <w:sz w:val="25"/>
          <w:szCs w:val="25"/>
        </w:rPr>
        <w:footnoteReference w:id="131"/>
      </w:r>
      <w:r>
        <w:rPr>
          <w:rFonts w:ascii="Calibri" w:eastAsia="Batang" w:hAnsi="Calibri" w:cs="Calibri"/>
          <w:sz w:val="25"/>
          <w:szCs w:val="25"/>
        </w:rPr>
        <w:t xml:space="preserve">. Mais les articles de la </w:t>
      </w:r>
      <w:r>
        <w:rPr>
          <w:rFonts w:ascii="Calibri" w:eastAsia="Batang" w:hAnsi="Calibri" w:cs="Calibri"/>
          <w:i/>
          <w:iCs/>
          <w:sz w:val="25"/>
          <w:szCs w:val="25"/>
        </w:rPr>
        <w:t>Revue philosophie de Louvain</w:t>
      </w:r>
      <w:r>
        <w:rPr>
          <w:rFonts w:ascii="Calibri" w:eastAsia="Batang" w:hAnsi="Calibri" w:cs="Calibri"/>
          <w:sz w:val="25"/>
          <w:szCs w:val="25"/>
        </w:rPr>
        <w:t xml:space="preserve"> de février 2000 qui partent tous de la tolérance rawlsienne relisent celle-ci à la lumière des difficultés concrètes que crée la présence des croyants de religions différentes, ou des membres de cultures différentes sachant qu’ils sont tous appelés à coexister dans un même milieu. D’où le souci de s’interroger sur les ressources que doit mobiliser la raison humaine pour qu’un pluralisme viable puisse prendre forme</w:t>
      </w:r>
      <w:r>
        <w:rPr>
          <w:rStyle w:val="Appelnotedebasdep"/>
          <w:rFonts w:ascii="Calibri" w:eastAsia="Batang" w:hAnsi="Calibri" w:cs="Calibri"/>
          <w:sz w:val="25"/>
          <w:szCs w:val="25"/>
        </w:rPr>
        <w:footnoteReference w:id="132"/>
      </w:r>
      <w:r>
        <w:rPr>
          <w:rFonts w:ascii="Calibri" w:eastAsia="Batang" w:hAnsi="Calibri" w:cs="Calibri"/>
          <w:sz w:val="25"/>
          <w:szCs w:val="25"/>
        </w:rPr>
        <w:t>. Le problème auquel la tolérance est confrontée c’est que des principes de tolérance, qu’ils soient affirmés publiquement à travers une éducation républicaine ou à travers une inscription dans un article constitutionnel, n’auront prise sur les attitudes et les actes des membres de la société que s’ils sont relayés « intérieurement » pour ainsi dire, s’ils sont réappropriés par les structures « subjectives » de la raison</w:t>
      </w:r>
      <w:r>
        <w:rPr>
          <w:rStyle w:val="Appelnotedebasdep"/>
          <w:rFonts w:ascii="Calibri" w:eastAsia="Batang" w:hAnsi="Calibri" w:cs="Calibri"/>
          <w:sz w:val="25"/>
          <w:szCs w:val="25"/>
        </w:rPr>
        <w:footnoteReference w:id="133"/>
      </w:r>
      <w:r>
        <w:rPr>
          <w:rFonts w:ascii="Calibri" w:eastAsia="Batang" w:hAnsi="Calibri" w:cs="Calibri"/>
          <w:sz w:val="25"/>
          <w:szCs w:val="25"/>
        </w:rPr>
        <w:t xml:space="preserve">. Telle a été la préoccupation des philosophes libéraux à l’instar de John Rawls dans </w:t>
      </w:r>
      <w:r>
        <w:rPr>
          <w:rFonts w:ascii="Calibri" w:eastAsia="Batang" w:hAnsi="Calibri" w:cs="Calibri"/>
          <w:i/>
          <w:iCs/>
          <w:sz w:val="25"/>
          <w:szCs w:val="25"/>
        </w:rPr>
        <w:t>Theory of justice</w:t>
      </w:r>
      <w:r>
        <w:rPr>
          <w:rFonts w:ascii="Calibri" w:eastAsia="Batang" w:hAnsi="Calibri" w:cs="Calibri"/>
          <w:sz w:val="25"/>
          <w:szCs w:val="25"/>
        </w:rPr>
        <w:t xml:space="preserve"> (1971) et dans </w:t>
      </w:r>
      <w:r>
        <w:rPr>
          <w:rFonts w:ascii="Calibri" w:eastAsia="Batang" w:hAnsi="Calibri" w:cs="Calibri"/>
          <w:i/>
          <w:iCs/>
          <w:sz w:val="25"/>
          <w:szCs w:val="25"/>
        </w:rPr>
        <w:t xml:space="preserve">Political liberalism </w:t>
      </w:r>
      <w:r>
        <w:rPr>
          <w:rFonts w:ascii="Calibri" w:eastAsia="Batang" w:hAnsi="Calibri" w:cs="Calibri"/>
          <w:sz w:val="25"/>
          <w:szCs w:val="25"/>
        </w:rPr>
        <w:t xml:space="preserve">(1993).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question post - rawlsienne sera celle de penser une société pluraliste dans laquelle la coexistence plurielle ne soit pas seulement de l’ordre de l’« association », mais de l’ordre de la </w:t>
      </w:r>
      <w:r>
        <w:rPr>
          <w:rFonts w:ascii="Calibri" w:eastAsia="Batang" w:hAnsi="Calibri" w:cs="Calibri"/>
          <w:i/>
          <w:iCs/>
          <w:sz w:val="25"/>
          <w:szCs w:val="25"/>
        </w:rPr>
        <w:t>responsabilité pour autrui</w:t>
      </w:r>
      <w:r>
        <w:rPr>
          <w:rStyle w:val="Appelnotedebasdep"/>
          <w:rFonts w:ascii="Calibri" w:eastAsia="Batang" w:hAnsi="Calibri" w:cs="Calibri"/>
          <w:i/>
          <w:iCs/>
          <w:sz w:val="25"/>
          <w:szCs w:val="25"/>
        </w:rPr>
        <w:footnoteReference w:id="134"/>
      </w:r>
      <w:r>
        <w:rPr>
          <w:rFonts w:ascii="Calibri" w:eastAsia="Batang" w:hAnsi="Calibri" w:cs="Calibri"/>
          <w:sz w:val="25"/>
          <w:szCs w:val="25"/>
        </w:rPr>
        <w:t xml:space="preserve">.Quant à la notion de la justice politique, elle contient la conception politique de la personne, la vision du monde politique et social </w:t>
      </w:r>
      <w:r>
        <w:rPr>
          <w:rFonts w:ascii="Calibri" w:eastAsia="Batang" w:hAnsi="Calibri" w:cs="Calibri"/>
          <w:sz w:val="25"/>
          <w:szCs w:val="25"/>
        </w:rPr>
        <w:lastRenderedPageBreak/>
        <w:t>reconnaissant certains traits généraux de la sociologie politique et de la psychologie humaine et la justice politique en tant qu'étroitement liée à une juste constitution.</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En ce qui concerne la conception politique de la personne, elle est esquissée à partir de la position originelle dans laquelle les citoyens sont représentés en tant que personnes libres. Les citoyens sont conçus comme se considérant eux-mêmes libres de trois points de vue:</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1° les citoyens sont libres pour autant qu'ils se considèrent comme possédant la faculté morale de former une conception du bien, une conception politique à partir de leur conception particulière du bien. Mais, dans la logique de la résolution de la question pluraliste, les citoyens sont conçus comme capables de réviser et de changer cette conception en se fondant sur des arguments raisonnables et rationnels. Cependant, quand les citoyens se convertissent, par exemple  changent de religion, ils ne cessent pas, pour les questions de justice publique, d'être la même personne qu'auparavant. C’est leur identité publique,  institutionnelle. Ils conservent, en général, les mêmes droits et devoirs fondamentaux, la même propriété et ils peuvent réclamer les mêmes choses qu'auparavant</w:t>
      </w:r>
      <w:r>
        <w:rPr>
          <w:rStyle w:val="Appelnotedebasdep"/>
          <w:rFonts w:ascii="Calibri" w:eastAsia="Batang" w:hAnsi="Calibri" w:cs="Calibri"/>
          <w:sz w:val="25"/>
          <w:szCs w:val="25"/>
        </w:rPr>
        <w:footnoteReference w:id="135"/>
      </w:r>
      <w:r>
        <w:rPr>
          <w:rFonts w:ascii="Calibri" w:eastAsia="Batang" w:hAnsi="Calibri" w:cs="Calibri"/>
          <w:sz w:val="25"/>
          <w:szCs w:val="25"/>
        </w:rPr>
        <w:t>.</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2° les citoyens se considèrent comme libres  en tant qu'ils ont le droit d'émettre des revendications vis-à-vis de leurs institutions pour faire progresser leurs conceptions du bien et, qu'ils considèrent que ces revendications ont de la valeur en elles-mêmes, indépendamment des devoirs et obligations définis par une conception politique de la justice. Par exemple, les esclaves sont des êtres humains qui ne comptent pas comme source de revendications parce qu'ils ne sont pas considérés comme capables d'avoir des devoirs et des obligations. Ils sont socialement morts.</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3° les citoyens sont libres en raison de leur capacité à assumer la responsabilité de leurs fins. Rawls part ici de l'idée de la société comme système équitable de  coopération dans lequel les citoyens sont considérés comme capables de s'engager dans la coopération sociale pendant toute leur vie et, peuvent ajuster leurs fins afin qu'elles puissent être réalisées par des moyens qu'ils peuvent  raisonnablement espérer obtenir en retour de leur contribution</w:t>
      </w:r>
      <w:r>
        <w:rPr>
          <w:rStyle w:val="Appelnotedebasdep"/>
          <w:rFonts w:ascii="Calibri" w:eastAsia="Batang" w:hAnsi="Calibri" w:cs="Calibri"/>
          <w:sz w:val="25"/>
          <w:szCs w:val="25"/>
        </w:rPr>
        <w:footnoteReference w:id="136"/>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 xml:space="preserve">La vision du monde politique et social est développée dans sa conception politique de la justice au chapitre VII de </w:t>
      </w:r>
      <w:r>
        <w:rPr>
          <w:rFonts w:ascii="Calibri" w:eastAsia="Batang" w:hAnsi="Calibri" w:cs="Calibri"/>
          <w:i/>
          <w:iCs/>
          <w:sz w:val="25"/>
          <w:szCs w:val="25"/>
        </w:rPr>
        <w:t>Justice et Démocratie</w:t>
      </w:r>
      <w:r>
        <w:rPr>
          <w:rFonts w:ascii="Calibri" w:eastAsia="Batang" w:hAnsi="Calibri" w:cs="Calibri"/>
          <w:sz w:val="25"/>
          <w:szCs w:val="25"/>
        </w:rPr>
        <w:t>. Rawls commence par l'analyse de quatre traits généraux de cette vision en ces termes:</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Le premier est que la diversité des doctrines compréhensives, morales, philosophiques et religieuses, que l'on trouve dans les sociétés démocratiques modernes n'est pas une simple contingence historique; c'est un trait permanent de la culture publique des démocraties. Etant données les conditions politiques et sociales que garantissent les droits et les libertés de base des institutions démocratiques, une diversité de doctrines compréhensives conflictuelles et irréconciliables, ne manquera pas d'émerger, si  elle n'existe déjà. De plus, cette situation ne peut que persister et s'accentuer. Ce fait qui concerne des institutions libres est celui du pluralisme »</w:t>
      </w:r>
      <w:r>
        <w:rPr>
          <w:rStyle w:val="Appelnotedebasdep"/>
          <w:rFonts w:ascii="Calibri" w:eastAsia="Batang" w:hAnsi="Calibri" w:cs="Calibri"/>
          <w:sz w:val="25"/>
          <w:szCs w:val="25"/>
        </w:rPr>
        <w:footnoteReference w:id="137"/>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Donc il est tout à fait normal qu'une discussion s'instaure de manière nécessaire, en contexte démocratique, entre différentes doctrines compréhensives. D'ailleurs c'est ce qui caractérise la démocratie. Par contre, il n'y a que dans l'utilisation tyrannique du pouvoir étatique qu'on peut maintenir une adhésion et un soutien durables à une doctrine compréhensive unique, morale, philosophique (c’est le deuxième trait.)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Un troisième trait est que pour être durable et sûr, et non pas divisé par des doctrines antagonistes et par des classes sociales hostiles les unes aux autres, un régime démocratique doit avoir le soutien volontaire et libre d'une majorité substantielle de ses citoyens politiquement actifs</w:t>
      </w:r>
      <w:r>
        <w:rPr>
          <w:rStyle w:val="Appelnotedebasdep"/>
          <w:rFonts w:ascii="Calibri" w:eastAsia="Batang" w:hAnsi="Calibri" w:cs="Calibri"/>
          <w:sz w:val="25"/>
          <w:szCs w:val="25"/>
        </w:rPr>
        <w:footnoteReference w:id="138"/>
      </w:r>
      <w:r>
        <w:rPr>
          <w:rFonts w:ascii="Calibri" w:eastAsia="Batang" w:hAnsi="Calibri" w:cs="Calibri"/>
          <w:sz w:val="25"/>
          <w:szCs w:val="25"/>
        </w:rPr>
        <w:t>. Cela veut dire qu'une conception de la justice qui veut servir de base publique de justification dans un régime constitutionnel doit être acceptée par des doctrines extrêmement différentes et, peut-être inconciliables</w:t>
      </w:r>
      <w:r>
        <w:rPr>
          <w:rStyle w:val="Appelnotedebasdep"/>
          <w:rFonts w:ascii="Calibri" w:eastAsia="Batang" w:hAnsi="Calibri" w:cs="Calibri"/>
          <w:sz w:val="25"/>
          <w:szCs w:val="25"/>
        </w:rPr>
        <w:footnoteReference w:id="139"/>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En définitive, un régime démocratique entraîne une pluralité de doctrines compréhensives et il n'est durable que dans la mesure où il trouve son soutien dans la majorité des citoyens actifs. Pour qu'un tel régime suscite engouement et dévouement, il faut que ceux qui grandissent dans une société bien ordonnée développent une allégeance suffisante aux constitutions, c'est-à-dire qu'ils aient un sens de la justice suffisamment fort. Mais c'est à compter sur le fait que la relation </w:t>
      </w:r>
      <w:r>
        <w:rPr>
          <w:rFonts w:ascii="Calibri" w:eastAsia="Batang" w:hAnsi="Calibri" w:cs="Calibri"/>
          <w:sz w:val="25"/>
          <w:szCs w:val="25"/>
        </w:rPr>
        <w:lastRenderedPageBreak/>
        <w:t>politique en tant que relation entre des personnes est régie par le pouvoir politique qui est toujours coercitif et a le soutien de l'Etat quant à l'application de ses lois. Il appert donc que l'on ne peut envisager de résoudre la complication pluraliste sans recourir à la justice de la constitution. La constitution doit être juste et satisfaire aux exigences de la liberté égale pour tous; elle doit conduire à un système de législation juste et efficace</w:t>
      </w:r>
      <w:r>
        <w:rPr>
          <w:rStyle w:val="Appelnotedebasdep"/>
          <w:rFonts w:ascii="Calibri" w:eastAsia="Batang" w:hAnsi="Calibri" w:cs="Calibri"/>
          <w:sz w:val="25"/>
          <w:szCs w:val="25"/>
        </w:rPr>
        <w:footnoteReference w:id="140"/>
      </w:r>
      <w:r>
        <w:rPr>
          <w:rFonts w:ascii="Calibri" w:eastAsia="Batang" w:hAnsi="Calibri" w:cs="Calibri"/>
          <w:sz w:val="25"/>
          <w:szCs w:val="25"/>
        </w:rPr>
        <w:t>.</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Rawls désigne le principe de la liberté égale pour tous, quand il s'applique à la procédure politique définie par la constitution, comme étant le principe de la participation (égale). Ce principe exige un droit égal de tous les citoyens à participer au processus constitutionnel qui établit les lois auxquelles ils doivent se conformer et à déterminer le résultat de ce processus. Il analyse au chapitre IV de </w:t>
      </w:r>
      <w:r>
        <w:rPr>
          <w:rFonts w:ascii="Calibri" w:eastAsia="Batang" w:hAnsi="Calibri" w:cs="Calibri"/>
          <w:i/>
          <w:iCs/>
          <w:sz w:val="25"/>
          <w:szCs w:val="25"/>
        </w:rPr>
        <w:t>Théorie de la justice</w:t>
      </w:r>
      <w:r>
        <w:rPr>
          <w:rFonts w:ascii="Calibri" w:eastAsia="Batang" w:hAnsi="Calibri" w:cs="Calibri"/>
          <w:sz w:val="25"/>
          <w:szCs w:val="25"/>
        </w:rPr>
        <w:t xml:space="preserve"> trois points concernant le principe de la participation : sa signification, son étendue et les mesures qui accroissent sa valeur. Cette  réflexion contient en amont que, par le principe de la participation, tous les citoyens doivent avoir un accès égal aux fonctions publiques. Chacun a le droit d'adhérer à un parti politique, d'être candidat aux positions pourvues par les élections et remplir les postes d'autorité</w:t>
      </w:r>
      <w:r>
        <w:rPr>
          <w:rStyle w:val="Appelnotedebasdep"/>
          <w:rFonts w:ascii="Calibri" w:eastAsia="Batang" w:hAnsi="Calibri" w:cs="Calibri"/>
          <w:sz w:val="25"/>
          <w:szCs w:val="25"/>
        </w:rPr>
        <w:footnoteReference w:id="141"/>
      </w:r>
      <w:r>
        <w:rPr>
          <w:rFonts w:ascii="Calibri" w:eastAsia="Batang" w:hAnsi="Calibri" w:cs="Calibri"/>
          <w:sz w:val="25"/>
          <w:szCs w:val="25"/>
        </w:rPr>
        <w:t>. La liberté politique la plus étendue est établie par une constitution qui utilise la procédure du gouvernement par la majorité simple</w:t>
      </w:r>
      <w:r>
        <w:rPr>
          <w:rStyle w:val="Appelnotedebasdep"/>
          <w:rFonts w:ascii="Calibri" w:eastAsia="Batang" w:hAnsi="Calibri" w:cs="Calibri"/>
          <w:sz w:val="25"/>
          <w:szCs w:val="25"/>
        </w:rPr>
        <w:footnoteReference w:id="142"/>
      </w:r>
      <w:r>
        <w:rPr>
          <w:rFonts w:ascii="Calibri" w:eastAsia="Batang" w:hAnsi="Calibri" w:cs="Calibri"/>
          <w:sz w:val="25"/>
          <w:szCs w:val="25"/>
        </w:rPr>
        <w:t>, entendu que l'étendue de libertés politiques égales est fonction du degré et des formes prévues par la constitution. La Constitution a pour tâche de chercher à accroître la valeur des droits égaux à la participation pour tous les membres de la société et doit, en conséquence, garantir une juste chance de participer au processus politique et de l'influencer. Il est un acquis qu'un régime démocratique présuppose la liberté d'expression et de réunion et la liberté de pensée et de conscience. Par ailleurs, tous les citoyens ont le droit d'être informés des questions politiques et de juger de la façon dont les projets affectent leur bien-être, de discerner les programmes politiques qui valent la peine.</w:t>
      </w:r>
    </w:p>
    <w:p w:rsidR="000A31A8" w:rsidRDefault="0065345B">
      <w:pPr>
        <w:pStyle w:val="Titre1"/>
        <w:spacing w:after="0" w:line="324" w:lineRule="auto"/>
        <w:rPr>
          <w:rFonts w:ascii="Calibri" w:hAnsi="Calibri" w:cs="Calibri"/>
          <w:b w:val="0"/>
          <w:bCs w:val="0"/>
          <w:sz w:val="25"/>
          <w:szCs w:val="25"/>
        </w:rPr>
        <w:sectPr w:rsidR="000A31A8">
          <w:pgSz w:w="11906" w:h="16838"/>
          <w:pgMar w:top="1440" w:right="1440" w:bottom="1440" w:left="1800" w:header="850" w:footer="850" w:gutter="0"/>
          <w:pgNumType w:start="35"/>
          <w:cols w:space="720"/>
          <w:docGrid w:linePitch="272"/>
        </w:sectPr>
      </w:pPr>
      <w:r>
        <w:rPr>
          <w:rFonts w:ascii="Calibri" w:hAnsi="Calibri" w:cs="Calibri"/>
          <w:b w:val="0"/>
          <w:bCs w:val="0"/>
          <w:sz w:val="25"/>
          <w:szCs w:val="25"/>
        </w:rPr>
        <w:tab/>
      </w:r>
      <w:r>
        <w:rPr>
          <w:rFonts w:ascii="Calibri" w:hAnsi="Calibri" w:cs="Calibri"/>
          <w:b w:val="0"/>
          <w:bCs w:val="0"/>
          <w:sz w:val="25"/>
          <w:szCs w:val="25"/>
        </w:rPr>
        <w:tab/>
      </w:r>
    </w:p>
    <w:p w:rsidR="000A31A8" w:rsidRDefault="0065345B">
      <w:pPr>
        <w:pStyle w:val="Titre1"/>
        <w:rPr>
          <w:rFonts w:ascii="Calibri" w:hAnsi="Calibri" w:cs="Calibri"/>
          <w:b w:val="0"/>
          <w:bCs w:val="0"/>
          <w:sz w:val="36"/>
          <w:szCs w:val="36"/>
        </w:rPr>
      </w:pPr>
      <w:bookmarkStart w:id="27" w:name="_Toc127173499"/>
      <w:r>
        <w:rPr>
          <w:rFonts w:ascii="Calibri" w:hAnsi="Calibri" w:cs="Calibri"/>
          <w:sz w:val="36"/>
          <w:szCs w:val="36"/>
        </w:rPr>
        <w:lastRenderedPageBreak/>
        <w:t>CHAPITRE QUATRIÈME : LA DECONSTRUCTION DU CONTRACTUALISME ET DU LIBERALISME</w:t>
      </w:r>
      <w:bookmarkEnd w:id="27"/>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Tony Andréani et Marc Féray ont vu juste : « ce qui fait la séduction du libéralisme, c’est son exaltation de l’individu »</w:t>
      </w:r>
      <w:r>
        <w:rPr>
          <w:rStyle w:val="Appelnotedebasdep"/>
          <w:rFonts w:ascii="Calibri" w:eastAsia="Batang" w:hAnsi="Calibri" w:cs="Calibri"/>
          <w:sz w:val="25"/>
          <w:szCs w:val="25"/>
        </w:rPr>
        <w:footnoteReference w:id="143"/>
      </w:r>
      <w:r>
        <w:rPr>
          <w:rFonts w:ascii="Calibri" w:eastAsia="Batang" w:hAnsi="Calibri" w:cs="Calibri"/>
          <w:sz w:val="25"/>
          <w:szCs w:val="25"/>
        </w:rPr>
        <w:t>. Mais jusqu’au siècle dernier l’individu et la communauté n’apparaissent pas encore nécessairement antithétiques ; d’ailleurs tous les efforts des socialistes avaient pour but d’arriver à la création de nouvelles communautés, celles d’individus librement associés ayant rompu avec les vielles communautés de la famille patriarcale, des ordres et des castes, des corporations, des classes, des religions instituées, des races, des patries</w:t>
      </w:r>
      <w:r>
        <w:rPr>
          <w:rStyle w:val="Appelnotedebasdep"/>
          <w:rFonts w:ascii="Calibri" w:eastAsia="Batang" w:hAnsi="Calibri" w:cs="Calibri"/>
          <w:sz w:val="25"/>
          <w:szCs w:val="25"/>
        </w:rPr>
        <w:footnoteReference w:id="144"/>
      </w:r>
      <w:r>
        <w:rPr>
          <w:rFonts w:ascii="Calibri" w:eastAsia="Batang" w:hAnsi="Calibri" w:cs="Calibri"/>
          <w:sz w:val="25"/>
          <w:szCs w:val="25"/>
        </w:rPr>
        <w:t>. Dans ce contexte, le libéralisme est considéré comme une réaction divisant la société en classes. Ce qu’il y a de caractéristique dans le néo - libéralisme, c’est le fait qu’il ne se développe pas en tant que réfutation du communisme – qui est l’incarnation même de la collectivité contre l’individu – laissant ainsi « les nouvelles communautés » se révéler oppressives.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lang w:val="it-IT"/>
        </w:rPr>
      </w:pPr>
      <w:r>
        <w:rPr>
          <w:rFonts w:ascii="Calibri" w:eastAsia="Batang" w:hAnsi="Calibri" w:cs="Calibri"/>
          <w:sz w:val="25"/>
          <w:szCs w:val="25"/>
        </w:rPr>
        <w:t>L’étonnement d’Andréani et de Féray nous ouvre une nouvelle perspective dans la lecture du rapport individu - communauté. L’avènement de l’individu moderne, ou postmoderne, est dans une large mesure illusion ou mystification : la famille ne se dissout pas, elle se renforce ; les habitus de classe ne s’évanouissent pas avec la disparition des classes. Alors pourquoi l’individualisme libéral est-il « en phase » avec les mentalités actuelles ?</w:t>
      </w:r>
      <w:r>
        <w:rPr>
          <w:rStyle w:val="Appelnotedebasdep"/>
          <w:rFonts w:ascii="Calibri" w:eastAsia="Batang" w:hAnsi="Calibri" w:cs="Calibri"/>
          <w:sz w:val="25"/>
          <w:szCs w:val="25"/>
        </w:rPr>
        <w:footnoteReference w:id="145"/>
      </w:r>
      <w:r>
        <w:rPr>
          <w:rFonts w:ascii="Calibri" w:eastAsia="Batang" w:hAnsi="Calibri" w:cs="Calibri"/>
          <w:sz w:val="25"/>
          <w:szCs w:val="25"/>
        </w:rPr>
        <w:t xml:space="preserve"> Nous sommes sans doute à un moment de l’histoire où le </w:t>
      </w:r>
      <w:r>
        <w:rPr>
          <w:rFonts w:ascii="Calibri" w:eastAsia="Batang" w:hAnsi="Calibri" w:cs="Calibri"/>
          <w:i/>
          <w:iCs/>
          <w:sz w:val="25"/>
          <w:szCs w:val="25"/>
        </w:rPr>
        <w:t>zoon politicon</w:t>
      </w:r>
      <w:r>
        <w:rPr>
          <w:rFonts w:ascii="Calibri" w:eastAsia="Batang" w:hAnsi="Calibri" w:cs="Calibri"/>
          <w:sz w:val="25"/>
          <w:szCs w:val="25"/>
        </w:rPr>
        <w:t xml:space="preserve"> demande à être approfondi. </w:t>
      </w:r>
    </w:p>
    <w:p w:rsidR="000A31A8" w:rsidRDefault="0065345B">
      <w:pPr>
        <w:tabs>
          <w:tab w:val="left" w:pos="2520"/>
        </w:tabs>
        <w:spacing w:line="324" w:lineRule="auto"/>
        <w:ind w:right="-2" w:firstLine="709"/>
        <w:jc w:val="both"/>
        <w:rPr>
          <w:rFonts w:ascii="Calibri" w:eastAsia="Batang" w:hAnsi="Calibri" w:cs="Calibri"/>
          <w:sz w:val="25"/>
          <w:szCs w:val="25"/>
          <w:lang w:val="it-IT"/>
        </w:rPr>
      </w:pPr>
      <w:r>
        <w:rPr>
          <w:rFonts w:ascii="Calibri" w:eastAsia="Batang" w:hAnsi="Calibri" w:cs="Calibri"/>
          <w:sz w:val="25"/>
          <w:szCs w:val="25"/>
          <w:lang w:val="it-IT"/>
        </w:rPr>
        <w:t xml:space="preserve"> </w:t>
      </w:r>
    </w:p>
    <w:p w:rsidR="000A31A8" w:rsidRDefault="0065345B">
      <w:pPr>
        <w:pStyle w:val="Titre1"/>
        <w:spacing w:after="0" w:line="324" w:lineRule="auto"/>
        <w:ind w:left="0" w:firstLine="0"/>
        <w:jc w:val="left"/>
        <w:rPr>
          <w:rFonts w:ascii="Calibri" w:hAnsi="Calibri" w:cs="Calibri"/>
          <w:bCs w:val="0"/>
          <w:sz w:val="28"/>
          <w:szCs w:val="28"/>
        </w:rPr>
      </w:pPr>
      <w:bookmarkStart w:id="28" w:name="_Toc127173500"/>
      <w:r>
        <w:rPr>
          <w:rFonts w:ascii="Calibri" w:hAnsi="Calibri" w:cs="Calibri"/>
          <w:bCs w:val="0"/>
          <w:sz w:val="28"/>
          <w:szCs w:val="28"/>
        </w:rPr>
        <w:t>4.1. LA TENDANCE POSTMODERNE</w:t>
      </w:r>
      <w:bookmarkEnd w:id="28"/>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question que nous posons se situe dans le contexte de la tendance postmoderne. La postmodernité rompt avec la modernité de manière générale, par le triomphe de la phénoménologie comme passage incontournable dans la pensée politique. D’un côté, la phénoménologie nous ramène au présent de la constitution de notre </w:t>
      </w:r>
      <w:r>
        <w:rPr>
          <w:rFonts w:ascii="Calibri" w:eastAsia="Batang" w:hAnsi="Calibri" w:cs="Calibri"/>
          <w:sz w:val="25"/>
          <w:szCs w:val="25"/>
        </w:rPr>
        <w:lastRenderedPageBreak/>
        <w:t>intentionnalité, solidaire à autrui</w:t>
      </w:r>
      <w:r>
        <w:rPr>
          <w:rStyle w:val="Appelnotedebasdep"/>
          <w:rFonts w:ascii="Calibri" w:eastAsia="Batang" w:hAnsi="Calibri" w:cs="Calibri"/>
          <w:sz w:val="25"/>
          <w:szCs w:val="25"/>
        </w:rPr>
        <w:footnoteReference w:id="146"/>
      </w:r>
      <w:r>
        <w:rPr>
          <w:rFonts w:ascii="Calibri" w:eastAsia="Batang" w:hAnsi="Calibri" w:cs="Calibri"/>
          <w:sz w:val="25"/>
          <w:szCs w:val="25"/>
        </w:rPr>
        <w:t>, d’un autre côté, elle nous plonge dans l’espace rationnel nouveau de l’intersubjectivité transcendantale qui constitue une rupture claire et nette d’avec l’illusion solipsiste moderne. Elle nous pose également la question des conditions de validité d’un exercice collectif de la responsabilité</w:t>
      </w:r>
      <w:r>
        <w:rPr>
          <w:rStyle w:val="Appelnotedebasdep"/>
          <w:rFonts w:ascii="Calibri" w:eastAsia="Batang" w:hAnsi="Calibri" w:cs="Calibri"/>
          <w:sz w:val="25"/>
          <w:szCs w:val="25"/>
        </w:rPr>
        <w:footnoteReference w:id="147"/>
      </w:r>
      <w:r>
        <w:rPr>
          <w:rFonts w:ascii="Calibri" w:eastAsia="Batang" w:hAnsi="Calibri" w:cs="Calibri"/>
          <w:sz w:val="25"/>
          <w:szCs w:val="25"/>
        </w:rPr>
        <w:t>. Et Lyotard pense que la condition postmoderne est le contexte où le soi est peu, mais il n’est pas isolé, il est pris dans une texture de relation plus complexe et plus mobile que jamais</w:t>
      </w:r>
      <w:r>
        <w:rPr>
          <w:rStyle w:val="Appelnotedebasdep"/>
          <w:rFonts w:ascii="Calibri" w:eastAsia="Batang" w:hAnsi="Calibri" w:cs="Calibri"/>
          <w:sz w:val="25"/>
          <w:szCs w:val="25"/>
        </w:rPr>
        <w:footnoteReference w:id="148"/>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phénoménologie, l’intentionnalité, autrui, constituent une véritable séparation d’avec la modernité cartésienne. La grandeur de Descartes, selon Husserl, est d’avoir fait le projet d’une philosophie qui soit à la fois une science et le fondement de toutes les sciences dans le système d’une science universelle</w:t>
      </w:r>
      <w:r>
        <w:rPr>
          <w:rStyle w:val="Appelnotedebasdep"/>
          <w:rFonts w:ascii="Calibri" w:eastAsia="Batang" w:hAnsi="Calibri" w:cs="Calibri"/>
          <w:sz w:val="25"/>
          <w:szCs w:val="25"/>
        </w:rPr>
        <w:footnoteReference w:id="149"/>
      </w:r>
      <w:r>
        <w:rPr>
          <w:rFonts w:ascii="Calibri" w:eastAsia="Batang" w:hAnsi="Calibri" w:cs="Calibri"/>
          <w:sz w:val="25"/>
          <w:szCs w:val="25"/>
        </w:rPr>
        <w:t xml:space="preserve">.  Et pour Ricœur, le </w:t>
      </w:r>
      <w:r>
        <w:rPr>
          <w:rFonts w:ascii="Calibri" w:eastAsia="Batang" w:hAnsi="Calibri" w:cs="Calibri"/>
          <w:i/>
          <w:iCs/>
          <w:sz w:val="25"/>
          <w:szCs w:val="25"/>
        </w:rPr>
        <w:t>Cogito</w:t>
      </w:r>
      <w:r>
        <w:rPr>
          <w:rFonts w:ascii="Calibri" w:eastAsia="Batang" w:hAnsi="Calibri" w:cs="Calibri"/>
          <w:sz w:val="25"/>
          <w:szCs w:val="25"/>
        </w:rPr>
        <w:t xml:space="preserve"> est le sujet transcendantal, mais Descartes a trahi son propre radicalisme : le doute devait mettre fin à toute extériorité objective et dégager une subjectivité sans dehors absolu ; pourtant, le </w:t>
      </w:r>
      <w:r>
        <w:rPr>
          <w:rFonts w:ascii="Calibri" w:eastAsia="Batang" w:hAnsi="Calibri" w:cs="Calibri"/>
          <w:i/>
          <w:iCs/>
          <w:sz w:val="25"/>
          <w:szCs w:val="25"/>
        </w:rPr>
        <w:t>Cogito</w:t>
      </w:r>
      <w:r>
        <w:rPr>
          <w:rFonts w:ascii="Calibri" w:eastAsia="Batang" w:hAnsi="Calibri" w:cs="Calibri"/>
          <w:sz w:val="25"/>
          <w:szCs w:val="25"/>
        </w:rPr>
        <w:t xml:space="preserve"> est pris par Descartes comme premier anneau d’une chaîne déductive dont les chaînons successifs sont la </w:t>
      </w:r>
      <w:r>
        <w:rPr>
          <w:rFonts w:ascii="Calibri" w:eastAsia="Batang" w:hAnsi="Calibri" w:cs="Calibri"/>
          <w:i/>
          <w:iCs/>
          <w:sz w:val="25"/>
          <w:szCs w:val="25"/>
        </w:rPr>
        <w:t>res cogitans</w:t>
      </w:r>
      <w:r>
        <w:rPr>
          <w:rFonts w:ascii="Calibri" w:eastAsia="Batang" w:hAnsi="Calibri" w:cs="Calibri"/>
          <w:sz w:val="25"/>
          <w:szCs w:val="25"/>
        </w:rPr>
        <w:t>, l’existence de Dieu, et par le truchement de la véracité divine, l’existence de la nature objective</w:t>
      </w:r>
      <w:r>
        <w:rPr>
          <w:rStyle w:val="Appelnotedebasdep"/>
          <w:rFonts w:ascii="Calibri" w:eastAsia="Batang" w:hAnsi="Calibri" w:cs="Calibri"/>
          <w:sz w:val="25"/>
          <w:szCs w:val="25"/>
        </w:rPr>
        <w:footnoteReference w:id="150"/>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Ce que Husserl récuse chez Descartes, c’est finalement son égologie,  c’est-à-dire un </w:t>
      </w:r>
      <w:r>
        <w:rPr>
          <w:rFonts w:ascii="Calibri" w:eastAsia="Batang" w:hAnsi="Calibri" w:cs="Calibri"/>
          <w:i/>
          <w:iCs/>
          <w:sz w:val="25"/>
          <w:szCs w:val="25"/>
        </w:rPr>
        <w:t>Cogito</w:t>
      </w:r>
      <w:r>
        <w:rPr>
          <w:rFonts w:ascii="Calibri" w:eastAsia="Batang" w:hAnsi="Calibri" w:cs="Calibri"/>
          <w:sz w:val="25"/>
          <w:szCs w:val="25"/>
        </w:rPr>
        <w:t xml:space="preserve"> sans </w:t>
      </w:r>
      <w:r>
        <w:rPr>
          <w:rFonts w:ascii="Calibri" w:eastAsia="Batang" w:hAnsi="Calibri" w:cs="Calibri"/>
          <w:i/>
          <w:iCs/>
          <w:sz w:val="25"/>
          <w:szCs w:val="25"/>
        </w:rPr>
        <w:t>res cogitans,</w:t>
      </w:r>
      <w:r>
        <w:rPr>
          <w:rFonts w:ascii="Calibri" w:eastAsia="Batang" w:hAnsi="Calibri" w:cs="Calibri"/>
          <w:sz w:val="25"/>
          <w:szCs w:val="25"/>
        </w:rPr>
        <w:t xml:space="preserve"> un </w:t>
      </w:r>
      <w:r>
        <w:rPr>
          <w:rFonts w:ascii="Calibri" w:eastAsia="Batang" w:hAnsi="Calibri" w:cs="Calibri"/>
          <w:i/>
          <w:iCs/>
          <w:sz w:val="25"/>
          <w:szCs w:val="25"/>
        </w:rPr>
        <w:t xml:space="preserve">Cogito </w:t>
      </w:r>
      <w:r>
        <w:rPr>
          <w:rFonts w:ascii="Calibri" w:eastAsia="Batang" w:hAnsi="Calibri" w:cs="Calibri"/>
          <w:sz w:val="25"/>
          <w:szCs w:val="25"/>
        </w:rPr>
        <w:t>sans la mesure absolue de l’idée d’infini, sans le</w:t>
      </w:r>
      <w:r>
        <w:rPr>
          <w:rFonts w:ascii="Calibri" w:eastAsia="Batang" w:hAnsi="Calibri" w:cs="Calibri"/>
          <w:i/>
          <w:iCs/>
          <w:sz w:val="25"/>
          <w:szCs w:val="25"/>
        </w:rPr>
        <w:t xml:space="preserve"> cogitatum</w:t>
      </w:r>
      <w:r>
        <w:rPr>
          <w:rStyle w:val="Appelnotedebasdep"/>
          <w:rFonts w:ascii="Calibri" w:eastAsia="Batang" w:hAnsi="Calibri" w:cs="Calibri"/>
          <w:i/>
          <w:iCs/>
          <w:sz w:val="25"/>
          <w:szCs w:val="25"/>
        </w:rPr>
        <w:footnoteReference w:id="151"/>
      </w:r>
      <w:r>
        <w:rPr>
          <w:rFonts w:ascii="Calibri" w:eastAsia="Batang" w:hAnsi="Calibri" w:cs="Calibri"/>
          <w:i/>
          <w:iCs/>
          <w:sz w:val="25"/>
          <w:szCs w:val="25"/>
        </w:rPr>
        <w:t xml:space="preserve">. </w:t>
      </w:r>
      <w:r>
        <w:rPr>
          <w:rFonts w:ascii="Calibri" w:eastAsia="Batang" w:hAnsi="Calibri" w:cs="Calibri"/>
          <w:sz w:val="25"/>
          <w:szCs w:val="25"/>
        </w:rPr>
        <w:t>Il y a donc une véritable démarcation phénoménologique qui peut se résumer en trois idées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Sur le plan épistémologique, la philosophie de Husserl est en vérité l’opposé du réalisme absolu qui consiste à ne saisir que des objets, à ignorer le sujet pensant. D’où le but de la réduction phénoménologique d’affirmer le sujet. Dans cette perspective, la conscience naturelle qui ne connaît que des objets est une conscience philosophiquement non éduquée puisqu’en fait, il n’y a d’objet que pour un sujet </w:t>
      </w:r>
      <w:r>
        <w:rPr>
          <w:rFonts w:ascii="Calibri" w:eastAsia="Batang" w:hAnsi="Calibri" w:cs="Calibri"/>
          <w:sz w:val="25"/>
          <w:szCs w:val="25"/>
        </w:rPr>
        <w:lastRenderedPageBreak/>
        <w:t>pensant, un sujet dissimulé justement parce qu’il n’est pas lui-même un objet, qu’il est ce devant quoi il y a d’objets. Ce spectacle invisible qui est nous-mêmes, qui est la conscience pensante-et précisément depuis Descartes, la fonction première de toute philosophie est de corriger cet oubli, de révéler à elle-même cette conscience constituante pour laquelle il y a des objets</w:t>
      </w:r>
      <w:r>
        <w:rPr>
          <w:rStyle w:val="Appelnotedebasdep"/>
          <w:rFonts w:ascii="Calibri" w:eastAsia="Batang" w:hAnsi="Calibri" w:cs="Calibri"/>
          <w:sz w:val="25"/>
          <w:szCs w:val="25"/>
        </w:rPr>
        <w:footnoteReference w:id="152"/>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Sur le plan méthodologique, le doute méthodique qui est l’acte même part lequel Descartes veut nous arracher à l’objet pensé pour nous révéler le sujet pensant, ce moment du </w:t>
      </w:r>
      <w:r>
        <w:rPr>
          <w:rFonts w:ascii="Calibri" w:eastAsia="Batang" w:hAnsi="Calibri" w:cs="Calibri"/>
          <w:i/>
          <w:iCs/>
          <w:sz w:val="25"/>
          <w:szCs w:val="25"/>
        </w:rPr>
        <w:t>Cogito</w:t>
      </w:r>
      <w:r>
        <w:rPr>
          <w:rFonts w:ascii="Calibri" w:eastAsia="Batang" w:hAnsi="Calibri" w:cs="Calibri"/>
          <w:sz w:val="25"/>
          <w:szCs w:val="25"/>
        </w:rPr>
        <w:t xml:space="preserve"> se retrouve aussi chez Husserl. Seulement celui-ci va plus loin en remplaçant le doute cartésien par une attitude plus subtile, plus nuancée : l</w:t>
      </w:r>
      <w:r>
        <w:rPr>
          <w:rFonts w:ascii="Calibri" w:eastAsia="Batang" w:hAnsi="Calibri" w:cs="Calibri"/>
          <w:i/>
          <w:iCs/>
          <w:sz w:val="25"/>
          <w:szCs w:val="25"/>
        </w:rPr>
        <w:t>’épochè</w:t>
      </w:r>
      <w:r>
        <w:rPr>
          <w:rFonts w:ascii="Calibri" w:eastAsia="Batang" w:hAnsi="Calibri" w:cs="Calibri"/>
          <w:sz w:val="25"/>
          <w:szCs w:val="25"/>
        </w:rPr>
        <w:t xml:space="preserve"> en grec, l’</w:t>
      </w:r>
      <w:r>
        <w:rPr>
          <w:rFonts w:ascii="Calibri" w:eastAsia="Batang" w:hAnsi="Calibri" w:cs="Calibri"/>
          <w:i/>
          <w:iCs/>
          <w:sz w:val="25"/>
          <w:szCs w:val="25"/>
        </w:rPr>
        <w:t>Einklammerung</w:t>
      </w:r>
      <w:r>
        <w:rPr>
          <w:rFonts w:ascii="Calibri" w:eastAsia="Batang" w:hAnsi="Calibri" w:cs="Calibri"/>
          <w:sz w:val="25"/>
          <w:szCs w:val="25"/>
        </w:rPr>
        <w:t xml:space="preserve"> en allemand. Il s’agit d’une conversion moins radicale que le doute cartésien. Il ne s’agit pas de nier la réalité du monde extérieur, mais de la mettre hors circuit tout en ne niant pas radicalement son existence. Par ailleurs, le champ de </w:t>
      </w:r>
      <w:r>
        <w:rPr>
          <w:rFonts w:ascii="Calibri" w:eastAsia="Batang" w:hAnsi="Calibri" w:cs="Calibri"/>
          <w:i/>
          <w:iCs/>
          <w:sz w:val="25"/>
          <w:szCs w:val="25"/>
        </w:rPr>
        <w:t>l’épochè</w:t>
      </w:r>
      <w:r>
        <w:rPr>
          <w:rFonts w:ascii="Calibri" w:eastAsia="Batang" w:hAnsi="Calibri" w:cs="Calibri"/>
          <w:sz w:val="25"/>
          <w:szCs w:val="25"/>
        </w:rPr>
        <w:t xml:space="preserve"> husserlienne est plus vaste que chez Descartes. Husserl met entre parenthèses non seulement l’affirmation de la réalité substantielle des évidences eidétiques, mais il se refuse d’affirmer la substantialité de l’ego et de le définir comme </w:t>
      </w:r>
      <w:r>
        <w:rPr>
          <w:rFonts w:ascii="Calibri" w:eastAsia="Batang" w:hAnsi="Calibri" w:cs="Calibri"/>
          <w:i/>
          <w:iCs/>
          <w:sz w:val="25"/>
          <w:szCs w:val="25"/>
        </w:rPr>
        <w:t>res cogitans</w:t>
      </w:r>
      <w:r>
        <w:rPr>
          <w:rFonts w:ascii="Calibri" w:eastAsia="Batang" w:hAnsi="Calibri" w:cs="Calibri"/>
          <w:sz w:val="25"/>
          <w:szCs w:val="25"/>
        </w:rPr>
        <w:t xml:space="preserve"> et de fonder, par le même </w:t>
      </w:r>
      <w:r>
        <w:rPr>
          <w:rFonts w:ascii="Calibri" w:eastAsia="Batang" w:hAnsi="Calibri" w:cs="Calibri"/>
          <w:i/>
          <w:iCs/>
          <w:sz w:val="25"/>
          <w:szCs w:val="25"/>
        </w:rPr>
        <w:t>épochè</w:t>
      </w:r>
      <w:r>
        <w:rPr>
          <w:rFonts w:ascii="Calibri" w:eastAsia="Batang" w:hAnsi="Calibri" w:cs="Calibri"/>
          <w:sz w:val="25"/>
          <w:szCs w:val="25"/>
        </w:rPr>
        <w:t>, la valeur de la pensée sur l’être divin, comme l’a fait Descartes</w:t>
      </w:r>
      <w:r>
        <w:rPr>
          <w:rStyle w:val="Appelnotedebasdep"/>
          <w:rFonts w:ascii="Calibri" w:eastAsia="Batang" w:hAnsi="Calibri" w:cs="Calibri"/>
          <w:sz w:val="25"/>
          <w:szCs w:val="25"/>
        </w:rPr>
        <w:footnoteReference w:id="153"/>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Enfin, </w:t>
      </w:r>
      <w:r>
        <w:rPr>
          <w:rFonts w:ascii="Calibri" w:eastAsia="Batang" w:hAnsi="Calibri" w:cs="Calibri"/>
          <w:i/>
          <w:iCs/>
          <w:sz w:val="25"/>
          <w:szCs w:val="25"/>
        </w:rPr>
        <w:t>l’épochè</w:t>
      </w:r>
      <w:r>
        <w:rPr>
          <w:rFonts w:ascii="Calibri" w:eastAsia="Batang" w:hAnsi="Calibri" w:cs="Calibri"/>
          <w:sz w:val="25"/>
          <w:szCs w:val="25"/>
        </w:rPr>
        <w:t xml:space="preserve"> de toute existence substantielle est une réduction phénoménologique par le fait que je ne me saisis pas seulement comme « moi pensant » mais surtout comme pensant quelque chose. Le </w:t>
      </w:r>
      <w:r>
        <w:rPr>
          <w:rFonts w:ascii="Calibri" w:eastAsia="Batang" w:hAnsi="Calibri" w:cs="Calibri"/>
          <w:i/>
          <w:iCs/>
          <w:sz w:val="25"/>
          <w:szCs w:val="25"/>
        </w:rPr>
        <w:t>Cogito intentionnel</w:t>
      </w:r>
      <w:r>
        <w:rPr>
          <w:rFonts w:ascii="Calibri" w:eastAsia="Batang" w:hAnsi="Calibri" w:cs="Calibri"/>
          <w:sz w:val="25"/>
          <w:szCs w:val="25"/>
        </w:rPr>
        <w:t xml:space="preserve"> m’est toujours donné avec son </w:t>
      </w:r>
      <w:r>
        <w:rPr>
          <w:rFonts w:ascii="Calibri" w:eastAsia="Batang" w:hAnsi="Calibri" w:cs="Calibri"/>
          <w:i/>
          <w:iCs/>
          <w:sz w:val="25"/>
          <w:szCs w:val="25"/>
        </w:rPr>
        <w:t>cogitatum</w:t>
      </w:r>
      <w:r>
        <w:rPr>
          <w:rFonts w:ascii="Calibri" w:eastAsia="Batang" w:hAnsi="Calibri" w:cs="Calibri"/>
          <w:sz w:val="25"/>
          <w:szCs w:val="25"/>
        </w:rPr>
        <w:t xml:space="preserve"> ; autrement dit toute conscience est conscience de quelque chose, l’intuition originaire n’est </w:t>
      </w:r>
      <w:r>
        <w:rPr>
          <w:rFonts w:ascii="Calibri" w:eastAsia="Batang" w:hAnsi="Calibri" w:cs="Calibri"/>
          <w:i/>
          <w:iCs/>
          <w:sz w:val="25"/>
          <w:szCs w:val="25"/>
        </w:rPr>
        <w:t>ego cogito</w:t>
      </w:r>
      <w:r>
        <w:rPr>
          <w:rFonts w:ascii="Calibri" w:eastAsia="Batang" w:hAnsi="Calibri" w:cs="Calibri"/>
          <w:sz w:val="25"/>
          <w:szCs w:val="25"/>
        </w:rPr>
        <w:t xml:space="preserve">, mais </w:t>
      </w:r>
      <w:r>
        <w:rPr>
          <w:rFonts w:ascii="Calibri" w:eastAsia="Batang" w:hAnsi="Calibri" w:cs="Calibri"/>
          <w:i/>
          <w:iCs/>
          <w:sz w:val="25"/>
          <w:szCs w:val="25"/>
        </w:rPr>
        <w:t>ego cogito cogitatum</w:t>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Husserl pose ici (et c’est la particularité de la postmodernité) un problème capital que Descartes a ignoré dans sa théorie de la connaissance, c’est le problème d’autrui. De même que toute conscience est conscience de quelque chose, de même notre conscience reconnaît l’existence d’autres consciences dans une expérience originaire de coexistence. L’</w:t>
      </w:r>
      <w:r>
        <w:rPr>
          <w:rFonts w:ascii="Calibri" w:eastAsia="Batang" w:hAnsi="Calibri" w:cs="Calibri"/>
          <w:i/>
          <w:iCs/>
          <w:sz w:val="25"/>
          <w:szCs w:val="25"/>
        </w:rPr>
        <w:t>alter ego</w:t>
      </w:r>
      <w:r>
        <w:rPr>
          <w:rFonts w:ascii="Calibri" w:eastAsia="Batang" w:hAnsi="Calibri" w:cs="Calibri"/>
          <w:sz w:val="25"/>
          <w:szCs w:val="25"/>
        </w:rPr>
        <w:t xml:space="preserve"> est donné à notre expérience comme est donné l’objet </w:t>
      </w:r>
      <w:r>
        <w:rPr>
          <w:rFonts w:ascii="Calibri" w:eastAsia="Batang" w:hAnsi="Calibri" w:cs="Calibri"/>
          <w:sz w:val="25"/>
          <w:szCs w:val="25"/>
        </w:rPr>
        <w:lastRenderedPageBreak/>
        <w:t>transcendant de nos visées intentionnelles</w:t>
      </w:r>
      <w:r>
        <w:rPr>
          <w:rStyle w:val="Appelnotedebasdep"/>
          <w:rFonts w:ascii="Calibri" w:eastAsia="Batang" w:hAnsi="Calibri" w:cs="Calibri"/>
          <w:sz w:val="25"/>
          <w:szCs w:val="25"/>
        </w:rPr>
        <w:footnoteReference w:id="154"/>
      </w:r>
      <w:r>
        <w:rPr>
          <w:rFonts w:ascii="Calibri" w:eastAsia="Batang" w:hAnsi="Calibri" w:cs="Calibri"/>
          <w:sz w:val="25"/>
          <w:szCs w:val="25"/>
        </w:rPr>
        <w:t>. Pas de la même façon cependant puisque l’objet externe est objet pour notre conscience, simple corrélât de notre visée, alors qu’autrui n’est pas seulement celui que je vois, mais celui qui me voit et lui aussi source transcendantale d’un monde qui lui est donné</w:t>
      </w:r>
      <w:r>
        <w:rPr>
          <w:rStyle w:val="Appelnotedebasdep"/>
          <w:rFonts w:ascii="Calibri" w:eastAsia="Batang" w:hAnsi="Calibri" w:cs="Calibri"/>
          <w:sz w:val="25"/>
          <w:szCs w:val="25"/>
        </w:rPr>
        <w:footnoteReference w:id="155"/>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rPr>
        <w:t>Par ailleurs, lorsque Taylor parle du  malaise de la modernité, il s’agit justement de trois malaises caractéristiques qui sont l’individualisme, le désenchantement du monde, la primauté de la raison instrumentale et des institutions qui en découlent.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Nous comprenons alors que la pensée politique postmoderne soit très active et qu’elle ait déjà planté ses grands thèmes : </w:t>
      </w:r>
      <w:r>
        <w:rPr>
          <w:rFonts w:ascii="Calibri" w:eastAsia="Batang" w:hAnsi="Calibri" w:cs="Calibri"/>
          <w:i/>
          <w:iCs/>
          <w:sz w:val="25"/>
          <w:szCs w:val="25"/>
        </w:rPr>
        <w:t>droits de l’homme, communication et humanisation des rapports sociaux</w:t>
      </w:r>
      <w:r>
        <w:rPr>
          <w:rFonts w:ascii="Calibri" w:eastAsia="Batang" w:hAnsi="Calibri" w:cs="Calibri"/>
          <w:sz w:val="25"/>
          <w:szCs w:val="25"/>
        </w:rPr>
        <w:t xml:space="preserve"> produits par la technoscience</w:t>
      </w:r>
      <w:r>
        <w:rPr>
          <w:rStyle w:val="Appelnotedebasdep"/>
          <w:rFonts w:ascii="Calibri" w:eastAsia="Batang" w:hAnsi="Calibri" w:cs="Calibri"/>
          <w:sz w:val="25"/>
          <w:szCs w:val="25"/>
        </w:rPr>
        <w:footnoteReference w:id="156"/>
      </w:r>
      <w:r>
        <w:rPr>
          <w:rFonts w:ascii="Calibri" w:eastAsia="Batang" w:hAnsi="Calibri" w:cs="Calibri"/>
          <w:sz w:val="25"/>
          <w:szCs w:val="25"/>
        </w:rPr>
        <w:t>. L’une des préoccupations  majeures de la postmodernité est de pouvoir adapter l’héritage moderne aux nouvelles institutions scientifiques, en les purifiant de ses mythes de transformation sociale par la lutte et la production d’idéologies mobilisatrices pour appuyer la lutte émancipatrice.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Dans ce contexte, la  responsabilité devient alors essentiellement épreuve de la raison concevant pour faire droit à son autre, constituer une </w:t>
      </w:r>
      <w:r>
        <w:rPr>
          <w:rFonts w:ascii="Calibri" w:eastAsia="Batang" w:hAnsi="Calibri" w:cs="Calibri"/>
          <w:i/>
          <w:iCs/>
          <w:sz w:val="25"/>
          <w:szCs w:val="25"/>
        </w:rPr>
        <w:t>individualité de relation</w:t>
      </w:r>
      <w:r>
        <w:rPr>
          <w:rFonts w:ascii="Calibri" w:eastAsia="Batang" w:hAnsi="Calibri" w:cs="Calibri"/>
          <w:sz w:val="25"/>
          <w:szCs w:val="25"/>
        </w:rPr>
        <w:t xml:space="preserve"> dont la concrétisation par excellence est, pour Hegel, l’Etat moderne. Voilà l’héritage de la modernité</w:t>
      </w:r>
      <w:r>
        <w:rPr>
          <w:rStyle w:val="Appelnotedebasdep"/>
          <w:rFonts w:ascii="Calibri" w:eastAsia="Batang" w:hAnsi="Calibri" w:cs="Calibri"/>
          <w:sz w:val="25"/>
          <w:szCs w:val="25"/>
        </w:rPr>
        <w:footnoteReference w:id="157"/>
      </w:r>
      <w:r>
        <w:rPr>
          <w:rFonts w:ascii="Calibri" w:eastAsia="Batang" w:hAnsi="Calibri" w:cs="Calibri"/>
          <w:sz w:val="25"/>
          <w:szCs w:val="25"/>
        </w:rPr>
        <w:t xml:space="preserve"> qui n’est autre qu’un idéalisme demeurant, comme le pense Maesschalck, comme drame de la conscience, une éthique individuelle. C’est le règne du solipsisme existential et de l’éthique individuelle. Avec la postmodernité, le solipsisme existential et l’éthique individuelle vont céder la place à la découverte </w:t>
      </w:r>
      <w:r>
        <w:rPr>
          <w:rFonts w:ascii="Calibri" w:eastAsia="Batang" w:hAnsi="Calibri" w:cs="Calibri"/>
          <w:sz w:val="25"/>
          <w:szCs w:val="25"/>
        </w:rPr>
        <w:lastRenderedPageBreak/>
        <w:t>d’autrui et à l’éthique de l’intersubjectivité</w:t>
      </w:r>
      <w:r>
        <w:rPr>
          <w:rStyle w:val="Appelnotedebasdep"/>
          <w:rFonts w:ascii="Calibri" w:eastAsia="Batang" w:hAnsi="Calibri" w:cs="Calibri"/>
          <w:sz w:val="25"/>
          <w:szCs w:val="25"/>
        </w:rPr>
        <w:footnoteReference w:id="158"/>
      </w:r>
      <w:r>
        <w:rPr>
          <w:rFonts w:ascii="Calibri" w:eastAsia="Batang" w:hAnsi="Calibri" w:cs="Calibri"/>
          <w:sz w:val="25"/>
          <w:szCs w:val="25"/>
        </w:rPr>
        <w:t xml:space="preserve">. Pour Edmund Husserl, la projection de l’action collective est purement spatiale puisque le « là-bas » se présente comme un autre « ici » possible pour moi, mais aussi déjà en acte pour soi. Et sans que je puisse effectivement occuper la place d’autrui, je fais l’expérience de son regard sur le monde comme regard analogue, comme </w:t>
      </w:r>
      <w:r>
        <w:rPr>
          <w:rFonts w:ascii="Calibri" w:eastAsia="Batang" w:hAnsi="Calibri" w:cs="Calibri"/>
          <w:i/>
          <w:iCs/>
          <w:sz w:val="25"/>
          <w:szCs w:val="25"/>
        </w:rPr>
        <w:t>unité dans la différence</w:t>
      </w:r>
      <w:r>
        <w:rPr>
          <w:rFonts w:ascii="Calibri" w:eastAsia="Batang" w:hAnsi="Calibri" w:cs="Calibri"/>
          <w:sz w:val="25"/>
          <w:szCs w:val="25"/>
        </w:rPr>
        <w:t xml:space="preserve">, comme </w:t>
      </w:r>
      <w:r>
        <w:rPr>
          <w:rFonts w:ascii="Calibri" w:eastAsia="Batang" w:hAnsi="Calibri" w:cs="Calibri"/>
          <w:i/>
          <w:iCs/>
          <w:sz w:val="25"/>
          <w:szCs w:val="25"/>
        </w:rPr>
        <w:t>communauté de perception</w:t>
      </w:r>
      <w:r>
        <w:rPr>
          <w:rStyle w:val="Appelnotedebasdep"/>
          <w:rFonts w:ascii="Calibri" w:eastAsia="Batang" w:hAnsi="Calibri" w:cs="Calibri"/>
          <w:sz w:val="25"/>
          <w:szCs w:val="25"/>
        </w:rPr>
        <w:footnoteReference w:id="159"/>
      </w:r>
      <w:r>
        <w:rPr>
          <w:rFonts w:ascii="Calibri" w:eastAsia="Batang" w:hAnsi="Calibri" w:cs="Calibri"/>
          <w:i/>
          <w:iCs/>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postmodernité engendre le « nous » en tant qu’unité, mais aussi en tant que pluralité. L’intuition originaire du monde commun nous conduit vers un comportement rationnel dans un espace de réciprocité des consciences. Dans le cadre de la </w:t>
      </w:r>
      <w:r>
        <w:rPr>
          <w:rFonts w:ascii="Calibri" w:eastAsia="Batang" w:hAnsi="Calibri" w:cs="Calibri"/>
          <w:i/>
          <w:iCs/>
          <w:sz w:val="25"/>
          <w:szCs w:val="25"/>
        </w:rPr>
        <w:t>civitas</w:t>
      </w:r>
      <w:r>
        <w:rPr>
          <w:rFonts w:ascii="Calibri" w:eastAsia="Batang" w:hAnsi="Calibri" w:cs="Calibri"/>
          <w:sz w:val="25"/>
          <w:szCs w:val="25"/>
        </w:rPr>
        <w:t>, on ne peut parler de la liberté individuelle absolue</w:t>
      </w:r>
      <w:r>
        <w:rPr>
          <w:rStyle w:val="Appelnotedebasdep"/>
          <w:rFonts w:ascii="Calibri" w:eastAsia="Batang" w:hAnsi="Calibri" w:cs="Calibri"/>
          <w:sz w:val="25"/>
          <w:szCs w:val="25"/>
        </w:rPr>
        <w:footnoteReference w:id="160"/>
      </w:r>
      <w:r>
        <w:rPr>
          <w:rFonts w:ascii="Calibri" w:eastAsia="Batang" w:hAnsi="Calibri" w:cs="Calibri"/>
          <w:sz w:val="25"/>
          <w:szCs w:val="25"/>
        </w:rPr>
        <w:t>, ce qui relèverait de l’Etat de nature (Hobbes). Ici encore s’affrontent deux types de liberté : la liberté négative qui est celle comprise comme absence d’entraves, de toute contrainte ou, tout au moins, comme résistance au pouvoir ; mais nous pouvons déceler dans la pensée postmoderne une réelle tendance vers une philosophie du politique : il s’agit d’une philosophie politique qui récuse le totalitarisme considéré comme l’institution du mensonge, la perversion de la parole publique et, donc, comme impossibilité d’être intersubjectivement, une mise à mort sociale.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Le problème central de la politique est alors, comme le pense Maessachalck, le partage du sens, le partage des opinions pour faire valoir les droits de chacun dans un </w:t>
      </w:r>
      <w:r>
        <w:rPr>
          <w:rFonts w:ascii="Calibri" w:eastAsia="Batang" w:hAnsi="Calibri" w:cs="Calibri"/>
          <w:i/>
          <w:iCs/>
          <w:sz w:val="25"/>
          <w:szCs w:val="25"/>
        </w:rPr>
        <w:t>sens commun</w:t>
      </w:r>
      <w:r>
        <w:rPr>
          <w:rFonts w:ascii="Calibri" w:eastAsia="Batang" w:hAnsi="Calibri" w:cs="Calibri"/>
          <w:sz w:val="25"/>
          <w:szCs w:val="25"/>
        </w:rPr>
        <w:t xml:space="preserve"> du vivre-ensemble toujours en développement</w:t>
      </w:r>
      <w:r>
        <w:rPr>
          <w:rStyle w:val="Appelnotedebasdep"/>
          <w:rFonts w:ascii="Calibri" w:eastAsia="Batang" w:hAnsi="Calibri" w:cs="Calibri"/>
          <w:sz w:val="25"/>
          <w:szCs w:val="25"/>
        </w:rPr>
        <w:footnoteReference w:id="161"/>
      </w:r>
      <w:r>
        <w:rPr>
          <w:rFonts w:ascii="Calibri" w:eastAsia="Batang" w:hAnsi="Calibri" w:cs="Calibri"/>
          <w:sz w:val="25"/>
          <w:szCs w:val="25"/>
        </w:rPr>
        <w:t xml:space="preserve">. Cette postmodernité tend également à une dimension éthique. La leçon éthique telle que développée par Emmanuel Levinas (le soi dans sa corrélation aux autres, le visage de l’Autre) a atteint une importance capitale. La philosophie de l’altérité ramène la phénoménologie dans le champ de l’invention morale, de la créativité sociale, provoquée par la différence </w:t>
      </w:r>
      <w:r>
        <w:rPr>
          <w:rFonts w:ascii="Calibri" w:eastAsia="Batang" w:hAnsi="Calibri" w:cs="Calibri"/>
          <w:sz w:val="25"/>
          <w:szCs w:val="25"/>
        </w:rPr>
        <w:lastRenderedPageBreak/>
        <w:t>qui force le respect, l’attention, la vérité</w:t>
      </w:r>
      <w:r>
        <w:rPr>
          <w:rStyle w:val="Appelnotedebasdep"/>
          <w:rFonts w:ascii="Calibri" w:eastAsia="Batang" w:hAnsi="Calibri" w:cs="Calibri"/>
          <w:sz w:val="25"/>
          <w:szCs w:val="25"/>
        </w:rPr>
        <w:footnoteReference w:id="162"/>
      </w:r>
      <w:r>
        <w:rPr>
          <w:rFonts w:ascii="Calibri" w:eastAsia="Batang" w:hAnsi="Calibri" w:cs="Calibri"/>
          <w:sz w:val="25"/>
          <w:szCs w:val="25"/>
        </w:rPr>
        <w:t>. Le terme d’ouverture peut désigner l’intentionnalité de la conscience, une extase dans l’être. Extase de l’</w:t>
      </w:r>
      <w:r>
        <w:rPr>
          <w:rFonts w:ascii="Calibri" w:eastAsia="Batang" w:hAnsi="Calibri" w:cs="Calibri"/>
          <w:i/>
          <w:iCs/>
          <w:sz w:val="25"/>
          <w:szCs w:val="25"/>
        </w:rPr>
        <w:t>ex-sistence</w:t>
      </w:r>
      <w:r>
        <w:rPr>
          <w:rFonts w:ascii="Calibri" w:eastAsia="Batang" w:hAnsi="Calibri" w:cs="Calibri"/>
          <w:sz w:val="25"/>
          <w:szCs w:val="25"/>
        </w:rPr>
        <w:t>, selon Heidegger, animant la conscience, laquelle est appelée, pour l’ouverture originelle de l’</w:t>
      </w:r>
      <w:r>
        <w:rPr>
          <w:rFonts w:ascii="Calibri" w:eastAsia="Batang" w:hAnsi="Calibri" w:cs="Calibri"/>
          <w:i/>
          <w:iCs/>
          <w:sz w:val="25"/>
          <w:szCs w:val="25"/>
        </w:rPr>
        <w:t>essence</w:t>
      </w:r>
      <w:r>
        <w:rPr>
          <w:rFonts w:ascii="Calibri" w:eastAsia="Batang" w:hAnsi="Calibri" w:cs="Calibri"/>
          <w:sz w:val="25"/>
          <w:szCs w:val="25"/>
        </w:rPr>
        <w:t xml:space="preserve"> de l’être (du</w:t>
      </w:r>
      <w:r>
        <w:rPr>
          <w:rFonts w:ascii="Calibri" w:eastAsia="Batang" w:hAnsi="Calibri" w:cs="Calibri"/>
          <w:i/>
          <w:iCs/>
          <w:sz w:val="25"/>
          <w:szCs w:val="25"/>
        </w:rPr>
        <w:t xml:space="preserve"> Sein</w:t>
      </w:r>
      <w:r>
        <w:rPr>
          <w:rFonts w:ascii="Calibri" w:eastAsia="Batang" w:hAnsi="Calibri" w:cs="Calibri"/>
          <w:sz w:val="25"/>
          <w:szCs w:val="25"/>
        </w:rPr>
        <w:t>), à un rôle dans ce drame de l’ouverture</w:t>
      </w:r>
      <w:r>
        <w:rPr>
          <w:rStyle w:val="Appelnotedebasdep"/>
          <w:rFonts w:ascii="Calibri" w:eastAsia="Batang" w:hAnsi="Calibri" w:cs="Calibri"/>
          <w:sz w:val="25"/>
          <w:szCs w:val="25"/>
        </w:rPr>
        <w:footnoteReference w:id="163"/>
      </w:r>
      <w:r>
        <w:rPr>
          <w:rFonts w:ascii="Calibri" w:eastAsia="Batang" w:hAnsi="Calibri" w:cs="Calibri"/>
          <w:sz w:val="25"/>
          <w:szCs w:val="25"/>
        </w:rPr>
        <w:t>.</w:t>
      </w: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rPr>
        <w:t xml:space="preserve">L’on comprend pourquoi </w:t>
      </w:r>
      <w:r>
        <w:rPr>
          <w:rFonts w:ascii="Calibri" w:eastAsia="Batang" w:hAnsi="Calibri" w:cs="Calibri"/>
          <w:sz w:val="25"/>
          <w:szCs w:val="25"/>
          <w:lang w:val="fr-BE"/>
        </w:rPr>
        <w:t xml:space="preserve">pour Levinas (qui approfondit l’idée de l’altérité absolue), </w:t>
      </w:r>
      <w:r>
        <w:rPr>
          <w:rFonts w:ascii="Calibri" w:eastAsia="Batang" w:hAnsi="Calibri" w:cs="Calibri"/>
          <w:i/>
          <w:iCs/>
          <w:sz w:val="25"/>
          <w:szCs w:val="25"/>
          <w:lang w:val="fr-BE"/>
        </w:rPr>
        <w:t>Sein und Zeit</w:t>
      </w:r>
      <w:r>
        <w:rPr>
          <w:rFonts w:ascii="Calibri" w:eastAsia="Batang" w:hAnsi="Calibri" w:cs="Calibri"/>
          <w:sz w:val="25"/>
          <w:szCs w:val="25"/>
          <w:lang w:val="fr-BE"/>
        </w:rPr>
        <w:t xml:space="preserve"> de Heidegger n’a peut-être soutenu qu’une seule thèse : l’être est inséparable de la compréhension de l’être, l’être est déjà appel à la subjectivité</w:t>
      </w:r>
      <w:r>
        <w:rPr>
          <w:rStyle w:val="Appelnotedebasdep"/>
          <w:rFonts w:ascii="Calibri" w:eastAsia="Batang" w:hAnsi="Calibri" w:cs="Calibri"/>
          <w:sz w:val="25"/>
          <w:szCs w:val="25"/>
          <w:lang w:val="fr-BE"/>
        </w:rPr>
        <w:footnoteReference w:id="164"/>
      </w:r>
      <w:r>
        <w:rPr>
          <w:rFonts w:ascii="Calibri" w:eastAsia="Batang" w:hAnsi="Calibri" w:cs="Calibri"/>
          <w:sz w:val="25"/>
          <w:szCs w:val="25"/>
          <w:lang w:val="fr-BE"/>
        </w:rPr>
        <w:t>. Le primat de l’ontologie heideggérienne ne repose pas sur le truisme</w:t>
      </w:r>
      <w:r>
        <w:rPr>
          <w:rStyle w:val="Appelnotedebasdep"/>
          <w:rFonts w:ascii="Calibri" w:eastAsia="Batang" w:hAnsi="Calibri" w:cs="Calibri"/>
          <w:sz w:val="25"/>
          <w:szCs w:val="25"/>
          <w:lang w:val="fr-BE"/>
        </w:rPr>
        <w:footnoteReference w:id="165"/>
      </w:r>
      <w:r>
        <w:rPr>
          <w:rFonts w:ascii="Calibri" w:eastAsia="Batang" w:hAnsi="Calibri" w:cs="Calibri"/>
          <w:sz w:val="25"/>
          <w:szCs w:val="25"/>
          <w:lang w:val="fr-BE"/>
        </w:rPr>
        <w:t> : « pour connaître l’étant, il faut avoir compris l’être de l’étant ». Affirmer la priorité de l’être par rapport à l’étant, c’est déjà se prononcer sur l’essence de la philosophie, subordonner la relation avec quelqu’un qui est un étant (la relation éthique) à une relation avec l’être de l’étant qui, impersonnel, permet la saisie, la domination de l’étant (à une relation de savoir), subordonner la justice à la liberté</w:t>
      </w:r>
      <w:r>
        <w:rPr>
          <w:rStyle w:val="Appelnotedebasdep"/>
          <w:rFonts w:ascii="Calibri" w:eastAsia="Batang" w:hAnsi="Calibri" w:cs="Calibri"/>
          <w:sz w:val="25"/>
          <w:szCs w:val="25"/>
          <w:lang w:val="fr-BE"/>
        </w:rPr>
        <w:footnoteReference w:id="166"/>
      </w:r>
      <w:r>
        <w:rPr>
          <w:rFonts w:ascii="Calibri" w:eastAsia="Batang" w:hAnsi="Calibri" w:cs="Calibri"/>
          <w:sz w:val="25"/>
          <w:szCs w:val="25"/>
          <w:lang w:val="fr-BE"/>
        </w:rPr>
        <w:t>. Et en subordonnant à la relation avec l’être, toute relation avec l’étant, on affirme le primat de la liberté par rapport à l’éthique</w:t>
      </w:r>
      <w:r>
        <w:rPr>
          <w:rStyle w:val="Appelnotedebasdep"/>
          <w:rFonts w:ascii="Calibri" w:eastAsia="Batang" w:hAnsi="Calibri" w:cs="Calibri"/>
          <w:sz w:val="25"/>
          <w:szCs w:val="25"/>
          <w:lang w:val="fr-BE"/>
        </w:rPr>
        <w:footnoteReference w:id="167"/>
      </w:r>
      <w:r>
        <w:rPr>
          <w:rFonts w:ascii="Calibri" w:eastAsia="Batang" w:hAnsi="Calibri" w:cs="Calibri"/>
          <w:sz w:val="25"/>
          <w:szCs w:val="25"/>
          <w:lang w:val="fr-BE"/>
        </w:rPr>
        <w:t>. Somme toute, la liberté surgit à partir de l’obéissance à l’être : ce n’est pas l’homme qui tient la liberté, c’est la liberté qui tient l’homme</w:t>
      </w:r>
      <w:r>
        <w:rPr>
          <w:rStyle w:val="Appelnotedebasdep"/>
          <w:rFonts w:ascii="Calibri" w:eastAsia="Batang" w:hAnsi="Calibri" w:cs="Calibri"/>
          <w:sz w:val="25"/>
          <w:szCs w:val="25"/>
          <w:lang w:val="fr-BE"/>
        </w:rPr>
        <w:footnoteReference w:id="168"/>
      </w:r>
      <w:r>
        <w:rPr>
          <w:rFonts w:ascii="Calibri" w:eastAsia="Batang" w:hAnsi="Calibri" w:cs="Calibri"/>
          <w:sz w:val="25"/>
          <w:szCs w:val="25"/>
          <w:lang w:val="fr-BE"/>
        </w:rPr>
        <w:t xml:space="preserve">. </w:t>
      </w:r>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Pour Levinas, Heidegger ne peut pas être considéré comme un philosophe de l’altérité. Certes, chez Heidegger, la coexistence est posée comme une relation avec autrui, irréductible à la connaissance objective, mais elle repose aussi, en fin de compte, sur la relation avec l’</w:t>
      </w:r>
      <w:r>
        <w:rPr>
          <w:rFonts w:ascii="Calibri" w:eastAsia="Batang" w:hAnsi="Calibri" w:cs="Calibri"/>
          <w:i/>
          <w:iCs/>
          <w:sz w:val="25"/>
          <w:szCs w:val="25"/>
          <w:lang w:val="fr-BE"/>
        </w:rPr>
        <w:t>être en général</w:t>
      </w:r>
      <w:r>
        <w:rPr>
          <w:rFonts w:ascii="Calibri" w:eastAsia="Batang" w:hAnsi="Calibri" w:cs="Calibri"/>
          <w:sz w:val="25"/>
          <w:szCs w:val="25"/>
          <w:lang w:val="fr-BE"/>
        </w:rPr>
        <w:t xml:space="preserve"> sur la compréhension, sur l’ontologie ; en plus chez l’auteur de </w:t>
      </w:r>
      <w:r>
        <w:rPr>
          <w:rFonts w:ascii="Calibri" w:eastAsia="Batang" w:hAnsi="Calibri" w:cs="Calibri"/>
          <w:i/>
          <w:iCs/>
          <w:sz w:val="25"/>
          <w:szCs w:val="25"/>
          <w:lang w:val="fr-BE"/>
        </w:rPr>
        <w:t>Sein und Zeit</w:t>
      </w:r>
      <w:r>
        <w:rPr>
          <w:rFonts w:ascii="Calibri" w:eastAsia="Batang" w:hAnsi="Calibri" w:cs="Calibri"/>
          <w:sz w:val="25"/>
          <w:szCs w:val="25"/>
          <w:lang w:val="fr-BE"/>
        </w:rPr>
        <w:t xml:space="preserve">, l’intersubjectivité est coexistence, un </w:t>
      </w:r>
      <w:r>
        <w:rPr>
          <w:rFonts w:ascii="Calibri" w:eastAsia="Batang" w:hAnsi="Calibri" w:cs="Calibri"/>
          <w:i/>
          <w:iCs/>
          <w:sz w:val="25"/>
          <w:szCs w:val="25"/>
          <w:lang w:val="fr-BE"/>
        </w:rPr>
        <w:t>nous</w:t>
      </w:r>
      <w:r>
        <w:rPr>
          <w:rFonts w:ascii="Calibri" w:eastAsia="Batang" w:hAnsi="Calibri" w:cs="Calibri"/>
          <w:sz w:val="25"/>
          <w:szCs w:val="25"/>
          <w:lang w:val="fr-BE"/>
        </w:rPr>
        <w:t xml:space="preserve"> antérieur à Moi et à l’Autre, une intersubjectivité neutre</w:t>
      </w:r>
      <w:r>
        <w:rPr>
          <w:rStyle w:val="Appelnotedebasdep"/>
          <w:rFonts w:ascii="Calibri" w:eastAsia="Batang" w:hAnsi="Calibri" w:cs="Calibri"/>
          <w:sz w:val="25"/>
          <w:szCs w:val="25"/>
          <w:lang w:val="fr-BE"/>
        </w:rPr>
        <w:footnoteReference w:id="169"/>
      </w:r>
      <w:r>
        <w:rPr>
          <w:rFonts w:ascii="Calibri" w:eastAsia="Batang" w:hAnsi="Calibri" w:cs="Calibri"/>
          <w:sz w:val="25"/>
          <w:szCs w:val="25"/>
          <w:lang w:val="fr-BE"/>
        </w:rPr>
        <w:t xml:space="preserve">. </w:t>
      </w:r>
      <w:r>
        <w:rPr>
          <w:rFonts w:ascii="Calibri" w:eastAsia="Batang" w:hAnsi="Calibri" w:cs="Calibri"/>
          <w:sz w:val="25"/>
          <w:szCs w:val="25"/>
        </w:rPr>
        <w:t xml:space="preserve">Selon cette lecture levinassienne de Heidegger, l’extase de l’intentionnalité se trouverait aussi fondée dans la vérité de </w:t>
      </w:r>
      <w:r>
        <w:rPr>
          <w:rFonts w:ascii="Calibri" w:eastAsia="Batang" w:hAnsi="Calibri" w:cs="Calibri"/>
          <w:sz w:val="25"/>
          <w:szCs w:val="25"/>
        </w:rPr>
        <w:lastRenderedPageBreak/>
        <w:t>l’être</w:t>
      </w:r>
      <w:r>
        <w:rPr>
          <w:rStyle w:val="Appelnotedebasdep"/>
          <w:rFonts w:ascii="Calibri" w:eastAsia="Batang" w:hAnsi="Calibri" w:cs="Calibri"/>
          <w:sz w:val="25"/>
          <w:szCs w:val="25"/>
        </w:rPr>
        <w:footnoteReference w:id="170"/>
      </w:r>
      <w:r>
        <w:rPr>
          <w:rFonts w:ascii="Calibri" w:eastAsia="Batang" w:hAnsi="Calibri" w:cs="Calibri"/>
          <w:sz w:val="25"/>
          <w:szCs w:val="25"/>
        </w:rPr>
        <w:t>. Une telle ouverture ne peut échapper à la vulnérabilité</w:t>
      </w:r>
      <w:r>
        <w:rPr>
          <w:rStyle w:val="Appelnotedebasdep"/>
          <w:rFonts w:ascii="Calibri" w:eastAsia="Batang" w:hAnsi="Calibri" w:cs="Calibri"/>
          <w:sz w:val="25"/>
          <w:szCs w:val="25"/>
        </w:rPr>
        <w:footnoteReference w:id="171"/>
      </w:r>
      <w:r>
        <w:rPr>
          <w:rFonts w:ascii="Calibri" w:eastAsia="Batang" w:hAnsi="Calibri" w:cs="Calibri"/>
          <w:sz w:val="25"/>
          <w:szCs w:val="25"/>
        </w:rPr>
        <w:t>, c’est-à-dire à un</w:t>
      </w:r>
      <w:r>
        <w:rPr>
          <w:rFonts w:ascii="Calibri" w:eastAsia="Batang" w:hAnsi="Calibri" w:cs="Calibri"/>
          <w:i/>
          <w:iCs/>
          <w:sz w:val="25"/>
          <w:szCs w:val="25"/>
        </w:rPr>
        <w:t xml:space="preserve"> rapport avec l’autre</w:t>
      </w:r>
      <w:r>
        <w:rPr>
          <w:rFonts w:ascii="Calibri" w:eastAsia="Batang" w:hAnsi="Calibri" w:cs="Calibri"/>
          <w:sz w:val="25"/>
          <w:szCs w:val="25"/>
        </w:rPr>
        <w:t xml:space="preserve">. Ici la vulnérabilité, c’est l’obsession par autrui ou approche d’autrui. Elle est </w:t>
      </w:r>
      <w:r>
        <w:rPr>
          <w:rFonts w:ascii="Calibri" w:eastAsia="Batang" w:hAnsi="Calibri" w:cs="Calibri"/>
          <w:i/>
          <w:iCs/>
          <w:sz w:val="25"/>
          <w:szCs w:val="25"/>
        </w:rPr>
        <w:t>pour autrui</w:t>
      </w:r>
      <w:r>
        <w:rPr>
          <w:rFonts w:ascii="Calibri" w:eastAsia="Batang" w:hAnsi="Calibri" w:cs="Calibri"/>
          <w:sz w:val="25"/>
          <w:szCs w:val="25"/>
        </w:rPr>
        <w:t>, le sujet est</w:t>
      </w:r>
      <w:r>
        <w:rPr>
          <w:rFonts w:ascii="Calibri" w:eastAsia="Batang" w:hAnsi="Calibri" w:cs="Calibri"/>
          <w:i/>
          <w:iCs/>
          <w:sz w:val="25"/>
          <w:szCs w:val="25"/>
        </w:rPr>
        <w:t xml:space="preserve"> pour l’autre </w:t>
      </w:r>
      <w:r>
        <w:rPr>
          <w:rFonts w:ascii="Calibri" w:eastAsia="Batang" w:hAnsi="Calibri" w:cs="Calibri"/>
          <w:sz w:val="25"/>
          <w:szCs w:val="25"/>
        </w:rPr>
        <w:t>: substitution, responsabilité que je n’ai assumée à aucun moment, dans un présent</w:t>
      </w:r>
      <w:r>
        <w:rPr>
          <w:rStyle w:val="Appelnotedebasdep"/>
          <w:rFonts w:ascii="Calibri" w:eastAsia="Batang" w:hAnsi="Calibri" w:cs="Calibri"/>
          <w:sz w:val="25"/>
          <w:szCs w:val="25"/>
        </w:rPr>
        <w:footnoteReference w:id="172"/>
      </w:r>
      <w:r>
        <w:rPr>
          <w:rFonts w:ascii="Calibri" w:eastAsia="Batang" w:hAnsi="Calibri" w:cs="Calibri"/>
          <w:sz w:val="25"/>
          <w:szCs w:val="25"/>
        </w:rPr>
        <w:t>. Rien n’est plus passif que cette mise en cause pré-originelle, que cette franchise grâce à laquelle l’être se montre en tant que créature. D’ailleurs la communication se fait à partir de la subjectivité comprise comme soi, à partir de l’</w:t>
      </w:r>
      <w:r>
        <w:rPr>
          <w:rFonts w:ascii="Calibri" w:eastAsia="Batang" w:hAnsi="Calibri" w:cs="Calibri"/>
          <w:i/>
          <w:iCs/>
          <w:sz w:val="25"/>
          <w:szCs w:val="25"/>
        </w:rPr>
        <w:t>excidence</w:t>
      </w:r>
      <w:r>
        <w:rPr>
          <w:rFonts w:ascii="Calibri" w:eastAsia="Batang" w:hAnsi="Calibri" w:cs="Calibri"/>
          <w:sz w:val="25"/>
          <w:szCs w:val="25"/>
        </w:rPr>
        <w:t xml:space="preserve"> et de la contraction où le moi ne s’apparaît pas, mais s’immole</w:t>
      </w:r>
      <w:r>
        <w:rPr>
          <w:rStyle w:val="Appelnotedebasdep"/>
          <w:rFonts w:ascii="Calibri" w:eastAsia="Batang" w:hAnsi="Calibri" w:cs="Calibri"/>
          <w:sz w:val="25"/>
          <w:szCs w:val="25"/>
        </w:rPr>
        <w:footnoteReference w:id="173"/>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Cette ouverture est en même temps une crise de l’intériorité</w:t>
      </w:r>
      <w:r>
        <w:rPr>
          <w:rStyle w:val="Appelnotedebasdep"/>
          <w:rFonts w:ascii="Calibri" w:eastAsia="Batang" w:hAnsi="Calibri" w:cs="Calibri"/>
          <w:sz w:val="25"/>
          <w:szCs w:val="25"/>
        </w:rPr>
        <w:footnoteReference w:id="174"/>
      </w:r>
      <w:r>
        <w:rPr>
          <w:rFonts w:ascii="Calibri" w:eastAsia="Batang" w:hAnsi="Calibri" w:cs="Calibri"/>
          <w:sz w:val="25"/>
          <w:szCs w:val="25"/>
        </w:rPr>
        <w:t> ; l’étrangeté à l’être dont parle Levinas dans l’</w:t>
      </w:r>
      <w:r>
        <w:rPr>
          <w:rFonts w:ascii="Calibri" w:eastAsia="Batang" w:hAnsi="Calibri" w:cs="Calibri"/>
          <w:i/>
          <w:iCs/>
          <w:sz w:val="25"/>
          <w:szCs w:val="25"/>
        </w:rPr>
        <w:t>Humanisme de l’autre homme </w:t>
      </w:r>
      <w:r>
        <w:rPr>
          <w:rFonts w:ascii="Calibri" w:eastAsia="Batang" w:hAnsi="Calibri" w:cs="Calibri"/>
          <w:sz w:val="25"/>
          <w:szCs w:val="25"/>
        </w:rPr>
        <w:t>: « Etranger à soi, obsédé par les autres,</w:t>
      </w:r>
      <w:r>
        <w:rPr>
          <w:rFonts w:ascii="Calibri" w:eastAsia="Batang" w:hAnsi="Calibri" w:cs="Calibri"/>
          <w:i/>
          <w:sz w:val="25"/>
          <w:szCs w:val="25"/>
        </w:rPr>
        <w:t xml:space="preserve"> in-quiet</w:t>
      </w:r>
      <w:r>
        <w:rPr>
          <w:rFonts w:ascii="Calibri" w:eastAsia="Batang" w:hAnsi="Calibri" w:cs="Calibri"/>
          <w:sz w:val="25"/>
          <w:szCs w:val="25"/>
        </w:rPr>
        <w:t>, le Moi est otage, otage dans sa récurrence même d’un moi ne cessant de faillir à soi. Mais aussi toujours plus proche des autres, plus obligé, aggravant sa faillite à soi (…) Cette responsabilité subie au-delà de toute passivité dont personne ne peut me délier en me relevant de mon incapacité de m’enfermer ; Cette responsabilité à laquelle le Moi ne peut se dérober, moi à qui l’autre ne peut se substituer, désigne ainsi l’unicité de l’irremplaçable »</w:t>
      </w:r>
      <w:r>
        <w:rPr>
          <w:rStyle w:val="Appelnotedebasdep"/>
          <w:rFonts w:ascii="Calibri" w:eastAsia="Batang" w:hAnsi="Calibri" w:cs="Calibri"/>
          <w:sz w:val="25"/>
          <w:szCs w:val="25"/>
        </w:rPr>
        <w:footnoteReference w:id="175"/>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Mais la postmodernité serait-elle la  dernière voie de salut</w:t>
      </w:r>
      <w:r>
        <w:rPr>
          <w:rFonts w:ascii="Calibri" w:eastAsia="Batang" w:hAnsi="Calibri" w:cs="Calibri"/>
          <w:b/>
          <w:bCs/>
          <w:sz w:val="25"/>
          <w:szCs w:val="25"/>
        </w:rPr>
        <w:t> </w:t>
      </w:r>
      <w:r>
        <w:rPr>
          <w:rFonts w:ascii="Calibri" w:eastAsia="Batang" w:hAnsi="Calibri" w:cs="Calibri"/>
          <w:sz w:val="25"/>
          <w:szCs w:val="25"/>
        </w:rPr>
        <w:t>? Evidemment pas puisqu’elle pactise, selon Paul Gilbert, avec le libéralisme qu’elle condamne et elle est incapable de fonder la communication humaine, de reconnaître la valeur de la liberté devenue abstraite</w:t>
      </w:r>
      <w:r>
        <w:rPr>
          <w:rStyle w:val="Appelnotedebasdep"/>
          <w:rFonts w:ascii="Calibri" w:eastAsia="Batang" w:hAnsi="Calibri" w:cs="Calibri"/>
          <w:sz w:val="25"/>
          <w:szCs w:val="25"/>
        </w:rPr>
        <w:footnoteReference w:id="176"/>
      </w:r>
      <w:r>
        <w:rPr>
          <w:rFonts w:ascii="Calibri" w:eastAsia="Batang" w:hAnsi="Calibri" w:cs="Calibri"/>
          <w:sz w:val="25"/>
          <w:szCs w:val="25"/>
        </w:rPr>
        <w:t xml:space="preserve"> . Tout l’effort doit donc être mis sur les équilibres entre l’individu </w:t>
      </w:r>
      <w:r>
        <w:rPr>
          <w:rFonts w:ascii="Calibri" w:eastAsia="Batang" w:hAnsi="Calibri" w:cs="Calibri"/>
          <w:sz w:val="25"/>
          <w:szCs w:val="25"/>
        </w:rPr>
        <w:lastRenderedPageBreak/>
        <w:t>et la communauté. C’est là la préoccupation à laquelle tentent de répondre Michael Sandel, de Charles Taylor, de Robert Nozick dans de nouvelles prises de position démontrant que le libéralisme politique tel que Rawls le définit est loin d’être une solution définitive.</w:t>
      </w:r>
    </w:p>
    <w:p w:rsidR="000A31A8" w:rsidRDefault="000A31A8">
      <w:pPr>
        <w:spacing w:after="160" w:line="259" w:lineRule="auto"/>
        <w:rPr>
          <w:rFonts w:ascii="Calibri" w:eastAsia="Batang" w:hAnsi="Calibri" w:cs="Calibri"/>
          <w:sz w:val="25"/>
          <w:szCs w:val="25"/>
        </w:rPr>
      </w:pPr>
    </w:p>
    <w:p w:rsidR="000A31A8" w:rsidRDefault="0065345B">
      <w:pPr>
        <w:pStyle w:val="Titre1"/>
        <w:spacing w:after="0" w:line="324" w:lineRule="auto"/>
        <w:ind w:left="0" w:firstLine="0"/>
        <w:jc w:val="both"/>
        <w:rPr>
          <w:rFonts w:ascii="Calibri" w:hAnsi="Calibri" w:cs="Calibri"/>
          <w:bCs w:val="0"/>
          <w:sz w:val="28"/>
          <w:szCs w:val="28"/>
        </w:rPr>
      </w:pPr>
      <w:bookmarkStart w:id="29" w:name="_Toc127173501"/>
      <w:r>
        <w:rPr>
          <w:rFonts w:ascii="Calibri" w:hAnsi="Calibri" w:cs="Calibri"/>
          <w:bCs w:val="0"/>
          <w:sz w:val="28"/>
          <w:szCs w:val="28"/>
        </w:rPr>
        <w:t xml:space="preserve">4.2. LA </w:t>
      </w:r>
      <w:r>
        <w:rPr>
          <w:rFonts w:ascii="Calibri" w:hAnsi="Calibri" w:cs="Calibri"/>
          <w:bCs w:val="0"/>
          <w:iCs/>
          <w:sz w:val="28"/>
          <w:szCs w:val="28"/>
        </w:rPr>
        <w:t>SOCIETAS</w:t>
      </w:r>
      <w:r>
        <w:rPr>
          <w:rFonts w:ascii="Calibri" w:hAnsi="Calibri" w:cs="Calibri"/>
          <w:bCs w:val="0"/>
          <w:sz w:val="28"/>
          <w:szCs w:val="28"/>
        </w:rPr>
        <w:t xml:space="preserve"> ET L’</w:t>
      </w:r>
      <w:r>
        <w:rPr>
          <w:rFonts w:ascii="Calibri" w:hAnsi="Calibri" w:cs="Calibri"/>
          <w:bCs w:val="0"/>
          <w:iCs/>
          <w:sz w:val="28"/>
          <w:szCs w:val="28"/>
        </w:rPr>
        <w:t>UNIVERSITAS</w:t>
      </w:r>
      <w:bookmarkEnd w:id="29"/>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question que Dominique Méda pose en 1995 confronte deux visions anachroniques de la société. L’une considère la société comme une simple agrégation d’individus (</w:t>
      </w:r>
      <w:r>
        <w:rPr>
          <w:rFonts w:ascii="Calibri" w:eastAsia="Batang" w:hAnsi="Calibri" w:cs="Calibri"/>
          <w:i/>
          <w:iCs/>
          <w:sz w:val="25"/>
          <w:szCs w:val="25"/>
        </w:rPr>
        <w:t>societas, Gesellschaft</w:t>
      </w:r>
      <w:r>
        <w:rPr>
          <w:rFonts w:ascii="Calibri" w:eastAsia="Batang" w:hAnsi="Calibri" w:cs="Calibri"/>
          <w:sz w:val="25"/>
          <w:szCs w:val="25"/>
        </w:rPr>
        <w:t>), l’autre considère la société comme une communauté dans laquelle le tout prime sur les parties (</w:t>
      </w:r>
      <w:r>
        <w:rPr>
          <w:rFonts w:ascii="Calibri" w:eastAsia="Batang" w:hAnsi="Calibri" w:cs="Calibri"/>
          <w:i/>
          <w:iCs/>
          <w:sz w:val="25"/>
          <w:szCs w:val="25"/>
        </w:rPr>
        <w:t>universitas, Gemeinschaft</w:t>
      </w:r>
      <w:r>
        <w:rPr>
          <w:rFonts w:ascii="Calibri" w:eastAsia="Batang" w:hAnsi="Calibri" w:cs="Calibri"/>
          <w:sz w:val="25"/>
          <w:szCs w:val="25"/>
        </w:rPr>
        <w:t>)</w:t>
      </w:r>
      <w:r>
        <w:rPr>
          <w:rStyle w:val="Appelnotedebasdep"/>
          <w:rFonts w:ascii="Calibri" w:eastAsia="Batang" w:hAnsi="Calibri" w:cs="Calibri"/>
          <w:sz w:val="25"/>
          <w:szCs w:val="25"/>
        </w:rPr>
        <w:footnoteReference w:id="177"/>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première vision est surtout liée à la question économique qui surgit au XVIIIème siècle et qui est marquée de manière particulière par l’émergence de l’individu. Selon cette vision, il n’est pas possible de concevoir la société autrement qu’issue d’un </w:t>
      </w:r>
      <w:r>
        <w:rPr>
          <w:rFonts w:ascii="Calibri" w:eastAsia="Batang" w:hAnsi="Calibri" w:cs="Calibri"/>
          <w:i/>
          <w:iCs/>
          <w:sz w:val="25"/>
          <w:szCs w:val="25"/>
        </w:rPr>
        <w:t>contrat volontaire</w:t>
      </w:r>
      <w:r>
        <w:rPr>
          <w:rFonts w:ascii="Calibri" w:eastAsia="Batang" w:hAnsi="Calibri" w:cs="Calibri"/>
          <w:sz w:val="25"/>
          <w:szCs w:val="25"/>
        </w:rPr>
        <w:t xml:space="preserve"> entre les individus</w:t>
      </w:r>
      <w:r>
        <w:rPr>
          <w:rStyle w:val="Appelnotedebasdep"/>
          <w:rFonts w:ascii="Calibri" w:eastAsia="Batang" w:hAnsi="Calibri" w:cs="Calibri"/>
          <w:sz w:val="25"/>
          <w:szCs w:val="25"/>
        </w:rPr>
        <w:footnoteReference w:id="178"/>
      </w:r>
      <w:r>
        <w:rPr>
          <w:rFonts w:ascii="Calibri" w:eastAsia="Batang" w:hAnsi="Calibri" w:cs="Calibri"/>
          <w:sz w:val="25"/>
          <w:szCs w:val="25"/>
        </w:rPr>
        <w:t>. Non seulement la société est l’œuvre des individus, mais elle n’existe que pour permettre à ceux-ci de poursuivre en paix leurs fins : elle n’est qu’un cadre assurant que l’ordre naturel sera en mesure de se déployer</w:t>
      </w:r>
      <w:r>
        <w:rPr>
          <w:rStyle w:val="Appelnotedebasdep"/>
          <w:rFonts w:ascii="Calibri" w:eastAsia="Batang" w:hAnsi="Calibri" w:cs="Calibri"/>
          <w:sz w:val="25"/>
          <w:szCs w:val="25"/>
        </w:rPr>
        <w:footnoteReference w:id="179"/>
      </w:r>
      <w:r>
        <w:rPr>
          <w:rFonts w:ascii="Calibri" w:eastAsia="Batang" w:hAnsi="Calibri" w:cs="Calibri"/>
          <w:sz w:val="25"/>
          <w:szCs w:val="25"/>
        </w:rPr>
        <w:t>. La vision individualiste qui caractérise d’ailleurs la pensée politique moderne s’attache principalement à l’économie et s’oppose radicalement à l’idée antique, celle d’Aristote notamment, idée selon laquelle la communauté politique est première, précède tout autre groupement humain, et, parce qu’elle forme un tout, possède un bien qui lui est propre</w:t>
      </w:r>
      <w:r>
        <w:rPr>
          <w:rStyle w:val="Appelnotedebasdep"/>
          <w:rFonts w:ascii="Calibri" w:eastAsia="Batang" w:hAnsi="Calibri" w:cs="Calibri"/>
          <w:sz w:val="25"/>
          <w:szCs w:val="25"/>
        </w:rPr>
        <w:footnoteReference w:id="180"/>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Cette vision  de la relation entre hommes signifie, d’une part, que l’éthique traite de situations dans lesquelles des amis ou des concitoyens entrent directement en contact les uns avec les autres et, d’autre part, que l’homme comme tel ne possède pas de </w:t>
      </w:r>
      <w:r>
        <w:rPr>
          <w:rFonts w:ascii="Calibri" w:eastAsia="Batang" w:hAnsi="Calibri" w:cs="Calibri"/>
          <w:sz w:val="25"/>
          <w:szCs w:val="25"/>
        </w:rPr>
        <w:lastRenderedPageBreak/>
        <w:t>valeur morale puisqu’il n’a de valeur que dans la mesure où il est un moyen ou un instrument pour l’homme de qualité dans sa quête de bonheur</w:t>
      </w:r>
      <w:r>
        <w:rPr>
          <w:rStyle w:val="Appelnotedebasdep"/>
          <w:rFonts w:ascii="Calibri" w:eastAsia="Batang" w:hAnsi="Calibri" w:cs="Calibri"/>
          <w:sz w:val="25"/>
          <w:szCs w:val="25"/>
        </w:rPr>
        <w:footnoteReference w:id="181"/>
      </w:r>
      <w:r>
        <w:rPr>
          <w:rFonts w:ascii="Calibri" w:eastAsia="Batang" w:hAnsi="Calibri" w:cs="Calibri"/>
          <w:sz w:val="25"/>
          <w:szCs w:val="25"/>
        </w:rPr>
        <w:t>. Il est donc évident que pour la modernité il n’y a ni communauté ni bien social ni fins communes à tous les individus, et la communauté aristotélicienne devient un simple mythe. Kant est le premier philosophe moderne à rompre avec cette tradition. Il reprend certes la distinction aristotélicienne entre raison théorique et raison pratique</w:t>
      </w:r>
      <w:r>
        <w:rPr>
          <w:rStyle w:val="Appelnotedebasdep"/>
          <w:rFonts w:ascii="Calibri" w:eastAsia="Batang" w:hAnsi="Calibri" w:cs="Calibri"/>
          <w:sz w:val="25"/>
          <w:szCs w:val="25"/>
        </w:rPr>
        <w:footnoteReference w:id="182"/>
      </w:r>
      <w:r>
        <w:rPr>
          <w:rFonts w:ascii="Calibri" w:eastAsia="Batang" w:hAnsi="Calibri" w:cs="Calibri"/>
          <w:sz w:val="25"/>
          <w:szCs w:val="25"/>
        </w:rPr>
        <w:t>. Mais, en défendant l’idée que tout être de raison doit être traité comme une fin en soi et non comme un simple moyen, il introduit dans sa philosophie pratique une autre vision de l’homme ; celle-ci présuppose qu’on distingue entre l’être de raison comme « fin en soi » et les choses de la nature qui ne sont pas douées de raison. Et dire que l’homme est une fin en soi, cela signifie qu’il ne peut être remplacé par quelqu’un ou quelque chose d’autre</w:t>
      </w:r>
      <w:r>
        <w:rPr>
          <w:rStyle w:val="Appelnotedebasdep"/>
          <w:rFonts w:ascii="Calibri" w:eastAsia="Batang" w:hAnsi="Calibri" w:cs="Calibri"/>
          <w:sz w:val="25"/>
          <w:szCs w:val="25"/>
        </w:rPr>
        <w:footnoteReference w:id="183"/>
      </w:r>
      <w:r>
        <w:rPr>
          <w:rFonts w:ascii="Calibri" w:eastAsia="Batang" w:hAnsi="Calibri" w:cs="Calibri"/>
          <w:sz w:val="25"/>
          <w:szCs w:val="25"/>
        </w:rPr>
        <w:t>. Ce caractère irremplaçable est dû à une qualité universelle (</w:t>
      </w:r>
      <w:r>
        <w:rPr>
          <w:rFonts w:ascii="Calibri" w:eastAsia="Batang" w:hAnsi="Calibri" w:cs="Calibri"/>
          <w:i/>
          <w:iCs/>
          <w:sz w:val="25"/>
          <w:szCs w:val="25"/>
        </w:rPr>
        <w:t>Menschheit</w:t>
      </w:r>
      <w:r>
        <w:rPr>
          <w:rFonts w:ascii="Calibri" w:eastAsia="Batang" w:hAnsi="Calibri" w:cs="Calibri"/>
          <w:sz w:val="25"/>
          <w:szCs w:val="25"/>
        </w:rPr>
        <w:t>), ce qui fait de la personne un être humain.</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Cependant,  à la suite de Rousseau, les philosophes allemands du XIXe siècle (Schelling, Hegel) ont cherché à rompre avec l’individualisme et réconcilier l’individu avec la communauté politique. De ces philosophes Méda écrit : « Mais, plus que Rousseau, Les Allemands souhaitaient opérer une véritable conciliation de l’individu et de la communauté, surmonter le déchirement qui s’était, selon eux, opéré, depuis l’Empire romain et le christianisme, au sein même de l’individu entre l’intérêt personnel et les devoirs du citoyen »</w:t>
      </w:r>
      <w:r>
        <w:rPr>
          <w:rStyle w:val="Appelnotedebasdep"/>
          <w:rFonts w:ascii="Calibri" w:eastAsia="Batang" w:hAnsi="Calibri" w:cs="Calibri"/>
          <w:sz w:val="25"/>
          <w:szCs w:val="25"/>
        </w:rPr>
        <w:footnoteReference w:id="184"/>
      </w:r>
      <w:r>
        <w:rPr>
          <w:rFonts w:ascii="Calibri" w:eastAsia="Batang" w:hAnsi="Calibri" w:cs="Calibri"/>
          <w:sz w:val="25"/>
          <w:szCs w:val="25"/>
        </w:rPr>
        <w:t>. En ce qui concerne Hegel, par exemple, son entreprise provenait d’une tentative de combiner les deux aspirations de la génération romantique, autonomie radicale d’une part, unité expressive avec la nature et avec la société d’autre part</w:t>
      </w:r>
      <w:r>
        <w:rPr>
          <w:rStyle w:val="Appelnotedebasdep"/>
          <w:rFonts w:ascii="Calibri" w:eastAsia="Batang" w:hAnsi="Calibri" w:cs="Calibri"/>
          <w:sz w:val="25"/>
          <w:szCs w:val="25"/>
        </w:rPr>
        <w:footnoteReference w:id="185"/>
      </w:r>
      <w:r>
        <w:rPr>
          <w:rFonts w:ascii="Calibri" w:eastAsia="Batang" w:hAnsi="Calibri" w:cs="Calibri"/>
          <w:sz w:val="25"/>
          <w:szCs w:val="25"/>
        </w:rPr>
        <w:t xml:space="preserve">. Par rapport aux exigences de la raison, on trouve chez Hegel un véritable enracinement dans une vision ontologique de la philosophie de l’histoire et de la politique. Autrement dit, pour que l’homme devienne un véhicule adéquat de l’Esprit, il doit accéder à la forme de la vie sociale. Afin de se reconnaître lui-même dans le monde, l’Esprit doit apporter, dans la vie humaine, une incarnation adéquate </w:t>
      </w:r>
      <w:r>
        <w:rPr>
          <w:rFonts w:ascii="Calibri" w:eastAsia="Batang" w:hAnsi="Calibri" w:cs="Calibri"/>
          <w:sz w:val="25"/>
          <w:szCs w:val="25"/>
        </w:rPr>
        <w:lastRenderedPageBreak/>
        <w:t>par laquelle il saura se reconnaître lui-même</w:t>
      </w:r>
      <w:r>
        <w:rPr>
          <w:rStyle w:val="Appelnotedebasdep"/>
          <w:rFonts w:ascii="Calibri" w:eastAsia="Batang" w:hAnsi="Calibri" w:cs="Calibri"/>
          <w:sz w:val="25"/>
          <w:szCs w:val="25"/>
        </w:rPr>
        <w:footnoteReference w:id="186"/>
      </w:r>
      <w:r>
        <w:rPr>
          <w:rFonts w:ascii="Calibri" w:eastAsia="Batang" w:hAnsi="Calibri" w:cs="Calibri"/>
          <w:sz w:val="25"/>
          <w:szCs w:val="25"/>
        </w:rPr>
        <w:t>. L’Esprit doit parvenir au savoir de ce qu’il est vraiment et objectiver ce savoir, le transformer en un monde réel et se produire lui-même objectivement, c’est là le but de l’histoire universelle</w:t>
      </w:r>
      <w:r>
        <w:rPr>
          <w:rStyle w:val="Appelnotedebasdep"/>
          <w:rFonts w:ascii="Calibri" w:eastAsia="Batang" w:hAnsi="Calibri" w:cs="Calibri"/>
          <w:sz w:val="25"/>
          <w:szCs w:val="25"/>
        </w:rPr>
        <w:footnoteReference w:id="187"/>
      </w:r>
      <w:r>
        <w:rPr>
          <w:rFonts w:ascii="Calibri" w:eastAsia="Batang" w:hAnsi="Calibri" w:cs="Calibri"/>
          <w:sz w:val="25"/>
          <w:szCs w:val="25"/>
        </w:rPr>
        <w:t>. C’est pourquoi l’Etat, en tant qu’expression la plus haute de la société, possède aux yeux de Hegel quelque chose de divin</w:t>
      </w:r>
      <w:r>
        <w:rPr>
          <w:rStyle w:val="Appelnotedebasdep"/>
          <w:rFonts w:ascii="Calibri" w:eastAsia="Batang" w:hAnsi="Calibri" w:cs="Calibri"/>
          <w:sz w:val="25"/>
          <w:szCs w:val="25"/>
        </w:rPr>
        <w:footnoteReference w:id="188"/>
      </w:r>
      <w:r>
        <w:rPr>
          <w:rFonts w:ascii="Calibri" w:eastAsia="Batang" w:hAnsi="Calibri" w:cs="Calibri"/>
          <w:sz w:val="25"/>
          <w:szCs w:val="25"/>
        </w:rPr>
        <w:t>. Afin de réaliser l’œuvre de Dieu (de l’Esprit), l’homme doit parvenir à une vision de lui-même comme faisant partie d’une vie plus vaste dont l’Etat est l’expression véritable</w:t>
      </w:r>
      <w:r>
        <w:rPr>
          <w:rStyle w:val="Appelnotedebasdep"/>
          <w:rFonts w:ascii="Calibri" w:eastAsia="Batang" w:hAnsi="Calibri" w:cs="Calibri"/>
          <w:sz w:val="25"/>
          <w:szCs w:val="25"/>
        </w:rPr>
        <w:footnoteReference w:id="189"/>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Cependant, au moment où il s’engage dans l’histoire, l’Etat incarne fort imparfaitement l’universel, ce qui sous-entend que pour Hegel, l’Etat dont l’Esprit a besoin pour revenir à lui-même doit être pleinement rationnel, la raison étant considérée comme le pouvoir qui nous permet de voir la véritable structure des choses, le monde ses Idées</w:t>
      </w:r>
      <w:r>
        <w:rPr>
          <w:rStyle w:val="Appelnotedebasdep"/>
          <w:rFonts w:ascii="Calibri" w:eastAsia="Batang" w:hAnsi="Calibri" w:cs="Calibri"/>
          <w:sz w:val="25"/>
          <w:szCs w:val="25"/>
        </w:rPr>
        <w:footnoteReference w:id="190"/>
      </w:r>
      <w:r>
        <w:rPr>
          <w:rFonts w:ascii="Calibri" w:eastAsia="Batang" w:hAnsi="Calibri" w:cs="Calibri"/>
          <w:sz w:val="25"/>
          <w:szCs w:val="25"/>
        </w:rPr>
        <w:t>. Hegel estime que la raison exige des hommes qu’ils vivent au sein d’un Etat articulé en fonction du Concept et qu’ils s’y rattachent non seulement à titre d’individus dont cet appareillage collectif favorise les intérêts, mais, plus essentiellement, à titre de participants à une vie plus vaste</w:t>
      </w:r>
      <w:r>
        <w:rPr>
          <w:rStyle w:val="Appelnotedebasdep"/>
          <w:rFonts w:ascii="Calibri" w:eastAsia="Batang" w:hAnsi="Calibri" w:cs="Calibri"/>
          <w:sz w:val="25"/>
          <w:szCs w:val="25"/>
        </w:rPr>
        <w:footnoteReference w:id="191"/>
      </w:r>
      <w:r>
        <w:rPr>
          <w:rFonts w:ascii="Calibri" w:eastAsia="Batang" w:hAnsi="Calibri" w:cs="Calibri"/>
          <w:sz w:val="25"/>
          <w:szCs w:val="25"/>
        </w:rPr>
        <w:t xml:space="preserve">. C’est en commentant cet effort de Hegel que Taylor écrit : « Hegel a réussi un extraordinaire </w:t>
      </w:r>
      <w:r>
        <w:rPr>
          <w:rFonts w:ascii="Calibri" w:eastAsia="Batang" w:hAnsi="Calibri" w:cs="Calibri"/>
          <w:i/>
          <w:iCs/>
          <w:sz w:val="25"/>
          <w:szCs w:val="25"/>
        </w:rPr>
        <w:t>tour de force</w:t>
      </w:r>
      <w:r>
        <w:rPr>
          <w:rFonts w:ascii="Calibri" w:eastAsia="Batang" w:hAnsi="Calibri" w:cs="Calibri"/>
          <w:sz w:val="25"/>
          <w:szCs w:val="25"/>
        </w:rPr>
        <w:t xml:space="preserve"> car cette relation de l’homme à la société est parallèle à celle qui existait dans le monde pré moderne. Avant la révolution de la subjectivité moderne, les hommes étaient amenés à révérer les structures de leur société –monarchie, aristocratie, hiérarchie religieuse ou autre – sous prétexte qu’elles reflétaient la volonté de Dieu ou l’ordre du monde, c’est-à-dire un fondement des choses auquel l’homme doit une ultime allégeance. Le roi méritait obéissance parce qu’il était l’Oint du Seigneur ; qui plus est, il était au système politique ce que Dieu était à l’univers ».</w:t>
      </w:r>
      <w:r>
        <w:rPr>
          <w:rStyle w:val="Appelnotedebasdep"/>
          <w:rFonts w:ascii="Calibri" w:eastAsia="Batang" w:hAnsi="Calibri" w:cs="Calibri"/>
          <w:sz w:val="25"/>
          <w:szCs w:val="25"/>
        </w:rPr>
        <w:footnoteReference w:id="192"/>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L’insulte suprême qui ne se pardonne pas demeure encore « ce qui est raisonnable est réel, ce qui est réel est raisonnable ». Hegel a beau se défendre que dans sa</w:t>
      </w:r>
      <w:r>
        <w:rPr>
          <w:rFonts w:ascii="Calibri" w:eastAsia="Batang" w:hAnsi="Calibri" w:cs="Calibri"/>
          <w:i/>
          <w:iCs/>
          <w:sz w:val="25"/>
          <w:szCs w:val="25"/>
        </w:rPr>
        <w:t xml:space="preserve"> Logique</w:t>
      </w:r>
      <w:r>
        <w:rPr>
          <w:rFonts w:ascii="Calibri" w:eastAsia="Batang" w:hAnsi="Calibri" w:cs="Calibri"/>
          <w:sz w:val="25"/>
          <w:szCs w:val="25"/>
        </w:rPr>
        <w:t>, « réalité » et « existence » ne se confondaient pas puisque l’existence n’était réalité qu’en partie et que l’autre partie en était formée par l’ « apparition »</w:t>
      </w:r>
      <w:r>
        <w:rPr>
          <w:rStyle w:val="Appelnotedebasdep"/>
          <w:rFonts w:ascii="Calibri" w:eastAsia="Batang" w:hAnsi="Calibri" w:cs="Calibri"/>
          <w:sz w:val="25"/>
          <w:szCs w:val="25"/>
        </w:rPr>
        <w:footnoteReference w:id="193"/>
      </w:r>
      <w:r>
        <w:rPr>
          <w:rFonts w:ascii="Calibri" w:eastAsia="Batang" w:hAnsi="Calibri" w:cs="Calibri"/>
          <w:sz w:val="25"/>
          <w:szCs w:val="25"/>
        </w:rPr>
        <w:t>, on peut comprendre le refus de Hegel de ne pas  admettre que la raison ne se rencontre que dans les phénomènes naturels et que le domaine de l’histoire et de l’action serait abandonné aux sentiments</w:t>
      </w:r>
      <w:r>
        <w:rPr>
          <w:rStyle w:val="Appelnotedebasdep"/>
          <w:rFonts w:ascii="Calibri" w:eastAsia="Batang" w:hAnsi="Calibri" w:cs="Calibri"/>
          <w:sz w:val="25"/>
          <w:szCs w:val="25"/>
        </w:rPr>
        <w:footnoteReference w:id="194"/>
      </w:r>
      <w:r>
        <w:rPr>
          <w:rFonts w:ascii="Calibri" w:eastAsia="Batang" w:hAnsi="Calibri" w:cs="Calibri"/>
          <w:sz w:val="25"/>
          <w:szCs w:val="25"/>
        </w:rPr>
        <w:t xml:space="preserve">. Ce souci trahi également, dans l’ontologie hégélienne avec les concepts de </w:t>
      </w:r>
      <w:r>
        <w:rPr>
          <w:rFonts w:ascii="Calibri" w:eastAsia="Batang" w:hAnsi="Calibri" w:cs="Calibri"/>
          <w:i/>
          <w:iCs/>
          <w:sz w:val="25"/>
          <w:szCs w:val="25"/>
        </w:rPr>
        <w:t>sentiment</w:t>
      </w:r>
      <w:r>
        <w:rPr>
          <w:rFonts w:ascii="Calibri" w:eastAsia="Batang" w:hAnsi="Calibri" w:cs="Calibri"/>
          <w:sz w:val="25"/>
          <w:szCs w:val="25"/>
        </w:rPr>
        <w:t xml:space="preserve"> et de</w:t>
      </w:r>
      <w:r>
        <w:rPr>
          <w:rFonts w:ascii="Calibri" w:eastAsia="Batang" w:hAnsi="Calibri" w:cs="Calibri"/>
          <w:i/>
          <w:iCs/>
          <w:sz w:val="25"/>
          <w:szCs w:val="25"/>
        </w:rPr>
        <w:t xml:space="preserve"> savoir immédiat</w:t>
      </w:r>
      <w:r>
        <w:rPr>
          <w:rFonts w:ascii="Calibri" w:eastAsia="Batang" w:hAnsi="Calibri" w:cs="Calibri"/>
          <w:sz w:val="25"/>
          <w:szCs w:val="25"/>
        </w:rPr>
        <w:t xml:space="preserve">, la nécessité du passage du monde moral et du sentiment à l’Etat.  La théorie hégélienne de l’Etat se veut une théorie de l’Etat qui </w:t>
      </w:r>
      <w:r>
        <w:rPr>
          <w:rFonts w:ascii="Calibri" w:eastAsia="Batang" w:hAnsi="Calibri" w:cs="Calibri"/>
          <w:i/>
          <w:iCs/>
          <w:sz w:val="25"/>
          <w:szCs w:val="25"/>
        </w:rPr>
        <w:t>est</w:t>
      </w:r>
      <w:r>
        <w:rPr>
          <w:rFonts w:ascii="Calibri" w:eastAsia="Batang" w:hAnsi="Calibri" w:cs="Calibri"/>
          <w:sz w:val="25"/>
          <w:szCs w:val="25"/>
        </w:rPr>
        <w:t xml:space="preserve">, non d’un Etat idéal et rêvé ; c’est la théorie de la raison réalisée dans l’homme, réalisée </w:t>
      </w:r>
      <w:r>
        <w:rPr>
          <w:rFonts w:ascii="Calibri" w:eastAsia="Batang" w:hAnsi="Calibri" w:cs="Calibri"/>
          <w:i/>
          <w:iCs/>
          <w:sz w:val="25"/>
          <w:szCs w:val="25"/>
        </w:rPr>
        <w:t>pour</w:t>
      </w:r>
      <w:r>
        <w:rPr>
          <w:rFonts w:ascii="Calibri" w:eastAsia="Batang" w:hAnsi="Calibri" w:cs="Calibri"/>
          <w:sz w:val="25"/>
          <w:szCs w:val="25"/>
        </w:rPr>
        <w:t xml:space="preserve"> elle-même et </w:t>
      </w:r>
      <w:r>
        <w:rPr>
          <w:rFonts w:ascii="Calibri" w:eastAsia="Batang" w:hAnsi="Calibri" w:cs="Calibri"/>
          <w:i/>
          <w:iCs/>
          <w:sz w:val="25"/>
          <w:szCs w:val="25"/>
        </w:rPr>
        <w:t>par</w:t>
      </w:r>
      <w:r>
        <w:rPr>
          <w:rFonts w:ascii="Calibri" w:eastAsia="Batang" w:hAnsi="Calibri" w:cs="Calibri"/>
          <w:sz w:val="25"/>
          <w:szCs w:val="25"/>
        </w:rPr>
        <w:t xml:space="preserve"> elle-même</w:t>
      </w:r>
      <w:r>
        <w:rPr>
          <w:rStyle w:val="Appelnotedebasdep"/>
          <w:rFonts w:ascii="Calibri" w:eastAsia="Batang" w:hAnsi="Calibri" w:cs="Calibri"/>
          <w:sz w:val="25"/>
          <w:szCs w:val="25"/>
        </w:rPr>
        <w:footnoteReference w:id="195"/>
      </w:r>
      <w:r>
        <w:rPr>
          <w:rFonts w:ascii="Calibri" w:eastAsia="Batang" w:hAnsi="Calibri" w:cs="Calibri"/>
          <w:sz w:val="25"/>
          <w:szCs w:val="25"/>
        </w:rPr>
        <w:t xml:space="preserve">. Il s’agit là d’une théorie et non d’un désir puisqu’on ne peut rechercher le bon Etat que parce qu’il y a d’Etat, mais ce qu’on cherche sous le nom d’Etat bon n’est jamais que l’Etat tout court, tel qu’il est en lui-même pour la raison.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Une telle recherche ne peut être que théorique dans la mesure où elle est une recherche de ce qui est, or c’est la science qui s’occupe de la recherche de ce qui est. La philosophie quant à elle est une époque de la science saisie par la pensée</w:t>
      </w:r>
      <w:r>
        <w:rPr>
          <w:rStyle w:val="Appelnotedebasdep"/>
          <w:rFonts w:ascii="Calibri" w:eastAsia="Batang" w:hAnsi="Calibri" w:cs="Calibri"/>
          <w:sz w:val="25"/>
          <w:szCs w:val="25"/>
        </w:rPr>
        <w:footnoteReference w:id="196"/>
      </w:r>
      <w:r>
        <w:rPr>
          <w:rFonts w:ascii="Calibri" w:eastAsia="Batang" w:hAnsi="Calibri" w:cs="Calibri"/>
          <w:sz w:val="25"/>
          <w:szCs w:val="25"/>
        </w:rPr>
        <w:t xml:space="preserve">. Dans les additions des premiers éditeurs des </w:t>
      </w:r>
      <w:r>
        <w:rPr>
          <w:rFonts w:ascii="Calibri" w:eastAsia="Batang" w:hAnsi="Calibri" w:cs="Calibri"/>
          <w:i/>
          <w:iCs/>
          <w:sz w:val="25"/>
          <w:szCs w:val="25"/>
        </w:rPr>
        <w:t>Œuvres complètes</w:t>
      </w:r>
      <w:r>
        <w:rPr>
          <w:rFonts w:ascii="Calibri" w:eastAsia="Batang" w:hAnsi="Calibri" w:cs="Calibri"/>
          <w:sz w:val="25"/>
          <w:szCs w:val="25"/>
        </w:rPr>
        <w:t xml:space="preserve"> de Hegel, on peut constater que l’expression de Hegel est tout à fait en accord avec les opinions ses propres opinions : « Quand on parle de l’idée de l’Etat, il ne faut pas se représenter des Etats particuliers ni des institutions particulières ; il faut regarder l’idée, ce Dieu réel (</w:t>
      </w:r>
      <w:r>
        <w:rPr>
          <w:rFonts w:ascii="Calibri" w:eastAsia="Batang" w:hAnsi="Calibri" w:cs="Calibri"/>
          <w:i/>
          <w:iCs/>
          <w:sz w:val="25"/>
          <w:szCs w:val="25"/>
        </w:rPr>
        <w:t>Wirklich</w:t>
      </w:r>
      <w:r>
        <w:rPr>
          <w:rFonts w:ascii="Calibri" w:eastAsia="Batang" w:hAnsi="Calibri" w:cs="Calibri"/>
          <w:sz w:val="25"/>
          <w:szCs w:val="25"/>
        </w:rPr>
        <w:t>) à part (</w:t>
      </w:r>
      <w:r>
        <w:rPr>
          <w:rFonts w:ascii="Calibri" w:eastAsia="Batang" w:hAnsi="Calibri" w:cs="Calibri"/>
          <w:i/>
          <w:iCs/>
          <w:sz w:val="25"/>
          <w:szCs w:val="25"/>
        </w:rPr>
        <w:t>Für sich</w:t>
      </w:r>
      <w:r>
        <w:rPr>
          <w:rFonts w:ascii="Calibri" w:eastAsia="Batang" w:hAnsi="Calibri" w:cs="Calibri"/>
          <w:sz w:val="25"/>
          <w:szCs w:val="25"/>
        </w:rPr>
        <w:t xml:space="preserve">). Tout Etat, quand bien même on le déclarerait mauvais d’après les principes qu’on a, quand bien même on y reconnaîtrait telle imperfection, tout Etat, particulièrement quand il est du nombre des Etats développés de notre temps, porte en lui les moments essentiels de son existence. Mais puisqu’il est plus facile de trouver les défauts que de comprendre le positif, on tombe trop facilement dans l’erreur de s’attacher à des côtés isolés et d’oublier l’organisme de l’Etat. L’Etat n’est pas une œuvre d’art ; il se tient dans le monde, partant, dans la sphère de l’arbitraire, du hasard et de l’erreur, et une mauvaise conduite peut  le défigurer sous </w:t>
      </w:r>
      <w:r>
        <w:rPr>
          <w:rFonts w:ascii="Calibri" w:eastAsia="Batang" w:hAnsi="Calibri" w:cs="Calibri"/>
          <w:sz w:val="25"/>
          <w:szCs w:val="25"/>
        </w:rPr>
        <w:lastRenderedPageBreak/>
        <w:t xml:space="preserve">beaucoup de rapports. Mais l’homme le plus laid, le criminel, l’estropié et le malade sont encore des hommes vivants ; la vie, le positif, dure malgré le défaut, et il s’agit ici de ce positif ».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Mais cet effort des Allemands fait naître chez les Anglo-saxons une forte méfiance puisqu’ils cherchent à démontrer par tous les moyens que les théories de la communauté quelles qu’elles soient portent toujours en elles le risque de l’étouffement de l’individu et du totalitarisme</w:t>
      </w:r>
      <w:r>
        <w:rPr>
          <w:rStyle w:val="Appelnotedebasdep"/>
          <w:rFonts w:ascii="Calibri" w:eastAsia="Batang" w:hAnsi="Calibri" w:cs="Calibri"/>
          <w:sz w:val="25"/>
          <w:szCs w:val="25"/>
        </w:rPr>
        <w:footnoteReference w:id="197"/>
      </w:r>
      <w:r>
        <w:rPr>
          <w:rFonts w:ascii="Calibri" w:eastAsia="Batang" w:hAnsi="Calibri" w:cs="Calibri"/>
          <w:sz w:val="25"/>
          <w:szCs w:val="25"/>
        </w:rPr>
        <w:t>. Selon ces penseurs donc, la défense de la liberté individuelle se présente comme « un horizon indépassable »</w:t>
      </w:r>
      <w:r>
        <w:rPr>
          <w:rStyle w:val="Appelnotedebasdep"/>
          <w:rFonts w:ascii="Calibri" w:eastAsia="Batang" w:hAnsi="Calibri" w:cs="Calibri"/>
          <w:sz w:val="25"/>
          <w:szCs w:val="25"/>
        </w:rPr>
        <w:footnoteReference w:id="198"/>
      </w:r>
      <w:r>
        <w:rPr>
          <w:rFonts w:ascii="Calibri" w:eastAsia="Batang" w:hAnsi="Calibri" w:cs="Calibri"/>
          <w:sz w:val="25"/>
          <w:szCs w:val="25"/>
        </w:rPr>
        <w:t xml:space="preserve">. Lorsqu’on lit le chapitre V de </w:t>
      </w:r>
      <w:r>
        <w:rPr>
          <w:rFonts w:ascii="Calibri" w:eastAsia="Batang" w:hAnsi="Calibri" w:cs="Calibri"/>
          <w:i/>
          <w:iCs/>
          <w:sz w:val="25"/>
          <w:szCs w:val="25"/>
        </w:rPr>
        <w:t xml:space="preserve">Théorie de la justice </w:t>
      </w:r>
      <w:r>
        <w:rPr>
          <w:rFonts w:ascii="Calibri" w:eastAsia="Batang" w:hAnsi="Calibri" w:cs="Calibri"/>
          <w:sz w:val="25"/>
          <w:szCs w:val="25"/>
        </w:rPr>
        <w:t>consacré à la critique de l’utilitarisme, on peut se rendre compte que ce que Rawls reproche à l’utilitarisme n’est pas qu’il pourrait conduire à une distribution inégalitaire des biens, mais plutôt parce que l’utilitarisme ne fait pas suffisamment de place à la liberté individuelle</w:t>
      </w:r>
      <w:r>
        <w:rPr>
          <w:rStyle w:val="Appelnotedebasdep"/>
          <w:rFonts w:ascii="Calibri" w:eastAsia="Batang" w:hAnsi="Calibri" w:cs="Calibri"/>
          <w:sz w:val="25"/>
          <w:szCs w:val="25"/>
        </w:rPr>
        <w:footnoteReference w:id="199"/>
      </w:r>
      <w:r>
        <w:rPr>
          <w:rFonts w:ascii="Calibri" w:eastAsia="Batang" w:hAnsi="Calibri" w:cs="Calibri"/>
          <w:sz w:val="25"/>
          <w:szCs w:val="25"/>
        </w:rPr>
        <w:t>. Rawls trouve que même l’utilitarisme porte le risque de sacrifier la personne, la liberté infinie de l’individu au bien social et récuse la possibilité pour une société d’augmenter un prétendu bien social en faisant fi de la liberté individuelle</w:t>
      </w:r>
      <w:r>
        <w:rPr>
          <w:rStyle w:val="Appelnotedebasdep"/>
          <w:rFonts w:ascii="Calibri" w:eastAsia="Batang" w:hAnsi="Calibri" w:cs="Calibri"/>
          <w:sz w:val="25"/>
          <w:szCs w:val="25"/>
        </w:rPr>
        <w:footnoteReference w:id="200"/>
      </w:r>
      <w:r>
        <w:rPr>
          <w:rFonts w:ascii="Calibri" w:eastAsia="Batang" w:hAnsi="Calibri" w:cs="Calibri"/>
          <w:sz w:val="25"/>
          <w:szCs w:val="25"/>
        </w:rPr>
        <w:t> . C’est une telle conception de la liberté individuelle qui est au centre des critiques des philosophes postmodernes comme McIntyre, Tylor, Nozick, etc.</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Cette position de la question nous introduit dans une véritable dynamique des rapports entre la liberté individuelle et le rôle du gouvernement, mais avant cela, la situation des conflits dans le monde, les rivalités d’ordre économique, social, religieux qui touchent à tous les secteurs de la vie laissent transparaître une certaine faiblesse des philosophes de la puissance, tel que Hobbes, qui considéraient comme une tendance générale de l’humanité, ce désir perpétuel et jamais assouvi qui lui fait rechercher la puissance, et qui ne cesse qu’à sa mort</w:t>
      </w:r>
      <w:r>
        <w:rPr>
          <w:rStyle w:val="Appelnotedebasdep"/>
          <w:rFonts w:ascii="Calibri" w:eastAsia="Batang" w:hAnsi="Calibri" w:cs="Calibri"/>
          <w:sz w:val="25"/>
          <w:szCs w:val="25"/>
        </w:rPr>
        <w:footnoteReference w:id="201"/>
      </w:r>
      <w:r>
        <w:rPr>
          <w:rFonts w:ascii="Calibri" w:eastAsia="Batang" w:hAnsi="Calibri" w:cs="Calibri"/>
          <w:sz w:val="25"/>
          <w:szCs w:val="25"/>
        </w:rPr>
        <w:t xml:space="preserve">. La liberté est aujourd’hui tributaire de l’interdépendance dans la mesure où la libre expression de la recherche </w:t>
      </w:r>
      <w:r>
        <w:rPr>
          <w:rFonts w:ascii="Calibri" w:eastAsia="Batang" w:hAnsi="Calibri" w:cs="Calibri"/>
          <w:sz w:val="25"/>
          <w:szCs w:val="25"/>
        </w:rPr>
        <w:lastRenderedPageBreak/>
        <w:t>individuelle du bonheur doit tenir compte de la  même recherche chez autrui</w:t>
      </w:r>
      <w:r>
        <w:rPr>
          <w:rStyle w:val="Appelnotedebasdep"/>
          <w:rFonts w:ascii="Calibri" w:eastAsia="Batang" w:hAnsi="Calibri" w:cs="Calibri"/>
          <w:sz w:val="25"/>
          <w:szCs w:val="25"/>
        </w:rPr>
        <w:footnoteReference w:id="202"/>
      </w:r>
      <w:r>
        <w:rPr>
          <w:rFonts w:ascii="Calibri" w:eastAsia="Batang" w:hAnsi="Calibri" w:cs="Calibri"/>
          <w:sz w:val="25"/>
          <w:szCs w:val="25"/>
        </w:rPr>
        <w:t>. Les rapports de l’homme dans la société doivent être fondés sur l’interdépendance dans la liberté</w:t>
      </w:r>
      <w:r>
        <w:rPr>
          <w:rStyle w:val="Appelnotedebasdep"/>
          <w:rFonts w:ascii="Calibri" w:eastAsia="Batang" w:hAnsi="Calibri" w:cs="Calibri"/>
          <w:sz w:val="25"/>
          <w:szCs w:val="25"/>
        </w:rPr>
        <w:footnoteReference w:id="203"/>
      </w:r>
      <w:r>
        <w:rPr>
          <w:rFonts w:ascii="Calibri" w:eastAsia="Batang" w:hAnsi="Calibri" w:cs="Calibri"/>
          <w:sz w:val="25"/>
          <w:szCs w:val="25"/>
        </w:rPr>
        <w:t>. La recherche individuelle du bonheur en société doit être équilibrée : elle doit être ajustée aux besoins et aux possibilités de la communauté</w:t>
      </w:r>
      <w:r>
        <w:rPr>
          <w:rStyle w:val="Appelnotedebasdep"/>
          <w:rFonts w:ascii="Calibri" w:eastAsia="Batang" w:hAnsi="Calibri" w:cs="Calibri"/>
          <w:sz w:val="25"/>
          <w:szCs w:val="25"/>
        </w:rPr>
        <w:footnoteReference w:id="204"/>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 point de vue remet à jour la conception antique selon laquelle la réalisation de l’équilibre entre les intérêts particuliers et ceux de la cité (</w:t>
      </w:r>
      <w:r>
        <w:rPr>
          <w:rFonts w:ascii="Calibri" w:eastAsia="Batang" w:hAnsi="Calibri" w:cs="Calibri"/>
          <w:i/>
          <w:iCs/>
          <w:sz w:val="25"/>
          <w:szCs w:val="25"/>
        </w:rPr>
        <w:t>polis</w:t>
      </w:r>
      <w:r>
        <w:rPr>
          <w:rFonts w:ascii="Calibri" w:eastAsia="Batang" w:hAnsi="Calibri" w:cs="Calibri"/>
          <w:sz w:val="25"/>
          <w:szCs w:val="25"/>
        </w:rPr>
        <w:t>) est l’objectif même de la société</w:t>
      </w:r>
      <w:r>
        <w:rPr>
          <w:rStyle w:val="Appelnotedebasdep"/>
          <w:rFonts w:ascii="Calibri" w:eastAsia="Batang" w:hAnsi="Calibri" w:cs="Calibri"/>
          <w:sz w:val="25"/>
          <w:szCs w:val="25"/>
        </w:rPr>
        <w:footnoteReference w:id="205"/>
      </w:r>
      <w:r>
        <w:rPr>
          <w:rFonts w:ascii="Calibri" w:eastAsia="Batang" w:hAnsi="Calibri" w:cs="Calibri"/>
          <w:sz w:val="25"/>
          <w:szCs w:val="25"/>
        </w:rPr>
        <w:t xml:space="preserve">. Une interaction harmonieuse entre les volontés différentes et l’équilibre entre les différents intérêts doit être, comme le pensait déjà Aristote dans </w:t>
      </w:r>
      <w:r>
        <w:rPr>
          <w:rFonts w:ascii="Calibri" w:eastAsia="Batang" w:hAnsi="Calibri" w:cs="Calibri"/>
          <w:i/>
          <w:iCs/>
          <w:sz w:val="25"/>
          <w:szCs w:val="25"/>
        </w:rPr>
        <w:t>la politique,</w:t>
      </w:r>
      <w:r>
        <w:rPr>
          <w:rFonts w:ascii="Calibri" w:eastAsia="Batang" w:hAnsi="Calibri" w:cs="Calibri"/>
          <w:sz w:val="25"/>
          <w:szCs w:val="25"/>
        </w:rPr>
        <w:t xml:space="preserve"> considérée comme l’armature de la société idéale</w:t>
      </w:r>
      <w:r>
        <w:rPr>
          <w:rStyle w:val="Appelnotedebasdep"/>
          <w:rFonts w:ascii="Calibri" w:eastAsia="Batang" w:hAnsi="Calibri" w:cs="Calibri"/>
          <w:sz w:val="25"/>
          <w:szCs w:val="25"/>
        </w:rPr>
        <w:footnoteReference w:id="206"/>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question est donc de  reconnaître l’individu et de préserver en même temps le lien social. C’est d’ailleurs sur ce point que s’accordent deux philosophes aussi éloignés que sont Hegel et Tocqueville</w:t>
      </w:r>
      <w:r>
        <w:rPr>
          <w:rStyle w:val="Appelnotedebasdep"/>
          <w:rFonts w:ascii="Calibri" w:eastAsia="Batang" w:hAnsi="Calibri" w:cs="Calibri"/>
          <w:sz w:val="25"/>
          <w:szCs w:val="25"/>
        </w:rPr>
        <w:footnoteReference w:id="207"/>
      </w:r>
      <w:r>
        <w:rPr>
          <w:rFonts w:ascii="Calibri" w:eastAsia="Batang" w:hAnsi="Calibri" w:cs="Calibri"/>
          <w:sz w:val="25"/>
          <w:szCs w:val="25"/>
        </w:rPr>
        <w:t xml:space="preserve"> (Méda dit d’ailleurs de Hegel qu’ « il est l’un des seuls théoriciens politiques à avoir mis en évidence que le problème des sociétés modernes était de concilier la liberté individuelle et la communauté, et à avoir construit les instrument de cette conciliation. Il est le penseur politique qui a le mieux reconnu que le principe des Temps Modernes était l’individu et qui a le mieux mis en évidence que si ce principe ne parvenait pas à s’incarner dans une communauté, nos sociétés couraient à leur perte… »</w:t>
      </w:r>
      <w:r>
        <w:rPr>
          <w:rStyle w:val="Appelnotedebasdep"/>
          <w:rFonts w:ascii="Calibri" w:eastAsia="Batang" w:hAnsi="Calibri" w:cs="Calibri"/>
          <w:sz w:val="25"/>
          <w:szCs w:val="25"/>
        </w:rPr>
        <w:footnoteReference w:id="208"/>
      </w:r>
      <w:r>
        <w:rPr>
          <w:rFonts w:ascii="Calibri" w:eastAsia="Batang" w:hAnsi="Calibri" w:cs="Calibri"/>
          <w:sz w:val="25"/>
          <w:szCs w:val="25"/>
        </w:rPr>
        <w:t xml:space="preserve">). Ces derniers reconnaissent la caractéristique de la modernité (reconnaissance de l’individu), mais ils éprouvent en même temps le danger d’en rester à l’individu. En rester à l’individu, c’est accepter la dissolution de toute solidarité sociale et ne pas parvenir à construire un ordre qui instaurerait une </w:t>
      </w:r>
      <w:r>
        <w:rPr>
          <w:rFonts w:ascii="Calibri" w:eastAsia="Batang" w:hAnsi="Calibri" w:cs="Calibri"/>
          <w:sz w:val="25"/>
          <w:szCs w:val="25"/>
        </w:rPr>
        <w:lastRenderedPageBreak/>
        <w:t>nouvelle solidarité</w:t>
      </w:r>
      <w:r>
        <w:rPr>
          <w:rStyle w:val="Appelnotedebasdep"/>
          <w:rFonts w:ascii="Calibri" w:eastAsia="Batang" w:hAnsi="Calibri" w:cs="Calibri"/>
          <w:sz w:val="25"/>
          <w:szCs w:val="25"/>
        </w:rPr>
        <w:footnoteReference w:id="209"/>
      </w:r>
      <w:r>
        <w:rPr>
          <w:rFonts w:ascii="Calibri" w:eastAsia="Batang" w:hAnsi="Calibri" w:cs="Calibri"/>
          <w:sz w:val="25"/>
          <w:szCs w:val="25"/>
        </w:rPr>
        <w:t>. Le défi de notre époque consiste finalement à reconnaître l’individu tout en l’intégrant dans une communauté de droits et de devoirs. Que le véritable individu est celui qui s’incarne dans une communauté et dans un Etat, que c’est seulement dans la communauté politique que l’individu peut trouver son accomplissement</w:t>
      </w:r>
      <w:r>
        <w:rPr>
          <w:rStyle w:val="Appelnotedebasdep"/>
          <w:rFonts w:ascii="Calibri" w:eastAsia="Batang" w:hAnsi="Calibri" w:cs="Calibri"/>
          <w:sz w:val="25"/>
          <w:szCs w:val="25"/>
        </w:rPr>
        <w:footnoteReference w:id="210"/>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Une telle thèse ne peut que récuser, par la prise à parti du libéralisme, deux thèses répandues dans le milieu philosophique libertarien : la thèse selon laquelle une société ne peut avoir de bien commun sans opprimer l’individu et celle selon laquelle il serait impossible à nos sociétés de concevoir un bien commun parce que les sociétés modernes se caractérisent par la multiplicité des points de vue et des convictions des individus qui la composent. Bref, la reconnaissance de la société comme un ensemble ayant une réalité différente de celle de tous les individus qui la composent mène-t-elle forcément au sacrifice de ceux-ci </w:t>
      </w:r>
      <w:r>
        <w:rPr>
          <w:rStyle w:val="Appelnotedebasdep"/>
          <w:rFonts w:ascii="Calibri" w:eastAsia="Batang" w:hAnsi="Calibri" w:cs="Calibri"/>
          <w:sz w:val="25"/>
          <w:szCs w:val="25"/>
        </w:rPr>
        <w:footnoteReference w:id="211"/>
      </w:r>
      <w:r>
        <w:rPr>
          <w:rFonts w:ascii="Calibri" w:eastAsia="Batang" w:hAnsi="Calibri" w:cs="Calibri"/>
          <w:sz w:val="25"/>
          <w:szCs w:val="25"/>
        </w:rPr>
        <w:t>? La pluralité des convictions est-elle un obstacle à la recherche en commun et au débat sur les fins sociales ? Les questions sont sûrement mal posées puisqu’  « il ne s’agit pas de dire si ce sont les exigences de l’individu ou de la communauté qui doivent prévaloir, mais de savoir si les principes de justice qui régissent la structure de base de la société peuvent être neutres par rapport aux convictions morales et religieuses, qui sont contradictoires entre elles, adoptées par les citoyens »</w:t>
      </w:r>
      <w:r>
        <w:rPr>
          <w:rStyle w:val="Appelnotedebasdep"/>
          <w:rFonts w:ascii="Calibri" w:eastAsia="Batang" w:hAnsi="Calibri" w:cs="Calibri"/>
          <w:sz w:val="25"/>
          <w:szCs w:val="25"/>
        </w:rPr>
        <w:footnoteReference w:id="212"/>
      </w:r>
      <w:r>
        <w:rPr>
          <w:rFonts w:ascii="Calibri" w:eastAsia="Batang" w:hAnsi="Calibri" w:cs="Calibri"/>
          <w:sz w:val="25"/>
          <w:szCs w:val="25"/>
        </w:rPr>
        <w:t>.</w:t>
      </w:r>
    </w:p>
    <w:p w:rsidR="000A31A8" w:rsidRDefault="0065345B">
      <w:pPr>
        <w:tabs>
          <w:tab w:val="left" w:pos="2520"/>
        </w:tabs>
        <w:spacing w:line="324" w:lineRule="auto"/>
        <w:ind w:right="-2" w:firstLine="709"/>
        <w:jc w:val="both"/>
        <w:rPr>
          <w:rFonts w:ascii="Calibri" w:eastAsia="Batang" w:hAnsi="Calibri" w:cs="Calibri"/>
          <w:sz w:val="25"/>
          <w:szCs w:val="25"/>
        </w:rPr>
      </w:pPr>
      <w:r>
        <w:rPr>
          <w:rFonts w:ascii="Calibri" w:eastAsia="Batang" w:hAnsi="Calibri" w:cs="Calibri"/>
          <w:sz w:val="25"/>
          <w:szCs w:val="25"/>
        </w:rPr>
        <w:br w:type="page"/>
      </w:r>
    </w:p>
    <w:p w:rsidR="000A31A8" w:rsidRDefault="0065345B">
      <w:pPr>
        <w:pStyle w:val="Titre1"/>
        <w:spacing w:after="0" w:line="324" w:lineRule="auto"/>
        <w:ind w:left="0" w:firstLine="0"/>
        <w:jc w:val="both"/>
        <w:rPr>
          <w:rFonts w:ascii="Calibri" w:hAnsi="Calibri" w:cs="Calibri"/>
          <w:bCs w:val="0"/>
          <w:sz w:val="36"/>
          <w:szCs w:val="36"/>
        </w:rPr>
      </w:pPr>
      <w:bookmarkStart w:id="30" w:name="_Toc127173502"/>
      <w:bookmarkStart w:id="31" w:name="_Toc61276669"/>
      <w:bookmarkStart w:id="32" w:name="_Toc61541171"/>
      <w:bookmarkStart w:id="33" w:name="_Toc63602973"/>
      <w:r>
        <w:rPr>
          <w:rFonts w:ascii="Calibri" w:hAnsi="Calibri" w:cs="Calibri"/>
          <w:bCs w:val="0"/>
          <w:sz w:val="36"/>
          <w:szCs w:val="36"/>
        </w:rPr>
        <w:lastRenderedPageBreak/>
        <w:t>CHAPITRE CINQUIÈME : CRITIQUES DES FONDEMENTS CONTRACTUALISTES</w:t>
      </w:r>
      <w:bookmarkEnd w:id="30"/>
    </w:p>
    <w:p w:rsidR="000A31A8" w:rsidRDefault="000A31A8">
      <w:pPr>
        <w:tabs>
          <w:tab w:val="left" w:pos="2520"/>
        </w:tabs>
        <w:spacing w:line="324" w:lineRule="auto"/>
        <w:ind w:right="-2" w:firstLine="709"/>
        <w:jc w:val="both"/>
        <w:rPr>
          <w:rFonts w:ascii="Calibri"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hAnsi="Calibri" w:cs="Calibri"/>
          <w:sz w:val="25"/>
          <w:szCs w:val="25"/>
        </w:rPr>
        <w:t>La démarche contractualiste constitue la justification ultime de l’Etat constitué des individus. Elle est également à la base de la pensée libertarienne. Pourquoi a-t-on un Etat et non pas une anarchie ? On peut se demander pourquoi Rawls par exemple pense que « les partenaires de la position originelle choisiraient effectivement les principes dont il dit qu’ils les choisiraient ; en quoi un tel choix nous donne-t-il une raison de croire que ces principes sont justes » ?</w:t>
      </w:r>
      <w:r>
        <w:rPr>
          <w:rStyle w:val="Appelnotedebasdep"/>
          <w:rFonts w:ascii="Calibri" w:hAnsi="Calibri" w:cs="Calibri"/>
          <w:sz w:val="25"/>
          <w:szCs w:val="25"/>
        </w:rPr>
        <w:footnoteReference w:id="213"/>
      </w:r>
      <w:r>
        <w:rPr>
          <w:rFonts w:ascii="Calibri" w:hAnsi="Calibri" w:cs="Calibri"/>
          <w:sz w:val="25"/>
          <w:szCs w:val="25"/>
        </w:rPr>
        <w:t>  Dans la justification contractualiste du libéralisme égalitaire, la question de notre choix à la société ne se pose même pas : nous sommes nés et nous y vivons en général notre vie entière</w:t>
      </w:r>
      <w:r>
        <w:rPr>
          <w:rStyle w:val="Appelnotedebasdep"/>
          <w:rFonts w:ascii="Calibri" w:hAnsi="Calibri" w:cs="Calibri"/>
          <w:sz w:val="25"/>
          <w:szCs w:val="25"/>
        </w:rPr>
        <w:footnoteReference w:id="214"/>
      </w:r>
      <w:r>
        <w:rPr>
          <w:rFonts w:ascii="Calibri" w:hAnsi="Calibri" w:cs="Calibri"/>
          <w:sz w:val="25"/>
          <w:szCs w:val="25"/>
        </w:rPr>
        <w:t>. En ce qui concerne Rawls, l’idéal est de pouvoir établir, par un raisonnement déductif, que les personnes fictives choisissent les principes de la conception spéciale</w:t>
      </w:r>
      <w:r>
        <w:rPr>
          <w:rStyle w:val="Appelnotedebasdep"/>
          <w:rFonts w:ascii="Calibri" w:hAnsi="Calibri" w:cs="Calibri"/>
          <w:sz w:val="25"/>
          <w:szCs w:val="25"/>
        </w:rPr>
        <w:footnoteReference w:id="215"/>
      </w:r>
      <w:r>
        <w:rPr>
          <w:rFonts w:ascii="Calibri" w:hAnsi="Calibri" w:cs="Calibri"/>
          <w:sz w:val="25"/>
          <w:szCs w:val="25"/>
        </w:rPr>
        <w:t>.</w:t>
      </w:r>
      <w:bookmarkEnd w:id="31"/>
      <w:bookmarkEnd w:id="32"/>
      <w:bookmarkEnd w:id="33"/>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question ou mieux la critique que la démarche contractualiste  suscite est, elle-même, à l’origine de la question de la moralité du contrat. Dans le cas de Rawls, par exemple, « on ne voit pas immédiatement comment la position originelle confère un statut moral aux résultats d’un exercice de choix rationnel ; on ne voit pas de manière évidente en quoi consiste la force justificative du raisonnement qui part de la position originelle »</w:t>
      </w:r>
      <w:r>
        <w:rPr>
          <w:rStyle w:val="Appelnotedebasdep"/>
          <w:rFonts w:ascii="Calibri" w:eastAsia="Batang" w:hAnsi="Calibri" w:cs="Calibri"/>
          <w:sz w:val="25"/>
          <w:szCs w:val="25"/>
        </w:rPr>
        <w:footnoteReference w:id="216"/>
      </w:r>
      <w:r>
        <w:rPr>
          <w:rFonts w:ascii="Calibri" w:eastAsia="Batang" w:hAnsi="Calibri" w:cs="Calibri"/>
          <w:sz w:val="25"/>
          <w:szCs w:val="25"/>
        </w:rPr>
        <w:t xml:space="preserve">. </w:t>
      </w:r>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pStyle w:val="Titre1"/>
        <w:spacing w:after="0" w:line="324" w:lineRule="auto"/>
        <w:ind w:left="0" w:firstLine="0"/>
        <w:jc w:val="both"/>
        <w:rPr>
          <w:rFonts w:ascii="Calibri" w:hAnsi="Calibri" w:cs="Calibri"/>
          <w:bCs w:val="0"/>
          <w:sz w:val="28"/>
          <w:szCs w:val="28"/>
        </w:rPr>
      </w:pPr>
      <w:bookmarkStart w:id="34" w:name="_Toc127173503"/>
      <w:r>
        <w:rPr>
          <w:rFonts w:ascii="Calibri" w:hAnsi="Calibri" w:cs="Calibri"/>
          <w:bCs w:val="0"/>
          <w:sz w:val="28"/>
          <w:szCs w:val="28"/>
        </w:rPr>
        <w:t>5.1. L’IDÉE DIRECTRICE DES THÉORIES CONTRACTUALISTES</w:t>
      </w:r>
      <w:bookmarkEnd w:id="34"/>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Quelle est la puissance morale des contrats et des accords </w:t>
      </w:r>
      <w:r>
        <w:rPr>
          <w:rStyle w:val="Appelnotedebasdep"/>
          <w:rFonts w:ascii="Calibri" w:eastAsia="Batang" w:hAnsi="Calibri" w:cs="Calibri"/>
          <w:sz w:val="25"/>
          <w:szCs w:val="25"/>
        </w:rPr>
        <w:footnoteReference w:id="217"/>
      </w:r>
      <w:r>
        <w:rPr>
          <w:rFonts w:ascii="Calibri" w:eastAsia="Batang" w:hAnsi="Calibri" w:cs="Calibri"/>
          <w:sz w:val="25"/>
          <w:szCs w:val="25"/>
        </w:rPr>
        <w:t xml:space="preserve">? La question prend une importance capitale puisque pour Rawls l’idée du contrat est une fiction de l’esprit, elle ne sert qu’à montrer comment, dans une situation hypothétique, irréelle, les deux principes de justice seraient adoptés pour régir le fonctionnement de la société </w:t>
      </w:r>
      <w:r>
        <w:rPr>
          <w:rFonts w:ascii="Calibri" w:eastAsia="Batang" w:hAnsi="Calibri" w:cs="Calibri"/>
          <w:sz w:val="25"/>
          <w:szCs w:val="25"/>
        </w:rPr>
        <w:lastRenderedPageBreak/>
        <w:t>juste</w:t>
      </w:r>
      <w:r>
        <w:rPr>
          <w:rStyle w:val="Appelnotedebasdep"/>
          <w:rFonts w:ascii="Calibri" w:eastAsia="Batang" w:hAnsi="Calibri" w:cs="Calibri"/>
          <w:sz w:val="25"/>
          <w:szCs w:val="25"/>
        </w:rPr>
        <w:footnoteReference w:id="218"/>
      </w:r>
      <w:r>
        <w:rPr>
          <w:rFonts w:ascii="Calibri" w:eastAsia="Batang" w:hAnsi="Calibri" w:cs="Calibri"/>
          <w:sz w:val="25"/>
          <w:szCs w:val="25"/>
        </w:rPr>
        <w:t>. Ce qui est caractéristique chez Rawls, ce qu’il prend le contrat social comme choix rationnel dans des conditions idéales. Il développe une procédure grâce à laquelle la concurrence entre l’interprétation utilitariste et celle de la justice comme équité permet de déterminer les principes de justice adéquats</w:t>
      </w:r>
      <w:r>
        <w:rPr>
          <w:rStyle w:val="Appelnotedebasdep"/>
          <w:rFonts w:ascii="Calibri" w:eastAsia="Batang" w:hAnsi="Calibri" w:cs="Calibri"/>
          <w:sz w:val="25"/>
          <w:szCs w:val="25"/>
        </w:rPr>
        <w:footnoteReference w:id="219"/>
      </w:r>
      <w:r>
        <w:rPr>
          <w:rFonts w:ascii="Calibri" w:eastAsia="Batang" w:hAnsi="Calibri" w:cs="Calibri"/>
          <w:sz w:val="25"/>
          <w:szCs w:val="25"/>
        </w:rPr>
        <w:t>. D’où la systématisation de l’idée traditionnelle du contrat social et sa formulation comme un choix rationnel de prudence (</w:t>
      </w:r>
      <w:r>
        <w:rPr>
          <w:rFonts w:ascii="Calibri" w:eastAsia="Batang" w:hAnsi="Calibri" w:cs="Calibri"/>
          <w:i/>
          <w:iCs/>
          <w:sz w:val="25"/>
          <w:szCs w:val="25"/>
        </w:rPr>
        <w:t>rational prudential choice</w:t>
      </w:r>
      <w:r>
        <w:rPr>
          <w:rFonts w:ascii="Calibri" w:eastAsia="Batang" w:hAnsi="Calibri" w:cs="Calibri"/>
          <w:sz w:val="25"/>
          <w:szCs w:val="25"/>
        </w:rPr>
        <w:t>)</w:t>
      </w:r>
      <w:r>
        <w:rPr>
          <w:rStyle w:val="Appelnotedebasdep"/>
          <w:rFonts w:ascii="Calibri" w:eastAsia="Batang" w:hAnsi="Calibri" w:cs="Calibri"/>
          <w:sz w:val="25"/>
          <w:szCs w:val="25"/>
        </w:rPr>
        <w:footnoteReference w:id="220"/>
      </w:r>
      <w:r>
        <w:rPr>
          <w:rFonts w:ascii="Calibri" w:eastAsia="Batang" w:hAnsi="Calibri" w:cs="Calibri"/>
          <w:sz w:val="25"/>
          <w:szCs w:val="25"/>
        </w:rPr>
        <w:t>. La question  du fondement de la justice porte donc sur les principes que choisiraient des personnes libres et rationnelles, dans la position originelle. La thèse de Rawls est que les principes de justice sont déduits à partir de l’intérêt rationnel pour soi-même (</w:t>
      </w:r>
      <w:r>
        <w:rPr>
          <w:rFonts w:ascii="Calibri" w:eastAsia="Batang" w:hAnsi="Calibri" w:cs="Calibri"/>
          <w:i/>
          <w:iCs/>
          <w:sz w:val="25"/>
          <w:szCs w:val="25"/>
        </w:rPr>
        <w:t>the aim is replace moral judgements by those of rational prudence)</w:t>
      </w:r>
      <w:r>
        <w:rPr>
          <w:rStyle w:val="Appelnotedebasdep"/>
          <w:rFonts w:ascii="Calibri" w:eastAsia="Batang" w:hAnsi="Calibri" w:cs="Calibri"/>
          <w:sz w:val="25"/>
          <w:szCs w:val="25"/>
        </w:rPr>
        <w:footnoteReference w:id="221"/>
      </w:r>
      <w:r>
        <w:rPr>
          <w:rFonts w:ascii="Calibri" w:eastAsia="Batang" w:hAnsi="Calibri" w:cs="Calibri"/>
          <w:sz w:val="25"/>
          <w:szCs w:val="25"/>
        </w:rPr>
        <w:t>. L’idée classique du contrat social se traduit chez Rawls dans un contexte de la pensée et du langage de la théorie contemporaine de la décision rationnelle (</w:t>
      </w:r>
      <w:r>
        <w:rPr>
          <w:rFonts w:ascii="Calibri" w:eastAsia="Batang" w:hAnsi="Calibri" w:cs="Calibri"/>
          <w:i/>
          <w:iCs/>
          <w:sz w:val="25"/>
          <w:szCs w:val="25"/>
        </w:rPr>
        <w:t xml:space="preserve">rational decision theory) </w:t>
      </w:r>
      <w:r>
        <w:rPr>
          <w:rFonts w:ascii="Calibri" w:eastAsia="Batang" w:hAnsi="Calibri" w:cs="Calibri"/>
          <w:sz w:val="25"/>
          <w:szCs w:val="25"/>
        </w:rPr>
        <w:t>et des jeux stratégiques (</w:t>
      </w:r>
      <w:r>
        <w:rPr>
          <w:rFonts w:ascii="Calibri" w:eastAsia="Batang" w:hAnsi="Calibri" w:cs="Calibri"/>
          <w:i/>
          <w:iCs/>
          <w:sz w:val="25"/>
          <w:szCs w:val="25"/>
        </w:rPr>
        <w:t>game theory</w:t>
      </w:r>
      <w:r>
        <w:rPr>
          <w:rFonts w:ascii="Calibri" w:eastAsia="Batang" w:hAnsi="Calibri" w:cs="Calibri"/>
          <w:sz w:val="25"/>
          <w:szCs w:val="25"/>
        </w:rPr>
        <w:t>)</w:t>
      </w:r>
      <w:r>
        <w:rPr>
          <w:rStyle w:val="Appelnotedebasdep"/>
          <w:rFonts w:ascii="Calibri" w:eastAsia="Batang" w:hAnsi="Calibri" w:cs="Calibri"/>
          <w:sz w:val="25"/>
          <w:szCs w:val="25"/>
        </w:rPr>
        <w:footnoteReference w:id="222"/>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Quant à la rationalité, elle s’oppose à la détermination arbitraire, émotionnelle ou habituelle et une décision est rationnelle lorsqu’elle cherche avant tout à maximiser exclusivement l’avantage personnel au moyen d’un processus d’information et de calcul dénué de passion</w:t>
      </w:r>
      <w:r>
        <w:rPr>
          <w:rStyle w:val="Appelnotedebasdep"/>
          <w:rFonts w:ascii="Calibri" w:eastAsia="Batang" w:hAnsi="Calibri" w:cs="Calibri"/>
          <w:sz w:val="25"/>
          <w:szCs w:val="25"/>
        </w:rPr>
        <w:footnoteReference w:id="223"/>
      </w:r>
      <w:r>
        <w:rPr>
          <w:rFonts w:ascii="Calibri" w:eastAsia="Batang" w:hAnsi="Calibri" w:cs="Calibri"/>
          <w:sz w:val="25"/>
          <w:szCs w:val="25"/>
        </w:rPr>
        <w:t>. La théorie du jeu, elle, développe des procédures d’analyse rationnelle des décisions en fonction de plusieurs acteurs. De ce qui précède, les principes de justice doivent jouer le rôle d’ordre. Ceci n’est possible que lorsque cinq conditions sont réunies : les principes doivent être formellement universels ; ils doivent être appliqués universellement ; ils doivent être connus publiquement ; ils doivent régler des exigences concurrentes ; ils doivent avoir une signification</w:t>
      </w:r>
      <w:r>
        <w:rPr>
          <w:rStyle w:val="Appelnotedebasdep"/>
          <w:rFonts w:ascii="Calibri" w:eastAsia="Batang" w:hAnsi="Calibri" w:cs="Calibri"/>
          <w:sz w:val="25"/>
          <w:szCs w:val="25"/>
        </w:rPr>
        <w:footnoteReference w:id="224"/>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Ce qui facilite le jeu constitutionnel, c’est la supposition de la </w:t>
      </w:r>
      <w:r>
        <w:rPr>
          <w:rFonts w:ascii="Calibri" w:eastAsia="Batang" w:hAnsi="Calibri" w:cs="Calibri"/>
          <w:i/>
          <w:iCs/>
          <w:sz w:val="25"/>
          <w:szCs w:val="25"/>
        </w:rPr>
        <w:t>veil of ignorance</w:t>
      </w:r>
      <w:r>
        <w:rPr>
          <w:rFonts w:ascii="Calibri" w:eastAsia="Batang" w:hAnsi="Calibri" w:cs="Calibri"/>
          <w:sz w:val="25"/>
          <w:szCs w:val="25"/>
        </w:rPr>
        <w:t xml:space="preserve">, puisque qu’il s’agit de la décision sous incertitude dont les critères sont : la règle-maximax (la </w:t>
      </w:r>
      <w:r>
        <w:rPr>
          <w:rFonts w:ascii="Calibri" w:eastAsia="Batang" w:hAnsi="Calibri" w:cs="Calibri"/>
          <w:sz w:val="25"/>
          <w:szCs w:val="25"/>
        </w:rPr>
        <w:lastRenderedPageBreak/>
        <w:t>règle du maximum maximal : maximise le profit de la situation la plus avantageuse) ; la règle-maximin (la règle du minimum maximal : minimise le désavantage de la situation la plus désavantageuse)</w:t>
      </w:r>
      <w:r>
        <w:rPr>
          <w:rStyle w:val="Appelnotedebasdep"/>
          <w:rFonts w:ascii="Calibri" w:eastAsia="Batang" w:hAnsi="Calibri" w:cs="Calibri"/>
          <w:sz w:val="25"/>
          <w:szCs w:val="25"/>
        </w:rPr>
        <w:footnoteReference w:id="225"/>
      </w:r>
      <w:r>
        <w:rPr>
          <w:rFonts w:ascii="Calibri" w:eastAsia="Batang" w:hAnsi="Calibri" w:cs="Calibri"/>
          <w:sz w:val="25"/>
          <w:szCs w:val="25"/>
        </w:rPr>
        <w:t>. Lorsqu’on applique les deux règles à la Constitution, on arrive, avec la règle-maximin à favoriser le plancher de la hiérarchie sociale et économique tandis que la règle-maxima tolère de plus grands désavantages au bas de la hiérarchie et de plus grands avantages à son sommet</w:t>
      </w:r>
      <w:r>
        <w:rPr>
          <w:rStyle w:val="Appelnotedebasdep"/>
          <w:rFonts w:ascii="Calibri" w:eastAsia="Batang" w:hAnsi="Calibri" w:cs="Calibri"/>
          <w:sz w:val="25"/>
          <w:szCs w:val="25"/>
        </w:rPr>
        <w:footnoteReference w:id="226"/>
      </w:r>
      <w:r>
        <w:rPr>
          <w:rFonts w:ascii="Calibri" w:eastAsia="Batang" w:hAnsi="Calibri" w:cs="Calibri"/>
          <w:sz w:val="25"/>
          <w:szCs w:val="25"/>
        </w:rPr>
        <w:t>. Ce, dans la mesure où les décisions prises sous le voile d’ignorance sont des décisions sous risque. Il y a donc chez Rawls la possibilité d’erreurs de probabilité. Cette possibilité d’erreurs est démontrée par Höffe : si M est le nombre des membres d’une société, voici la probabilité Pi d’être dans la position d’un membre quelconque de la société :</w:t>
      </w:r>
    </w:p>
    <w:p w:rsidR="000A31A8" w:rsidRDefault="0065345B">
      <w:pPr>
        <w:tabs>
          <w:tab w:val="left" w:pos="2520"/>
        </w:tabs>
        <w:ind w:right="-2" w:firstLine="709"/>
        <w:jc w:val="center"/>
        <w:rPr>
          <w:rFonts w:ascii="Calibri" w:eastAsia="Batang" w:hAnsi="Calibri" w:cs="Calibri"/>
          <w:sz w:val="25"/>
          <w:szCs w:val="25"/>
        </w:rPr>
      </w:pPr>
      <w:r>
        <w:rPr>
          <w:rFonts w:ascii="Calibri" w:eastAsia="Batang" w:hAnsi="Calibri" w:cs="Calibri"/>
          <w:sz w:val="25"/>
          <w:szCs w:val="25"/>
        </w:rPr>
        <w:t>1</w:t>
      </w:r>
    </w:p>
    <w:p w:rsidR="000A31A8" w:rsidRDefault="0065345B">
      <w:pPr>
        <w:tabs>
          <w:tab w:val="left" w:pos="2520"/>
        </w:tabs>
        <w:ind w:right="-2" w:firstLine="709"/>
        <w:jc w:val="center"/>
        <w:rPr>
          <w:rFonts w:ascii="Calibri" w:eastAsia="Batang" w:hAnsi="Calibri" w:cs="Calibri"/>
          <w:sz w:val="25"/>
          <w:szCs w:val="25"/>
        </w:rPr>
      </w:pPr>
      <w:r>
        <w:rPr>
          <w:rFonts w:ascii="Calibri" w:eastAsia="Batang" w:hAnsi="Calibri" w:cs="Calibri"/>
          <w:sz w:val="25"/>
          <w:szCs w:val="25"/>
        </w:rPr>
        <w:t>Pi = —</w:t>
      </w:r>
    </w:p>
    <w:p w:rsidR="000A31A8" w:rsidRDefault="0065345B">
      <w:pPr>
        <w:tabs>
          <w:tab w:val="left" w:pos="2520"/>
        </w:tabs>
        <w:ind w:right="-2" w:firstLine="709"/>
        <w:jc w:val="center"/>
        <w:rPr>
          <w:rFonts w:ascii="Calibri" w:eastAsia="Batang" w:hAnsi="Calibri" w:cs="Calibri"/>
          <w:sz w:val="25"/>
          <w:szCs w:val="25"/>
        </w:rPr>
      </w:pPr>
      <w:r>
        <w:rPr>
          <w:rFonts w:ascii="Calibri" w:eastAsia="Batang" w:hAnsi="Calibri" w:cs="Calibri"/>
          <w:sz w:val="25"/>
          <w:szCs w:val="25"/>
        </w:rPr>
        <w:t>M</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Voici également le critère de rationalité d’une décision sous risque : « maximise les avantages attendus ». Or l’avantage attendu Ni, dans la situation originaire, est égal à l’avantage de la société globale Ng multiplié par la probabilité Wi. Voici maintenant la position d’un individu quelconque : Ni=Ng x Wi</w:t>
      </w:r>
    </w:p>
    <w:p w:rsidR="000A31A8" w:rsidRDefault="0065345B">
      <w:pPr>
        <w:tabs>
          <w:tab w:val="left" w:pos="2520"/>
        </w:tabs>
        <w:spacing w:line="324" w:lineRule="auto"/>
        <w:ind w:right="-2" w:firstLine="709"/>
        <w:jc w:val="both"/>
        <w:rPr>
          <w:rFonts w:ascii="Calibri" w:eastAsia="Batang" w:hAnsi="Calibri" w:cs="Calibri"/>
          <w:sz w:val="25"/>
          <w:szCs w:val="25"/>
        </w:rPr>
      </w:pPr>
      <w:r>
        <w:rPr>
          <w:rFonts w:ascii="Calibri" w:eastAsia="Batang" w:hAnsi="Calibri" w:cs="Calibri"/>
          <w:sz w:val="25"/>
          <w:szCs w:val="25"/>
        </w:rPr>
        <w:t xml:space="preserve">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Etant donné que la probabilité de position Wi est égale au nombre inverse du nombre de membres   , le profit attendu est  égal à l’avantage de la société globale divisé par le nombre de membres, c’est-à-dire indépendant de la distribution d’avantage égal au profit moyen :                                                                                                                                                                                                    </w:t>
      </w:r>
    </w:p>
    <w:p w:rsidR="000A31A8" w:rsidRDefault="0065345B">
      <w:pPr>
        <w:tabs>
          <w:tab w:val="left" w:pos="2520"/>
        </w:tabs>
        <w:ind w:firstLine="709"/>
        <w:jc w:val="center"/>
        <w:rPr>
          <w:rFonts w:ascii="Calibri" w:eastAsia="Batang" w:hAnsi="Calibri" w:cs="Calibri"/>
          <w:sz w:val="25"/>
          <w:szCs w:val="25"/>
          <w:lang w:val="de-DE"/>
        </w:rPr>
      </w:pPr>
      <w:r>
        <w:rPr>
          <w:rFonts w:ascii="Calibri" w:eastAsia="Batang" w:hAnsi="Calibri" w:cs="Calibri"/>
          <w:sz w:val="25"/>
          <w:szCs w:val="25"/>
        </w:rPr>
        <w:t xml:space="preserve">        </w:t>
      </w:r>
      <w:r>
        <w:rPr>
          <w:rFonts w:ascii="Calibri" w:eastAsia="Batang" w:hAnsi="Calibri" w:cs="Calibri"/>
          <w:sz w:val="25"/>
          <w:szCs w:val="25"/>
          <w:lang w:val="de-DE"/>
        </w:rPr>
        <w:t>Ng</w:t>
      </w:r>
    </w:p>
    <w:p w:rsidR="000A31A8" w:rsidRDefault="0065345B">
      <w:pPr>
        <w:tabs>
          <w:tab w:val="left" w:pos="2520"/>
        </w:tabs>
        <w:ind w:firstLine="709"/>
        <w:jc w:val="center"/>
        <w:rPr>
          <w:rFonts w:ascii="Calibri" w:eastAsia="Batang" w:hAnsi="Calibri" w:cs="Calibri"/>
          <w:sz w:val="25"/>
          <w:szCs w:val="25"/>
          <w:lang w:val="de-DE"/>
        </w:rPr>
      </w:pPr>
      <w:r>
        <w:rPr>
          <w:rFonts w:ascii="Calibri" w:eastAsia="Batang" w:hAnsi="Calibri" w:cs="Calibri"/>
          <w:sz w:val="25"/>
          <w:szCs w:val="25"/>
          <w:lang w:val="de-DE"/>
        </w:rPr>
        <w:t xml:space="preserve">Ni=Ng x Wi = —            </w:t>
      </w:r>
      <w:r>
        <w:rPr>
          <w:rStyle w:val="Appelnotedebasdep"/>
          <w:rFonts w:ascii="Calibri" w:eastAsia="Batang" w:hAnsi="Calibri" w:cs="Calibri"/>
          <w:sz w:val="25"/>
          <w:szCs w:val="25"/>
        </w:rPr>
        <w:footnoteReference w:id="227"/>
      </w:r>
    </w:p>
    <w:p w:rsidR="000A31A8" w:rsidRDefault="0065345B">
      <w:pPr>
        <w:tabs>
          <w:tab w:val="left" w:pos="2520"/>
        </w:tabs>
        <w:ind w:firstLine="709"/>
        <w:jc w:val="center"/>
        <w:rPr>
          <w:rFonts w:ascii="Calibri" w:eastAsia="Batang" w:hAnsi="Calibri" w:cs="Calibri"/>
          <w:sz w:val="25"/>
          <w:szCs w:val="25"/>
        </w:rPr>
      </w:pPr>
      <w:r>
        <w:rPr>
          <w:rFonts w:ascii="Calibri" w:eastAsia="Batang" w:hAnsi="Calibri" w:cs="Calibri"/>
          <w:sz w:val="25"/>
          <w:szCs w:val="25"/>
          <w:lang w:val="de-DE"/>
        </w:rPr>
        <w:t xml:space="preserve">       </w:t>
      </w:r>
      <w:r>
        <w:rPr>
          <w:rFonts w:ascii="Calibri" w:eastAsia="Batang" w:hAnsi="Calibri" w:cs="Calibri"/>
          <w:sz w:val="25"/>
          <w:szCs w:val="25"/>
        </w:rPr>
        <w:t>M</w:t>
      </w:r>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L’idée directrice des théories de la tradition contractualiste (Locke, Rousseau, Kant et Rawls)</w:t>
      </w:r>
      <w:r>
        <w:rPr>
          <w:rStyle w:val="Appelnotedebasdep"/>
          <w:rFonts w:ascii="Calibri" w:eastAsia="Batang" w:hAnsi="Calibri" w:cs="Calibri"/>
          <w:sz w:val="25"/>
          <w:szCs w:val="25"/>
        </w:rPr>
        <w:footnoteReference w:id="228"/>
      </w:r>
      <w:r>
        <w:rPr>
          <w:rFonts w:ascii="Calibri" w:eastAsia="Batang" w:hAnsi="Calibri" w:cs="Calibri"/>
          <w:sz w:val="25"/>
          <w:szCs w:val="25"/>
        </w:rPr>
        <w:t xml:space="preserve"> est que les principes de justice font l’objet d’un accord originel. Or l’accord </w:t>
      </w:r>
      <w:r>
        <w:rPr>
          <w:rFonts w:ascii="Calibri" w:eastAsia="Batang" w:hAnsi="Calibri" w:cs="Calibri"/>
          <w:sz w:val="25"/>
          <w:szCs w:val="25"/>
        </w:rPr>
        <w:lastRenderedPageBreak/>
        <w:t>originel n’est pas un contrat historique réel, mais seulement, comme l’affirme Rawls, un contrat hypothétique. Ce qui va engendrer toute la critique réalisée dès le XIXe siècle avec Hegel, les sociologues, les ethnologues, les anthropologues. La critique essentielle consiste à dire que l’état de nature est une fiction, dangereuse de surcroît : les individus ne sont jamais seuls et autonomes, ils ne peuvent pas être rationnels avant d’être entrés en société, il est absurde de considérer des individus « tout faits » et ne vivant pas en société</w:t>
      </w:r>
      <w:r>
        <w:rPr>
          <w:rStyle w:val="Appelnotedebasdep"/>
          <w:rFonts w:ascii="Calibri" w:eastAsia="Batang" w:hAnsi="Calibri" w:cs="Calibri"/>
          <w:sz w:val="25"/>
          <w:szCs w:val="25"/>
        </w:rPr>
        <w:footnoteReference w:id="229"/>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Selon Dominique Méda, les individus sont toujours déjà en société, pénétrés de leurs relations avec les autres, toujours déjà en train de parler avec eux</w:t>
      </w:r>
      <w:r>
        <w:rPr>
          <w:rStyle w:val="Appelnotedebasdep"/>
          <w:rFonts w:ascii="Calibri" w:eastAsia="Batang" w:hAnsi="Calibri" w:cs="Calibri"/>
          <w:sz w:val="25"/>
          <w:szCs w:val="25"/>
        </w:rPr>
        <w:footnoteReference w:id="230"/>
      </w:r>
      <w:r>
        <w:rPr>
          <w:rFonts w:ascii="Calibri" w:eastAsia="Batang" w:hAnsi="Calibri" w:cs="Calibri"/>
          <w:sz w:val="25"/>
          <w:szCs w:val="25"/>
        </w:rPr>
        <w:t>. La thèse d’une société naissant du contrat n’est donc pas défendable. Dominique Méda va plus loin dans la réfutation de la thèse contractualiste rawlsienne en écrivant : « L’idée même d’un contrat social entre des individus qui ne sont pas encore en société et décident des modalités de celle-ci est profondément fausse et à l’origine de toutes les autres erreurs : c’est d’elle  que vient l’illusion que les individus continuent de poursuivre leurs fins et que la société n’est là que pour les y aider. C’est d’elle que naît l’idée d’individus pleinement libres qui sacrifient une partie de cette liberté lors de leur entrée en société… »</w:t>
      </w:r>
      <w:r>
        <w:rPr>
          <w:rStyle w:val="Appelnotedebasdep"/>
          <w:rFonts w:ascii="Calibri" w:eastAsia="Batang" w:hAnsi="Calibri" w:cs="Calibri"/>
          <w:sz w:val="25"/>
          <w:szCs w:val="25"/>
        </w:rPr>
        <w:footnoteReference w:id="231"/>
      </w:r>
      <w:r>
        <w:rPr>
          <w:rFonts w:ascii="Calibri" w:eastAsia="Batang" w:hAnsi="Calibri" w:cs="Calibri"/>
          <w:sz w:val="25"/>
          <w:szCs w:val="25"/>
        </w:rPr>
        <w:t xml:space="preserve">. </w:t>
      </w:r>
      <w:r>
        <w:rPr>
          <w:rFonts w:ascii="Calibri" w:hAnsi="Calibri" w:cs="Calibri"/>
          <w:sz w:val="25"/>
          <w:szCs w:val="25"/>
        </w:rPr>
        <w:t>Cette idée est fausse, mais elle est également incapable de fonder quelque obligation que ce soit. Et ce qui fait que les termes de l’accord sont équitables, ce n’est pas simplement qu’ils aient été l’objet d’un consentement ; il s’agit bien d’une question distincte</w:t>
      </w:r>
      <w:r>
        <w:rPr>
          <w:rStyle w:val="Appelnotedebasdep"/>
          <w:rFonts w:ascii="Calibri" w:hAnsi="Calibri" w:cs="Calibri"/>
          <w:sz w:val="25"/>
          <w:szCs w:val="25"/>
        </w:rPr>
        <w:footnoteReference w:id="232"/>
      </w:r>
      <w:r>
        <w:rPr>
          <w:rFonts w:ascii="Calibri" w:hAnsi="Calibri" w:cs="Calibri"/>
          <w:sz w:val="25"/>
          <w:szCs w:val="25"/>
        </w:rPr>
        <w:t>. On ne peut donc pas faire naître les contraintes morales de l’Etat à partir du contrat originel.</w:t>
      </w:r>
    </w:p>
    <w:p w:rsidR="000A31A8" w:rsidRDefault="000A31A8">
      <w:pPr>
        <w:pStyle w:val="Retraitcorpsdetexte"/>
        <w:tabs>
          <w:tab w:val="clear" w:pos="1185"/>
        </w:tabs>
        <w:spacing w:line="324" w:lineRule="auto"/>
        <w:ind w:left="0" w:right="-2" w:firstLine="0"/>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Sandel propose de concevoir la moralité des contrats comme composée de deux idéaux distincts liés l’un à l’autre. L’un est l’idéal de l’autonomie qui conçoit le contrat comme un acte de la volonté, un acte dont le caractère moral réside dans le caractère volontaire de la transaction</w:t>
      </w:r>
      <w:r>
        <w:rPr>
          <w:rStyle w:val="Appelnotedebasdep"/>
          <w:rFonts w:ascii="Calibri" w:hAnsi="Calibri" w:cs="Calibri"/>
          <w:sz w:val="25"/>
          <w:szCs w:val="25"/>
        </w:rPr>
        <w:footnoteReference w:id="233"/>
      </w:r>
      <w:r>
        <w:rPr>
          <w:rFonts w:ascii="Calibri" w:hAnsi="Calibri" w:cs="Calibri"/>
          <w:sz w:val="25"/>
          <w:szCs w:val="25"/>
        </w:rPr>
        <w:t xml:space="preserve">. L’autre est l’idéal de la réciprocité, qui conçoit le contrat comme l’instrument d’un avantage mutuel, dont le caractère moral repose sur </w:t>
      </w:r>
      <w:r>
        <w:rPr>
          <w:rFonts w:ascii="Calibri" w:hAnsi="Calibri" w:cs="Calibri"/>
          <w:sz w:val="25"/>
          <w:szCs w:val="25"/>
        </w:rPr>
        <w:lastRenderedPageBreak/>
        <w:t>l’équité sous-jacente de l’échange</w:t>
      </w:r>
      <w:r>
        <w:rPr>
          <w:rStyle w:val="Appelnotedebasdep"/>
          <w:rFonts w:ascii="Calibri" w:hAnsi="Calibri" w:cs="Calibri"/>
          <w:sz w:val="25"/>
          <w:szCs w:val="25"/>
        </w:rPr>
        <w:footnoteReference w:id="234"/>
      </w:r>
      <w:r>
        <w:rPr>
          <w:rFonts w:ascii="Calibri" w:hAnsi="Calibri" w:cs="Calibri"/>
          <w:sz w:val="25"/>
          <w:szCs w:val="25"/>
        </w:rPr>
        <w:t>. Ceci suppose, au fait, que l’obligation contractuelle a désormais deux sources, celle qui dérive de l’autonomie et celle qui dérive de l’idéal de réciprocité. Mais chacune de ces sources lie le contrat et la justification d’une façon spécifique. D’après l’idéal de l’autonomie, le contrat fournit la justification ; dans la mesure où le contrat est libre, c’est la procédure elle-même qui sert à justifier le résultat « quel qu’il soit »</w:t>
      </w:r>
      <w:r>
        <w:rPr>
          <w:rStyle w:val="Appelnotedebasdep"/>
          <w:rFonts w:ascii="Calibri" w:hAnsi="Calibri" w:cs="Calibri"/>
          <w:sz w:val="25"/>
          <w:szCs w:val="25"/>
        </w:rPr>
        <w:footnoteReference w:id="235"/>
      </w:r>
      <w:r>
        <w:rPr>
          <w:rFonts w:ascii="Calibri" w:hAnsi="Calibri" w:cs="Calibri"/>
          <w:sz w:val="25"/>
          <w:szCs w:val="25"/>
        </w:rPr>
        <w:t>. Dans l’idéal de réciprocité au contraire, le contrat ne confère pas la justice, mais il se contente de l’approcher ; la procédure contractuelle</w:t>
      </w:r>
      <w:r>
        <w:rPr>
          <w:rStyle w:val="Appelnotedebasdep"/>
          <w:rFonts w:ascii="Calibri" w:hAnsi="Calibri" w:cs="Calibri"/>
          <w:sz w:val="25"/>
          <w:szCs w:val="25"/>
        </w:rPr>
        <w:footnoteReference w:id="236"/>
      </w:r>
      <w:r>
        <w:rPr>
          <w:rFonts w:ascii="Calibri" w:hAnsi="Calibri" w:cs="Calibri"/>
          <w:sz w:val="25"/>
          <w:szCs w:val="25"/>
        </w:rPr>
        <w:t xml:space="preserve"> est l’instrument et non pas la définition d’un résultat juste</w:t>
      </w:r>
      <w:r>
        <w:rPr>
          <w:rStyle w:val="Appelnotedebasdep"/>
          <w:rFonts w:ascii="Calibri" w:hAnsi="Calibri" w:cs="Calibri"/>
          <w:sz w:val="25"/>
          <w:szCs w:val="25"/>
        </w:rPr>
        <w:footnoteReference w:id="237"/>
      </w:r>
      <w:r>
        <w:rPr>
          <w:rFonts w:ascii="Calibri" w:hAnsi="Calibri" w:cs="Calibri"/>
          <w:sz w:val="25"/>
          <w:szCs w:val="25"/>
        </w:rPr>
        <w:t xml:space="preserve">. Cette idée de l’autonomie et de la réciprocité a été l’objet de plusieurs types de critiques, dont le livre de Michael Sandel a largement fait l’écho. </w:t>
      </w:r>
    </w:p>
    <w:p w:rsidR="000A31A8" w:rsidRDefault="000A31A8">
      <w:pPr>
        <w:pStyle w:val="Retraitcorpsdetexte"/>
        <w:tabs>
          <w:tab w:val="clear" w:pos="1185"/>
        </w:tabs>
        <w:spacing w:line="324" w:lineRule="auto"/>
        <w:ind w:left="0" w:right="-2" w:firstLine="0"/>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L’une des difficultés est que l’idée d’un moi « antérieur à ses fins », selon une expression malheureuse de Rawls, serait radicalement opposée à la façon de concevoir l’identité : « un moi désincarné, capable de considérer ses projets comme de simples possessions qu’il peut décider, après une réflexion supposant une prise de distance, de conserver ou d’abandonner »</w:t>
      </w:r>
      <w:r>
        <w:rPr>
          <w:rStyle w:val="Appelnotedebasdep"/>
          <w:rFonts w:ascii="Calibri" w:hAnsi="Calibri" w:cs="Calibri"/>
          <w:sz w:val="25"/>
          <w:szCs w:val="25"/>
        </w:rPr>
        <w:footnoteReference w:id="238"/>
      </w:r>
      <w:r>
        <w:rPr>
          <w:rFonts w:ascii="Calibri" w:hAnsi="Calibri" w:cs="Calibri"/>
          <w:sz w:val="25"/>
          <w:szCs w:val="25"/>
        </w:rPr>
        <w:t>, est contraire aux convictions sur le caractère constitutif des plans de vie</w:t>
      </w:r>
      <w:r>
        <w:rPr>
          <w:rStyle w:val="Appelnotedebasdep"/>
          <w:rFonts w:ascii="Calibri" w:hAnsi="Calibri" w:cs="Calibri"/>
          <w:sz w:val="25"/>
          <w:szCs w:val="25"/>
        </w:rPr>
        <w:footnoteReference w:id="239"/>
      </w:r>
      <w:r>
        <w:rPr>
          <w:rFonts w:ascii="Calibri" w:hAnsi="Calibri" w:cs="Calibri"/>
          <w:sz w:val="25"/>
          <w:szCs w:val="25"/>
        </w:rPr>
        <w:t xml:space="preserve">. Dans l’esprit de </w:t>
      </w:r>
      <w:r>
        <w:rPr>
          <w:rFonts w:ascii="Calibri" w:hAnsi="Calibri" w:cs="Calibri"/>
          <w:i/>
          <w:iCs/>
          <w:sz w:val="25"/>
          <w:szCs w:val="25"/>
        </w:rPr>
        <w:t>Liberalism and the limits of justice</w:t>
      </w:r>
      <w:r>
        <w:rPr>
          <w:rFonts w:ascii="Calibri" w:hAnsi="Calibri" w:cs="Calibri"/>
          <w:sz w:val="25"/>
          <w:szCs w:val="25"/>
        </w:rPr>
        <w:t>, l’idée d’une personne débarrassée de tout projet, laquelle idée fait partie de la conception de Rawls, n’est pas plausible.</w:t>
      </w:r>
    </w:p>
    <w:p w:rsidR="000A31A8" w:rsidRDefault="000A31A8">
      <w:pPr>
        <w:pStyle w:val="Retraitcorpsdetexte"/>
        <w:tabs>
          <w:tab w:val="clear" w:pos="1185"/>
        </w:tabs>
        <w:spacing w:line="324" w:lineRule="auto"/>
        <w:ind w:left="0" w:right="-2" w:firstLine="0"/>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 xml:space="preserve">En effet,  la position de Rawls peut également soulever une autre inquiétude lors qu’elle considère l’autonomie comme affirmation réfléchie d’une conception du bien par un individu. Cette idée donne à penser « que la vision rawlsienne, en mettant en avant le rôle central du jugement individuel, constitue en réalité une variante de la </w:t>
      </w:r>
      <w:r>
        <w:rPr>
          <w:rFonts w:ascii="Calibri" w:hAnsi="Calibri" w:cs="Calibri"/>
          <w:sz w:val="25"/>
          <w:szCs w:val="25"/>
        </w:rPr>
        <w:lastRenderedPageBreak/>
        <w:t>vision de l’autonomie comme indépendance attribuée à Nozick, où l’indépendance en question est celle de la volonté d’un individu par rapport à celle d’autres personnes »</w:t>
      </w:r>
      <w:r>
        <w:rPr>
          <w:rStyle w:val="Appelnotedebasdep"/>
          <w:rFonts w:ascii="Calibri" w:hAnsi="Calibri" w:cs="Calibri"/>
          <w:sz w:val="25"/>
          <w:szCs w:val="25"/>
        </w:rPr>
        <w:footnoteReference w:id="240"/>
      </w:r>
      <w:r>
        <w:rPr>
          <w:rFonts w:ascii="Calibri" w:hAnsi="Calibri" w:cs="Calibri"/>
          <w:sz w:val="25"/>
          <w:szCs w:val="25"/>
        </w:rPr>
        <w:t>. L’indépendance  vis-à-vis des autres devenait un idéal de la réflexion, alors l’individu socialisé ne fera jamais sienne sa conception du bien, or la valeur intrinsèque de l’autonomie pour un individu réside dans l’importance qu’il attache à ce que sa conception du bien soit « sienne »</w:t>
      </w:r>
      <w:r>
        <w:rPr>
          <w:rStyle w:val="Appelnotedebasdep"/>
          <w:rFonts w:ascii="Calibri" w:hAnsi="Calibri" w:cs="Calibri"/>
          <w:sz w:val="25"/>
          <w:szCs w:val="25"/>
        </w:rPr>
        <w:footnoteReference w:id="241"/>
      </w:r>
      <w:r>
        <w:rPr>
          <w:rFonts w:ascii="Calibri" w:hAnsi="Calibri" w:cs="Calibri"/>
          <w:sz w:val="25"/>
          <w:szCs w:val="25"/>
        </w:rPr>
        <w:t>.</w:t>
      </w:r>
    </w:p>
    <w:p w:rsidR="000A31A8" w:rsidRDefault="000A31A8">
      <w:pPr>
        <w:pStyle w:val="Retraitcorpsdetexte"/>
        <w:tabs>
          <w:tab w:val="clear" w:pos="1185"/>
        </w:tabs>
        <w:spacing w:line="324" w:lineRule="auto"/>
        <w:ind w:left="0" w:right="-2" w:firstLine="0"/>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Cette discussion pose le problème du « moi », du lien du « moi » et de ses fins, du sujet voulant à l’objet de ses choix. Or même dans les libéralismes de Dewey et de Porty où la question est posée en terme de la liberté et de la réalisation de soi, et malgré que Dewey affirme la nécessité d’une vie communautaire active pour la réalisation de soi, la conclusion libertarienne demeure sans appel : « l’idéal démocratique d’égalité ne consiste pas en un nivellement uniforme de fonctions ou de statut social, mais peut seulement être mesuré en termes de vie et de croissance intrinsèque de chaque individu »</w:t>
      </w:r>
      <w:r>
        <w:rPr>
          <w:rStyle w:val="Appelnotedebasdep"/>
          <w:rFonts w:ascii="Calibri" w:hAnsi="Calibri" w:cs="Calibri"/>
          <w:sz w:val="25"/>
          <w:szCs w:val="25"/>
        </w:rPr>
        <w:footnoteReference w:id="242"/>
      </w:r>
      <w:r>
        <w:rPr>
          <w:rFonts w:ascii="Calibri" w:hAnsi="Calibri" w:cs="Calibri"/>
          <w:sz w:val="25"/>
          <w:szCs w:val="25"/>
        </w:rPr>
        <w:t>. La démocratie signifie que la personnalité est la première et l’ultime  réalité et sa satisfaction à travers l’accomplissement de soi devrait être le but de la société autant que de l’individu</w:t>
      </w:r>
      <w:r>
        <w:rPr>
          <w:rStyle w:val="Appelnotedebasdep"/>
          <w:rFonts w:ascii="Calibri" w:hAnsi="Calibri" w:cs="Calibri"/>
          <w:sz w:val="25"/>
          <w:szCs w:val="25"/>
        </w:rPr>
        <w:footnoteReference w:id="243"/>
      </w:r>
      <w:r>
        <w:rPr>
          <w:rFonts w:ascii="Calibri" w:hAnsi="Calibri" w:cs="Calibri"/>
          <w:sz w:val="25"/>
          <w:szCs w:val="25"/>
        </w:rPr>
        <w:t>. C’est dans ce contexte que Dewey, malgré sa définition positive du libéralisme comme création d’une vraie communauté, adonnée aux joies positives de l’accomplissement de soi dans la vie associée, et engagée dans une action collective afin que chacun de ses membres puisse se réaliser soi-même tout en contribuant au bien commun, soutient qu’une démocratie libérale doit s’efforcer de garantir à ses membres d’atteindre cette liberté positive d’accomplissement de soi</w:t>
      </w:r>
      <w:r>
        <w:rPr>
          <w:rStyle w:val="Appelnotedebasdep"/>
          <w:rFonts w:ascii="Calibri" w:hAnsi="Calibri" w:cs="Calibri"/>
          <w:sz w:val="25"/>
          <w:szCs w:val="25"/>
        </w:rPr>
        <w:footnoteReference w:id="244"/>
      </w:r>
      <w:r>
        <w:rPr>
          <w:rFonts w:ascii="Calibri" w:hAnsi="Calibri" w:cs="Calibri"/>
          <w:sz w:val="25"/>
          <w:szCs w:val="25"/>
        </w:rPr>
        <w:t>. Finalement, même si pour Dewey, du point de vue constitutif la société vient d’abord, les individus seront toujours, pour le libéralisme, le centre et le point d’accomplissement de l’expérience</w:t>
      </w:r>
      <w:r>
        <w:rPr>
          <w:rStyle w:val="Appelnotedebasdep"/>
          <w:rFonts w:ascii="Calibri" w:hAnsi="Calibri" w:cs="Calibri"/>
          <w:sz w:val="25"/>
          <w:szCs w:val="25"/>
        </w:rPr>
        <w:footnoteReference w:id="245"/>
      </w:r>
      <w:r>
        <w:rPr>
          <w:rFonts w:ascii="Calibri" w:hAnsi="Calibri" w:cs="Calibri"/>
          <w:sz w:val="25"/>
          <w:szCs w:val="25"/>
        </w:rPr>
        <w:t>. </w:t>
      </w:r>
    </w:p>
    <w:p w:rsidR="000A31A8" w:rsidRDefault="0065345B">
      <w:pPr>
        <w:spacing w:after="160" w:line="259" w:lineRule="auto"/>
        <w:rPr>
          <w:rFonts w:ascii="Calibri" w:eastAsia="Batang" w:hAnsi="Calibri" w:cs="Calibri"/>
          <w:sz w:val="25"/>
          <w:szCs w:val="25"/>
          <w:lang w:val="fr-BE"/>
        </w:rPr>
      </w:pPr>
      <w:r>
        <w:rPr>
          <w:rFonts w:ascii="Calibri" w:hAnsi="Calibri" w:cs="Calibri"/>
          <w:sz w:val="25"/>
          <w:szCs w:val="25"/>
        </w:rPr>
        <w:br w:type="page"/>
      </w:r>
    </w:p>
    <w:p w:rsidR="000A31A8" w:rsidRDefault="0065345B">
      <w:pPr>
        <w:pStyle w:val="Retraitcorpsdetexte"/>
        <w:tabs>
          <w:tab w:val="clear" w:pos="1185"/>
        </w:tabs>
        <w:spacing w:line="324" w:lineRule="auto"/>
        <w:ind w:left="0" w:right="-2" w:firstLine="0"/>
        <w:outlineLvl w:val="0"/>
        <w:rPr>
          <w:rFonts w:ascii="Calibri" w:hAnsi="Calibri" w:cs="Calibri"/>
          <w:b/>
          <w:bCs/>
          <w:sz w:val="28"/>
          <w:szCs w:val="28"/>
        </w:rPr>
      </w:pPr>
      <w:bookmarkStart w:id="35" w:name="_Toc127173504"/>
      <w:r>
        <w:rPr>
          <w:rFonts w:ascii="Calibri" w:hAnsi="Calibri" w:cs="Calibri"/>
          <w:b/>
          <w:bCs/>
          <w:sz w:val="28"/>
          <w:szCs w:val="28"/>
        </w:rPr>
        <w:lastRenderedPageBreak/>
        <w:t>5.2. LES CRITIQUES FORMULÉES PAR LA GAUCHE</w:t>
      </w:r>
      <w:bookmarkEnd w:id="35"/>
    </w:p>
    <w:p w:rsidR="000A31A8" w:rsidRDefault="000A31A8">
      <w:pPr>
        <w:pStyle w:val="Retraitcorpsdetexte"/>
        <w:tabs>
          <w:tab w:val="clear" w:pos="1185"/>
        </w:tabs>
        <w:spacing w:line="324" w:lineRule="auto"/>
        <w:ind w:left="0" w:right="-2"/>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Pour la gauche, en particulier la gauche marxiste qui met en avant l’interdépendance essentielle des différentes sphères sociales, le libéralisme, artiste de la séparation, est considérée comme une construction idéologique qui n’a pas de commune mesure avec une entreprise pratique. Et la carte libérale apparaît aux yeux de Walzer comme un artifice, un exercice sophistiqué d’hypocrisie</w:t>
      </w:r>
      <w:r>
        <w:rPr>
          <w:rStyle w:val="Appelnotedebasdep"/>
          <w:rFonts w:ascii="Calibri" w:hAnsi="Calibri" w:cs="Calibri"/>
          <w:sz w:val="25"/>
          <w:szCs w:val="25"/>
        </w:rPr>
        <w:footnoteReference w:id="246"/>
      </w:r>
      <w:r>
        <w:rPr>
          <w:rFonts w:ascii="Calibri" w:hAnsi="Calibri" w:cs="Calibri"/>
          <w:sz w:val="25"/>
          <w:szCs w:val="25"/>
        </w:rPr>
        <w:t>. Dans cette hypocrisie,  les dogmes religieux établis sont adaptés aux besoins idéologiques d’une société capitaliste et les universités elles-mêmes sont organisées afin de renouveler la force de travail capitaliste ; nous ne sommes libres dans nos foyers qu’aussi longtemps que ce que nous y faisons est sans danger pour l’ordre capitaliste</w:t>
      </w:r>
      <w:r>
        <w:rPr>
          <w:rStyle w:val="Appelnotedebasdep"/>
          <w:rFonts w:ascii="Calibri" w:hAnsi="Calibri" w:cs="Calibri"/>
          <w:sz w:val="25"/>
          <w:szCs w:val="25"/>
        </w:rPr>
        <w:footnoteReference w:id="247"/>
      </w:r>
      <w:r>
        <w:rPr>
          <w:rFonts w:ascii="Calibri"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critique de gauche de la séparation libérale aboutit à la prétention selon laquelle le libéralisme sert seulement les intérêts sociaux particuliers, limite et adapte son art à cette finalité. D’où la nécessité, selon Walzer, de rendre cet art impartial ou de le faire servir un champ plus large</w:t>
      </w:r>
      <w:r>
        <w:rPr>
          <w:rStyle w:val="Appelnotedebasdep"/>
          <w:rFonts w:ascii="Calibri" w:eastAsia="Batang" w:hAnsi="Calibri" w:cs="Calibri"/>
          <w:sz w:val="25"/>
          <w:szCs w:val="25"/>
        </w:rPr>
        <w:footnoteReference w:id="248"/>
      </w:r>
      <w:r>
        <w:rPr>
          <w:rFonts w:ascii="Calibri" w:eastAsia="Batang" w:hAnsi="Calibri" w:cs="Calibri"/>
          <w:sz w:val="25"/>
          <w:szCs w:val="25"/>
        </w:rPr>
        <w:t xml:space="preserve">. En outre, cet art de la séparation n’est pas seulement source de liberté, mais il génère aussi l’égalité. La liberté et l’égalité vont désormais de pair, car une société moderne est caractérisée par la liberté et l’égalité lorsque  « les séparations érigées demeurent étanches et empêchent qu’un succès remporté dans un domaine social fondamental ne vaille de ce fait dans un autre domaine, c’est-à-dire si le pouvoir politique ne régente pas l’Eglise, ni la foi religieuse l’Etat, etc. », mais dans </w:t>
      </w:r>
      <w:r>
        <w:rPr>
          <w:rFonts w:ascii="Calibri" w:eastAsia="Batang" w:hAnsi="Calibri" w:cs="Calibri"/>
          <w:i/>
          <w:iCs/>
          <w:sz w:val="25"/>
          <w:szCs w:val="25"/>
        </w:rPr>
        <w:t>Spheres of justice</w:t>
      </w:r>
      <w:r>
        <w:rPr>
          <w:rFonts w:ascii="Calibri" w:eastAsia="Batang" w:hAnsi="Calibri" w:cs="Calibri"/>
          <w:sz w:val="25"/>
          <w:szCs w:val="25"/>
        </w:rPr>
        <w:t xml:space="preserve">, Walzer défendait déjà les biens sociaux, comme le savoir, la santé, la richesse, les fonctions qui doivent être distribués en fonction d’une vision partagée de leur nature et de leur destination.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Selon Walzer, « la prétention au monopole d’un bien prédominant –à des fins politiques- constitue une idéologie, sa forme usuelle consiste à relier une possession légitime à tel ou tel ensemble de qualités personnelles par l’intermédiaire d’un principe philosophique »</w:t>
      </w:r>
      <w:r>
        <w:rPr>
          <w:rStyle w:val="Appelnotedebasdep"/>
          <w:rFonts w:ascii="Calibri" w:eastAsia="Batang" w:hAnsi="Calibri" w:cs="Calibri"/>
          <w:sz w:val="25"/>
          <w:szCs w:val="25"/>
        </w:rPr>
        <w:footnoteReference w:id="249"/>
      </w:r>
      <w:r>
        <w:rPr>
          <w:rFonts w:ascii="Calibri" w:eastAsia="Batang" w:hAnsi="Calibri" w:cs="Calibri"/>
          <w:sz w:val="25"/>
          <w:szCs w:val="25"/>
        </w:rPr>
        <w:t xml:space="preserve"> : « Ainsi l’aristocratie ou la règle des meilleurs est le </w:t>
      </w:r>
      <w:r>
        <w:rPr>
          <w:rFonts w:ascii="Calibri" w:eastAsia="Batang" w:hAnsi="Calibri" w:cs="Calibri"/>
          <w:sz w:val="25"/>
          <w:szCs w:val="25"/>
        </w:rPr>
        <w:lastRenderedPageBreak/>
        <w:t>principe de ceux qui revendiquent l’éducation et l’intelligence ; ce sont eux qui monopolisent habituellement le patrimoine terrien et la réputation familiale. La suprématie divine est le principe de ceux qui prétendent connaître la parole de Dieu : ce sont eux qui monopolisent la grâce et les charges. La méritocratie, ou le régime des carrières ouvertes aux talents, est le principe de ceux qui prétendent être talentueux : ce sont la plus part du temps ceux qui monopolisent l’éducation. Le libre échange est le principe de ceux qui sont prêts, ou qui disent qu’ils sont prêts, à risquer leur argent : ce sont ceux qui monopolisent la richesse mobilière »</w:t>
      </w:r>
      <w:r>
        <w:rPr>
          <w:rStyle w:val="Appelnotedebasdep"/>
          <w:rFonts w:ascii="Calibri" w:eastAsia="Batang" w:hAnsi="Calibri" w:cs="Calibri"/>
          <w:sz w:val="25"/>
          <w:szCs w:val="25"/>
        </w:rPr>
        <w:footnoteReference w:id="250"/>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L’auteur de</w:t>
      </w:r>
      <w:r>
        <w:rPr>
          <w:rFonts w:ascii="Calibri" w:eastAsia="Batang" w:hAnsi="Calibri" w:cs="Calibri"/>
          <w:i/>
          <w:iCs/>
          <w:sz w:val="25"/>
          <w:szCs w:val="25"/>
        </w:rPr>
        <w:t xml:space="preserve"> Spheres of justice</w:t>
      </w:r>
      <w:r>
        <w:rPr>
          <w:rFonts w:ascii="Calibri" w:eastAsia="Batang" w:hAnsi="Calibri" w:cs="Calibri"/>
          <w:sz w:val="25"/>
          <w:szCs w:val="25"/>
        </w:rPr>
        <w:t xml:space="preserve"> cherche sa propre argumentation dans ces conflits (les groupes distincts par leur principe et par leur possession luttent pour la suprématie) puisque les conflits sont une forme paradigmatique dans la mesure où le bien prédominant est transformé de manière systématique en des opportunités, des pouvoirs et des réputations</w:t>
      </w:r>
      <w:r>
        <w:rPr>
          <w:rStyle w:val="Appelnotedebasdep"/>
          <w:rFonts w:ascii="Calibri" w:eastAsia="Batang" w:hAnsi="Calibri" w:cs="Calibri"/>
          <w:sz w:val="25"/>
          <w:szCs w:val="25"/>
        </w:rPr>
        <w:footnoteReference w:id="251"/>
      </w:r>
      <w:r>
        <w:rPr>
          <w:rFonts w:ascii="Calibri" w:eastAsia="Batang" w:hAnsi="Calibri" w:cs="Calibri"/>
          <w:sz w:val="25"/>
          <w:szCs w:val="25"/>
        </w:rPr>
        <w:t>. La conséquence de cette considération est sans appel : les forts détiennent la santé, les gens biens nés l’honneur, ceux qui sont bien éduqués prennent les charges. Malgré cela, la remise en question de ceux qui estiment que la prise de possession ne relève pas de la justice mais de l’usurpation, car le groupe dirigeant ne possède pas en exclusivité les qualités qu’il revendique. D’où il faut exiger que le bien prédominant, quel qu’il soit, soit redistribué et partagé de manière égale ou tout au moins plus largement ; exiger également que l’on ouvre la voie à la distribution autonome de tous les biens sociaux puisque la prédominance est tout simplement injuste ; enfin, exiger qu’un nouveau bien quelconque, monopolisé par un  nouveau groupe, remplace le bien actuellement prédominant : ce qui revient à dire que la structure existante de prédominance et de monopole est injuste</w:t>
      </w:r>
      <w:r>
        <w:rPr>
          <w:rStyle w:val="Appelnotedebasdep"/>
          <w:rFonts w:ascii="Calibri" w:eastAsia="Batang" w:hAnsi="Calibri" w:cs="Calibri"/>
          <w:sz w:val="25"/>
          <w:szCs w:val="25"/>
        </w:rPr>
        <w:footnoteReference w:id="252"/>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Cependant, la gauche reconnaît au libéralisme le mérite  de protéger un nombre important d’institutions du pouvoir politique</w:t>
      </w:r>
      <w:r>
        <w:rPr>
          <w:rStyle w:val="Appelnotedebasdep"/>
          <w:rFonts w:ascii="Calibri" w:eastAsia="Batang" w:hAnsi="Calibri" w:cs="Calibri"/>
          <w:sz w:val="25"/>
          <w:szCs w:val="25"/>
        </w:rPr>
        <w:footnoteReference w:id="253"/>
      </w:r>
      <w:r>
        <w:rPr>
          <w:rFonts w:ascii="Calibri" w:eastAsia="Batang" w:hAnsi="Calibri" w:cs="Calibri"/>
          <w:sz w:val="25"/>
          <w:szCs w:val="25"/>
        </w:rPr>
        <w:t xml:space="preserve">. Les libéraux se chargent de dénoncer, par exemple, les atteintes à la liberté et à l’égalité, la répression policière d’une minorité religieuse au nom d’une vérité théologique, la fermeture d’entreprises </w:t>
      </w:r>
      <w:r>
        <w:rPr>
          <w:rFonts w:ascii="Calibri" w:eastAsia="Batang" w:hAnsi="Calibri" w:cs="Calibri"/>
          <w:sz w:val="25"/>
          <w:szCs w:val="25"/>
        </w:rPr>
        <w:lastRenderedPageBreak/>
        <w:t>petite-bourgeoisie au nom de la planification économique, etc. Mais Walzer précise que ces exemples ne sont pas les seuls cas dans lesquels la liberté et l’égalité sont menacées</w:t>
      </w:r>
      <w:r>
        <w:rPr>
          <w:rStyle w:val="Appelnotedebasdep"/>
          <w:rFonts w:ascii="Calibri" w:eastAsia="Batang" w:hAnsi="Calibri" w:cs="Calibri"/>
          <w:sz w:val="25"/>
          <w:szCs w:val="25"/>
        </w:rPr>
        <w:footnoteReference w:id="254"/>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b/>
          <w:bCs/>
          <w:sz w:val="25"/>
          <w:szCs w:val="25"/>
        </w:rPr>
      </w:pPr>
      <w:r>
        <w:rPr>
          <w:rFonts w:ascii="Calibri" w:eastAsia="Batang" w:hAnsi="Calibri" w:cs="Calibri"/>
          <w:sz w:val="25"/>
          <w:szCs w:val="25"/>
        </w:rPr>
        <w:t>La limitation du pouvoir est une réussite de l’art de la séparation, reconnaît Walzer ; mais, c’est ce succès même avec sa manière formuler la notion du pouvoir privé qui est à l’origine de la remise en question formulée par la gauche. Cette limitation du pouvoir qui trace les frontières entre la communauté politique et la société civile est, selon la gauche, à l’origine de l’interdiction faite aux agents de l’Etat d’interférer dans les transactions sur le marché, mais ce serait se faire une idée erronée de la société civile ou de faire montre d’une piètre sociologie que d’affirmer d’emblée que le marché n’est caractérisé que par le libre-échange et que la coercition ne doit y jouer aucun rôle</w:t>
      </w:r>
      <w:r>
        <w:rPr>
          <w:rStyle w:val="Appelnotedebasdep"/>
          <w:rFonts w:ascii="Calibri" w:eastAsia="Batang" w:hAnsi="Calibri" w:cs="Calibri"/>
          <w:sz w:val="25"/>
          <w:szCs w:val="25"/>
        </w:rPr>
        <w:footnoteReference w:id="255"/>
      </w:r>
      <w:r>
        <w:rPr>
          <w:rFonts w:ascii="Calibri" w:eastAsia="Batang" w:hAnsi="Calibri" w:cs="Calibri"/>
          <w:sz w:val="25"/>
          <w:szCs w:val="25"/>
        </w:rPr>
        <w:t>.</w:t>
      </w:r>
    </w:p>
    <w:p w:rsidR="000A31A8" w:rsidRDefault="000A31A8">
      <w:pPr>
        <w:pStyle w:val="Titre1"/>
        <w:spacing w:after="0" w:line="324" w:lineRule="auto"/>
        <w:ind w:left="0" w:firstLine="0"/>
        <w:jc w:val="left"/>
        <w:rPr>
          <w:rFonts w:ascii="Calibri" w:hAnsi="Calibri" w:cs="Calibri"/>
          <w:b w:val="0"/>
          <w:bCs w:val="0"/>
          <w:kern w:val="0"/>
          <w:sz w:val="25"/>
          <w:szCs w:val="25"/>
          <w:lang w:val="fr-FR"/>
        </w:rPr>
      </w:pPr>
    </w:p>
    <w:p w:rsidR="000A31A8" w:rsidRDefault="0065345B">
      <w:pPr>
        <w:pStyle w:val="Titre1"/>
        <w:spacing w:after="0" w:line="324" w:lineRule="auto"/>
        <w:ind w:left="0" w:firstLine="0"/>
        <w:jc w:val="left"/>
        <w:rPr>
          <w:rFonts w:ascii="Calibri" w:hAnsi="Calibri" w:cs="Calibri"/>
          <w:bCs w:val="0"/>
          <w:sz w:val="28"/>
          <w:szCs w:val="28"/>
        </w:rPr>
      </w:pPr>
      <w:bookmarkStart w:id="36" w:name="_Toc127173505"/>
      <w:r>
        <w:rPr>
          <w:rFonts w:ascii="Calibri" w:hAnsi="Calibri" w:cs="Calibri"/>
          <w:bCs w:val="0"/>
          <w:sz w:val="28"/>
          <w:szCs w:val="28"/>
        </w:rPr>
        <w:t>5.3. LES CRITIQUES FORMULÉES PAR LES COMMUNAUTARISTES</w:t>
      </w:r>
      <w:bookmarkEnd w:id="36"/>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Examinons aussi les deux critiques formulées par les communautaristes. La critique communautariste du libéralisme fait partie intégrante de la politique libérale et de l’organisation sociale. Selon Walzer, toute critique communautariste du libéralisme est un trait passager du libéralisme dans la mesure où il compare le communautarisme à la social-démocratie qui a réussi à s’imposer de façon permanente aux côtés de et même parfois associée aux politiques libérales</w:t>
      </w:r>
      <w:r>
        <w:rPr>
          <w:rStyle w:val="Appelnotedebasdep"/>
          <w:rFonts w:ascii="Calibri" w:eastAsia="Batang" w:hAnsi="Calibri" w:cs="Calibri"/>
          <w:sz w:val="25"/>
          <w:szCs w:val="25"/>
        </w:rPr>
        <w:footnoteReference w:id="256"/>
      </w:r>
      <w:r>
        <w:rPr>
          <w:rFonts w:ascii="Calibri" w:eastAsia="Batang" w:hAnsi="Calibri" w:cs="Calibri"/>
          <w:sz w:val="25"/>
          <w:szCs w:val="25"/>
        </w:rPr>
        <w:t> : « La social-démocratie a ses propres critiques, essentiellement de type anarchiste et libertaire, qui reviennent périodiquement à la mode. Mais la mesure où elle encourage certains types d’identification communautaire, elle prête bien moins le flanc à la critique communautariste que le libéralisme »</w:t>
      </w:r>
      <w:r>
        <w:rPr>
          <w:rStyle w:val="Appelnotedebasdep"/>
          <w:rFonts w:ascii="Calibri" w:eastAsia="Batang" w:hAnsi="Calibri" w:cs="Calibri"/>
          <w:sz w:val="25"/>
          <w:szCs w:val="25"/>
        </w:rPr>
        <w:footnoteReference w:id="257"/>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Cependant, ce que les libéraux et les sociaux - démocrates ont en commun, ce qu’ils souscrivent tous de la même manière à la croissance économique et se retrouvent ainsi en face des formes de déracinement social qui découle de cette croissance. Ce </w:t>
      </w:r>
      <w:r>
        <w:rPr>
          <w:rFonts w:ascii="Calibri" w:eastAsia="Batang" w:hAnsi="Calibri" w:cs="Calibri"/>
          <w:sz w:val="25"/>
          <w:szCs w:val="25"/>
        </w:rPr>
        <w:lastRenderedPageBreak/>
        <w:t>qui est d’ailleurs caractéristique de la modernité puisque celle-ci réserve à la communauté une place essentiellement d’ordre idéologique. Il ne fait aucun doute que « la civilisation moderne diffère radicalement d’autres civilisations et cultures et que sa logique profonde est précisément celle de l’individualisme »</w:t>
      </w:r>
      <w:r>
        <w:rPr>
          <w:rStyle w:val="Appelnotedebasdep"/>
          <w:rFonts w:ascii="Calibri" w:eastAsia="Batang" w:hAnsi="Calibri" w:cs="Calibri"/>
          <w:sz w:val="25"/>
          <w:szCs w:val="25"/>
        </w:rPr>
        <w:footnoteReference w:id="258"/>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Dupuy reconnaît, avec beaucoup d’autres penseurs contemporains, que l’individu est de retour à l’époque contemporaine ; ce qui lui vaut d’ailleurs l’acharnement des postmodernes. Ce qui fait la différence de la civilisation moderne d’avec les autres c’est justement sa logique profonde de l’individualisme, l’idée selon laquelle l’individu joue à cache-cache avec l’histoire récente. Mais cet individu qui réapparaît (l’individu postmoderne) se reconnaît dans un seul modèle : Narcisse. L’espérance révolutionnaire, les grands idéaux, la contestation estudiantine, la contre-culture, la foi dans les grands systèmes donneurs de sens, le sacrifice de soi pour une grande cause ont cédé la place à l’inflation de la sphère privée, au repli sur soi, à l’observation de soi-même et de son corps, à un individualisme hédoniste, à une soif de libération personnelle et de vie sans contraintes</w:t>
      </w:r>
      <w:r>
        <w:rPr>
          <w:rStyle w:val="Appelnotedebasdep"/>
          <w:rFonts w:ascii="Calibri" w:eastAsia="Batang" w:hAnsi="Calibri" w:cs="Calibri"/>
          <w:sz w:val="25"/>
          <w:szCs w:val="25"/>
        </w:rPr>
        <w:footnoteReference w:id="259"/>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Les penseurs modernes donnent deux visions opposées et disjointes de l’individu : l’individu replié sur lui-même, isolé, indépendant radicalement séparé de ses semblables ; l’individu aspiré par les autres, fou de désir de l’esprit concurrentiel</w:t>
      </w:r>
      <w:r>
        <w:rPr>
          <w:rStyle w:val="Appelnotedebasdep"/>
          <w:rFonts w:ascii="Calibri" w:eastAsia="Batang" w:hAnsi="Calibri" w:cs="Calibri"/>
          <w:sz w:val="25"/>
          <w:szCs w:val="25"/>
        </w:rPr>
        <w:footnoteReference w:id="260"/>
      </w:r>
      <w:r>
        <w:rPr>
          <w:rFonts w:ascii="Calibri" w:eastAsia="Batang" w:hAnsi="Calibri" w:cs="Calibri"/>
          <w:sz w:val="25"/>
          <w:szCs w:val="25"/>
        </w:rPr>
        <w:t>. Chez Rousseau, l’individu apparaît d’un côté comme « l’amour de soi » (être autosuffisant) et comme « amour propre » (le désir de sortir de soi caractéristique de l’</w:t>
      </w:r>
      <w:r>
        <w:rPr>
          <w:rFonts w:ascii="Calibri" w:eastAsia="Batang" w:hAnsi="Calibri" w:cs="Calibri"/>
          <w:i/>
          <w:iCs/>
          <w:sz w:val="25"/>
          <w:szCs w:val="25"/>
        </w:rPr>
        <w:t>Emile</w:t>
      </w:r>
      <w:r>
        <w:rPr>
          <w:rFonts w:ascii="Calibri" w:eastAsia="Batang" w:hAnsi="Calibri" w:cs="Calibri"/>
          <w:sz w:val="25"/>
          <w:szCs w:val="25"/>
        </w:rPr>
        <w:t xml:space="preserve">). Le grand problème dans le philosopher de Rousseau, c’est justement l’articulation entre l’amour de soi et l’amour-propre, c’est-à-dire le passage de l’état </w:t>
      </w:r>
      <w:r>
        <w:rPr>
          <w:rFonts w:ascii="Calibri" w:eastAsia="Batang" w:hAnsi="Calibri" w:cs="Calibri"/>
          <w:sz w:val="25"/>
          <w:szCs w:val="25"/>
        </w:rPr>
        <w:lastRenderedPageBreak/>
        <w:t>de nature à la mauvaise société naturelle, puis de la mauvaise société naturelle au « contrat social ». C’est le même problème qui a tourmenté Hobbes et l’a conduit à postuler une origine économique et une origine morale de la guerre. Chez Hobbes, ce qui pousse les hommes à la guerre, c’est la passion alors que ce qui les pousse à la contractualité n’est autre chose que l’intérêt de soi. D’où l’ambiguïté morale de sa pensée. Locke, lui, a pensé échapper à cette impasse en mettant en exergue, dans sa conception de l’état de nature, un seul individu totalement isolé de ses congénères et n’ayant de rapport qu’avec son corps et avec la nature</w:t>
      </w:r>
      <w:r>
        <w:rPr>
          <w:rStyle w:val="Appelnotedebasdep"/>
          <w:rFonts w:ascii="Calibri" w:eastAsia="Batang" w:hAnsi="Calibri" w:cs="Calibri"/>
          <w:sz w:val="25"/>
          <w:szCs w:val="25"/>
        </w:rPr>
        <w:footnoteReference w:id="261"/>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 qui est caractéristique dans la conception moderne de l’individualisme, c’est qu’il est en rapport étroit avec la liberté. L‘Individualisme est indépendance et le sujet est autonomie. L’idée d’une société qui ne soit un système et qui révèle l’inconsistance de toute forme de croyance en des lois universelles de la société et du changement social est ce qui constitue la substance de l’individualisme méthodologique. Celui-ci veut rendre intelligible le phénomène de l’exclusion sociale en le réduisant à la composition selon certaines règles localement définies d’actions individuelles compréhensibles elles-mêmes en terme de rationalité locale</w:t>
      </w:r>
      <w:r>
        <w:rPr>
          <w:rStyle w:val="Appelnotedebasdep"/>
          <w:rFonts w:ascii="Calibri" w:eastAsia="Batang" w:hAnsi="Calibri" w:cs="Calibri"/>
          <w:sz w:val="25"/>
          <w:szCs w:val="25"/>
        </w:rPr>
        <w:footnoteReference w:id="262"/>
      </w:r>
      <w:r>
        <w:rPr>
          <w:rFonts w:ascii="Calibri" w:eastAsia="Batang" w:hAnsi="Calibri" w:cs="Calibri"/>
          <w:sz w:val="25"/>
          <w:szCs w:val="25"/>
        </w:rPr>
        <w:t>. Pour Louis Dumont, si l’on part de l’individu, la vie sociale sera nécessairement considérée dans le langage de la conscience et de la force (ou du « pouvoir »). Et ce qui le choque dans la modernité, c’est l’</w:t>
      </w:r>
      <w:r>
        <w:rPr>
          <w:rFonts w:ascii="Calibri" w:eastAsia="Batang" w:hAnsi="Calibri" w:cs="Calibri"/>
          <w:i/>
          <w:iCs/>
          <w:sz w:val="25"/>
          <w:szCs w:val="25"/>
        </w:rPr>
        <w:t>artificialisme</w:t>
      </w:r>
      <w:r>
        <w:rPr>
          <w:rFonts w:ascii="Calibri" w:eastAsia="Batang" w:hAnsi="Calibri" w:cs="Calibri"/>
          <w:sz w:val="25"/>
          <w:szCs w:val="25"/>
        </w:rPr>
        <w:t xml:space="preserve"> extrême. Il qualifie la volonté individuelle de désir insensé de « changer le monde », c’est la « folie moderne »</w:t>
      </w:r>
      <w:r>
        <w:rPr>
          <w:rStyle w:val="Appelnotedebasdep"/>
          <w:rFonts w:ascii="Calibri" w:eastAsia="Batang" w:hAnsi="Calibri" w:cs="Calibri"/>
          <w:sz w:val="25"/>
          <w:szCs w:val="25"/>
        </w:rPr>
        <w:footnoteReference w:id="263"/>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Lorsque Taylor fait l’analyse de la société moderne, il lui trouve trois malaises : la première cause de malaise est l’individualisme qui désigne aussi ce que plusieurs considèrent comme la plus belle conquête de la modernité. Les hommes vivent dans un monde où ils peuvent choisir leur mode de vie, agir conformément à leurs convictions, maîtriser leur existence</w:t>
      </w:r>
      <w:r>
        <w:rPr>
          <w:rStyle w:val="Appelnotedebasdep"/>
          <w:rFonts w:ascii="Calibri" w:eastAsia="Batang" w:hAnsi="Calibri" w:cs="Calibri"/>
          <w:sz w:val="25"/>
          <w:szCs w:val="25"/>
        </w:rPr>
        <w:footnoteReference w:id="264"/>
      </w:r>
      <w:r>
        <w:rPr>
          <w:rFonts w:ascii="Calibri" w:eastAsia="Batang" w:hAnsi="Calibri" w:cs="Calibri"/>
          <w:sz w:val="25"/>
          <w:szCs w:val="25"/>
        </w:rPr>
        <w:t>. Ce qui précède constitue des droits que le système judiciaire se charge de protéger et les personnes ne sont plus sacrifiées, comme jadis, sur l’autel de valeurs prétendument sacrées qui les transcendent.</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Face à cette situation deux attitudes, sources de malaise : d’une part certains pensent encore que les structures familiales ou les hiérarchies traditionnelles et les nécessités économiques restreignent toujours trop notre liberté individuelle alors que, d’autre part, il y en a qui restent perplexes dans la mesure où la conquête de notre liberté s’est faite par les sacrifices ou par la coupure d’avec des anciens horizons moraux</w:t>
      </w:r>
      <w:r>
        <w:rPr>
          <w:rStyle w:val="Appelnotedebasdep"/>
          <w:rFonts w:ascii="Calibri" w:eastAsia="Batang" w:hAnsi="Calibri" w:cs="Calibri"/>
          <w:sz w:val="25"/>
          <w:szCs w:val="25"/>
        </w:rPr>
        <w:footnoteReference w:id="265"/>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liberté moderne a fini par discréditer les hiérarchies de la société humaine qui contribuaient à l’ordre de l’univers. Avec cette coupure, les gens auraient perdu quelque chose d’essentiel, le sens de l’idéal, la perspective d’un but pour lequel il vaudrait la peine de mourir</w:t>
      </w:r>
      <w:r>
        <w:rPr>
          <w:rStyle w:val="Appelnotedebasdep"/>
          <w:rFonts w:ascii="Calibri" w:eastAsia="Batang" w:hAnsi="Calibri" w:cs="Calibri"/>
          <w:sz w:val="25"/>
          <w:szCs w:val="25"/>
        </w:rPr>
        <w:footnoteReference w:id="266"/>
      </w:r>
      <w:r>
        <w:rPr>
          <w:rFonts w:ascii="Calibri" w:eastAsia="Batang" w:hAnsi="Calibri" w:cs="Calibri"/>
          <w:sz w:val="25"/>
          <w:szCs w:val="25"/>
        </w:rPr>
        <w:t>. La société moderne permissive, narcissique, par un souci de soi démesuré, aplatie et rétrécie la vie. Nous sommes désormais, comme l’écrit Taylor, dans un relativisme qui est une forme d’individualisme défini comme le terrain où chacun a le droit d’organiser sa propre vie en fonction de ce qu’il juge vraiment important et valable</w:t>
      </w:r>
      <w:r>
        <w:rPr>
          <w:rStyle w:val="Appelnotedebasdep"/>
          <w:rFonts w:ascii="Calibri" w:eastAsia="Batang" w:hAnsi="Calibri" w:cs="Calibri"/>
          <w:sz w:val="25"/>
          <w:szCs w:val="25"/>
        </w:rPr>
        <w:footnoteReference w:id="267"/>
      </w:r>
      <w:r>
        <w:rPr>
          <w:rFonts w:ascii="Calibri" w:eastAsia="Batang" w:hAnsi="Calibri" w:cs="Calibri"/>
          <w:sz w:val="25"/>
          <w:szCs w:val="25"/>
        </w:rPr>
        <w:t>.Taylor estime que ce relativisme répandu de nos jours est une  erreur profonde et même, à certains égards, absurde</w:t>
      </w:r>
      <w:r>
        <w:rPr>
          <w:rStyle w:val="Appelnotedebasdep"/>
          <w:rFonts w:ascii="Calibri" w:eastAsia="Batang" w:hAnsi="Calibri" w:cs="Calibri"/>
          <w:sz w:val="25"/>
          <w:szCs w:val="25"/>
        </w:rPr>
        <w:footnoteReference w:id="268"/>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Deuxièmement, le « désenchantement » du monde se rattache à un autre phénomène important et inquiétant de l’époque moderne qui est la primauté de la raison instrumentale. La raison instrumentale est la rationalité que nous utilisons pour évaluer les moyens les plus simples de parvenir à une fin donnée. Elle est à la source de l’efficacité maximale ou de la plus grande productivité. Dans </w:t>
      </w:r>
      <w:r>
        <w:rPr>
          <w:rFonts w:ascii="Calibri" w:eastAsia="Batang" w:hAnsi="Calibri" w:cs="Calibri"/>
          <w:i/>
          <w:iCs/>
          <w:sz w:val="25"/>
          <w:szCs w:val="25"/>
        </w:rPr>
        <w:t>la liberté des modernes</w:t>
      </w:r>
      <w:r>
        <w:rPr>
          <w:rFonts w:ascii="Calibri" w:eastAsia="Batang" w:hAnsi="Calibri" w:cs="Calibri"/>
          <w:sz w:val="25"/>
          <w:szCs w:val="25"/>
        </w:rPr>
        <w:t xml:space="preserve">, Taylor appelle </w:t>
      </w:r>
      <w:r>
        <w:rPr>
          <w:rFonts w:ascii="Calibri" w:eastAsia="Batang" w:hAnsi="Calibri" w:cs="Calibri"/>
          <w:i/>
          <w:iCs/>
          <w:sz w:val="25"/>
          <w:szCs w:val="25"/>
        </w:rPr>
        <w:t>doctrines atomistes</w:t>
      </w:r>
      <w:r>
        <w:rPr>
          <w:rFonts w:ascii="Calibri" w:eastAsia="Batang" w:hAnsi="Calibri" w:cs="Calibri"/>
          <w:sz w:val="25"/>
          <w:szCs w:val="25"/>
        </w:rPr>
        <w:t xml:space="preserve"> toutes celles du contrat social du VIIe siècle et celles postérieures qui sont les théories qui veulent défendre la priorité de l’individu et de ses droits sur la société.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Ces doctrines présentent une conception purement instrumentale de la société</w:t>
      </w:r>
      <w:r>
        <w:rPr>
          <w:rStyle w:val="Appelnotedebasdep"/>
          <w:rFonts w:ascii="Calibri" w:eastAsia="Batang" w:hAnsi="Calibri" w:cs="Calibri"/>
          <w:sz w:val="25"/>
          <w:szCs w:val="25"/>
        </w:rPr>
        <w:footnoteReference w:id="269"/>
      </w:r>
      <w:r>
        <w:rPr>
          <w:rFonts w:ascii="Calibri" w:eastAsia="Batang" w:hAnsi="Calibri" w:cs="Calibri"/>
          <w:sz w:val="25"/>
          <w:szCs w:val="25"/>
        </w:rPr>
        <w:t xml:space="preserve">. Selon Taylor, « les théories qui affirment la primauté des droits considèrent que le principe fondamental ou, au moins, un principe fondamental de la théorie politique est l’attribution de certains droits aux individus et elles nient qu’un principe définit </w:t>
      </w:r>
      <w:r>
        <w:rPr>
          <w:rFonts w:ascii="Calibri" w:eastAsia="Batang" w:hAnsi="Calibri" w:cs="Calibri"/>
          <w:sz w:val="25"/>
          <w:szCs w:val="25"/>
        </w:rPr>
        <w:lastRenderedPageBreak/>
        <w:t>notre obligation en tant qu’hommes d’appartenir à la société d’un certain type et de la soutenir ou d’obéir à l’autorité d’un certain type »</w:t>
      </w:r>
      <w:r>
        <w:rPr>
          <w:rStyle w:val="Appelnotedebasdep"/>
          <w:rFonts w:ascii="Calibri" w:eastAsia="Batang" w:hAnsi="Calibri" w:cs="Calibri"/>
          <w:sz w:val="25"/>
          <w:szCs w:val="25"/>
        </w:rPr>
        <w:footnoteReference w:id="270"/>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Pour lui, « l’atomisme présente une conception de la nature humaine et de la condition humaine qui (entre autres choses) rend plausible une doctrine de la primauté des droits ; ou, négativement, en l’absence de laquelle cette doctrine sera suspecte au point d’être à peu près intenable »</w:t>
      </w:r>
      <w:r>
        <w:rPr>
          <w:rStyle w:val="Appelnotedebasdep"/>
          <w:rFonts w:ascii="Calibri" w:eastAsia="Batang" w:hAnsi="Calibri" w:cs="Calibri"/>
          <w:sz w:val="25"/>
          <w:szCs w:val="25"/>
        </w:rPr>
        <w:footnoteReference w:id="271"/>
      </w:r>
      <w:r>
        <w:rPr>
          <w:rFonts w:ascii="Calibri" w:eastAsia="Batang" w:hAnsi="Calibri" w:cs="Calibri"/>
          <w:sz w:val="25"/>
          <w:szCs w:val="25"/>
        </w:rPr>
        <w:t>. Pour mieux récuser l’atomisme, Taylor décide de partir de la thèse opposée, celle d’Aristote. La question est posée à partir de la notion d’autosuffisance (</w:t>
      </w:r>
      <w:r>
        <w:rPr>
          <w:rFonts w:ascii="Calibri" w:eastAsia="Batang" w:hAnsi="Calibri" w:cs="Calibri"/>
          <w:i/>
          <w:iCs/>
          <w:sz w:val="25"/>
          <w:szCs w:val="25"/>
        </w:rPr>
        <w:t>autarkeia</w:t>
      </w:r>
      <w:r>
        <w:rPr>
          <w:rFonts w:ascii="Calibri" w:eastAsia="Batang" w:hAnsi="Calibri" w:cs="Calibri"/>
          <w:sz w:val="25"/>
          <w:szCs w:val="25"/>
        </w:rPr>
        <w:t>)</w:t>
      </w:r>
      <w:r>
        <w:rPr>
          <w:rStyle w:val="Appelnotedebasdep"/>
          <w:rFonts w:ascii="Calibri" w:eastAsia="Batang" w:hAnsi="Calibri" w:cs="Calibri"/>
          <w:sz w:val="25"/>
          <w:szCs w:val="25"/>
        </w:rPr>
        <w:footnoteReference w:id="272"/>
      </w:r>
      <w:r>
        <w:rPr>
          <w:rFonts w:ascii="Calibri" w:eastAsia="Batang" w:hAnsi="Calibri" w:cs="Calibri"/>
          <w:sz w:val="25"/>
          <w:szCs w:val="25"/>
        </w:rPr>
        <w:t xml:space="preserve">. Si l’on considère que l’homme est un animal social ou même un animal politique, c’est dans la mesure où on considère que tout seul, en dehors de la </w:t>
      </w:r>
      <w:r>
        <w:rPr>
          <w:rFonts w:ascii="Calibri" w:eastAsia="Batang" w:hAnsi="Calibri" w:cs="Calibri"/>
          <w:i/>
          <w:iCs/>
          <w:sz w:val="25"/>
          <w:szCs w:val="25"/>
        </w:rPr>
        <w:t>polis</w:t>
      </w:r>
      <w:r>
        <w:rPr>
          <w:rFonts w:ascii="Calibri" w:eastAsia="Batang" w:hAnsi="Calibri" w:cs="Calibri"/>
          <w:sz w:val="25"/>
          <w:szCs w:val="25"/>
        </w:rPr>
        <w:t>, il ne se suffit pas. Que signifie donc la primauté des droits ? Est-ce que l’homme isolé est autosuffisant ? Ce serait assurément une thèse très contestable</w:t>
      </w:r>
      <w:r>
        <w:rPr>
          <w:rStyle w:val="Appelnotedebasdep"/>
          <w:rFonts w:ascii="Calibri" w:eastAsia="Batang" w:hAnsi="Calibri" w:cs="Calibri"/>
          <w:sz w:val="25"/>
          <w:szCs w:val="25"/>
        </w:rPr>
        <w:footnoteReference w:id="273"/>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contradiction que Taylor relève dans la pensée des théoriciens classiques de l’atomisme est à chercher à l’état de nature, dans lequel les hommes vivaient sans société. Cela ne pourrait être qu’un fait historique accidentel dans la mesure où même ceux qui soutenaient la thèse de l’autosuffisance de l’homme à l’instar de Hobbes et de tous les théoriciens du « contrat social », ont souligné les grands avantages que l’homme a acquis en entrant dans la société</w:t>
      </w:r>
      <w:r>
        <w:rPr>
          <w:rStyle w:val="Appelnotedebasdep"/>
          <w:rFonts w:ascii="Calibri" w:eastAsia="Batang" w:hAnsi="Calibri" w:cs="Calibri"/>
          <w:sz w:val="25"/>
          <w:szCs w:val="25"/>
        </w:rPr>
        <w:footnoteReference w:id="274"/>
      </w:r>
      <w:r>
        <w:rPr>
          <w:rFonts w:ascii="Calibri" w:eastAsia="Batang" w:hAnsi="Calibri" w:cs="Calibri"/>
          <w:sz w:val="25"/>
          <w:szCs w:val="25"/>
        </w:rPr>
        <w:t>. En ce qui concerne Locke par exemple, l’homme à l’état de nature lui-même n’est pas autosuffisant et l’état de nature est, par conséquent, une situation d’échange et de relations sociales où l’autorité est tout simplement absente. L’enjeu de ce débat n’est pas de prouver que l’homme n’est pas autosuffisant ; mais, surtout de démontrer qu’il ne développe vraiment ses capacités proprement humaines qu’en société et que la vie en société est une condition nécessaire du développement de la rationalité</w:t>
      </w:r>
      <w:r>
        <w:rPr>
          <w:rStyle w:val="Appelnotedebasdep"/>
          <w:rFonts w:ascii="Calibri" w:eastAsia="Batang" w:hAnsi="Calibri" w:cs="Calibri"/>
          <w:sz w:val="25"/>
          <w:szCs w:val="25"/>
        </w:rPr>
        <w:footnoteReference w:id="275"/>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question de la rationalité alimente le débat de l’attribution des droits aux animaux et bien sûr la distinction de l’homme et de l’animal tout court. Au fait, pourquoi </w:t>
      </w:r>
      <w:r>
        <w:rPr>
          <w:rFonts w:ascii="Calibri" w:eastAsia="Batang" w:hAnsi="Calibri" w:cs="Calibri"/>
          <w:sz w:val="25"/>
          <w:szCs w:val="25"/>
        </w:rPr>
        <w:lastRenderedPageBreak/>
        <w:t>attribuer des droits aux animaux ? « La réponse donnée habituellement est qu’ils sont des êtres doués de sensibilité (</w:t>
      </w:r>
      <w:r>
        <w:rPr>
          <w:rFonts w:ascii="Calibri" w:eastAsia="Batang" w:hAnsi="Calibri" w:cs="Calibri"/>
          <w:i/>
          <w:iCs/>
          <w:sz w:val="25"/>
          <w:szCs w:val="25"/>
        </w:rPr>
        <w:t>sentience</w:t>
      </w:r>
      <w:r>
        <w:rPr>
          <w:rFonts w:ascii="Calibri" w:eastAsia="Batang" w:hAnsi="Calibri" w:cs="Calibri"/>
          <w:sz w:val="25"/>
          <w:szCs w:val="25"/>
        </w:rPr>
        <w:t>) »</w:t>
      </w:r>
      <w:r>
        <w:rPr>
          <w:rStyle w:val="Appelnotedebasdep"/>
          <w:rFonts w:ascii="Calibri" w:eastAsia="Batang" w:hAnsi="Calibri" w:cs="Calibri"/>
          <w:sz w:val="25"/>
          <w:szCs w:val="25"/>
        </w:rPr>
        <w:footnoteReference w:id="276"/>
      </w:r>
      <w:r>
        <w:rPr>
          <w:rFonts w:ascii="Calibri" w:eastAsia="Batang" w:hAnsi="Calibri" w:cs="Calibri"/>
          <w:sz w:val="25"/>
          <w:szCs w:val="25"/>
        </w:rPr>
        <w:t>. Ici la sensibilité ne signifie pas simplement la capacité de ressentir la douleur ; la sensibilité signifie quelque chose de plus, c’est-à-dire la capacité de jouir de la vie et de ses différentes capacités.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En ce sens, elle implique une certaine auto conscience de ses sensations. Ce qui fonde d’ailleurs toute interdiction de tuer les animaux. Or l’idée des droits marche de pair avec celle du respect. Donc, dire de certains êtres qu’ils ont des droits, c’est également leur reconnaître une capacité qui commande le respect car cette capacité a un  statut moral tout particulier. Pour les hommes, cette capacité ne fait aucun doute. Si la vie est protégée, c’est tout simplement parce que les hommes sont des formes vivantes, l’intégrité corporelle et l’intégrité physique sont garanties pour la même raison</w:t>
      </w:r>
      <w:r>
        <w:rPr>
          <w:rStyle w:val="Appelnotedebasdep"/>
          <w:rFonts w:ascii="Calibri" w:eastAsia="Batang" w:hAnsi="Calibri" w:cs="Calibri"/>
          <w:sz w:val="25"/>
          <w:szCs w:val="25"/>
        </w:rPr>
        <w:footnoteReference w:id="277"/>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thèse que Taylor défend dans </w:t>
      </w:r>
      <w:r>
        <w:rPr>
          <w:rFonts w:ascii="Calibri" w:eastAsia="Batang" w:hAnsi="Calibri" w:cs="Calibri"/>
          <w:i/>
          <w:iCs/>
          <w:sz w:val="25"/>
          <w:szCs w:val="25"/>
        </w:rPr>
        <w:t>La liberté des modernes</w:t>
      </w:r>
      <w:r>
        <w:rPr>
          <w:rFonts w:ascii="Calibri" w:eastAsia="Batang" w:hAnsi="Calibri" w:cs="Calibri"/>
          <w:sz w:val="25"/>
          <w:szCs w:val="25"/>
        </w:rPr>
        <w:t xml:space="preserve">  est très claire : « Attribuer un droit naturel (pas seulement légal) à X à l’agent A, c’est affirmer que A commande notre respect, en sorte que nous sommes moralement tenus de ne pas empêcher A de faire X ou de jouir de X. Cela veut dire qu’attribuer un droit est bien plus qu’émettre simplement l’injonction : ne pas empêcher A de faire X ou de jouir de X »</w:t>
      </w:r>
      <w:r>
        <w:rPr>
          <w:rStyle w:val="Appelnotedebasdep"/>
          <w:rFonts w:ascii="Calibri" w:eastAsia="Batang" w:hAnsi="Calibri" w:cs="Calibri"/>
          <w:sz w:val="25"/>
          <w:szCs w:val="25"/>
        </w:rPr>
        <w:footnoteReference w:id="278"/>
      </w:r>
      <w:r>
        <w:rPr>
          <w:rFonts w:ascii="Calibri" w:eastAsia="Batang" w:hAnsi="Calibri" w:cs="Calibri"/>
          <w:sz w:val="25"/>
          <w:szCs w:val="25"/>
        </w:rPr>
        <w:t>.</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Pour Taylor, affirmer ce droit c’est accepter le droit moral de A d’exiger qu’on lui empêche X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 qui chez A rend l’injonction irrécusable, c’est la propriété ou les propriétés essentielles, c’est-à-dire les capacités proprement humaines (E) qui définissent les porteurs de droits et ce à quoi ils droit (par exemple la propriété, la vie la liberté un salaire décent).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L’affirmation d’un droit naturel a nécessairement d’autres conséquences morales dans la mesure où les capacités proprement humaines ont une grande valeur morale. On doit les favoriser et les développer ; car, les hommes sont, contrairement aux animaux, les êtres qui manifestent certaines capacités dignes de respect.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Ce qui est caractéristique dans cette réflexion de Taylor, c’est la connexion qu’il fait entre la doctrine de la primauté des droits et l’atomisme. La doctrine de la primauté des droits est dépendante de la thèse atomiste de l’autosuffisance. Or « si nous ne pouvons attribuer des droits naturels sans affirmer la valeur de certaine capacités humaines, si cette affirmation a d’autres conséquences normatives (par exemple que nous devons favoriser et cultiver chez nous et chez les autres), alors toute preuve que ces capacités ne peuvent se développer qu’en société ou dans une société d’un certain type est une preuve que nous avons le devoir d’appartenir à la société ou à une société d’un certain type et de la soutenir »</w:t>
      </w:r>
      <w:r>
        <w:rPr>
          <w:rStyle w:val="Appelnotedebasdep"/>
          <w:rFonts w:ascii="Calibri" w:eastAsia="Batang" w:hAnsi="Calibri" w:cs="Calibri"/>
          <w:sz w:val="25"/>
          <w:szCs w:val="25"/>
        </w:rPr>
        <w:footnoteReference w:id="279"/>
      </w:r>
      <w:r>
        <w:rPr>
          <w:rFonts w:ascii="Calibri" w:eastAsia="Batang" w:hAnsi="Calibri" w:cs="Calibri"/>
          <w:sz w:val="25"/>
          <w:szCs w:val="25"/>
        </w:rPr>
        <w:t>. Cette thèse sociale falsifie donc l’affirmation de la primauté des droit (celle-ci est tout simplement impossible) et engage à une obligation d’appartenance.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Troisièmement, au niveau politique et au niveau des conséquences appréhendées de l’individualisme et de la raison instrumentale, les institutions et les structures de la société techno - industrielle restreignent considérablement nos choix : elles forcent les sociétés autant que les individus à donner à la raison instrumentale un poids que nous ne lui accorderions jamais dans un débat moral sérieux, et qui pourrait se révéler extrêmement destructeur</w:t>
      </w:r>
      <w:r>
        <w:rPr>
          <w:rStyle w:val="Appelnotedebasdep"/>
          <w:rFonts w:ascii="Calibri" w:eastAsia="Batang" w:hAnsi="Calibri" w:cs="Calibri"/>
          <w:sz w:val="25"/>
          <w:szCs w:val="25"/>
        </w:rPr>
        <w:footnoteReference w:id="280"/>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Une société fondée seulement sur la raison instrumentale et aussi longtemps qu’elle ne modèle pas seulement nos décisions sociales menace également les libertés individuelles et collectives</w:t>
      </w:r>
      <w:r>
        <w:rPr>
          <w:rStyle w:val="Appelnotedebasdep"/>
          <w:rFonts w:ascii="Calibri" w:eastAsia="Batang" w:hAnsi="Calibri" w:cs="Calibri"/>
          <w:sz w:val="25"/>
          <w:szCs w:val="25"/>
        </w:rPr>
        <w:footnoteReference w:id="281"/>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Tels sont les trois malaises de la modernité dont traite Taylor : la perte de sens, la disparition des horizons moraux et la perte de la liberté. Taylor lui-même ne tranchera pas ; il se limite à reconnaître la subtilité et la complexité de la culture moderne en donnant raison aux uns et aux autres, en reconnaissant l’engouement et la frayeur que la modernité suscite. Ce qui nous suggère qu’en contexte postmoderne et en ce qui concerne les fondements philosophiques du pouvoir politique ou de la politique, penser la relation sociale en termes de primat (primauté) est toujours  facilement récusable.</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La seconde critique commence par le questionnement de Sandel : « une communauté qui donne priorité à la justice peut-elle jamais être plus qu’une communauté d’étranger » </w:t>
      </w:r>
      <w:r>
        <w:rPr>
          <w:rStyle w:val="Appelnotedebasdep"/>
          <w:rFonts w:ascii="Calibri" w:eastAsia="Batang" w:hAnsi="Calibri" w:cs="Calibri"/>
          <w:sz w:val="25"/>
          <w:szCs w:val="25"/>
        </w:rPr>
        <w:footnoteReference w:id="282"/>
      </w:r>
      <w:r>
        <w:rPr>
          <w:rFonts w:ascii="Calibri" w:eastAsia="Batang" w:hAnsi="Calibri" w:cs="Calibri"/>
          <w:sz w:val="25"/>
          <w:szCs w:val="25"/>
        </w:rPr>
        <w:t>? Pour Walzer, la théorie libérale interprète mal la vie réelle puisqu’il n’est pas plausible que les hommes et les femmes soient libérés de tout lien social. Cela signifierait qu’ils sont totalement désengagés, seuls et uniques inventeurs de leur propre vie, dénués de critères ou de modèle commun qui les guide dans cette invention comme s’ils étaient des figures mythiques</w:t>
      </w:r>
      <w:r>
        <w:rPr>
          <w:rStyle w:val="Appelnotedebasdep"/>
          <w:rFonts w:ascii="Calibri" w:eastAsia="Batang" w:hAnsi="Calibri" w:cs="Calibri"/>
          <w:sz w:val="25"/>
          <w:szCs w:val="25"/>
        </w:rPr>
        <w:footnoteReference w:id="283"/>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Au fait, les membres d’un groupe ne peuvent pas être étrangers les uns aux autres puisque chacun est issu des parents et ceux-ci eux-mêmes ont des relations (des proches, des voisins, des camarades de travail etc.) ; il n’est pas non plus vrai que tous les liens sont contractuels ou encore que tous les liens sont mercantiles, comme le suggère Hobbes. « Le propre de toute société humaine est que les individus qui y sont élevés se trouvent engagés dans des relations, des réseaux de pouvoir, et des communauté de sens »</w:t>
      </w:r>
      <w:r>
        <w:rPr>
          <w:rStyle w:val="Appelnotedebasdep"/>
          <w:rFonts w:ascii="Calibri" w:eastAsia="Batang" w:hAnsi="Calibri" w:cs="Calibri"/>
          <w:sz w:val="25"/>
          <w:szCs w:val="25"/>
        </w:rPr>
        <w:footnoteReference w:id="284"/>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Selon ce point de vue, la structure profonde de la société libérale elle-même est en fait communautaire et le libéralisme déforme tout simplement la réalité. Nous sommes toujours déjà liés les uns aux autres à telle enseigne que rien ne peut (surtout pas la théorie libérale) nous enlever notre qualité de personne avec des liens.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Quand on considère l’idée de justice distributive cette deuxième critique devient encore plus plausible puisque la justice distributive suppose un monde limité dans lequel se passent la distribution et les échanges et, ce monde est, pour Walzer, la communauté politique. L’idée de justice distributive part elle-même de l’idée d’un groupe établi et constitué avant tout non pas par des origines historiques, mais par les décisions qu’ils prennent ensemble en ce qui concerne le présent et l’avenir</w:t>
      </w:r>
      <w:r>
        <w:rPr>
          <w:rStyle w:val="Appelnotedebasdep"/>
          <w:rFonts w:ascii="Calibri" w:eastAsia="Batang" w:hAnsi="Calibri" w:cs="Calibri"/>
          <w:sz w:val="25"/>
          <w:szCs w:val="25"/>
        </w:rPr>
        <w:footnoteReference w:id="285"/>
      </w:r>
      <w:r>
        <w:rPr>
          <w:rFonts w:ascii="Calibri" w:eastAsia="Batang" w:hAnsi="Calibri" w:cs="Calibri"/>
          <w:sz w:val="25"/>
          <w:szCs w:val="25"/>
        </w:rPr>
        <w:t>.</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Et dans l’esprit de</w:t>
      </w:r>
      <w:r>
        <w:rPr>
          <w:rFonts w:ascii="Calibri" w:eastAsia="Batang" w:hAnsi="Calibri" w:cs="Calibri"/>
          <w:i/>
          <w:iCs/>
          <w:sz w:val="25"/>
          <w:szCs w:val="25"/>
        </w:rPr>
        <w:t xml:space="preserve"> Spheres of justice</w:t>
      </w:r>
      <w:r>
        <w:rPr>
          <w:rFonts w:ascii="Calibri" w:eastAsia="Batang" w:hAnsi="Calibri" w:cs="Calibri"/>
          <w:sz w:val="25"/>
          <w:szCs w:val="25"/>
        </w:rPr>
        <w:t>, le bien premier que nous nous distribuons est l’appartenance à une communauté humaine quelconque</w:t>
      </w:r>
      <w:r>
        <w:rPr>
          <w:rStyle w:val="Appelnotedebasdep"/>
          <w:rFonts w:ascii="Calibri" w:eastAsia="Batang" w:hAnsi="Calibri" w:cs="Calibri"/>
          <w:sz w:val="25"/>
          <w:szCs w:val="25"/>
        </w:rPr>
        <w:footnoteReference w:id="286"/>
      </w:r>
      <w:r>
        <w:rPr>
          <w:rFonts w:ascii="Calibri" w:eastAsia="Batang" w:hAnsi="Calibri" w:cs="Calibri"/>
          <w:sz w:val="25"/>
          <w:szCs w:val="25"/>
        </w:rPr>
        <w:t>. Ici ce sont nos choix distributifs qui sont déterminés par notre manière de traiter l’appartenance à la communauté. Il s’agit de voir avec qui nous faisons des choix, de qui nous exigeons l’obéissance etc. De toute manière, les marchés sont toujours ouverts à tous, mais ceux qui n’appartiennent à aucune communauté politique sont vulnérables et sans protection quand ils entrent sur le marché</w:t>
      </w:r>
      <w:r>
        <w:rPr>
          <w:rStyle w:val="Appelnotedebasdep"/>
          <w:rFonts w:ascii="Calibri" w:eastAsia="Batang" w:hAnsi="Calibri" w:cs="Calibri"/>
          <w:sz w:val="25"/>
          <w:szCs w:val="25"/>
        </w:rPr>
        <w:footnoteReference w:id="287"/>
      </w:r>
      <w:r>
        <w:rPr>
          <w:rFonts w:ascii="Calibri" w:eastAsia="Batang" w:hAnsi="Calibri" w:cs="Calibri"/>
          <w:sz w:val="25"/>
          <w:szCs w:val="25"/>
        </w:rPr>
        <w:t>. Se couper de toute appartenance, c’est également se couper du fonds commun en matière de sécurité sociale et du bien-être social, comme la santé publique, distribués collectivement</w:t>
      </w:r>
      <w:r>
        <w:rPr>
          <w:rStyle w:val="Appelnotedebasdep"/>
          <w:rFonts w:ascii="Calibri" w:eastAsia="Batang" w:hAnsi="Calibri" w:cs="Calibri"/>
          <w:sz w:val="25"/>
          <w:szCs w:val="25"/>
        </w:rPr>
        <w:footnoteReference w:id="288"/>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Tant qu’on est apatride, on court d’infinis  dangers puisqu’on n’a pas de place garantie dans la collectivité et on est toujours susceptible d’en être écarté. La question de l’appartenance telle que posée dans </w:t>
      </w:r>
      <w:r>
        <w:rPr>
          <w:rFonts w:ascii="Calibri" w:eastAsia="Batang" w:hAnsi="Calibri" w:cs="Calibri"/>
          <w:i/>
          <w:iCs/>
          <w:sz w:val="25"/>
          <w:szCs w:val="25"/>
        </w:rPr>
        <w:t>Spheres of justice</w:t>
      </w:r>
      <w:r>
        <w:rPr>
          <w:rFonts w:ascii="Calibri" w:eastAsia="Batang" w:hAnsi="Calibri" w:cs="Calibri"/>
          <w:sz w:val="25"/>
          <w:szCs w:val="25"/>
        </w:rPr>
        <w:t>, est en relation étroite avec celle de besoin. L’idée d’un monde dépourvu de signification particulière et de communautés politiques où personne ne serait un membre ou bien où tout le monde appartiendrait à un seul Etat global, est une expression de deux formes d’égalité simple relativement à l’appartenance. A ce sujet Walzer écrit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Si tous les êtres étaient étrangers les uns aux autres, si toutes nos rencontres ressemblaient à des rencontres sur la mer, dans le désert ou sur le bord d’une route, il n’y aurait pas d’appartenance à distribuer (…) la question de savoir où et comment vivre, et avec qui, dépendrait de nos désirs individuels, puis de nos partenariats et de nos affaires »</w:t>
      </w:r>
      <w:r>
        <w:rPr>
          <w:rStyle w:val="Appelnotedebasdep"/>
          <w:rFonts w:ascii="Calibri" w:eastAsia="Batang" w:hAnsi="Calibri" w:cs="Calibri"/>
          <w:sz w:val="25"/>
          <w:szCs w:val="25"/>
        </w:rPr>
        <w:footnoteReference w:id="289"/>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C’est la première forme d’égalité simple où la justice est tout simplement l’absence de coercition, la bonne foi et le bon-samaritanisme</w:t>
      </w:r>
      <w:r>
        <w:rPr>
          <w:rStyle w:val="Appelnotedebasdep"/>
          <w:rFonts w:ascii="Calibri" w:eastAsia="Batang" w:hAnsi="Calibri" w:cs="Calibri"/>
          <w:sz w:val="25"/>
          <w:szCs w:val="25"/>
        </w:rPr>
        <w:footnoteReference w:id="290"/>
      </w:r>
      <w:r>
        <w:rPr>
          <w:rFonts w:ascii="Calibri" w:eastAsia="Batang" w:hAnsi="Calibri" w:cs="Calibri"/>
          <w:sz w:val="25"/>
          <w:szCs w:val="25"/>
        </w:rPr>
        <w:t>. Ce qui est également caractéristique c’est qu’une telle justice est purement affaire de princes externes. C’est une sorte de libertarianisme global.</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Walzer de continuer : « Si, en revanche, tous les êtres humains étaient membres d’un Etat global, l’appartenance aurait déjà été distribuée, de manière égale ; et il n’y aurait </w:t>
      </w:r>
      <w:r>
        <w:rPr>
          <w:rFonts w:ascii="Calibri" w:eastAsia="Batang" w:hAnsi="Calibri" w:cs="Calibri"/>
          <w:sz w:val="25"/>
          <w:szCs w:val="25"/>
        </w:rPr>
        <w:lastRenderedPageBreak/>
        <w:t>rien à faire de plus »</w:t>
      </w:r>
      <w:r>
        <w:rPr>
          <w:rStyle w:val="Appelnotedebasdep"/>
          <w:rFonts w:ascii="Calibri" w:eastAsia="Batang" w:hAnsi="Calibri" w:cs="Calibri"/>
          <w:sz w:val="25"/>
          <w:szCs w:val="25"/>
        </w:rPr>
        <w:footnoteReference w:id="291"/>
      </w:r>
      <w:r>
        <w:rPr>
          <w:rFonts w:ascii="Calibri" w:eastAsia="Batang" w:hAnsi="Calibri" w:cs="Calibri"/>
          <w:sz w:val="25"/>
          <w:szCs w:val="25"/>
        </w:rPr>
        <w:t>. Cette seconde forme d’égalité simple est une sorte de socialisme global et pour Walzer, ce sont les deux conditions dans lesquelles la question de la répartition ne se posera jamais puisque d’ailleurs aucun de ces dispositifs n’a de chance de se réaliser dans le proche avenir. Le problème qui vient avec ces conditions est celui qui vient de la distinction entre membres et étrangers : il faut prendre des décisions d’admission et accepter ou refuser des hommes et des femmes</w:t>
      </w:r>
      <w:r>
        <w:rPr>
          <w:rStyle w:val="Appelnotedebasdep"/>
          <w:rFonts w:ascii="Calibri" w:eastAsia="Batang" w:hAnsi="Calibri" w:cs="Calibri"/>
          <w:sz w:val="25"/>
          <w:szCs w:val="25"/>
        </w:rPr>
        <w:footnoteReference w:id="292"/>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L’appartenance est importante, comme l’affirme Walzer, en raison de ce que les membres d’une communauté politique se doivent l’un à l’autre et à personne d’autre, ou à personne d’être au même degré. Et la première chose qu’ils se doivent est une certaine assistance communautaire (</w:t>
      </w:r>
      <w:r>
        <w:rPr>
          <w:rFonts w:ascii="Calibri" w:eastAsia="Batang" w:hAnsi="Calibri" w:cs="Calibri"/>
          <w:i/>
          <w:iCs/>
          <w:sz w:val="25"/>
          <w:szCs w:val="25"/>
        </w:rPr>
        <w:t>communal provision</w:t>
      </w:r>
      <w:r>
        <w:rPr>
          <w:rFonts w:ascii="Calibri" w:eastAsia="Batang" w:hAnsi="Calibri" w:cs="Calibri"/>
          <w:sz w:val="25"/>
          <w:szCs w:val="25"/>
        </w:rPr>
        <w:t>) en matière de sécurité et de bien-être (</w:t>
      </w:r>
      <w:r>
        <w:rPr>
          <w:rFonts w:ascii="Calibri" w:eastAsia="Batang" w:hAnsi="Calibri" w:cs="Calibri"/>
          <w:i/>
          <w:iCs/>
          <w:sz w:val="25"/>
          <w:szCs w:val="25"/>
        </w:rPr>
        <w:t>wel-fare</w:t>
      </w:r>
      <w:r>
        <w:rPr>
          <w:rFonts w:ascii="Calibri" w:eastAsia="Batang" w:hAnsi="Calibri" w:cs="Calibri"/>
          <w:sz w:val="25"/>
          <w:szCs w:val="25"/>
        </w:rPr>
        <w:t>)</w:t>
      </w:r>
      <w:r>
        <w:rPr>
          <w:rStyle w:val="Appelnotedebasdep"/>
          <w:rFonts w:ascii="Calibri" w:eastAsia="Batang" w:hAnsi="Calibri" w:cs="Calibri"/>
          <w:sz w:val="25"/>
          <w:szCs w:val="25"/>
        </w:rPr>
        <w:footnoteReference w:id="293"/>
      </w:r>
      <w:r>
        <w:rPr>
          <w:rFonts w:ascii="Calibri" w:eastAsia="Batang" w:hAnsi="Calibri" w:cs="Calibri"/>
          <w:sz w:val="25"/>
          <w:szCs w:val="25"/>
        </w:rPr>
        <w:t>. L’inverse est également vrai : l’assistance communautaire est importante parce qu’elle nous démontre la valeur de l’appartenance. Donc la communauté politique pour l’assistance et l’assistance pour la communauté politique</w:t>
      </w:r>
      <w:r>
        <w:rPr>
          <w:rStyle w:val="Appelnotedebasdep"/>
          <w:rFonts w:ascii="Calibri" w:eastAsia="Batang" w:hAnsi="Calibri" w:cs="Calibri"/>
          <w:sz w:val="25"/>
          <w:szCs w:val="25"/>
        </w:rPr>
        <w:footnoteReference w:id="294"/>
      </w:r>
      <w:r>
        <w:rPr>
          <w:rFonts w:ascii="Calibri" w:eastAsia="Batang" w:hAnsi="Calibri" w:cs="Calibri"/>
          <w:sz w:val="25"/>
          <w:szCs w:val="25"/>
        </w:rPr>
        <w:t xml:space="preserve">. </w:t>
      </w:r>
      <w:r>
        <w:rPr>
          <w:rFonts w:ascii="Calibri" w:eastAsia="Batang" w:hAnsi="Calibri" w:cs="Calibri"/>
          <w:i/>
          <w:iCs/>
          <w:sz w:val="25"/>
          <w:szCs w:val="25"/>
        </w:rPr>
        <w:t>Les sources du moi</w:t>
      </w:r>
      <w:r>
        <w:rPr>
          <w:rFonts w:ascii="Calibri" w:eastAsia="Batang" w:hAnsi="Calibri" w:cs="Calibri"/>
          <w:sz w:val="25"/>
          <w:szCs w:val="25"/>
        </w:rPr>
        <w:t xml:space="preserve"> réitèrent très fort ce point de vue.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Le désenchantement croissant de la culture moderne nous plonge, selon Taylor, dans la thèse réductrice contre laquelle il défend la thèse opposée que le moi est toujours dans l’espace moral, c’est-à-dire qu’il ne peut se passer de cadres, des horizons à l’intérieur desquels nous conduisons nos vies et qui leur donnent une cohérence</w:t>
      </w:r>
      <w:r>
        <w:rPr>
          <w:rStyle w:val="Appelnotedebasdep"/>
          <w:rFonts w:ascii="Calibri" w:eastAsia="Batang" w:hAnsi="Calibri" w:cs="Calibri"/>
          <w:sz w:val="25"/>
          <w:szCs w:val="25"/>
        </w:rPr>
        <w:footnoteReference w:id="295"/>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Walzer soutient que vivre à l’intérieur de tels horizons fortement déterminés constitue une des caractéristiques de l’agent humain, de la personne humaine intégrale, c’est - à - dire non aliénée</w:t>
      </w:r>
      <w:r>
        <w:rPr>
          <w:rStyle w:val="Appelnotedebasdep"/>
          <w:rFonts w:ascii="Calibri" w:eastAsia="Batang" w:hAnsi="Calibri" w:cs="Calibri"/>
          <w:sz w:val="25"/>
          <w:szCs w:val="25"/>
        </w:rPr>
        <w:footnoteReference w:id="296"/>
      </w:r>
      <w:r>
        <w:rPr>
          <w:rFonts w:ascii="Calibri" w:eastAsia="Batang" w:hAnsi="Calibri" w:cs="Calibri"/>
          <w:sz w:val="25"/>
          <w:szCs w:val="25"/>
        </w:rPr>
        <w:t xml:space="preserve">. La question de l’identité n’appelle plus  nécessairement une réponse généalogique ou nominale, l’identité peut se définir par « les engagements et les identifications qui déterminent le cadre ou l’horizon à l’intérieur duquel je peux </w:t>
      </w:r>
      <w:r>
        <w:rPr>
          <w:rFonts w:ascii="Calibri" w:eastAsia="Batang" w:hAnsi="Calibri" w:cs="Calibri"/>
          <w:sz w:val="25"/>
          <w:szCs w:val="25"/>
        </w:rPr>
        <w:lastRenderedPageBreak/>
        <w:t>essayer de juger cas par cas ce qui est bien ou valable, ce qu’il convient de faire, ce que j’accepte ou ce à quoi je m’oppose »</w:t>
      </w:r>
      <w:r>
        <w:rPr>
          <w:rStyle w:val="Appelnotedebasdep"/>
          <w:rFonts w:ascii="Calibri" w:eastAsia="Batang" w:hAnsi="Calibri" w:cs="Calibri"/>
          <w:sz w:val="25"/>
          <w:szCs w:val="25"/>
        </w:rPr>
        <w:footnoteReference w:id="297"/>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Les gens, écrit Walzer, peuvent concevoir que leur identité se définit en partie par un certain engagement moral ou spirituel : par exemple, ils sont catholiques ou anarchistes. Ils peuvent la définir aussi en partie par la nation ou par la tradition à laquelle ils appartiennent : ils sont Américains ou Québécois. Ce qu’ils laissent entendre par là, ce n’est pas uniquement qu’ils sont fermement attachés à ce point de vue spirituel ou à ce contexte, mais que ceux-ci leur fournissent le cadre à l’intérieur duquel ils peuvent déterminer leur position par rapport à ce qui est bien, digne, admirable, valable »</w:t>
      </w:r>
      <w:r>
        <w:rPr>
          <w:rStyle w:val="Appelnotedebasdep"/>
          <w:rFonts w:ascii="Calibri" w:eastAsia="Batang" w:hAnsi="Calibri" w:cs="Calibri"/>
          <w:sz w:val="25"/>
          <w:szCs w:val="25"/>
        </w:rPr>
        <w:footnoteReference w:id="298"/>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 Moi » par « soi-même », car le « moi » </w:t>
      </w:r>
      <w:r>
        <w:rPr>
          <w:rFonts w:ascii="Calibri" w:eastAsia="Batang" w:hAnsi="Calibri" w:cs="Calibri"/>
          <w:i/>
          <w:iCs/>
          <w:sz w:val="25"/>
          <w:szCs w:val="25"/>
        </w:rPr>
        <w:t>est</w:t>
      </w:r>
      <w:r>
        <w:rPr>
          <w:rFonts w:ascii="Calibri" w:eastAsia="Batang" w:hAnsi="Calibri" w:cs="Calibri"/>
          <w:sz w:val="25"/>
          <w:szCs w:val="25"/>
        </w:rPr>
        <w:t xml:space="preserve"> compris, dans la logique des </w:t>
      </w:r>
      <w:r>
        <w:rPr>
          <w:rFonts w:ascii="Calibri" w:eastAsia="Batang" w:hAnsi="Calibri" w:cs="Calibri"/>
          <w:i/>
          <w:iCs/>
          <w:sz w:val="25"/>
          <w:szCs w:val="25"/>
        </w:rPr>
        <w:t>Sources du moi,</w:t>
      </w:r>
      <w:r>
        <w:rPr>
          <w:rFonts w:ascii="Calibri" w:eastAsia="Batang" w:hAnsi="Calibri" w:cs="Calibri"/>
          <w:sz w:val="25"/>
          <w:szCs w:val="25"/>
        </w:rPr>
        <w:t xml:space="preserve"> comme ne pouvant être un « soi » sans rapport avec certains interlocuteurs, c’est-à-dire des partenaires de dialogue grâce à qui la réalisation de la définition du « moi » est devenu possible. Un </w:t>
      </w:r>
      <w:r>
        <w:rPr>
          <w:rFonts w:ascii="Calibri" w:eastAsia="Batang" w:hAnsi="Calibri" w:cs="Calibri"/>
          <w:i/>
          <w:sz w:val="25"/>
          <w:szCs w:val="25"/>
        </w:rPr>
        <w:t>moi</w:t>
      </w:r>
      <w:r>
        <w:rPr>
          <w:rFonts w:ascii="Calibri" w:eastAsia="Batang" w:hAnsi="Calibri" w:cs="Calibri"/>
          <w:sz w:val="25"/>
          <w:szCs w:val="25"/>
        </w:rPr>
        <w:t xml:space="preserve"> n’existe qu’à l’intérieur des réseaux d’interlocution.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Donc la définition  de l’identité d’un individu appelle à la fois sa position relativement aux questions morales et spirituelles et une référence à une communauté qui la détermine. Or, la culture moderne a voulu développé des conceptions de l’individualisme qui représentent la personne humaine, comme si elle cherchait ses propres orientations à l’intérieur d’elle-même, affirmant ainsi son indépendance vis-à-vis des réseaux d’interlocution qui l’ont formé originellement</w:t>
      </w:r>
      <w:r>
        <w:rPr>
          <w:rStyle w:val="Appelnotedebasdep"/>
          <w:rFonts w:ascii="Calibri" w:eastAsia="Batang" w:hAnsi="Calibri" w:cs="Calibri"/>
          <w:sz w:val="25"/>
          <w:szCs w:val="25"/>
        </w:rPr>
        <w:footnoteReference w:id="299"/>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Cette thèse apparaît dans la </w:t>
      </w:r>
      <w:r>
        <w:rPr>
          <w:rFonts w:ascii="Calibri" w:eastAsia="Batang" w:hAnsi="Calibri" w:cs="Calibri"/>
          <w:i/>
          <w:iCs/>
          <w:sz w:val="25"/>
          <w:szCs w:val="25"/>
        </w:rPr>
        <w:t>Liberté des modernes</w:t>
      </w:r>
      <w:r>
        <w:rPr>
          <w:rFonts w:ascii="Calibri" w:eastAsia="Batang" w:hAnsi="Calibri" w:cs="Calibri"/>
          <w:sz w:val="25"/>
          <w:szCs w:val="25"/>
        </w:rPr>
        <w:t xml:space="preserve"> sous forme de distinction entre les significations intersubjectives formant l’arrière-plan de l’action sociale (traitées par les politologues sur la rubrique de consensus) et les significations communes. Il s’agit de deux choses différentes. Qu’il y ait consensus ou non, il faut dans tous les cas qu’il y ait un certain ensemble de termes de référence communs, sans lesquels la question </w:t>
      </w:r>
      <w:r>
        <w:rPr>
          <w:rFonts w:ascii="Calibri" w:eastAsia="Batang" w:hAnsi="Calibri" w:cs="Calibri"/>
          <w:sz w:val="25"/>
          <w:szCs w:val="25"/>
        </w:rPr>
        <w:lastRenderedPageBreak/>
        <w:t>du consensus ou de l’absence de consensus ne pourrait même pas être posée</w:t>
      </w:r>
      <w:r>
        <w:rPr>
          <w:rStyle w:val="Appelnotedebasdep"/>
          <w:rFonts w:ascii="Calibri" w:eastAsia="Batang" w:hAnsi="Calibri" w:cs="Calibri"/>
          <w:sz w:val="25"/>
          <w:szCs w:val="25"/>
        </w:rPr>
        <w:footnoteReference w:id="300"/>
      </w:r>
      <w:r>
        <w:rPr>
          <w:rFonts w:ascii="Calibri" w:eastAsia="Batang" w:hAnsi="Calibri" w:cs="Calibri"/>
          <w:sz w:val="25"/>
          <w:szCs w:val="25"/>
        </w:rPr>
        <w:t>. Taylor insiste sur la condition transcendantale par laquelle nous avons prise sur notre propre langage, à savoir que d’une certaine façon nous le confrontons ou le rattachons au langage d’autrui</w:t>
      </w:r>
      <w:r>
        <w:rPr>
          <w:rStyle w:val="Appelnotedebasdep"/>
          <w:rFonts w:ascii="Calibri" w:eastAsia="Batang" w:hAnsi="Calibri" w:cs="Calibri"/>
          <w:sz w:val="25"/>
          <w:szCs w:val="25"/>
        </w:rPr>
        <w:footnoteReference w:id="301"/>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Le point de vue du </w:t>
      </w:r>
      <w:r>
        <w:rPr>
          <w:rFonts w:ascii="Calibri" w:eastAsia="Batang" w:hAnsi="Calibri" w:cs="Calibri"/>
          <w:i/>
          <w:iCs/>
          <w:sz w:val="25"/>
          <w:szCs w:val="25"/>
        </w:rPr>
        <w:t>Traité sur la tolérance</w:t>
      </w:r>
      <w:r>
        <w:rPr>
          <w:rFonts w:ascii="Calibri" w:eastAsia="Batang" w:hAnsi="Calibri" w:cs="Calibri"/>
          <w:sz w:val="25"/>
          <w:szCs w:val="25"/>
        </w:rPr>
        <w:t xml:space="preserve"> est caractéristique en tant qu’argument de coexistence. Walzer cite cinq régimes de tolérance qui expriment de manière concrète le besoin d’appartenance. Ces régimes sont à la base d’un certain nombre d’attitudes et réclament une formation politique.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Le premier est constitué des </w:t>
      </w:r>
      <w:r>
        <w:rPr>
          <w:rFonts w:ascii="Calibri" w:eastAsia="Batang" w:hAnsi="Calibri" w:cs="Calibri"/>
          <w:i/>
          <w:iCs/>
          <w:sz w:val="25"/>
          <w:szCs w:val="25"/>
        </w:rPr>
        <w:t>Empires multinationaux</w:t>
      </w:r>
      <w:r>
        <w:rPr>
          <w:rFonts w:ascii="Calibri" w:eastAsia="Batang" w:hAnsi="Calibri" w:cs="Calibri"/>
          <w:sz w:val="25"/>
          <w:szCs w:val="25"/>
        </w:rPr>
        <w:t>. Ces derniers sont les différents groupes constitués en communauté autonomes ou semi - autonomes, de type tant politique que culturel ou religieux, qui se gouvernent elles-mêmes à travers un vaste champ d’activités propres</w:t>
      </w:r>
      <w:r>
        <w:rPr>
          <w:rStyle w:val="Appelnotedebasdep"/>
          <w:rFonts w:ascii="Calibri" w:eastAsia="Batang" w:hAnsi="Calibri" w:cs="Calibri"/>
          <w:sz w:val="25"/>
          <w:szCs w:val="25"/>
        </w:rPr>
        <w:footnoteReference w:id="302"/>
      </w:r>
      <w:r>
        <w:rPr>
          <w:rFonts w:ascii="Calibri" w:eastAsia="Batang" w:hAnsi="Calibri" w:cs="Calibri"/>
          <w:sz w:val="25"/>
          <w:szCs w:val="25"/>
        </w:rPr>
        <w:t xml:space="preserve">. Ces groupes n’ont d’autre choix que celui de coexister dans des relations régies par les bureaucrates impériaux conformément à un code impérial, tel le </w:t>
      </w:r>
      <w:r>
        <w:rPr>
          <w:rFonts w:ascii="Calibri" w:eastAsia="Batang" w:hAnsi="Calibri" w:cs="Calibri"/>
          <w:i/>
          <w:iCs/>
          <w:sz w:val="25"/>
          <w:szCs w:val="25"/>
        </w:rPr>
        <w:t>jus gentium</w:t>
      </w:r>
      <w:r>
        <w:rPr>
          <w:rFonts w:ascii="Calibri" w:eastAsia="Batang" w:hAnsi="Calibri" w:cs="Calibri"/>
          <w:sz w:val="25"/>
          <w:szCs w:val="25"/>
        </w:rPr>
        <w:t xml:space="preserve"> des Romains, destiné à assurer un minimum d’équité, au sens que confère à cette notion le centre impérial</w:t>
      </w:r>
      <w:r>
        <w:rPr>
          <w:rStyle w:val="Appelnotedebasdep"/>
          <w:rFonts w:ascii="Calibri" w:eastAsia="Batang" w:hAnsi="Calibri" w:cs="Calibri"/>
          <w:sz w:val="25"/>
          <w:szCs w:val="25"/>
        </w:rPr>
        <w:footnoteReference w:id="303"/>
      </w:r>
      <w:r>
        <w:rPr>
          <w:rFonts w:ascii="Calibri" w:eastAsia="Batang" w:hAnsi="Calibri" w:cs="Calibri"/>
          <w:sz w:val="25"/>
          <w:szCs w:val="25"/>
        </w:rPr>
        <w:t xml:space="preserve">. Ce régime est un régime de tolérance dans la mesure où il tolère les modes de vie différents ; les interactions, entres les différents groupes sont caractérisées avant tout par le souci de paix. </w:t>
      </w:r>
      <w:r>
        <w:rPr>
          <w:rFonts w:ascii="Calibri" w:eastAsia="Batang" w:hAnsi="Calibri" w:cs="Calibri"/>
          <w:i/>
          <w:iCs/>
          <w:sz w:val="25"/>
          <w:szCs w:val="25"/>
        </w:rPr>
        <w:t>Les Empires multinationaux</w:t>
      </w:r>
      <w:r>
        <w:rPr>
          <w:rFonts w:ascii="Calibri" w:eastAsia="Batang" w:hAnsi="Calibri" w:cs="Calibri"/>
          <w:sz w:val="25"/>
          <w:szCs w:val="25"/>
        </w:rPr>
        <w:t xml:space="preserve"> sont également le lieu où les dissidents ou les hérétiques culturels trouvent refuge puisque la tolérance à leur égard s’exerce collectivement</w:t>
      </w:r>
      <w:r>
        <w:rPr>
          <w:rStyle w:val="Appelnotedebasdep"/>
          <w:rFonts w:ascii="Calibri" w:eastAsia="Batang" w:hAnsi="Calibri" w:cs="Calibri"/>
          <w:sz w:val="25"/>
          <w:szCs w:val="25"/>
        </w:rPr>
        <w:footnoteReference w:id="304"/>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Le deuxième régime de tolérance est </w:t>
      </w:r>
      <w:r>
        <w:rPr>
          <w:rFonts w:ascii="Calibri" w:eastAsia="Batang" w:hAnsi="Calibri" w:cs="Calibri"/>
          <w:i/>
          <w:iCs/>
          <w:sz w:val="25"/>
          <w:szCs w:val="25"/>
        </w:rPr>
        <w:t>la société internationale</w:t>
      </w:r>
      <w:r>
        <w:rPr>
          <w:rFonts w:ascii="Calibri" w:eastAsia="Batang" w:hAnsi="Calibri" w:cs="Calibri"/>
          <w:sz w:val="25"/>
          <w:szCs w:val="25"/>
        </w:rPr>
        <w:t xml:space="preserve">. Celle-ci, bien que n’est pas du tout anarchique dans la mesure où on ne peut y faire n’importe quoi. En dépit d’une certaine faiblesse en ce qui concerne le règlement des conflits –faiblesse due peut être au coût très élevé des interventions- et de l’intolérance de certains pays qui la compose, la société internationale a la facilité de mettre en pratique la maxime « vivre et laisser vivre », en garantissant entre autres l’intangibilité des frontières.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Le troisième régime de tolérance ce sont les </w:t>
      </w:r>
      <w:r>
        <w:rPr>
          <w:rFonts w:ascii="Calibri" w:eastAsia="Batang" w:hAnsi="Calibri" w:cs="Calibri"/>
          <w:i/>
          <w:iCs/>
          <w:sz w:val="25"/>
          <w:szCs w:val="25"/>
        </w:rPr>
        <w:t>Concociations</w:t>
      </w:r>
      <w:r>
        <w:rPr>
          <w:rFonts w:ascii="Calibri" w:eastAsia="Batang" w:hAnsi="Calibri" w:cs="Calibri"/>
          <w:sz w:val="25"/>
          <w:szCs w:val="25"/>
        </w:rPr>
        <w:t xml:space="preserve">. Il s’agit de </w:t>
      </w:r>
      <w:r>
        <w:rPr>
          <w:rFonts w:ascii="Calibri" w:eastAsia="Batang" w:hAnsi="Calibri" w:cs="Calibri"/>
          <w:i/>
          <w:iCs/>
          <w:sz w:val="25"/>
          <w:szCs w:val="25"/>
        </w:rPr>
        <w:t>l’Etat consociationnel</w:t>
      </w:r>
      <w:r>
        <w:rPr>
          <w:rFonts w:ascii="Calibri" w:eastAsia="Batang" w:hAnsi="Calibri" w:cs="Calibri"/>
          <w:sz w:val="25"/>
          <w:szCs w:val="25"/>
        </w:rPr>
        <w:t xml:space="preserve"> binational ou trinational qui est un programme héroïque puisqu’il veut établir une coexistence de type impérial sans bureaucratie d’empire, et sans la distance qui garantit le caractère plus ou moins impartial de l’action d’une telle bureaucratie</w:t>
      </w:r>
      <w:r>
        <w:rPr>
          <w:rStyle w:val="Appelnotedebasdep"/>
          <w:rFonts w:ascii="Calibri" w:eastAsia="Batang" w:hAnsi="Calibri" w:cs="Calibri"/>
          <w:sz w:val="25"/>
          <w:szCs w:val="25"/>
        </w:rPr>
        <w:footnoteReference w:id="305"/>
      </w:r>
      <w:r>
        <w:rPr>
          <w:rFonts w:ascii="Calibri" w:eastAsia="Batang" w:hAnsi="Calibri" w:cs="Calibri"/>
          <w:sz w:val="25"/>
          <w:szCs w:val="25"/>
        </w:rPr>
        <w:t xml:space="preserve">.Mais cette idée de coopération simple et non médiatisée entre deux ou trois communautés, bien que séduisante demeure difficile à réaliser et non impossible.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Le quatrième régime c’est celui des </w:t>
      </w:r>
      <w:r>
        <w:rPr>
          <w:rFonts w:ascii="Calibri" w:eastAsia="Batang" w:hAnsi="Calibri" w:cs="Calibri"/>
          <w:i/>
          <w:iCs/>
          <w:sz w:val="25"/>
          <w:szCs w:val="25"/>
        </w:rPr>
        <w:t>Etats-nations</w:t>
      </w:r>
      <w:r>
        <w:rPr>
          <w:rFonts w:ascii="Calibri" w:eastAsia="Batang" w:hAnsi="Calibri" w:cs="Calibri"/>
          <w:sz w:val="25"/>
          <w:szCs w:val="25"/>
        </w:rPr>
        <w:t xml:space="preserve">. La plupart des Etats qui constituent la société internationale sont des </w:t>
      </w:r>
      <w:r>
        <w:rPr>
          <w:rFonts w:ascii="Calibri" w:eastAsia="Batang" w:hAnsi="Calibri" w:cs="Calibri"/>
          <w:i/>
          <w:iCs/>
          <w:sz w:val="25"/>
          <w:szCs w:val="25"/>
        </w:rPr>
        <w:t>Etas</w:t>
      </w:r>
      <w:r>
        <w:rPr>
          <w:rFonts w:ascii="Calibri" w:eastAsia="Batang" w:hAnsi="Calibri" w:cs="Calibri"/>
          <w:sz w:val="25"/>
          <w:szCs w:val="25"/>
        </w:rPr>
        <w:t>-</w:t>
      </w:r>
      <w:r>
        <w:rPr>
          <w:rFonts w:ascii="Calibri" w:eastAsia="Batang" w:hAnsi="Calibri" w:cs="Calibri"/>
          <w:i/>
          <w:iCs/>
          <w:sz w:val="25"/>
          <w:szCs w:val="25"/>
        </w:rPr>
        <w:t>nations</w:t>
      </w:r>
      <w:r>
        <w:rPr>
          <w:rStyle w:val="Appelnotedebasdep"/>
          <w:rFonts w:ascii="Calibri" w:eastAsia="Batang" w:hAnsi="Calibri" w:cs="Calibri"/>
          <w:sz w:val="25"/>
          <w:szCs w:val="25"/>
        </w:rPr>
        <w:footnoteReference w:id="306"/>
      </w:r>
      <w:r>
        <w:rPr>
          <w:rFonts w:ascii="Calibri" w:eastAsia="Batang" w:hAnsi="Calibri" w:cs="Calibri"/>
          <w:sz w:val="25"/>
          <w:szCs w:val="25"/>
        </w:rPr>
        <w:t xml:space="preserve"> qui ne sont nullement caractérisés par l’homogénéité ethnique ou religieuse. Ces Etats tolèrent au moins l’existence des minorités et cette tolérance peut aller jusqu’à la reconnaissance de l’autonomie des minorités. Cette tolérance se manifeste également vis-à-vis des groupes et des individus.</w:t>
      </w:r>
    </w:p>
    <w:p w:rsidR="000A31A8" w:rsidRDefault="0065345B">
      <w:pPr>
        <w:spacing w:line="324" w:lineRule="auto"/>
        <w:ind w:right="-2" w:firstLine="709"/>
        <w:jc w:val="both"/>
        <w:rPr>
          <w:rFonts w:ascii="Calibri" w:eastAsia="Batang" w:hAnsi="Calibri" w:cs="Calibri"/>
          <w:sz w:val="25"/>
          <w:szCs w:val="25"/>
        </w:rPr>
      </w:pPr>
      <w:r>
        <w:rPr>
          <w:rFonts w:ascii="Calibri" w:eastAsia="Batang" w:hAnsi="Calibri" w:cs="Calibri"/>
          <w:sz w:val="25"/>
          <w:szCs w:val="25"/>
        </w:rPr>
        <w:t>Le dernier régime de tolérance est celui des so</w:t>
      </w:r>
      <w:r>
        <w:rPr>
          <w:rFonts w:ascii="Calibri" w:eastAsia="Batang" w:hAnsi="Calibri" w:cs="Calibri"/>
          <w:i/>
          <w:iCs/>
          <w:sz w:val="25"/>
          <w:szCs w:val="25"/>
        </w:rPr>
        <w:t>ciété</w:t>
      </w:r>
      <w:r>
        <w:rPr>
          <w:rFonts w:ascii="Calibri" w:eastAsia="Batang" w:hAnsi="Calibri" w:cs="Calibri"/>
          <w:sz w:val="25"/>
          <w:szCs w:val="25"/>
        </w:rPr>
        <w:t xml:space="preserve">s </w:t>
      </w:r>
      <w:r>
        <w:rPr>
          <w:rFonts w:ascii="Calibri" w:eastAsia="Batang" w:hAnsi="Calibri" w:cs="Calibri"/>
          <w:i/>
          <w:iCs/>
          <w:sz w:val="25"/>
          <w:szCs w:val="25"/>
        </w:rPr>
        <w:t>d’immigration</w:t>
      </w:r>
      <w:r>
        <w:rPr>
          <w:rFonts w:ascii="Calibri" w:eastAsia="Batang" w:hAnsi="Calibri" w:cs="Calibri"/>
          <w:sz w:val="25"/>
          <w:szCs w:val="25"/>
        </w:rPr>
        <w:t>. C’est un modèle de coexistence dans lequel les membres de différents groupes ont quitté leur base territoriale pour s’installer, seul ou avec famille, dans un nouveau pays. L’Etat a ceci de particulier qu’il revendique l’exclusivité des droits de juridiction, considérant tous les citoyens comme individus plutôt que comme membres de groupes</w:t>
      </w:r>
      <w:r>
        <w:rPr>
          <w:rStyle w:val="Appelnotedebasdep"/>
          <w:rFonts w:ascii="Calibri" w:eastAsia="Batang" w:hAnsi="Calibri" w:cs="Calibri"/>
          <w:sz w:val="25"/>
          <w:szCs w:val="25"/>
        </w:rPr>
        <w:footnoteReference w:id="307"/>
      </w:r>
      <w:r>
        <w:rPr>
          <w:rFonts w:ascii="Calibri" w:eastAsia="Batang" w:hAnsi="Calibri" w:cs="Calibri"/>
          <w:sz w:val="25"/>
          <w:szCs w:val="25"/>
        </w:rPr>
        <w:t>.</w:t>
      </w:r>
    </w:p>
    <w:p w:rsidR="000A31A8" w:rsidRDefault="0065345B">
      <w:pPr>
        <w:spacing w:after="160" w:line="259" w:lineRule="auto"/>
        <w:rPr>
          <w:rFonts w:ascii="Calibri" w:eastAsia="Batang" w:hAnsi="Calibri" w:cs="Calibri"/>
          <w:sz w:val="25"/>
          <w:szCs w:val="25"/>
        </w:rPr>
      </w:pPr>
      <w:r>
        <w:rPr>
          <w:rFonts w:ascii="Calibri" w:eastAsia="Batang" w:hAnsi="Calibri" w:cs="Calibri"/>
          <w:sz w:val="25"/>
          <w:szCs w:val="25"/>
        </w:rPr>
        <w:br w:type="page"/>
      </w:r>
    </w:p>
    <w:p w:rsidR="000A31A8" w:rsidRDefault="0065345B">
      <w:pPr>
        <w:spacing w:line="324" w:lineRule="auto"/>
        <w:ind w:right="-2" w:firstLine="709"/>
        <w:jc w:val="both"/>
        <w:rPr>
          <w:rFonts w:ascii="Calibri" w:eastAsia="Batang" w:hAnsi="Calibri" w:cs="Calibri"/>
          <w:sz w:val="25"/>
          <w:szCs w:val="25"/>
        </w:rPr>
      </w:pPr>
      <w:r>
        <w:rPr>
          <w:rFonts w:ascii="Calibri" w:eastAsia="Batang" w:hAnsi="Calibri" w:cs="Calibri"/>
          <w:noProof/>
          <w:sz w:val="25"/>
          <w:szCs w:val="25"/>
        </w:rPr>
        <w:lastRenderedPageBreak/>
        <mc:AlternateContent>
          <mc:Choice Requires="wps">
            <w:drawing>
              <wp:anchor distT="0" distB="0" distL="0" distR="0" simplePos="0" relativeHeight="3" behindDoc="0" locked="0" layoutInCell="1" allowOverlap="1">
                <wp:simplePos x="0" y="0"/>
                <wp:positionH relativeFrom="column">
                  <wp:posOffset>2302933</wp:posOffset>
                </wp:positionH>
                <wp:positionV relativeFrom="paragraph">
                  <wp:posOffset>-519289</wp:posOffset>
                </wp:positionV>
                <wp:extent cx="1016000" cy="575733"/>
                <wp:effectExtent l="0" t="0" r="12700" b="15240"/>
                <wp:wrapNone/>
                <wp:docPr id="10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575733"/>
                        </a:xfrm>
                        <a:prstGeom prst="rect">
                          <a:avLst/>
                        </a:prstGeom>
                        <a:solidFill>
                          <a:srgbClr val="FFFFFF"/>
                        </a:solidFill>
                        <a:ln w="12700" cap="flat" cmpd="sng">
                          <a:solidFill>
                            <a:srgbClr val="FFFFFF"/>
                          </a:solidFill>
                          <a:prstDash val="solid"/>
                          <a:miter/>
                          <a:headEnd/>
                          <a:tailEnd/>
                        </a:ln>
                      </wps:spPr>
                      <wps:bodyPr>
                        <a:prstTxWarp prst="textNoShape">
                          <a:avLst/>
                        </a:prstTxWarp>
                      </wps:bodyPr>
                    </wps:wsp>
                  </a:graphicData>
                </a:graphic>
              </wp:anchor>
            </w:drawing>
          </mc:Choice>
          <mc:Fallback xmlns:cx1="http://schemas.microsoft.com/office/drawing/2015/9/8/chartex">
            <w:pict>
              <v:rect w14:anchorId="2D586CB1" id="Rectangle 3" o:spid="_x0000_s1026" style="position:absolute;margin-left:181.35pt;margin-top:-40.9pt;width:80pt;height:45.3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" strokecolor="white" strokeweight="1pt">
                <v:path arrowok="t"/>
              </v:rect>
            </w:pict>
          </mc:Fallback>
        </mc:AlternateContent>
      </w:r>
    </w:p>
    <w:p w:rsidR="000A31A8" w:rsidRDefault="000A31A8">
      <w:pPr>
        <w:spacing w:line="324" w:lineRule="auto"/>
        <w:ind w:right="-2" w:firstLine="709"/>
        <w:jc w:val="center"/>
        <w:rPr>
          <w:rFonts w:ascii="Calibri" w:eastAsia="Batang" w:hAnsi="Calibri" w:cs="Calibri"/>
          <w:sz w:val="25"/>
          <w:szCs w:val="25"/>
        </w:rPr>
      </w:pPr>
    </w:p>
    <w:p w:rsidR="000A31A8" w:rsidRDefault="000A31A8">
      <w:pPr>
        <w:spacing w:line="324" w:lineRule="auto"/>
        <w:ind w:right="-2" w:firstLine="709"/>
        <w:jc w:val="center"/>
        <w:rPr>
          <w:rFonts w:ascii="Calibri" w:eastAsia="Batang" w:hAnsi="Calibri" w:cs="Calibri"/>
          <w:sz w:val="25"/>
          <w:szCs w:val="25"/>
        </w:rPr>
      </w:pPr>
    </w:p>
    <w:p w:rsidR="000A31A8" w:rsidRDefault="0065345B">
      <w:pPr>
        <w:spacing w:line="324" w:lineRule="auto"/>
        <w:ind w:right="-2" w:firstLine="709"/>
        <w:jc w:val="center"/>
        <w:rPr>
          <w:rFonts w:ascii="Calibri" w:eastAsia="Batang" w:hAnsi="Calibri" w:cs="Calibri"/>
          <w:sz w:val="25"/>
          <w:szCs w:val="25"/>
        </w:rPr>
      </w:pPr>
      <w:r>
        <w:rPr>
          <w:rFonts w:ascii="Calibri" w:eastAsia="Batang" w:hAnsi="Calibri" w:cs="Calibri"/>
          <w:sz w:val="25"/>
          <w:szCs w:val="25"/>
        </w:rPr>
        <w:br w:type="page"/>
      </w:r>
    </w:p>
    <w:p w:rsidR="000A31A8" w:rsidRDefault="0065345B">
      <w:pPr>
        <w:pStyle w:val="Titre1"/>
        <w:spacing w:after="0" w:line="324" w:lineRule="auto"/>
        <w:ind w:left="0" w:firstLine="0"/>
        <w:jc w:val="left"/>
        <w:rPr>
          <w:rFonts w:ascii="Calibri" w:hAnsi="Calibri" w:cs="Calibri"/>
          <w:bCs w:val="0"/>
          <w:i/>
          <w:iCs/>
          <w:sz w:val="32"/>
          <w:szCs w:val="32"/>
        </w:rPr>
      </w:pPr>
      <w:bookmarkStart w:id="37" w:name="_Toc127173506"/>
      <w:r>
        <w:rPr>
          <w:rFonts w:ascii="Calibri" w:hAnsi="Calibri" w:cs="Calibri"/>
          <w:sz w:val="32"/>
          <w:szCs w:val="32"/>
        </w:rPr>
        <w:lastRenderedPageBreak/>
        <w:t xml:space="preserve">CHAPITRE SIXIÈME : </w:t>
      </w:r>
      <w:r>
        <w:rPr>
          <w:rFonts w:ascii="Calibri" w:hAnsi="Calibri" w:cs="Calibri"/>
          <w:bCs w:val="0"/>
          <w:sz w:val="32"/>
          <w:szCs w:val="32"/>
        </w:rPr>
        <w:t>AUTRES FONDEMENTS</w:t>
      </w:r>
      <w:bookmarkEnd w:id="37"/>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recherche par les peuples de leur liberté politique, de l'émergence des Etats démocratiques, constitutionnels et sociaux, comme le propose d'ailleurs John Rawls, peut aussi passer par des fondements autres que ceux des théories du contrat social. L'explosion des conflits politiques dans plusieurs pays africains est la preuve de la nécessité d'une conception fonctionnelle de la société. Dans ce chapitre, nous allons analyser les possibles fondements de la vie en société, en dehors des théories classiques du contrat.</w:t>
      </w:r>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pStyle w:val="Titre1"/>
        <w:spacing w:after="0" w:line="324" w:lineRule="auto"/>
        <w:ind w:left="0" w:firstLine="0"/>
        <w:jc w:val="left"/>
        <w:rPr>
          <w:rFonts w:ascii="Calibri" w:hAnsi="Calibri" w:cs="Calibri"/>
          <w:bCs w:val="0"/>
          <w:sz w:val="25"/>
          <w:szCs w:val="25"/>
        </w:rPr>
      </w:pPr>
      <w:bookmarkStart w:id="38" w:name="_Toc127173507"/>
      <w:r>
        <w:rPr>
          <w:rFonts w:ascii="Calibri" w:hAnsi="Calibri" w:cs="Calibri"/>
          <w:bCs w:val="0"/>
          <w:sz w:val="25"/>
          <w:szCs w:val="25"/>
        </w:rPr>
        <w:t>6.1. MBOLOKALA IMBULI : UNE POSSIBLE LECTURE DE L’UTILITARISME</w:t>
      </w:r>
      <w:bookmarkEnd w:id="38"/>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Une possible lecture de l’utilitarisme est celle faite par Mbolokala Imbuli. Ce dernier recherche dans l’utilitarisme tout ce qui a de bon. Ce qu'il y a de bon dans l'utilitarisme, c'est en premier lieu le fait qu'il ne recherche que ce qui est utile à la vie humaine en empêchant l'homme de philosopher pour philosopher, de philosopher sans viser un intérêt quelconque comme le faisaient certains philosophes de l'Antiquité grecque</w:t>
      </w:r>
      <w:r>
        <w:rPr>
          <w:rStyle w:val="Appelnotedebasdep"/>
          <w:rFonts w:ascii="Calibri" w:eastAsia="Batang" w:hAnsi="Calibri" w:cs="Calibri"/>
          <w:sz w:val="25"/>
          <w:szCs w:val="25"/>
        </w:rPr>
        <w:footnoteReference w:id="308"/>
      </w:r>
      <w:r>
        <w:rPr>
          <w:rFonts w:ascii="Calibri" w:eastAsia="Batang" w:hAnsi="Calibri" w:cs="Calibri"/>
          <w:sz w:val="25"/>
          <w:szCs w:val="25"/>
        </w:rPr>
        <w:t>. Comme l'a fait remarquer Mbolokala, en cherchant à poser des actes capables de rendre service à l'humanité, de satisfaire les besoins fondamentaux de l'homme, Stuart Mill a contribué à la création d'un esprit pratique grâce auquel les Etats-Unis d'Amérique apparaissent aujourd'hui prospères, industrialisés, bien équipés.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Si donc, selon Mbolokala, les Etats-Unis d'Amérique sont ce qu'ils sont aujourd'hui, une grande puissance tant  politique, économique, scientifique, technologique que militaire, on peut concéder que ce résultat positif trouve son fondement dans cette philosophie pragmatique qui pousse toujours l'homme au travail productif,  par conséquent susceptible de donner lieu à un rendement immédiat positif</w:t>
      </w:r>
      <w:r>
        <w:rPr>
          <w:rStyle w:val="Appelnotedebasdep"/>
          <w:rFonts w:ascii="Calibri" w:eastAsia="Batang" w:hAnsi="Calibri" w:cs="Calibri"/>
          <w:sz w:val="25"/>
          <w:szCs w:val="25"/>
        </w:rPr>
        <w:footnoteReference w:id="309"/>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En deuxième lieu, par l'affirmation de la liberté de pensée et de discussion, par l'affirmation des droits personnels de l'individu, de sa propre autonomie, de sa propre conviction et ses propres vérités , ce pragmatisme est proche du sens même de la </w:t>
      </w:r>
      <w:r>
        <w:rPr>
          <w:rFonts w:ascii="Calibri" w:eastAsia="Batang" w:hAnsi="Calibri" w:cs="Calibri"/>
          <w:sz w:val="25"/>
          <w:szCs w:val="25"/>
        </w:rPr>
        <w:lastRenderedPageBreak/>
        <w:t xml:space="preserve">démocratie qui sous-entend les notions d'individualisme, de libéralisme, de pluralisme pragmatique. Le pragmatisme explique ce comportement américain que Mbolokala qualifie de  « management pluraliste ». Evidemment, c'est à juste titre que l'utilitarisme considère l'individualité comme l'un des éléments du bien-être.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Cependant, comme l'a fait remarquer John Rawls, l'utilitarisme ne présente pas une augmentation  solide de l'harmonie des rapports entre individu et société, entre un individu et les autres. Sa notion de la justice se limite à la disposition de rendre à chacun son dû, de rendre à chacun ce qu'il mérite en bien ou en mal, mais on ne voit pas chez les utilitaristes un réel effort de consensus entre les individus.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Or, la réalisation de soi n'est possible que grâce au concours de l'autre. Je ne suis pas seul, il y a aussi les autres. La justice doit être comprise comme régulatrice des rapports sociaux. C'est ce qu'on trouve dans la pensée d'Emmanuel Levinas qui identifie justice et ordre social et chez John Rawls pour qui la justice est la première vertu des institutions sociales. Le point de vue de l'individualité des utilitaristes présente les hommes différents les uns des autres, voire opposés les uns aux autres selon les intérêts. Mais, c'est là un aspect négatif de la justice. La justice est la reconnaissance de mon prochain comme "autre", reconnaissance qui me portera à ne point lui nuire et à vouloir que ce "lui" trouve les meilleures conditions d'existence et de développement</w:t>
      </w:r>
      <w:r>
        <w:rPr>
          <w:rStyle w:val="Appelnotedebasdep"/>
          <w:rFonts w:ascii="Calibri" w:eastAsia="Batang" w:hAnsi="Calibri" w:cs="Calibri"/>
          <w:sz w:val="25"/>
          <w:szCs w:val="25"/>
        </w:rPr>
        <w:footnoteReference w:id="310"/>
      </w:r>
      <w:r>
        <w:rPr>
          <w:rFonts w:ascii="Calibri" w:eastAsia="Batang" w:hAnsi="Calibri" w:cs="Calibri"/>
          <w:sz w:val="25"/>
          <w:szCs w:val="25"/>
        </w:rPr>
        <w:t>. En ce sens, le rôle de la justice demeure celui de créer l'espace social où l'individualité d'autrui évolue à l'aise avec moi-même dans une réciprocité d'indépendance. La justice est au service de l'idéal de paix, de concorde et d'union que les hommes poursuivent dans la vie sociale</w:t>
      </w:r>
      <w:r>
        <w:rPr>
          <w:rStyle w:val="Appelnotedebasdep"/>
          <w:rFonts w:ascii="Calibri" w:eastAsia="Batang" w:hAnsi="Calibri" w:cs="Calibri"/>
          <w:sz w:val="25"/>
          <w:szCs w:val="25"/>
        </w:rPr>
        <w:footnoteReference w:id="311"/>
      </w:r>
      <w:r>
        <w:rPr>
          <w:rFonts w:ascii="Calibri" w:eastAsia="Batang" w:hAnsi="Calibri" w:cs="Calibri"/>
          <w:sz w:val="25"/>
          <w:szCs w:val="25"/>
        </w:rPr>
        <w:t>. Les hommes ne sont donc pas des individus seuls, ils sont responsables de ce qui arrive à l'autre. C'est de cette responsabilité vis-à-vis d'autrui que naît le bien - vivre qui peut être un complément du bien-être utilitariste constitué par l'individualité. Je ne peux donc pas, au nom de l'individualité et de la liberté, laisser mon prochain se faire du mal, se suicider… sans rien faire.</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L'expérience africaine de la violation de la parole donnée – en scène politique notamment – nous permet aujourd'hui de mettre en exergue cet avantage que nous offre la théorie utilitariste, en condamnant la violation des engagements et de la parole donnée. En effet, pour quoi les grands forums des discussions (conférences nationales, conférences constitutionnelles, conclaves, Tables Rondes, Dialogues) n'ont jamais abouti en Afrique à un quelconque avancement ? Pourquoi la démocratie en Afrique est-elle devenue une inflation du langage politique ou logomachie </w:t>
      </w:r>
      <w:r>
        <w:rPr>
          <w:rStyle w:val="Appelnotedebasdep"/>
          <w:rFonts w:ascii="Calibri" w:eastAsia="Batang" w:hAnsi="Calibri" w:cs="Calibri"/>
          <w:sz w:val="25"/>
          <w:szCs w:val="25"/>
        </w:rPr>
        <w:footnoteReference w:id="312"/>
      </w:r>
      <w:r>
        <w:rPr>
          <w:rFonts w:ascii="Calibri" w:eastAsia="Batang" w:hAnsi="Calibri" w:cs="Calibri"/>
          <w:sz w:val="25"/>
          <w:szCs w:val="25"/>
        </w:rPr>
        <w:t>? La réponse est, nous semble-t-il, évidente ; il manque chez nous cette dose nécessaire d'utilitarisme dont l'Amérique a su profiter : le respect et la fidélité à la parole donnée, ce  sens pratique qui  fait si merveilleusement avancer les choses.</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Dans ce contexte africain d'absence quasi - totale de respect des engagements par les politiques, nous ne pouvons que réitérer l'appel que Georges Ndumba formulait déjà en 1996, appel selon lequel le philosophe, dans une double exigence de critique radicale et de vérité doit soumettre tout discours politique (africain) de démocratie à l'exigence de fidélité</w:t>
      </w:r>
      <w:r>
        <w:rPr>
          <w:rStyle w:val="Appelnotedebasdep"/>
          <w:rFonts w:ascii="Calibri" w:eastAsia="Batang" w:hAnsi="Calibri" w:cs="Calibri"/>
          <w:sz w:val="25"/>
          <w:szCs w:val="25"/>
        </w:rPr>
        <w:footnoteReference w:id="313"/>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 qu'il y a enfin de bon dans l'utilitarisme, ce sont les limites de l'autorité de la société sur l'individu. Il est vrai que restreindre l'individualité, empêcher que l'individu puisse prendre des initiatives, ne profite ni à l’individu ni à l’Etat. Nous convenons qu'il est tout à fait à l'avantage et de l'individu et de la société qu'on laisse faire les individus. C’est en ce sens que Ngimbi Nseka considère l’individualisme comme fondement de la démocratie et du développement. « Pour cette raison nous ne pouvons pas retenir valable, légitime, un système social –ou politique- où l’individu est noyé. Le totalitarisme –collectivisme- est destructeur de la liberté et de la personne humaine »</w:t>
      </w:r>
      <w:r>
        <w:rPr>
          <w:rStyle w:val="Appelnotedebasdep"/>
          <w:rFonts w:ascii="Calibri" w:eastAsia="Batang" w:hAnsi="Calibri" w:cs="Calibri"/>
          <w:sz w:val="25"/>
          <w:szCs w:val="25"/>
        </w:rPr>
        <w:footnoteReference w:id="314"/>
      </w:r>
      <w:r>
        <w:rPr>
          <w:rFonts w:ascii="Calibri" w:eastAsia="Batang" w:hAnsi="Calibri" w:cs="Calibri"/>
          <w:sz w:val="25"/>
          <w:szCs w:val="25"/>
        </w:rPr>
        <w:t xml:space="preserve">. Mais cela ne peut aucunement permettre une dichotomie entre individu et société. C'est donc à tort que l'utilitarisme affirme qu'à l'individualité appartient la partie de la vie qui intéresse d'abord l'individu et, à la société, celle qui intéresse la société.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L'utilitarisme n'affirme que très timidement l'intérêt à autrui et la relation qu'il établit entre individu et société est dépourvue d'arguments. Or l'intérêt individuel ne se joue que sur une scène commune avec d'autres intérêts individuels. L'utilitarisme, pour n'avoir pas défini clairement les rapports entre différents intérêts personnels, a péché par omission. L'utilitarisme, ce courant de Hume, Bentham,  Mill et autres,  cet eudémonisme dont le principe de bonheur tient lieu du principe d'utilité, cet hédonisme qui identifie bonheur au plaisir, cette théorie normative qui se veut applicable à toute société représente-t-il un danger ou un avantage pour les sociétés africaines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Cette question vaut son pesant d’or, compte tenu du visage que présente l'Afrique actuellement faite d'irrationalité politique profonde et d'injustices innombrables générant des misères matérielles atroces, rationnellement et moralement intolérables</w:t>
      </w:r>
      <w:r>
        <w:rPr>
          <w:rStyle w:val="Appelnotedebasdep"/>
          <w:rFonts w:ascii="Calibri" w:eastAsia="Batang" w:hAnsi="Calibri" w:cs="Calibri"/>
          <w:sz w:val="25"/>
          <w:szCs w:val="25"/>
        </w:rPr>
        <w:footnoteReference w:id="315"/>
      </w:r>
      <w:r>
        <w:rPr>
          <w:rFonts w:ascii="Calibri" w:eastAsia="Batang" w:hAnsi="Calibri" w:cs="Calibri"/>
          <w:sz w:val="25"/>
          <w:szCs w:val="25"/>
        </w:rPr>
        <w:t xml:space="preserve">. Nous pensons, en outre, que la critique d'une pensée qui a marqué une partie de l'humanité ne peut se faire que dans le contexte d'une théorie </w:t>
      </w:r>
      <w:r>
        <w:rPr>
          <w:rFonts w:ascii="Calibri" w:eastAsia="Batang" w:hAnsi="Calibri" w:cs="Calibri"/>
          <w:i/>
          <w:iCs/>
          <w:sz w:val="25"/>
          <w:szCs w:val="25"/>
        </w:rPr>
        <w:t>inflexionnelle</w:t>
      </w:r>
      <w:r>
        <w:rPr>
          <w:rStyle w:val="Appelnotedebasdep"/>
          <w:rFonts w:ascii="Calibri" w:eastAsia="Batang" w:hAnsi="Calibri" w:cs="Calibri"/>
          <w:sz w:val="25"/>
          <w:szCs w:val="25"/>
        </w:rPr>
        <w:footnoteReference w:id="316"/>
      </w:r>
      <w:r>
        <w:rPr>
          <w:rFonts w:ascii="Calibri" w:eastAsia="Batang" w:hAnsi="Calibri" w:cs="Calibri"/>
          <w:sz w:val="25"/>
          <w:szCs w:val="25"/>
        </w:rPr>
        <w:t xml:space="preserve">. </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Nous pouvons aussi nous rendre compte que cette philosophie qui est à la source du penser et du vivre, de la mentalité anglo-saxonne mérite bien une attention particulière, un effort d'appropriation et un essai d'application à la situation africaine. Les valeurs d'individu, de la liberté, etc. contenues dans l'utilitarisme se retrouvent presque littéralement dans la Déclaration Universelle des Droits de l'Homme. En ce sens, l'utilitarisme peut être considéré comme une pensée avantageuse. Le grand reproche qu’on peut formuler à l'utilitarisme est le fait qu'il se limite à l'affirmation de la liberté, de l'individu et de l'intérêt personnel sans être exhaustif sur les rapports individu - société. Ce qui nous plongerait dans les conflits des libertés individuelles, des intérêts propres et finalement à l’impossibilité de la fondation d'une société harmonieuse constituée des individualités. C'est ce danger d'anarchie que recèle </w:t>
      </w:r>
      <w:r>
        <w:rPr>
          <w:rFonts w:ascii="Calibri" w:eastAsia="Batang" w:hAnsi="Calibri" w:cs="Calibri"/>
          <w:sz w:val="25"/>
          <w:szCs w:val="25"/>
        </w:rPr>
        <w:lastRenderedPageBreak/>
        <w:t>l'utilitarisme qui pousse John Rawls à un long plaidoyer pour une démocratie pluraliste.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Mbolokala estime que si le plus grand péché de l'utilitarisme est une omission, l'utilitarisme est bel et bien, si nous nous appliquons à le compléter, plus un avantage qu'un réel danger pour l'Afrique aujourd'hui. Ce qui n’est pas le point de vue de l’auteur de  </w:t>
      </w:r>
      <w:r>
        <w:rPr>
          <w:rFonts w:ascii="Calibri" w:eastAsia="Batang" w:hAnsi="Calibri" w:cs="Calibri"/>
          <w:i/>
          <w:iCs/>
          <w:sz w:val="25"/>
          <w:szCs w:val="25"/>
        </w:rPr>
        <w:t>Théorie de la Justice.</w:t>
      </w:r>
      <w:r>
        <w:rPr>
          <w:rFonts w:ascii="Calibri" w:eastAsia="Batang" w:hAnsi="Calibri" w:cs="Calibri"/>
          <w:sz w:val="25"/>
          <w:szCs w:val="25"/>
        </w:rPr>
        <w:t xml:space="preserve"> Pour ce dernier, l’utilitarisme appliqué à la justice reposait sur l’idée d’un passage naturel de ce qui est bon pour l’individu à ce qui est bon pour le groupe. C’est dire que la justice sociale est l’application du principe de prudence rationnelle à une conception du bien-être du groupe considéré comme un agrégat. C’est cette conception du passage du bien individuel au bien collectif qui constitue la clé des conceptions morales des utilitaristes. Rawls affirme que ce passage est illégitime parce qu’il estime que les individus « utilitaristes » placés dans les conditions initiales où l’on doit choisir les principes de base d’une société bien ordonnée ne choisiraient sûrement pas le principe d’utilité.</w:t>
      </w:r>
    </w:p>
    <w:p w:rsidR="000A31A8" w:rsidRDefault="000A31A8">
      <w:pPr>
        <w:pStyle w:val="Titre1"/>
        <w:spacing w:after="0" w:line="324" w:lineRule="auto"/>
        <w:ind w:left="0" w:firstLine="0"/>
        <w:jc w:val="left"/>
        <w:rPr>
          <w:rFonts w:ascii="Calibri" w:hAnsi="Calibri" w:cs="Calibri"/>
          <w:bCs w:val="0"/>
          <w:kern w:val="0"/>
          <w:sz w:val="25"/>
          <w:szCs w:val="25"/>
          <w:lang w:val="fr-FR"/>
        </w:rPr>
      </w:pPr>
    </w:p>
    <w:p w:rsidR="000A31A8" w:rsidRDefault="0065345B">
      <w:pPr>
        <w:pStyle w:val="Titre1"/>
        <w:spacing w:after="0" w:line="324" w:lineRule="auto"/>
        <w:ind w:left="0" w:firstLine="0"/>
        <w:jc w:val="left"/>
        <w:rPr>
          <w:rFonts w:ascii="Calibri" w:hAnsi="Calibri" w:cs="Calibri"/>
          <w:bCs w:val="0"/>
          <w:sz w:val="25"/>
          <w:szCs w:val="25"/>
        </w:rPr>
      </w:pPr>
      <w:bookmarkStart w:id="39" w:name="_Toc127173508"/>
      <w:r>
        <w:rPr>
          <w:rFonts w:ascii="Calibri" w:hAnsi="Calibri" w:cs="Calibri"/>
          <w:bCs w:val="0"/>
          <w:sz w:val="25"/>
          <w:szCs w:val="25"/>
        </w:rPr>
        <w:t>6.2. L’UNIVERSALITÉ DU PLURALISME</w:t>
      </w:r>
      <w:bookmarkEnd w:id="39"/>
    </w:p>
    <w:p w:rsidR="000A31A8" w:rsidRDefault="000A31A8">
      <w:pPr>
        <w:tabs>
          <w:tab w:val="left" w:pos="2520"/>
        </w:tabs>
        <w:spacing w:line="324" w:lineRule="auto"/>
        <w:ind w:right="-2" w:firstLine="709"/>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Au fait, peut-on formuler au plan éthique, juridique, politique, social, des principes universels qui soient valables indépendamment de la diversité des personnes, des communautés, des cultures susceptibles de les appliquer ? Autrement dit, avons-nous le droit d’appliquer le pluralisme que défend Rawls dans un cadre occidental au contexte africain, par exemple ? Le pluralisme peut-il être considéré comme un fait universel ? Ce questionnement correspond à la problématique que Ricœur pose dans </w:t>
      </w:r>
      <w:r>
        <w:rPr>
          <w:rFonts w:ascii="Calibri" w:eastAsia="Batang" w:hAnsi="Calibri" w:cs="Calibri"/>
          <w:i/>
          <w:iCs/>
          <w:sz w:val="25"/>
          <w:szCs w:val="25"/>
        </w:rPr>
        <w:t xml:space="preserve"> Universalité et historicité</w:t>
      </w:r>
      <w:r>
        <w:rPr>
          <w:rFonts w:ascii="Calibri" w:eastAsia="Batang" w:hAnsi="Calibri" w:cs="Calibri"/>
          <w:sz w:val="25"/>
          <w:szCs w:val="25"/>
        </w:rPr>
        <w:t>  qu’il reprend d’ailleurs dans  </w:t>
      </w:r>
      <w:r>
        <w:rPr>
          <w:rFonts w:ascii="Calibri" w:eastAsia="Batang" w:hAnsi="Calibri" w:cs="Calibri"/>
          <w:i/>
          <w:iCs/>
          <w:sz w:val="25"/>
          <w:szCs w:val="25"/>
        </w:rPr>
        <w:t>Le juste 2. </w:t>
      </w:r>
      <w:r>
        <w:rPr>
          <w:rFonts w:ascii="Calibri" w:eastAsia="Batang" w:hAnsi="Calibri" w:cs="Calibri"/>
          <w:sz w:val="25"/>
          <w:szCs w:val="25"/>
        </w:rPr>
        <w:t xml:space="preserve"> Dans un premier temps lorsque il définit la moralité par le souhait de vivre bien, avec et pour les autres dans des institutions justes, il vise le mélange entre dimension communautaire et dimension universelle. Dans « vivre bien avec et pour les autres », il distingue deux rapports avec autrui présent dans son visage, lequel rapport est impliqué dans la relation dialogique courte de l’amitié et de l’amour. Cette notion contient celle de la sollicitude censée s’adresser à toutes les personnes concrètes, en particulier, et contrairement à l’utilitarisme, cette sollicitude s’exprime de manière évidente dans le secours porté à personne en danger, à ses limites, etc.</w:t>
      </w: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lastRenderedPageBreak/>
        <w:t xml:space="preserve">Dans ces conditions, ce souhait de </w:t>
      </w:r>
      <w:r>
        <w:rPr>
          <w:rFonts w:ascii="Calibri" w:eastAsia="Batang" w:hAnsi="Calibri" w:cs="Calibri"/>
          <w:i/>
          <w:iCs/>
          <w:sz w:val="25"/>
          <w:szCs w:val="25"/>
        </w:rPr>
        <w:t>vivre-avec</w:t>
      </w:r>
      <w:r>
        <w:rPr>
          <w:rFonts w:ascii="Calibri" w:eastAsia="Batang" w:hAnsi="Calibri" w:cs="Calibri"/>
          <w:sz w:val="25"/>
          <w:szCs w:val="25"/>
        </w:rPr>
        <w:t xml:space="preserve"> ne s’exprime pas seulement avec les proches, mais aussi avec tous les lointains impliqués dans les institutions de toutes sortes qui structurent la vie en société. Mon vis-à-vis est alors non plus la personne signifiée par son visage, mais définie par son rôle social</w:t>
      </w:r>
      <w:r>
        <w:rPr>
          <w:rStyle w:val="Appelnotedebasdep"/>
          <w:rFonts w:ascii="Calibri" w:eastAsia="Batang" w:hAnsi="Calibri" w:cs="Calibri"/>
          <w:sz w:val="25"/>
          <w:szCs w:val="25"/>
        </w:rPr>
        <w:footnoteReference w:id="317"/>
      </w:r>
      <w:r>
        <w:rPr>
          <w:rFonts w:ascii="Calibri" w:eastAsia="Batang" w:hAnsi="Calibri" w:cs="Calibri"/>
          <w:sz w:val="25"/>
          <w:szCs w:val="25"/>
        </w:rPr>
        <w:t>. C’est ce rapport qu’on appelle « la pluralité humaine». Celle-ci est le lieu du politique saisi à sa racine en deçà des structures du pouvoir, de la distinction entre dirigeants et dirigés au niveau de ce qu’on peut appeler « le vouloir vivre ensemble». On peut tenir «  le  vouloir vivre ensemble » pour un fait universel</w:t>
      </w:r>
      <w:r>
        <w:rPr>
          <w:rStyle w:val="Appelnotedebasdep"/>
          <w:rFonts w:ascii="Calibri" w:eastAsia="Batang" w:hAnsi="Calibri" w:cs="Calibri"/>
          <w:sz w:val="25"/>
          <w:szCs w:val="25"/>
        </w:rPr>
        <w:footnoteReference w:id="318"/>
      </w:r>
      <w:r>
        <w:rPr>
          <w:rFonts w:ascii="Calibri" w:eastAsia="Batang" w:hAnsi="Calibri" w:cs="Calibri"/>
          <w:sz w:val="25"/>
          <w:szCs w:val="25"/>
        </w:rPr>
        <w:t xml:space="preserve"> auquel les Africains ne peuvent échapper. On peut, dans le même schème de pensée tenir aussi pour universelle, l’idée même de souhait d’institutions justes. Il suffit que chacun se réfère à ses souvenirs d’enfance, lorsqu’il a prononcé pour la première fois: « c’est pas juste ». On se rend compte que ces souvenirs d’enfance sont en rapport avec la justice distributive. Et ce lien entre le vivre bien et la justice se retrouve finalement dans la notion de bien commun. Donc, dans la mesure où le souhait d’institutions justes est universel, le pluralisme est également, par voie de conséquence, un fait universel. Le pluralisme est quelque chose qui est dû à l’être humain du fait qu’il est humain.</w:t>
      </w:r>
    </w:p>
    <w:p w:rsidR="000A31A8" w:rsidRDefault="000A31A8">
      <w:pPr>
        <w:pStyle w:val="Retraitcorpsdetexte2"/>
        <w:tabs>
          <w:tab w:val="left" w:pos="2520"/>
        </w:tabs>
        <w:spacing w:line="324" w:lineRule="auto"/>
        <w:ind w:right="-2" w:firstLine="0"/>
        <w:rPr>
          <w:rFonts w:ascii="Calibri" w:eastAsia="Batang" w:hAnsi="Calibri" w:cs="Calibri"/>
          <w:sz w:val="25"/>
          <w:szCs w:val="25"/>
        </w:rPr>
      </w:pP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t>Dans un second temps, la thèse universaliste prend l’avantage lorsqu’on passe au second niveau de moralité qui définit le souhait de la vie bonne par les notions d’obligation, de devoir et d’interdiction. On ne peut donc pas rester au niveau éthique du souhait de vivre bien d’autant plus que la vie en société laisse une place immense, et souvent effrayante, à des conflits de tous genres, affectant tous les niveaux des relations humaines, en termes d’intérêts, de croyances, de convictions qui, à leur tour, s'expriment dans les violences de toutes sortes. D’où la nécessité de lois écrites, des institutions judiciaires, des sanctions, etc.</w:t>
      </w:r>
    </w:p>
    <w:p w:rsidR="000A31A8" w:rsidRDefault="000A31A8">
      <w:pPr>
        <w:pStyle w:val="Retraitcorpsdetexte2"/>
        <w:tabs>
          <w:tab w:val="left" w:pos="2520"/>
        </w:tabs>
        <w:spacing w:line="324" w:lineRule="auto"/>
        <w:ind w:right="-2" w:firstLine="0"/>
        <w:rPr>
          <w:rFonts w:ascii="Calibri" w:eastAsia="Batang" w:hAnsi="Calibri" w:cs="Calibri"/>
          <w:sz w:val="25"/>
          <w:szCs w:val="25"/>
        </w:rPr>
      </w:pP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t xml:space="preserve">C’est chez Kant, dans les </w:t>
      </w:r>
      <w:r>
        <w:rPr>
          <w:rFonts w:ascii="Calibri" w:eastAsia="Batang" w:hAnsi="Calibri" w:cs="Calibri"/>
          <w:i/>
          <w:iCs/>
          <w:sz w:val="25"/>
          <w:szCs w:val="25"/>
        </w:rPr>
        <w:t>Fondements de la métaphysique des mœurs,</w:t>
      </w:r>
      <w:r>
        <w:rPr>
          <w:rFonts w:ascii="Calibri" w:eastAsia="Batang" w:hAnsi="Calibri" w:cs="Calibri"/>
          <w:sz w:val="25"/>
          <w:szCs w:val="25"/>
        </w:rPr>
        <w:t xml:space="preserve"> que Rawls trouve la formulation la plus rigoureuse de l’universalisme dans la triade :</w:t>
      </w: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t>« Agis de telle façon que tu puisses tenir la maxime de ton action pour une loi universelle de la nature ;</w:t>
      </w: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t>Agis de telle façon que tu puisses toujours traiter l’humanité, dans ta personne et dans celle d’autrui, non pas seulement comme un moyen mais aussi comme une fin en soi ;</w:t>
      </w: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lastRenderedPageBreak/>
        <w:t>Agis de telle façon que dans l’empire des fins tu puisses te comporter à la fois comme sujet et comme législateur »</w:t>
      </w:r>
      <w:r>
        <w:rPr>
          <w:rStyle w:val="Appelnotedebasdep"/>
          <w:rFonts w:ascii="Calibri" w:eastAsia="Batang" w:hAnsi="Calibri" w:cs="Calibri"/>
          <w:sz w:val="25"/>
          <w:szCs w:val="25"/>
        </w:rPr>
        <w:footnoteReference w:id="319"/>
      </w:r>
      <w:r>
        <w:rPr>
          <w:rFonts w:ascii="Calibri" w:eastAsia="Batang" w:hAnsi="Calibri" w:cs="Calibri"/>
          <w:sz w:val="25"/>
          <w:szCs w:val="25"/>
        </w:rPr>
        <w:t>.</w:t>
      </w: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t>C’est sur cet arrière-plan kantien qu’il faut replacer la tentative de Rawls de donner une définition universelle des principes de justice</w:t>
      </w:r>
      <w:r>
        <w:rPr>
          <w:rStyle w:val="Appelnotedebasdep"/>
          <w:rFonts w:ascii="Calibri" w:eastAsia="Batang" w:hAnsi="Calibri" w:cs="Calibri"/>
          <w:sz w:val="25"/>
          <w:szCs w:val="25"/>
        </w:rPr>
        <w:footnoteReference w:id="320"/>
      </w:r>
      <w:r>
        <w:rPr>
          <w:rFonts w:ascii="Calibri" w:eastAsia="Batang" w:hAnsi="Calibri" w:cs="Calibri"/>
          <w:sz w:val="25"/>
          <w:szCs w:val="25"/>
        </w:rPr>
        <w:t xml:space="preserve">. </w:t>
      </w:r>
    </w:p>
    <w:p w:rsidR="000A31A8" w:rsidRDefault="000A31A8">
      <w:pPr>
        <w:pStyle w:val="Retraitcorpsdetexte2"/>
        <w:tabs>
          <w:tab w:val="left" w:pos="2520"/>
        </w:tabs>
        <w:spacing w:line="324" w:lineRule="auto"/>
        <w:ind w:right="-2" w:firstLine="0"/>
        <w:rPr>
          <w:rFonts w:ascii="Calibri" w:eastAsia="Batang" w:hAnsi="Calibri" w:cs="Calibri"/>
          <w:sz w:val="25"/>
          <w:szCs w:val="25"/>
        </w:rPr>
      </w:pP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t>Le formalisme de l’entreprise est marqué par ceci que le choix des principes de justice est censé être fait dans une situation imaginaire dans laquelle tous les participants sont placés sous un voile d’ignorance sous lequel ils peuvent faire abstraction de leurs avantages réels ou des désavantages éventuels résultant de la délibération</w:t>
      </w:r>
      <w:r>
        <w:rPr>
          <w:rStyle w:val="Appelnotedebasdep"/>
          <w:rFonts w:ascii="Calibri" w:eastAsia="Batang" w:hAnsi="Calibri" w:cs="Calibri"/>
          <w:sz w:val="25"/>
          <w:szCs w:val="25"/>
        </w:rPr>
        <w:footnoteReference w:id="321"/>
      </w:r>
      <w:r>
        <w:rPr>
          <w:rFonts w:ascii="Calibri" w:eastAsia="Batang" w:hAnsi="Calibri" w:cs="Calibri"/>
          <w:sz w:val="25"/>
          <w:szCs w:val="25"/>
        </w:rPr>
        <w:t>. Cette hypothèse d’une société conçue comme un vaste système de distribution de biens de toutes sortes permet de donner un tour particulier au formalisme de Kant. Ce n’est plus le formalisme d’un test d’universalisation, mais celui de la procédure de répartition</w:t>
      </w:r>
      <w:r>
        <w:rPr>
          <w:rStyle w:val="Appelnotedebasdep"/>
          <w:rFonts w:ascii="Calibri" w:eastAsia="Batang" w:hAnsi="Calibri" w:cs="Calibri"/>
          <w:sz w:val="25"/>
          <w:szCs w:val="25"/>
        </w:rPr>
        <w:footnoteReference w:id="322"/>
      </w:r>
      <w:r>
        <w:rPr>
          <w:rFonts w:ascii="Calibri" w:eastAsia="Batang" w:hAnsi="Calibri" w:cs="Calibri"/>
          <w:sz w:val="25"/>
          <w:szCs w:val="25"/>
        </w:rPr>
        <w:t>.</w:t>
      </w:r>
    </w:p>
    <w:p w:rsidR="000A31A8" w:rsidRDefault="000A31A8">
      <w:pPr>
        <w:pStyle w:val="Retraitcorpsdetexte2"/>
        <w:tabs>
          <w:tab w:val="left" w:pos="2520"/>
        </w:tabs>
        <w:spacing w:line="324" w:lineRule="auto"/>
        <w:ind w:right="-2" w:firstLine="0"/>
        <w:rPr>
          <w:rFonts w:ascii="Calibri" w:eastAsia="Batang" w:hAnsi="Calibri" w:cs="Calibri"/>
          <w:sz w:val="25"/>
          <w:szCs w:val="25"/>
        </w:rPr>
      </w:pPr>
    </w:p>
    <w:p w:rsidR="000A31A8" w:rsidRDefault="0065345B">
      <w:pPr>
        <w:pStyle w:val="Retraitcorpsdetexte2"/>
        <w:tabs>
          <w:tab w:val="left" w:pos="2520"/>
        </w:tabs>
        <w:spacing w:line="324" w:lineRule="auto"/>
        <w:ind w:right="-2" w:firstLine="0"/>
        <w:rPr>
          <w:rFonts w:ascii="Calibri" w:eastAsia="Batang" w:hAnsi="Calibri" w:cs="Calibri"/>
          <w:sz w:val="25"/>
          <w:szCs w:val="25"/>
        </w:rPr>
      </w:pPr>
      <w:r>
        <w:rPr>
          <w:rFonts w:ascii="Calibri" w:eastAsia="Batang" w:hAnsi="Calibri" w:cs="Calibri"/>
          <w:sz w:val="25"/>
          <w:szCs w:val="25"/>
        </w:rPr>
        <w:t>Or la procédure de répartition nous renvoie à la multiplicité des conceptions du bien qui caractérise la société moderne.  C’est pour cette raison que Rawls a recours à la médiation langagière : chacun a  un droit égal à la parole ; il a le devoir de donner son meilleur argument à qui le demande ; il doit écouter avec préjugé favorable l’argument de l’autre. C’est l’éthique de la discussion qui caractérise le pluralisme. Cette éthique de la discussion est universelle et elle est reconnue de manière particulière, en Afrique, dans la palabre (une des bases culturelles africaines de démocratie).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Trouve-t-on des traces d’un fondement de la démocratie dans la tradition africaine ? Il est vrai que depuis plusieurs décennies, la démocratie a été présentée par les </w:t>
      </w:r>
      <w:r>
        <w:rPr>
          <w:rFonts w:ascii="Calibri" w:eastAsia="Batang" w:hAnsi="Calibri" w:cs="Calibri"/>
          <w:sz w:val="25"/>
          <w:szCs w:val="25"/>
        </w:rPr>
        <w:lastRenderedPageBreak/>
        <w:t>« dirigeants - théoriciens » africains comme anarchie et source des conflits. C’est pour cela qu’elle n’a jamais été appréciée positivement quant à son volet de pluralisme politique. La récusation de la démocratie a été accompagnée des arguments – que l’on puisait dans la tradition africaine- pour un pouvoir fort dans lequel le chef était présenté comme un personnage mythique et mystique ne devant pas être contredit. Il est vrai aussi que l’on s’est servi des expériences négatives  de la démocratie juste après les années de l’indépendance</w:t>
      </w:r>
      <w:r>
        <w:rPr>
          <w:rStyle w:val="Appelnotedebasdep"/>
          <w:rFonts w:ascii="Calibri" w:eastAsia="Batang" w:hAnsi="Calibri" w:cs="Calibri"/>
          <w:sz w:val="25"/>
          <w:szCs w:val="25"/>
        </w:rPr>
        <w:footnoteReference w:id="323"/>
      </w:r>
      <w:r>
        <w:rPr>
          <w:rFonts w:ascii="Calibri" w:eastAsia="Batang" w:hAnsi="Calibri" w:cs="Calibri"/>
          <w:sz w:val="25"/>
          <w:szCs w:val="25"/>
        </w:rPr>
        <w:t xml:space="preserve"> pour faire asseoir en Afrique un pouvoir absolu et unanimiste. La déstabilisation de la République Démocratique du Congo par les 44 partis politiques de la période de l’indépendance a été, des décennies durant, un argument solide pour le pouvoir en place. A entendre certains, on aurait cru que la démocratie  n’a aucune base dans la tradition africaine.</w:t>
      </w:r>
    </w:p>
    <w:p w:rsidR="000A31A8" w:rsidRDefault="000A31A8">
      <w:pPr>
        <w:pStyle w:val="Retraitcorpsdetexte"/>
        <w:tabs>
          <w:tab w:val="clear" w:pos="1185"/>
        </w:tabs>
        <w:spacing w:line="324" w:lineRule="auto"/>
        <w:ind w:left="0" w:right="-2" w:firstLine="0"/>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Cependant, s’il est vrai que la pratique de la démocratie repose avant tout sur une culture de discussion dans l’affirmation de la liberté,- culture que d’aucuns ont pu attribuer exclusivement à l’occidental -, nous ne voyons pas pourquoi les Africains n’iraient pas chercher des bases de la démocratie dans leurs propres traditions. Et c’est sans compter avec le droit que les Africains ont, en leur qualité d’être rationnel, de réclamer l’humanité qu’ils partagent avec les peuples du Nord.</w:t>
      </w:r>
    </w:p>
    <w:p w:rsidR="000A31A8" w:rsidRDefault="000A31A8">
      <w:pPr>
        <w:pStyle w:val="Titre1"/>
        <w:spacing w:after="0" w:line="324" w:lineRule="auto"/>
        <w:ind w:left="0" w:firstLine="0"/>
        <w:jc w:val="left"/>
        <w:rPr>
          <w:rFonts w:ascii="Calibri" w:hAnsi="Calibri" w:cs="Calibri"/>
          <w:bCs w:val="0"/>
          <w:kern w:val="0"/>
          <w:sz w:val="25"/>
          <w:szCs w:val="25"/>
          <w:lang w:val="fr-FR"/>
        </w:rPr>
      </w:pPr>
    </w:p>
    <w:p w:rsidR="000A31A8" w:rsidRDefault="0065345B">
      <w:pPr>
        <w:pStyle w:val="Titre1"/>
        <w:spacing w:after="0" w:line="324" w:lineRule="auto"/>
        <w:ind w:left="0" w:firstLine="0"/>
        <w:jc w:val="left"/>
        <w:rPr>
          <w:rFonts w:ascii="Calibri" w:hAnsi="Calibri" w:cs="Calibri"/>
          <w:bCs w:val="0"/>
          <w:sz w:val="25"/>
          <w:szCs w:val="25"/>
        </w:rPr>
      </w:pPr>
      <w:bookmarkStart w:id="40" w:name="_Toc127173509"/>
      <w:r>
        <w:rPr>
          <w:rFonts w:ascii="Calibri" w:hAnsi="Calibri" w:cs="Calibri"/>
          <w:bCs w:val="0"/>
          <w:sz w:val="25"/>
          <w:szCs w:val="25"/>
        </w:rPr>
        <w:t>6.3. LES SOURCES AFRICAINES DE LA DÉMOCRATIE</w:t>
      </w:r>
      <w:bookmarkEnd w:id="40"/>
    </w:p>
    <w:p w:rsidR="000A31A8" w:rsidRDefault="000A31A8">
      <w:pPr>
        <w:tabs>
          <w:tab w:val="left" w:pos="2520"/>
        </w:tabs>
        <w:spacing w:line="324" w:lineRule="auto"/>
        <w:ind w:right="-2"/>
        <w:jc w:val="both"/>
        <w:rPr>
          <w:rFonts w:ascii="Calibri" w:eastAsia="Batang" w:hAnsi="Calibri" w:cs="Calibri"/>
          <w:sz w:val="25"/>
          <w:szCs w:val="25"/>
          <w:lang w:val="fr-BE"/>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S’il est vrai que la démocratie en occident a comme base la culture de l’agora caractérisée par l’allergie à toute privatisation ou concentration du pouvoir, il n’en est pas moins vrai que le patrimoine traditionnel africain est fait des ressources, de connaissances et des techniques qui manifestent la créativité et les intuitions de la collectivité en réponse aux questions de l’existence. Au fait, y a-t-il des éléments de la tradition africaine  qui peuvent servir de fondation à l’érection d’une démocratie pluraliste ? Les valeurs de la liberté et de l’égalité, de la justice politique, de la tolérance et de la juste distribution grâce auxquelles John Rawls rend possible la </w:t>
      </w:r>
      <w:r>
        <w:rPr>
          <w:rFonts w:ascii="Calibri" w:eastAsia="Batang" w:hAnsi="Calibri" w:cs="Calibri"/>
          <w:sz w:val="25"/>
          <w:szCs w:val="25"/>
        </w:rPr>
        <w:lastRenderedPageBreak/>
        <w:t>démocratie pluraliste se retrouvent-elles aussi dans la tradition africaine ? La discussion, l’affrontement des opinions sont-ils aussi africains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En effet, lorsque nous parlons de la démocratie dans cette  étude, nous l’entendons au sens « lincolnien » d’un gouvernement du peuple, par le peuple et pour le peuple. L’avantage de cette définition de la démocratie consiste en ce qu’elle met l’accent sur la conception, l’organisation et l’exercice du pouvoir par le peuple lui-même et pour l’intérêt général. Cela porte inévitablement une correction aux régimes politiques – aristocratie, monarchie, oligarchie, dictature, tyrannie, etc.- qui en réalité n’ont pour but que de servir aux intérêts particuliers de quelques individus</w:t>
      </w:r>
      <w:r>
        <w:rPr>
          <w:rStyle w:val="Appelnotedebasdep"/>
          <w:rFonts w:ascii="Calibri" w:eastAsia="Batang" w:hAnsi="Calibri" w:cs="Calibri"/>
          <w:sz w:val="25"/>
          <w:szCs w:val="25"/>
        </w:rPr>
        <w:footnoteReference w:id="324"/>
      </w:r>
      <w:r>
        <w:rPr>
          <w:rFonts w:ascii="Calibri" w:eastAsia="Batang" w:hAnsi="Calibri" w:cs="Calibri"/>
          <w:sz w:val="25"/>
          <w:szCs w:val="25"/>
        </w:rPr>
        <w:t>. La démocratie est aussi la doctrine selon laquelle la souveraineté appartient à l’ensemble des citoyens qui exercent leur pouvoir directement ou indirectement à travers ses élus. Une telle définition de la démocratie suppose le pluralisme politique.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démocratie vue sous cet angle est-elle possible en Afrique </w:t>
      </w:r>
      <w:r>
        <w:rPr>
          <w:rStyle w:val="Appelnotedebasdep"/>
          <w:rFonts w:ascii="Calibri" w:eastAsia="Batang" w:hAnsi="Calibri" w:cs="Calibri"/>
          <w:sz w:val="25"/>
          <w:szCs w:val="25"/>
        </w:rPr>
        <w:footnoteReference w:id="325"/>
      </w:r>
      <w:r>
        <w:rPr>
          <w:rFonts w:ascii="Calibri" w:eastAsia="Batang" w:hAnsi="Calibri" w:cs="Calibri"/>
          <w:sz w:val="25"/>
          <w:szCs w:val="25"/>
        </w:rPr>
        <w:t>? Cette question résume celles posées plus haut et détient une importance capitale, quand on sait que la réalité de la violence en Afrique est massive</w:t>
      </w:r>
      <w:r>
        <w:rPr>
          <w:rStyle w:val="Appelnotedebasdep"/>
          <w:rFonts w:ascii="Calibri" w:eastAsia="Batang" w:hAnsi="Calibri" w:cs="Calibri"/>
          <w:sz w:val="25"/>
          <w:szCs w:val="25"/>
        </w:rPr>
        <w:footnoteReference w:id="326"/>
      </w:r>
      <w:r>
        <w:rPr>
          <w:rFonts w:ascii="Calibri" w:eastAsia="Batang" w:hAnsi="Calibri" w:cs="Calibri"/>
          <w:sz w:val="25"/>
          <w:szCs w:val="25"/>
        </w:rPr>
        <w:t>, que les uns l’utilisent pour demeurer au pouvoir alors que d’autres s’en servent comme raccourci pour accéder au même pouvoir.</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En effet, l’Afrique détient trois constellations de richesses spirituelles particulièrement éclairantes pour leur rapport à la culture civique, politique et démocratique. Voici comment Mudiji présente ces trois constellations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1°Dieu. Il faut en premier lieu relever l’atout majeur que constitue la connaissance de Dieu, maître suprême en même temps que la crainte et le respect pour le sacré. En culture traditionnelle, sont sacrés et exigent le respect de tous : les ancêtres, les anciens, l’autorité coutumière et les valeurs telles que sa propre vie et celle des autres, les biens d’autrui etc.</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Michael Walzer distingue deux universalismes dont la base est Dieu. L’universalisme commence par l’exemple historique du judaïsme qui a souvent été considéré, non sans raison, comme une religion tribale, comme l’exemple même du bonheur particulariste</w:t>
      </w:r>
      <w:r>
        <w:rPr>
          <w:rStyle w:val="Appelnotedebasdep"/>
          <w:rFonts w:ascii="Calibri" w:eastAsia="Batang" w:hAnsi="Calibri" w:cs="Calibri"/>
          <w:sz w:val="25"/>
          <w:szCs w:val="25"/>
        </w:rPr>
        <w:footnoteReference w:id="327"/>
      </w:r>
      <w:r>
        <w:rPr>
          <w:rFonts w:ascii="Calibri" w:eastAsia="Batang" w:hAnsi="Calibri" w:cs="Calibri"/>
          <w:sz w:val="25"/>
          <w:szCs w:val="25"/>
        </w:rPr>
        <w:t xml:space="preserve">. </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Donc « le premier universalisme considère qu’il n’y a qu’un seul Dieu, donc une seule loi, une seule justice, une seule conception exacte de la vie bonne ou de la société bonne ou du bon régime, un salut, un messie, un millenium pour toute l’humanité »</w:t>
      </w:r>
      <w:r>
        <w:rPr>
          <w:rStyle w:val="Appelnotedebasdep"/>
          <w:rFonts w:ascii="Calibri" w:eastAsia="Batang" w:hAnsi="Calibri" w:cs="Calibri"/>
          <w:sz w:val="25"/>
          <w:szCs w:val="25"/>
        </w:rPr>
        <w:footnoteReference w:id="328"/>
      </w:r>
      <w:r>
        <w:rPr>
          <w:rFonts w:ascii="Calibri" w:eastAsia="Batang" w:hAnsi="Calibri" w:cs="Calibri"/>
          <w:sz w:val="25"/>
          <w:szCs w:val="25"/>
        </w:rPr>
        <w:t xml:space="preserve">. Selon cette conception, avec la reconnaissance d’un seul Dieu on aboutit à la tribu universalisante ou bien plus modestement, comme l’écrit Walzer, à l’assomption des nations. Le deuxième universalisme est une alternative de l’histoire juive </w:t>
      </w:r>
      <w:r>
        <w:rPr>
          <w:rFonts w:ascii="Calibri" w:eastAsia="Batang" w:hAnsi="Calibri" w:cs="Calibri"/>
          <w:i/>
          <w:iCs/>
          <w:sz w:val="25"/>
          <w:szCs w:val="25"/>
        </w:rPr>
        <w:t>reconstituable</w:t>
      </w:r>
      <w:r>
        <w:rPr>
          <w:rFonts w:ascii="Calibri" w:eastAsia="Batang" w:hAnsi="Calibri" w:cs="Calibri"/>
          <w:sz w:val="25"/>
          <w:szCs w:val="25"/>
        </w:rPr>
        <w:t xml:space="preserve"> à partir de la Bible. « A partir du moment où le judaïsme est entré dans un conflit de grande envergure avec le christianisme, il est réprimé. Il réapparaît sous une forme laïcisée dans le romantisme des XVIIIe et XIXe siècles »</w:t>
      </w:r>
      <w:r>
        <w:rPr>
          <w:rStyle w:val="Appelnotedebasdep"/>
          <w:rFonts w:ascii="Calibri" w:eastAsia="Batang" w:hAnsi="Calibri" w:cs="Calibri"/>
          <w:sz w:val="25"/>
          <w:szCs w:val="25"/>
        </w:rPr>
        <w:footnoteReference w:id="329"/>
      </w:r>
      <w:r>
        <w:rPr>
          <w:rFonts w:ascii="Calibri" w:eastAsia="Batang" w:hAnsi="Calibri" w:cs="Calibri"/>
          <w:sz w:val="25"/>
          <w:szCs w:val="25"/>
        </w:rPr>
        <w:t> : «  Enfants d’Israël, vous êtes à moi, mais les enfants des Ethiopiens ne m’appartiennent-ils pas aussi »</w:t>
      </w:r>
      <w:r>
        <w:rPr>
          <w:rStyle w:val="Appelnotedebasdep"/>
          <w:rFonts w:ascii="Calibri" w:eastAsia="Batang" w:hAnsi="Calibri" w:cs="Calibri"/>
          <w:sz w:val="25"/>
          <w:szCs w:val="25"/>
        </w:rPr>
        <w:footnoteReference w:id="330"/>
      </w:r>
      <w:r>
        <w:rPr>
          <w:rFonts w:ascii="Calibri" w:eastAsia="Batang" w:hAnsi="Calibri" w:cs="Calibri"/>
          <w:sz w:val="25"/>
          <w:szCs w:val="25"/>
        </w:rPr>
        <w:t>? Donc, au lieu de plusieurs peuples, une seule montagne, il y a un seul Dieu, plusieurs bienfaits. On peut considérer que dans chacune des conceptions de Dieu, Dieu est universaliste. Il gouverne et contraint sans pour autant rejeter la diversité de l’humanité, ce qui place tous les hommes, tous les peuples dans l’égalité et dans le droit d’autodéterminations. En tant que base de la démocratie, cette idée de Dieu constitue un argument unique pour le peuple, pour la nation et pour l’individu.</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2° Le sens communautaire ici-bas et la communion avec les frères et sœurs de l’au-delà, l’acceptation sereine de la mort inéluctable comme un départ pour une autre vie communautaire, la communion et la solidarité avec les semblables vivants et morts, ainsi que l’intégration de la mort comme horizon inéluctable et égalitariste sont nécessaires pour la sagesse démocratique. L’esprit communautaire, dans la tradition africaine, demeure une valeur fondamentale qui se vérifie de façon concrète dans les langues </w:t>
      </w:r>
      <w:r>
        <w:rPr>
          <w:rFonts w:ascii="Calibri" w:eastAsia="Batang" w:hAnsi="Calibri" w:cs="Calibri"/>
          <w:i/>
          <w:iCs/>
          <w:sz w:val="25"/>
          <w:szCs w:val="25"/>
        </w:rPr>
        <w:t>bantu</w:t>
      </w:r>
      <w:r>
        <w:rPr>
          <w:rFonts w:ascii="Calibri" w:eastAsia="Batang" w:hAnsi="Calibri" w:cs="Calibri"/>
          <w:sz w:val="25"/>
          <w:szCs w:val="25"/>
        </w:rPr>
        <w:t xml:space="preserve"> : Dans les langues </w:t>
      </w:r>
      <w:r>
        <w:rPr>
          <w:rFonts w:ascii="Calibri" w:eastAsia="Batang" w:hAnsi="Calibri" w:cs="Calibri"/>
          <w:i/>
          <w:iCs/>
          <w:sz w:val="25"/>
          <w:szCs w:val="25"/>
        </w:rPr>
        <w:t xml:space="preserve">bantu </w:t>
      </w:r>
      <w:r>
        <w:rPr>
          <w:rFonts w:ascii="Calibri" w:eastAsia="Batang" w:hAnsi="Calibri" w:cs="Calibri"/>
          <w:sz w:val="25"/>
          <w:szCs w:val="25"/>
        </w:rPr>
        <w:t xml:space="preserve">où « l’avoir » apparaît comme une extension de « l’être » ; car « l’avoir » est toujours « l’être avec.» Chez Matungulu, l’avoir n’existe pas en tant que catégorie. L’avoir se situe au prolongement de l’être. Le travail de Matungulu dans lequel il recense le vocabulaire de quelques langues </w:t>
      </w:r>
      <w:r>
        <w:rPr>
          <w:rFonts w:ascii="Calibri" w:eastAsia="Batang" w:hAnsi="Calibri" w:cs="Calibri"/>
          <w:i/>
          <w:iCs/>
          <w:sz w:val="25"/>
          <w:szCs w:val="25"/>
        </w:rPr>
        <w:t>bantu</w:t>
      </w:r>
      <w:r>
        <w:rPr>
          <w:rFonts w:ascii="Calibri" w:eastAsia="Batang" w:hAnsi="Calibri" w:cs="Calibri"/>
          <w:sz w:val="25"/>
          <w:szCs w:val="25"/>
        </w:rPr>
        <w:t xml:space="preserve"> du Congo - Kinshasa est plus que convainquant. Selon cet auteur, l’homme est déjà et toujours un « être avec » et sa vie se règle sur le rythme d’harmonisation de ses relations avec Dieu, les ancêtres, les forces de la nature, les vivants. Le</w:t>
      </w:r>
      <w:r>
        <w:rPr>
          <w:rFonts w:ascii="Calibri" w:eastAsia="Batang" w:hAnsi="Calibri" w:cs="Calibri"/>
          <w:i/>
          <w:iCs/>
          <w:sz w:val="25"/>
          <w:szCs w:val="25"/>
        </w:rPr>
        <w:t xml:space="preserve"> muntu</w:t>
      </w:r>
      <w:r>
        <w:rPr>
          <w:rFonts w:ascii="Calibri" w:eastAsia="Batang" w:hAnsi="Calibri" w:cs="Calibri"/>
          <w:sz w:val="25"/>
          <w:szCs w:val="25"/>
        </w:rPr>
        <w:t xml:space="preserve"> est un être relationnel. Il ne se définit qu’en relation avec les êtres et les choses</w:t>
      </w:r>
      <w:r>
        <w:rPr>
          <w:rStyle w:val="Appelnotedebasdep"/>
          <w:rFonts w:ascii="Calibri" w:eastAsia="Batang" w:hAnsi="Calibri" w:cs="Calibri"/>
          <w:sz w:val="25"/>
          <w:szCs w:val="25"/>
        </w:rPr>
        <w:footnoteReference w:id="331"/>
      </w:r>
      <w:r>
        <w:rPr>
          <w:rFonts w:ascii="Calibri" w:eastAsia="Batang" w:hAnsi="Calibri" w:cs="Calibri"/>
          <w:sz w:val="25"/>
          <w:szCs w:val="25"/>
        </w:rPr>
        <w:t>.</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3°La parole - qui est la constellation la plus riche en potentialités civiques, politiques et démocratiques - est une figure emblématique du pouvoir, de la dignité, de la liberté de pensée et d’expression. Elle est l’expression de la jouissance effective des droits fondamentaux reconnus à la personne et aux communautés. Le droit à la parole est sacré et protégé par le chef lui-même. Sous sa forme de palabre, la parole consacre la souveraineté populaire qui s’exerce en assemblée délibérative. Au fait, la palabre africaine nous semble être le lieu par excellence, de l’expression de la liberté, de la participation de plusieurs à l’activité sociale, culturelle, religieuse, politique, bref un modèle de démocratie</w:t>
      </w:r>
      <w:r>
        <w:rPr>
          <w:rStyle w:val="Appelnotedebasdep"/>
          <w:rFonts w:ascii="Calibri" w:eastAsia="Batang" w:hAnsi="Calibri" w:cs="Calibri"/>
          <w:sz w:val="25"/>
          <w:szCs w:val="25"/>
        </w:rPr>
        <w:footnoteReference w:id="332"/>
      </w:r>
      <w:r>
        <w:rPr>
          <w:rFonts w:ascii="Calibri" w:eastAsia="Batang" w:hAnsi="Calibri" w:cs="Calibri"/>
          <w:sz w:val="25"/>
          <w:szCs w:val="25"/>
        </w:rPr>
        <w:t>. Parce que trouvant  en la discussion, en la confrontation, le lieu privilégié d’un dénouement heureux des conflits, un aplanissement des divergences, la palabre africaine est déjà un mode de démocratie</w:t>
      </w:r>
      <w:r>
        <w:rPr>
          <w:rStyle w:val="Appelnotedebasdep"/>
          <w:rFonts w:ascii="Calibri" w:eastAsia="Batang" w:hAnsi="Calibri" w:cs="Calibri"/>
          <w:sz w:val="25"/>
          <w:szCs w:val="25"/>
        </w:rPr>
        <w:footnoteReference w:id="333"/>
      </w:r>
      <w:r>
        <w:rPr>
          <w:rFonts w:ascii="Calibri" w:eastAsia="Batang" w:hAnsi="Calibri" w:cs="Calibri"/>
          <w:sz w:val="25"/>
          <w:szCs w:val="25"/>
        </w:rPr>
        <w:t xml:space="preserve">. A partir de la palabre africaine il est possible de recréer dans nos sociétés actuellement meurtries </w:t>
      </w:r>
      <w:r>
        <w:rPr>
          <w:rFonts w:ascii="Calibri" w:eastAsia="Batang" w:hAnsi="Calibri" w:cs="Calibri"/>
          <w:sz w:val="25"/>
          <w:szCs w:val="25"/>
        </w:rPr>
        <w:lastRenderedPageBreak/>
        <w:t>par la xénophobie et l’intolérance, un véritable agir à même de nous permettre de cohabiter et de coopérer.</w:t>
      </w:r>
    </w:p>
    <w:p w:rsidR="000A31A8" w:rsidRDefault="0065345B">
      <w:pPr>
        <w:tabs>
          <w:tab w:val="left" w:pos="2520"/>
        </w:tabs>
        <w:spacing w:line="324" w:lineRule="auto"/>
        <w:ind w:right="-2"/>
        <w:jc w:val="both"/>
        <w:rPr>
          <w:rFonts w:ascii="Calibri" w:eastAsia="Batang" w:hAnsi="Calibri" w:cs="Calibri"/>
          <w:b/>
          <w:bCs/>
          <w:sz w:val="25"/>
          <w:szCs w:val="25"/>
        </w:rPr>
      </w:pPr>
      <w:r>
        <w:rPr>
          <w:rFonts w:ascii="Calibri" w:eastAsia="Batang" w:hAnsi="Calibri" w:cs="Calibri"/>
          <w:sz w:val="25"/>
          <w:szCs w:val="25"/>
        </w:rPr>
        <w:t>L’Afrique a donc bel et bien, dans ses traditions, des valeurs sur lesquelles asseoir un édifice démocratique original et authentique. A partir de la palabre, le débat des projets présentés par différents partis politiques est rendu possible. La démocratie pluraliste ne devrait donc pas poser problèmes en Afrique.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La palabre est une parole donnée et, est par conséquent le lien par excellence du politique. Par la palabre, la société interroge ses références, se met à distance et peut entrer dans un dialogue ininterrompu avec elle-même et son autre</w:t>
      </w:r>
      <w:r>
        <w:rPr>
          <w:rStyle w:val="Appelnotedebasdep"/>
          <w:rFonts w:ascii="Calibri" w:eastAsia="Batang" w:hAnsi="Calibri" w:cs="Calibri"/>
          <w:sz w:val="25"/>
          <w:szCs w:val="25"/>
        </w:rPr>
        <w:footnoteReference w:id="334"/>
      </w:r>
      <w:r>
        <w:rPr>
          <w:rFonts w:ascii="Calibri" w:eastAsia="Batang" w:hAnsi="Calibri" w:cs="Calibri"/>
          <w:sz w:val="25"/>
          <w:szCs w:val="25"/>
        </w:rPr>
        <w:t xml:space="preserve">. En tant que mise en scène de la délibération  et de la discussion, la palabre est un véritable paradigme politique. Comme paradigme politique, elle est perçue par Bidima sous trois visages : comme </w:t>
      </w:r>
      <w:r>
        <w:rPr>
          <w:rFonts w:ascii="Calibri" w:eastAsia="Batang" w:hAnsi="Calibri" w:cs="Calibri"/>
          <w:i/>
          <w:iCs/>
          <w:sz w:val="25"/>
          <w:szCs w:val="25"/>
        </w:rPr>
        <w:t>dissensus</w:t>
      </w:r>
      <w:r>
        <w:rPr>
          <w:rFonts w:ascii="Calibri" w:eastAsia="Batang" w:hAnsi="Calibri" w:cs="Calibri"/>
          <w:sz w:val="25"/>
          <w:szCs w:val="25"/>
        </w:rPr>
        <w:t>, comme tolérance et comme lien social.</w:t>
      </w:r>
    </w:p>
    <w:p w:rsidR="000A31A8" w:rsidRDefault="000A31A8">
      <w:pPr>
        <w:tabs>
          <w:tab w:val="left" w:pos="0"/>
          <w:tab w:val="left" w:pos="2520"/>
          <w:tab w:val="left" w:pos="5835"/>
        </w:tabs>
        <w:spacing w:line="324" w:lineRule="auto"/>
        <w:ind w:right="-2"/>
        <w:jc w:val="both"/>
        <w:rPr>
          <w:rFonts w:ascii="Calibri" w:eastAsia="Batang" w:hAnsi="Calibri" w:cs="Calibri"/>
          <w:sz w:val="25"/>
          <w:szCs w:val="25"/>
        </w:rPr>
      </w:pPr>
    </w:p>
    <w:p w:rsidR="000A31A8" w:rsidRDefault="0065345B">
      <w:pPr>
        <w:tabs>
          <w:tab w:val="left" w:pos="0"/>
          <w:tab w:val="left" w:pos="2520"/>
          <w:tab w:val="left" w:pos="5835"/>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Premièrement, la palabre est un mouvement qui arrête la violence après une discussion vive. Elle conduit des gens en conflit à trouver un consensus. Ainsi, par la palabre on exorcise le </w:t>
      </w:r>
      <w:r>
        <w:rPr>
          <w:rFonts w:ascii="Calibri" w:eastAsia="Batang" w:hAnsi="Calibri" w:cs="Calibri"/>
          <w:i/>
          <w:iCs/>
          <w:sz w:val="25"/>
          <w:szCs w:val="25"/>
        </w:rPr>
        <w:t>dissensus</w:t>
      </w:r>
      <w:r>
        <w:rPr>
          <w:rFonts w:ascii="Calibri" w:eastAsia="Batang" w:hAnsi="Calibri" w:cs="Calibri"/>
          <w:sz w:val="25"/>
          <w:szCs w:val="25"/>
        </w:rPr>
        <w:t xml:space="preserve"> pour promouvoir l’unité, restaurer l’harmonie. Ce qui laisse certains penseurs conclure que l’important dans la palabre n’est pas la discussion mais sa finalité qui serait la réconciliation. Or insister sur le retour à l’unanimité, c’est faire de la palabre le lieu de transparence où, par le fait que la discussion est publique, on croit que le mot et la parole sont totalement transparents. Mais l’on sait avec pertinence qu’en pratique le mot est opaque : un mot de placé est un sens déplacé. La palabre, par sa « publicité », joue avec le malentendu plus qu’avec le consensus. C’est pourquoi elle opère un perpétuel déplacement des sens et se montre rebelle à toute clôture dans la communion : c’est le </w:t>
      </w:r>
      <w:r>
        <w:rPr>
          <w:rFonts w:ascii="Calibri" w:eastAsia="Batang" w:hAnsi="Calibri" w:cs="Calibri"/>
          <w:i/>
          <w:iCs/>
          <w:sz w:val="25"/>
          <w:szCs w:val="25"/>
        </w:rPr>
        <w:t>dissensus</w:t>
      </w:r>
      <w:r>
        <w:rPr>
          <w:rFonts w:ascii="Calibri" w:eastAsia="Batang" w:hAnsi="Calibri" w:cs="Calibri"/>
          <w:sz w:val="25"/>
          <w:szCs w:val="25"/>
        </w:rPr>
        <w:t xml:space="preserve"> qui crée la distance et qui permet à la société  de trouver un ailleurs</w:t>
      </w:r>
      <w:r>
        <w:rPr>
          <w:rStyle w:val="Appelnotedebasdep"/>
          <w:rFonts w:ascii="Calibri" w:eastAsia="Batang" w:hAnsi="Calibri" w:cs="Calibri"/>
          <w:sz w:val="25"/>
          <w:szCs w:val="25"/>
        </w:rPr>
        <w:footnoteReference w:id="335"/>
      </w:r>
      <w:r>
        <w:rPr>
          <w:rFonts w:ascii="Calibri" w:eastAsia="Batang" w:hAnsi="Calibri" w:cs="Calibri"/>
          <w:sz w:val="25"/>
          <w:szCs w:val="25"/>
        </w:rPr>
        <w:t>. Donc, avec la palabre, ce n’est pas la conformité et le consensus qui ne laisseraient pas de place au dissentiment ou à la contestation, comme l’affirmaient déjà ceux qui pensaient que les sociétés africaines n’étaient qu’à la recherche de l’unanimité ou de la réduction des dissensions. C’est bien le contraire, la palabre africaine est génératrice de compromis, d’ententes provisoires qui respectent les spécificités et l’altérité. Avec la palabre, le conflit n’est pas résolu mais seulement suspendu.</w:t>
      </w:r>
    </w:p>
    <w:p w:rsidR="000A31A8" w:rsidRDefault="000A31A8">
      <w:pPr>
        <w:tabs>
          <w:tab w:val="left" w:pos="0"/>
          <w:tab w:val="left" w:pos="2520"/>
          <w:tab w:val="left" w:pos="5835"/>
        </w:tabs>
        <w:spacing w:line="324" w:lineRule="auto"/>
        <w:ind w:right="-2"/>
        <w:jc w:val="both"/>
        <w:rPr>
          <w:rFonts w:ascii="Calibri" w:eastAsia="Batang" w:hAnsi="Calibri" w:cs="Calibri"/>
          <w:sz w:val="25"/>
          <w:szCs w:val="25"/>
        </w:rPr>
      </w:pPr>
    </w:p>
    <w:p w:rsidR="000A31A8" w:rsidRDefault="0065345B">
      <w:pPr>
        <w:tabs>
          <w:tab w:val="left" w:pos="0"/>
          <w:tab w:val="left" w:pos="2520"/>
          <w:tab w:val="left" w:pos="5835"/>
        </w:tabs>
        <w:spacing w:line="324" w:lineRule="auto"/>
        <w:ind w:right="-2"/>
        <w:jc w:val="both"/>
        <w:rPr>
          <w:rFonts w:ascii="Calibri" w:eastAsia="Batang" w:hAnsi="Calibri" w:cs="Calibri"/>
          <w:sz w:val="25"/>
          <w:szCs w:val="25"/>
        </w:rPr>
      </w:pPr>
      <w:r>
        <w:rPr>
          <w:rFonts w:ascii="Calibri" w:eastAsia="Batang" w:hAnsi="Calibri" w:cs="Calibri"/>
          <w:sz w:val="25"/>
          <w:szCs w:val="25"/>
        </w:rPr>
        <w:t>Deuxièmement, la palabre implique l’idée de tolérance</w:t>
      </w:r>
      <w:r>
        <w:rPr>
          <w:rStyle w:val="Appelnotedebasdep"/>
          <w:rFonts w:ascii="Calibri" w:eastAsia="Batang" w:hAnsi="Calibri" w:cs="Calibri"/>
          <w:sz w:val="25"/>
          <w:szCs w:val="25"/>
        </w:rPr>
        <w:footnoteReference w:id="336"/>
      </w:r>
      <w:r>
        <w:rPr>
          <w:rFonts w:ascii="Calibri" w:eastAsia="Batang" w:hAnsi="Calibri" w:cs="Calibri"/>
          <w:sz w:val="25"/>
          <w:szCs w:val="25"/>
        </w:rPr>
        <w:t>. Il ne s’agit pas d’une tolérance passive comme celle qui a caractérisé les rapports entre l’Europe et l’Afrique après les indépendances (le laisser-faire) en gardant intacts les préjugés de chacun ; mais bien au contraire, la palabre met en vue la possibilité d’une tolérance active qui rappelle que l’homme est, avant tout, relation et que dans cette relation, chacun vit « une petite mort » de soi. Ce n’est que par cette perte qu’on entre en relation avec l’autre. L’implication de cette conception dans l’attitude politique est d’une importance capitale : il faut consentir (entre Etats, tribus, Eglises, etc.) à une perte de souveraineté en admettant la possibilité de changer d’avis. C’est cette attitude qui est capable d’apporter une paix provisoire à l’espace politique et social. On ne peut exercer son devoir de citoyen dans un espace démocratique que si on est conscient de ces limites.</w:t>
      </w:r>
    </w:p>
    <w:p w:rsidR="000A31A8" w:rsidRDefault="000A31A8">
      <w:pPr>
        <w:tabs>
          <w:tab w:val="left" w:pos="0"/>
          <w:tab w:val="left" w:pos="2520"/>
          <w:tab w:val="left" w:pos="5835"/>
        </w:tabs>
        <w:spacing w:line="324" w:lineRule="auto"/>
        <w:ind w:right="-2"/>
        <w:jc w:val="both"/>
        <w:rPr>
          <w:rFonts w:ascii="Calibri" w:eastAsia="Batang" w:hAnsi="Calibri" w:cs="Calibri"/>
          <w:sz w:val="25"/>
          <w:szCs w:val="25"/>
        </w:rPr>
      </w:pPr>
    </w:p>
    <w:p w:rsidR="000A31A8" w:rsidRDefault="0065345B">
      <w:pPr>
        <w:tabs>
          <w:tab w:val="left" w:pos="0"/>
          <w:tab w:val="left" w:pos="2520"/>
          <w:tab w:val="left" w:pos="5835"/>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Troisièmement, la palabre peut être perçue comme le lien social dans la mesure où elle peut permettre à la société de se refléter son ordre comme son désordre, en incitant les personnes impliquées à reposer le problème du lien social. La palabre est un lien social parce que tout être humain y porte un horizon du sens possible, et la relation avec autrui signifie que l’autre est une altérité que je ne peux ni saisir ni maîtriser définitivement. Dès lors, l’autre devient non pas une simple présence mais un </w:t>
      </w:r>
      <w:r>
        <w:rPr>
          <w:rFonts w:ascii="Calibri" w:eastAsia="Batang" w:hAnsi="Calibri" w:cs="Calibri"/>
          <w:i/>
          <w:iCs/>
          <w:sz w:val="25"/>
          <w:szCs w:val="25"/>
        </w:rPr>
        <w:t>a-venir</w:t>
      </w:r>
      <w:r>
        <w:rPr>
          <w:rFonts w:ascii="Calibri" w:eastAsia="Batang" w:hAnsi="Calibri" w:cs="Calibri"/>
          <w:sz w:val="25"/>
          <w:szCs w:val="25"/>
        </w:rPr>
        <w:t>, et la relation avec l’autre devient relation avec l’avenir. Si l’on admet que la palabre, en tant que paradigme politique, exorcise la violence, la canalise à travers la mise en scène de la confrontation publique, il y a lieu de se poser des questions sur l’échec actuel de la démocratie en Afrique. Au fait, pourquoi l’altérité qui cohabite normalement avec la palabre se trouve-t-elle réduite en terre même de la palabre ?</w:t>
      </w:r>
    </w:p>
    <w:p w:rsidR="000A31A8" w:rsidRDefault="000A31A8">
      <w:pPr>
        <w:tabs>
          <w:tab w:val="left" w:pos="0"/>
          <w:tab w:val="left" w:pos="2520"/>
          <w:tab w:val="left" w:pos="5835"/>
        </w:tabs>
        <w:spacing w:line="324" w:lineRule="auto"/>
        <w:ind w:right="-2"/>
        <w:jc w:val="both"/>
        <w:rPr>
          <w:rFonts w:ascii="Calibri" w:hAnsi="Calibri" w:cs="Calibri"/>
          <w:sz w:val="25"/>
          <w:szCs w:val="25"/>
        </w:rPr>
      </w:pPr>
    </w:p>
    <w:p w:rsidR="000A31A8" w:rsidRDefault="0065345B">
      <w:pPr>
        <w:tabs>
          <w:tab w:val="left" w:pos="0"/>
          <w:tab w:val="left" w:pos="2520"/>
          <w:tab w:val="left" w:pos="5835"/>
        </w:tabs>
        <w:spacing w:line="324" w:lineRule="auto"/>
        <w:ind w:right="-2"/>
        <w:jc w:val="both"/>
        <w:rPr>
          <w:rFonts w:ascii="Calibri" w:hAnsi="Calibri" w:cs="Calibri"/>
          <w:sz w:val="25"/>
          <w:szCs w:val="25"/>
        </w:rPr>
      </w:pPr>
      <w:r>
        <w:rPr>
          <w:rFonts w:ascii="Calibri" w:hAnsi="Calibri" w:cs="Calibri"/>
          <w:sz w:val="25"/>
          <w:szCs w:val="25"/>
        </w:rPr>
        <w:t xml:space="preserve">Selon Bidima les institutions qui ont réduit l’altérité sont les pouvoirs traditionnels, les partis uniques et le faux pluralisme des régimes actuels. Dans un plaidoyer pour une démocratie pluraliste nous ne pouvons pas ne pas relever les principaux adversaires de la palabre, lesquels adversaires sont, à notre avis, les partis uniques - qui ont fait du chemin depuis l’indépendance africaine - et le faux pluralisme dans lequel l’Afrique s’est lancée depuis des années. A la lumière de ce qui précède, la principale mission </w:t>
      </w:r>
      <w:r>
        <w:rPr>
          <w:rFonts w:ascii="Calibri" w:hAnsi="Calibri" w:cs="Calibri"/>
          <w:sz w:val="25"/>
          <w:szCs w:val="25"/>
        </w:rPr>
        <w:lastRenderedPageBreak/>
        <w:t>des partis uniques a été de niveler l’opinion et d’étouffer toute créativité. Ils ont réussi à entretenir un faux consensus qui a poussé l’Afrique à refouler la tradition de la palabre. Dans un élan raciste et colonialiste le monopartisme s’est donné pour mission de faire taire les risques de fragmentation et les particularismes tribalistes en faveur d’un nationalisme qui sauverait les minorités. L’argument le plus connu est celui qui présentait le vote comme étant tribal ; dans ces conditions, pour éviter que les minorités ne soient jamais représentées, on devait recourir à un seul grand parti qui rassemblerait tout le monde. On peut ajouter à cet argument celui de la nécessité d’intégration nationale d’une société sans classe pour assurer le passage d’une conscience tribale à un sentiment  national.</w:t>
      </w:r>
    </w:p>
    <w:p w:rsidR="000A31A8" w:rsidRDefault="000A31A8">
      <w:pPr>
        <w:tabs>
          <w:tab w:val="left" w:pos="0"/>
          <w:tab w:val="left" w:pos="2520"/>
          <w:tab w:val="left" w:pos="5835"/>
        </w:tabs>
        <w:spacing w:line="324" w:lineRule="auto"/>
        <w:ind w:right="-2"/>
        <w:jc w:val="both"/>
        <w:rPr>
          <w:rFonts w:ascii="Calibri" w:hAnsi="Calibri" w:cs="Calibri"/>
          <w:sz w:val="25"/>
          <w:szCs w:val="25"/>
        </w:rPr>
      </w:pPr>
    </w:p>
    <w:p w:rsidR="000A31A8" w:rsidRDefault="0065345B">
      <w:pPr>
        <w:tabs>
          <w:tab w:val="left" w:pos="0"/>
          <w:tab w:val="left" w:pos="2520"/>
          <w:tab w:val="left" w:pos="5835"/>
        </w:tabs>
        <w:spacing w:line="324" w:lineRule="auto"/>
        <w:ind w:right="-2"/>
        <w:jc w:val="both"/>
        <w:rPr>
          <w:rFonts w:ascii="Calibri" w:eastAsia="Batang" w:hAnsi="Calibri" w:cs="Calibri"/>
          <w:sz w:val="25"/>
          <w:szCs w:val="25"/>
        </w:rPr>
      </w:pPr>
      <w:r>
        <w:rPr>
          <w:rFonts w:ascii="Calibri" w:hAnsi="Calibri" w:cs="Calibri"/>
          <w:sz w:val="25"/>
          <w:szCs w:val="25"/>
        </w:rPr>
        <w:t>Or le parti unique monopolise l’expression des vœux de la communauté, impose à l’ensemble ses vues, interdit la discussion et la variété des interprétations individuelles. Dans un tel système, le pouvoir pèse lourd sur les structures économiques, sociales et politiques</w:t>
      </w:r>
      <w:r>
        <w:rPr>
          <w:rStyle w:val="Appelnotedebasdep"/>
          <w:rFonts w:ascii="Calibri" w:hAnsi="Calibri" w:cs="Calibri"/>
          <w:sz w:val="25"/>
          <w:szCs w:val="25"/>
        </w:rPr>
        <w:footnoteReference w:id="337"/>
      </w:r>
      <w:r>
        <w:rPr>
          <w:rFonts w:ascii="Calibri" w:hAnsi="Calibri" w:cs="Calibri"/>
          <w:sz w:val="25"/>
          <w:szCs w:val="25"/>
        </w:rPr>
        <w:t xml:space="preserve">. </w:t>
      </w:r>
      <w:r>
        <w:rPr>
          <w:rFonts w:ascii="Calibri" w:hAnsi="Calibri" w:cs="Calibri"/>
          <w:bCs/>
          <w:sz w:val="25"/>
          <w:szCs w:val="25"/>
        </w:rPr>
        <w:t>Cette tendance unanimiste qui n’accepte pas de discussion crée un consensus artificiel allant tout à fait à l’encontre de la tradition de la palabre. La nation, l’intérêt général et le bien commun, dont la définition revenait à un seul, ne furent que des alibis pour renoncer au pluralisme perpétué par la tradition de la palabre</w:t>
      </w:r>
      <w:r>
        <w:rPr>
          <w:rStyle w:val="Appelnotedebasdep"/>
          <w:rFonts w:ascii="Calibri" w:hAnsi="Calibri" w:cs="Calibri"/>
          <w:bCs/>
          <w:sz w:val="25"/>
          <w:szCs w:val="25"/>
        </w:rPr>
        <w:footnoteReference w:id="338"/>
      </w:r>
      <w:r>
        <w:rPr>
          <w:rFonts w:ascii="Calibri" w:hAnsi="Calibri" w:cs="Calibri"/>
          <w:bCs/>
          <w:sz w:val="25"/>
          <w:szCs w:val="25"/>
        </w:rPr>
        <w:t>. Le parti unique a dispensé de penser l’altérité qui est pourtant une donnée essentielle du politique entendu comme organisation de la coexistence humaine.  Il a condamné en même temps le sujet à n’être qu’un simple écho du pouvoir autoritaire, incapable de toute autonomie. Voilà qui a fait naître une définition imprécise de l’ennemi qui signifie tantôt un pays voisin, tantôt un opposant politique, etc.</w:t>
      </w:r>
    </w:p>
    <w:p w:rsidR="000A31A8" w:rsidRDefault="000A31A8">
      <w:pPr>
        <w:pStyle w:val="Titre6"/>
        <w:tabs>
          <w:tab w:val="left" w:pos="2520"/>
        </w:tabs>
        <w:spacing w:line="324" w:lineRule="auto"/>
        <w:ind w:left="0" w:right="-2" w:firstLine="0"/>
        <w:jc w:val="both"/>
        <w:rPr>
          <w:rFonts w:ascii="Calibri" w:hAnsi="Calibri" w:cs="Calibri"/>
          <w:b w:val="0"/>
          <w:bCs w:val="0"/>
          <w:sz w:val="25"/>
          <w:szCs w:val="25"/>
        </w:rPr>
      </w:pPr>
    </w:p>
    <w:p w:rsidR="000A31A8" w:rsidRDefault="0065345B">
      <w:pPr>
        <w:pStyle w:val="Titre6"/>
        <w:tabs>
          <w:tab w:val="left" w:pos="2520"/>
        </w:tabs>
        <w:spacing w:line="324" w:lineRule="auto"/>
        <w:ind w:left="0" w:right="-2" w:firstLine="0"/>
        <w:jc w:val="both"/>
        <w:rPr>
          <w:rFonts w:ascii="Calibri" w:hAnsi="Calibri" w:cs="Calibri"/>
          <w:b w:val="0"/>
          <w:bCs w:val="0"/>
          <w:sz w:val="25"/>
          <w:szCs w:val="25"/>
        </w:rPr>
      </w:pPr>
      <w:r>
        <w:rPr>
          <w:rFonts w:ascii="Calibri" w:hAnsi="Calibri" w:cs="Calibri"/>
          <w:b w:val="0"/>
          <w:bCs w:val="0"/>
          <w:sz w:val="25"/>
          <w:szCs w:val="25"/>
        </w:rPr>
        <w:t xml:space="preserve">Après les indépendances, l’Afrique a fait l’expérience du multipartisme. Cette expérience non concluante a été très vite remplacée par le monopartisme. Les pères du monopartisme ont durant 30 ans, démontré que l’échec de la première tentative du multipartisme était dû  au fait que celui était complètement étranger à la culture </w:t>
      </w:r>
      <w:r>
        <w:rPr>
          <w:rFonts w:ascii="Calibri" w:hAnsi="Calibri" w:cs="Calibri"/>
          <w:b w:val="0"/>
          <w:bCs w:val="0"/>
          <w:sz w:val="25"/>
          <w:szCs w:val="25"/>
        </w:rPr>
        <w:lastRenderedPageBreak/>
        <w:t>africaine. Mais le multipartisme renaît dans les années 90 à travers de grands forums comme les conférences nationales et autres.</w:t>
      </w:r>
    </w:p>
    <w:p w:rsidR="000A31A8" w:rsidRDefault="000A31A8">
      <w:pPr>
        <w:pStyle w:val="Titre6"/>
        <w:tabs>
          <w:tab w:val="left" w:pos="2520"/>
        </w:tabs>
        <w:spacing w:line="324" w:lineRule="auto"/>
        <w:ind w:left="0" w:right="-2" w:firstLine="0"/>
        <w:jc w:val="both"/>
        <w:rPr>
          <w:rFonts w:ascii="Calibri" w:hAnsi="Calibri" w:cs="Calibri"/>
          <w:b w:val="0"/>
          <w:bCs w:val="0"/>
          <w:sz w:val="25"/>
          <w:szCs w:val="25"/>
        </w:rPr>
      </w:pPr>
    </w:p>
    <w:p w:rsidR="000A31A8" w:rsidRDefault="0065345B">
      <w:pPr>
        <w:pStyle w:val="Titre6"/>
        <w:tabs>
          <w:tab w:val="left" w:pos="2520"/>
        </w:tabs>
        <w:spacing w:line="324" w:lineRule="auto"/>
        <w:ind w:left="0" w:right="-2" w:firstLine="0"/>
        <w:jc w:val="both"/>
        <w:rPr>
          <w:rFonts w:ascii="Calibri" w:hAnsi="Calibri" w:cs="Calibri"/>
          <w:b w:val="0"/>
          <w:bCs w:val="0"/>
          <w:sz w:val="25"/>
          <w:szCs w:val="25"/>
        </w:rPr>
      </w:pPr>
      <w:r>
        <w:rPr>
          <w:rFonts w:ascii="Calibri" w:hAnsi="Calibri" w:cs="Calibri"/>
          <w:b w:val="0"/>
          <w:bCs w:val="0"/>
          <w:sz w:val="25"/>
          <w:szCs w:val="25"/>
        </w:rPr>
        <w:t>Cette fois-ci le multipartisme est perçu comme une transposition forcée au Sud d’un modèle qui vient du Nord avec cette conscience que la démocratie pluraliste permet à l’Occident de commercer avec l’Afrique dont la démocratie n’est pas réelle mais seulement apparente ; ce qui entraîne une nouvelle forme de colonisation que dénoncent les Africains quelques fois nostalgiques du parti unique. D’où, une large critique de la démocratie et du multipartisme. On comprend alors pourquoi la libération de la parole, au lieu d’être une discussion sur le sens, le vivre-ensemble, les notions de communauté et de lien, est devenue une « parlerie », une logomachie, une querelle de procédures pour l’accession au pouvoir. Voilà pourquoi l’Afrique a plongé dans un faux pluralisme.</w:t>
      </w:r>
    </w:p>
    <w:p w:rsidR="000A31A8" w:rsidRDefault="000A31A8">
      <w:pPr>
        <w:tabs>
          <w:tab w:val="left" w:pos="2520"/>
        </w:tabs>
        <w:spacing w:line="324" w:lineRule="auto"/>
        <w:ind w:right="-2"/>
        <w:jc w:val="both"/>
        <w:rPr>
          <w:rFonts w:ascii="Calibri" w:eastAsia="Batang" w:hAnsi="Calibri" w:cs="Calibri"/>
          <w:sz w:val="25"/>
          <w:szCs w:val="25"/>
        </w:rPr>
      </w:pP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Nous sommes partis de la critique rawlsienne de l’utilitarisme pour poser la possibilité  d’une démocratie pluraliste face à l’anarchie que recèle l’utilitarisme. Mais cette </w:t>
      </w:r>
      <w:r>
        <w:rPr>
          <w:rFonts w:ascii="Calibri" w:eastAsia="Batang" w:hAnsi="Calibri" w:cs="Calibri"/>
          <w:i/>
          <w:iCs/>
          <w:sz w:val="25"/>
          <w:szCs w:val="25"/>
        </w:rPr>
        <w:t>possibilité </w:t>
      </w:r>
      <w:r>
        <w:rPr>
          <w:rFonts w:ascii="Calibri" w:eastAsia="Batang" w:hAnsi="Calibri" w:cs="Calibri"/>
          <w:sz w:val="25"/>
          <w:szCs w:val="25"/>
        </w:rPr>
        <w:t xml:space="preserve"> s’est offerte dans le cadre de redressement d’une démocratie occidentale déjà existante. Est-il opportun aujourd’hui de parler de la démocratie pluraliste en Afrique ? </w:t>
      </w:r>
      <w:r>
        <w:rPr>
          <w:rFonts w:ascii="Calibri" w:hAnsi="Calibri" w:cs="Calibri"/>
          <w:sz w:val="25"/>
          <w:szCs w:val="25"/>
        </w:rPr>
        <w:t>Evidemment, quand on scrute la réalité politique africaine depuis les années d’indépendance, on se rend compte que les pays africains, à l’exception peut-être du Sénégal et du Bénin, restent encore fragiles. Aujourd’hui, après l’édition des Constitutions taillées à la mesure des chefs, les coups d’Etat ont repris de plus belle (Mali, Guinée, Burkina-Faso) et le pouvoir militaire a refait surface</w:t>
      </w:r>
      <w:r>
        <w:rPr>
          <w:rFonts w:ascii="Calibri" w:eastAsia="Batang" w:hAnsi="Calibri" w:cs="Calibri"/>
          <w:sz w:val="25"/>
          <w:szCs w:val="25"/>
        </w:rPr>
        <w:t>. Comme le pense Dumont, « les militaires au pouvoir, contrairement à ce qu’ils prétendent, ne sont pas là seulement pour engager et gagner les conflits avec les nations étrangères.  Ils luttent désormais contre l’ennemi intérieur auprès de répression de forces policières. Les militaires ne sont pas démocrates et la lutte pour la démocratie exige leur retour dans les casernes. On le sait depuis longtemps, en tout cas depuis Cicéron qui disait « </w:t>
      </w:r>
      <w:r>
        <w:rPr>
          <w:rFonts w:ascii="Calibri" w:eastAsia="Batang" w:hAnsi="Calibri" w:cs="Calibri"/>
          <w:i/>
          <w:iCs/>
          <w:sz w:val="25"/>
          <w:szCs w:val="25"/>
        </w:rPr>
        <w:t>cedant arma togae</w:t>
      </w:r>
      <w:r>
        <w:rPr>
          <w:rFonts w:ascii="Calibri" w:eastAsia="Batang" w:hAnsi="Calibri" w:cs="Calibri"/>
          <w:sz w:val="25"/>
          <w:szCs w:val="25"/>
        </w:rPr>
        <w:t> », le militaire doit céder devant le pouvoir civil »</w:t>
      </w:r>
      <w:r>
        <w:rPr>
          <w:rStyle w:val="Appelnotedebasdep"/>
          <w:rFonts w:ascii="Calibri" w:eastAsia="Batang" w:hAnsi="Calibri" w:cs="Calibri"/>
          <w:sz w:val="25"/>
          <w:szCs w:val="25"/>
        </w:rPr>
        <w:footnoteReference w:id="339"/>
      </w:r>
      <w:r>
        <w:rPr>
          <w:rFonts w:ascii="Calibri" w:eastAsia="Batang" w:hAnsi="Calibri" w:cs="Calibri"/>
          <w:sz w:val="25"/>
          <w:szCs w:val="25"/>
        </w:rPr>
        <w:t> .</w:t>
      </w:r>
    </w:p>
    <w:p w:rsidR="000A31A8" w:rsidRDefault="000A31A8">
      <w:pPr>
        <w:pStyle w:val="Normalcentr"/>
        <w:tabs>
          <w:tab w:val="clear" w:pos="1185"/>
        </w:tabs>
        <w:spacing w:line="324" w:lineRule="auto"/>
        <w:ind w:left="0" w:right="-2" w:firstLine="0"/>
        <w:rPr>
          <w:rFonts w:ascii="Calibri" w:hAnsi="Calibri" w:cs="Calibri"/>
          <w:sz w:val="25"/>
          <w:szCs w:val="25"/>
        </w:rPr>
      </w:pPr>
    </w:p>
    <w:p w:rsidR="000A31A8" w:rsidRDefault="0065345B">
      <w:pPr>
        <w:pStyle w:val="Normalcentr"/>
        <w:tabs>
          <w:tab w:val="clear" w:pos="1185"/>
        </w:tabs>
        <w:spacing w:line="324" w:lineRule="auto"/>
        <w:ind w:left="0" w:right="-2" w:firstLine="0"/>
        <w:rPr>
          <w:rFonts w:ascii="Calibri" w:hAnsi="Calibri" w:cs="Calibri"/>
          <w:sz w:val="25"/>
          <w:szCs w:val="25"/>
        </w:rPr>
      </w:pPr>
      <w:r>
        <w:rPr>
          <w:rFonts w:ascii="Calibri" w:hAnsi="Calibri" w:cs="Calibri"/>
          <w:sz w:val="25"/>
          <w:szCs w:val="25"/>
        </w:rPr>
        <w:t>A la publication de  </w:t>
      </w:r>
      <w:r>
        <w:rPr>
          <w:rFonts w:ascii="Calibri" w:hAnsi="Calibri" w:cs="Calibri"/>
          <w:i/>
          <w:iCs/>
          <w:sz w:val="25"/>
          <w:szCs w:val="25"/>
        </w:rPr>
        <w:t>Démocratie pour l’Afrique</w:t>
      </w:r>
      <w:r>
        <w:rPr>
          <w:rFonts w:ascii="Calibri" w:hAnsi="Calibri" w:cs="Calibri"/>
          <w:sz w:val="25"/>
          <w:szCs w:val="25"/>
        </w:rPr>
        <w:t>  par René Dumont  et d’</w:t>
      </w:r>
      <w:r>
        <w:rPr>
          <w:rFonts w:ascii="Calibri" w:hAnsi="Calibri" w:cs="Calibri"/>
          <w:i/>
          <w:sz w:val="25"/>
          <w:szCs w:val="25"/>
        </w:rPr>
        <w:t>Afrique</w:t>
      </w:r>
      <w:r>
        <w:rPr>
          <w:rFonts w:ascii="Calibri" w:hAnsi="Calibri" w:cs="Calibri"/>
          <w:i/>
          <w:iCs/>
          <w:sz w:val="25"/>
          <w:szCs w:val="25"/>
        </w:rPr>
        <w:t xml:space="preserve"> démocratie piégée</w:t>
      </w:r>
      <w:r>
        <w:rPr>
          <w:rFonts w:ascii="Calibri" w:hAnsi="Calibri" w:cs="Calibri"/>
          <w:sz w:val="25"/>
          <w:szCs w:val="25"/>
        </w:rPr>
        <w:t xml:space="preserve"> d’Honoré Ngbanda au début des années 90, les régimes </w:t>
      </w:r>
      <w:r>
        <w:rPr>
          <w:rFonts w:ascii="Calibri" w:hAnsi="Calibri" w:cs="Calibri"/>
          <w:sz w:val="25"/>
          <w:szCs w:val="25"/>
        </w:rPr>
        <w:lastRenderedPageBreak/>
        <w:t>dictatoriaux (civils ou militaires) à parti unique dominaient encore l’ensemble de l’Afrique à l’exception du Sénégal qui tolérait une liberté d’expression et d’association relative contrôlée par le parti dominant  qui a succédé au parti unique. Donc, tous ces régimes ne connaissent aucune des libertés classiques d’information, d’association, etc. Les multiples révolutions</w:t>
      </w:r>
      <w:r>
        <w:rPr>
          <w:rStyle w:val="Appelnotedebasdep"/>
          <w:rFonts w:ascii="Calibri" w:hAnsi="Calibri" w:cs="Calibri"/>
          <w:sz w:val="25"/>
          <w:szCs w:val="25"/>
        </w:rPr>
        <w:footnoteReference w:id="340"/>
      </w:r>
      <w:r>
        <w:rPr>
          <w:rFonts w:ascii="Calibri" w:hAnsi="Calibri" w:cs="Calibri"/>
          <w:sz w:val="25"/>
          <w:szCs w:val="25"/>
        </w:rPr>
        <w:t xml:space="preserve"> menées à travers le continent noir sont l’expression d’un désir de liberté  grandissant. L’affirmation des libertés individuelles à travers une démocratie qui se veut pluraliste ne pourra plus être renvoyée aux calandres grecques. Les expressions « manque de culture politique », « donner du temps au temps », sont, comme le dit Mudiji, des propos usés et dilatoires ; car, devant les urgences vitales on devrait chercher à gagner le temps</w:t>
      </w:r>
      <w:r>
        <w:rPr>
          <w:rStyle w:val="Appelnotedebasdep"/>
          <w:rFonts w:ascii="Calibri" w:hAnsi="Calibri" w:cs="Calibri"/>
          <w:sz w:val="25"/>
          <w:szCs w:val="25"/>
        </w:rPr>
        <w:footnoteReference w:id="341"/>
      </w:r>
      <w:r>
        <w:rPr>
          <w:rFonts w:ascii="Calibri" w:hAnsi="Calibri" w:cs="Calibri"/>
          <w:sz w:val="25"/>
          <w:szCs w:val="25"/>
        </w:rPr>
        <w:t>.  Le cas échéant par une réflexion critique qui transcende le flux des contingences spatio-temporelles et fonde solidement l’édifice de la culture politique</w:t>
      </w:r>
      <w:r>
        <w:rPr>
          <w:rStyle w:val="Appelnotedebasdep"/>
          <w:rFonts w:ascii="Calibri" w:hAnsi="Calibri" w:cs="Calibri"/>
          <w:sz w:val="25"/>
          <w:szCs w:val="25"/>
        </w:rPr>
        <w:footnoteReference w:id="342"/>
      </w:r>
      <w:r>
        <w:rPr>
          <w:rFonts w:ascii="Calibri" w:hAnsi="Calibri" w:cs="Calibri"/>
          <w:i/>
          <w:iCs/>
          <w:sz w:val="25"/>
          <w:szCs w:val="25"/>
        </w:rPr>
        <w:t>.</w:t>
      </w:r>
    </w:p>
    <w:p w:rsidR="000A31A8" w:rsidRDefault="000A31A8">
      <w:pPr>
        <w:pStyle w:val="Retraitcorpsdetexte"/>
        <w:tabs>
          <w:tab w:val="clear" w:pos="1185"/>
        </w:tabs>
        <w:spacing w:line="324" w:lineRule="auto"/>
        <w:ind w:left="0" w:right="-2" w:firstLine="0"/>
        <w:rPr>
          <w:rFonts w:ascii="Calibri" w:hAnsi="Calibri" w:cs="Calibri"/>
          <w:sz w:val="25"/>
          <w:szCs w:val="25"/>
          <w:lang w:val="fr-FR"/>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lang w:val="fr-FR"/>
        </w:rPr>
        <w:t>Par ailleurs</w:t>
      </w:r>
      <w:r>
        <w:rPr>
          <w:rFonts w:ascii="Calibri" w:hAnsi="Calibri" w:cs="Calibri"/>
          <w:b/>
          <w:bCs/>
          <w:sz w:val="25"/>
          <w:szCs w:val="25"/>
          <w:lang w:val="fr-FR"/>
        </w:rPr>
        <w:t xml:space="preserve">, </w:t>
      </w:r>
      <w:r>
        <w:rPr>
          <w:rFonts w:ascii="Calibri" w:hAnsi="Calibri" w:cs="Calibri"/>
          <w:sz w:val="25"/>
          <w:szCs w:val="25"/>
        </w:rPr>
        <w:t>nous  pouvons concéder à Eric Weil que la question du sens de la politique ne peut se poser que pour celui qui a déjà posé celle du sens de l’action humaine, voire de la vie, pour celui qui s’est déjà installé dans le domaine de la morale.</w:t>
      </w:r>
      <w:r>
        <w:rPr>
          <w:rStyle w:val="Appelnotedebasdep"/>
          <w:rFonts w:ascii="Calibri" w:hAnsi="Calibri" w:cs="Calibri"/>
          <w:sz w:val="25"/>
          <w:szCs w:val="25"/>
        </w:rPr>
        <w:footnoteReference w:id="343"/>
      </w:r>
      <w:r>
        <w:rPr>
          <w:rFonts w:ascii="Calibri" w:hAnsi="Calibri" w:cs="Calibri"/>
          <w:sz w:val="25"/>
          <w:szCs w:val="25"/>
        </w:rPr>
        <w:t xml:space="preserve"> L’auteur de </w:t>
      </w:r>
      <w:r>
        <w:rPr>
          <w:rFonts w:ascii="Calibri" w:hAnsi="Calibri" w:cs="Calibri"/>
          <w:i/>
          <w:iCs/>
          <w:sz w:val="25"/>
          <w:szCs w:val="25"/>
        </w:rPr>
        <w:t>Philosophie politique</w:t>
      </w:r>
      <w:r>
        <w:rPr>
          <w:rFonts w:ascii="Calibri" w:hAnsi="Calibri" w:cs="Calibri"/>
          <w:sz w:val="25"/>
          <w:szCs w:val="25"/>
        </w:rPr>
        <w:t xml:space="preserve"> s’efforce de parler de politique sans perdre de vue qu’il parle de philosophie, dans la mesure où la politique ne connaît pas seulement des problèmes, elle en constitue un des plus grands, un des problèmes fondamentaux pour la philosophie. D’ailleurs, dans le livre d’Eric Weil, le concept </w:t>
      </w:r>
      <w:r>
        <w:rPr>
          <w:rFonts w:ascii="Calibri" w:hAnsi="Calibri" w:cs="Calibri"/>
          <w:i/>
          <w:iCs/>
          <w:sz w:val="25"/>
          <w:szCs w:val="25"/>
        </w:rPr>
        <w:t>politique</w:t>
      </w:r>
      <w:r>
        <w:rPr>
          <w:rFonts w:ascii="Calibri" w:hAnsi="Calibri" w:cs="Calibri"/>
          <w:sz w:val="25"/>
          <w:szCs w:val="25"/>
        </w:rPr>
        <w:t xml:space="preserve"> sera pris en son acception antique, aristotélicienne de considération de la vie en commun des hommes, selon les structures essentielles de cette vie</w:t>
      </w:r>
      <w:r>
        <w:rPr>
          <w:rStyle w:val="Appelnotedebasdep"/>
          <w:rFonts w:ascii="Calibri" w:hAnsi="Calibri" w:cs="Calibri"/>
          <w:sz w:val="25"/>
          <w:szCs w:val="25"/>
        </w:rPr>
        <w:footnoteReference w:id="344"/>
      </w:r>
      <w:r>
        <w:rPr>
          <w:rFonts w:ascii="Calibri" w:hAnsi="Calibri" w:cs="Calibri"/>
          <w:sz w:val="25"/>
          <w:szCs w:val="25"/>
        </w:rPr>
        <w:t>. Donc, la politique, science de l’action raisonnable, a affaire à l’action universelle, laquelle, tout en étant, de par son origine empirique, action d’un individu ou d’un groupe, ne vise pas l’individu ou le groupe en tant que tel, mais la totalité du genre humain</w:t>
      </w:r>
      <w:r>
        <w:rPr>
          <w:rStyle w:val="Appelnotedebasdep"/>
          <w:rFonts w:ascii="Calibri" w:hAnsi="Calibri" w:cs="Calibri"/>
          <w:sz w:val="25"/>
          <w:szCs w:val="25"/>
        </w:rPr>
        <w:footnoteReference w:id="345"/>
      </w:r>
      <w:r>
        <w:rPr>
          <w:rFonts w:ascii="Calibri" w:hAnsi="Calibri" w:cs="Calibri"/>
          <w:sz w:val="25"/>
          <w:szCs w:val="25"/>
        </w:rPr>
        <w:t>.</w:t>
      </w:r>
    </w:p>
    <w:p w:rsidR="000A31A8" w:rsidRDefault="000A31A8">
      <w:pPr>
        <w:pStyle w:val="Retraitcorpsdetexte"/>
        <w:tabs>
          <w:tab w:val="clear" w:pos="1185"/>
        </w:tabs>
        <w:spacing w:line="324" w:lineRule="auto"/>
        <w:ind w:left="0" w:right="-2" w:firstLine="0"/>
        <w:rPr>
          <w:rFonts w:ascii="Calibri" w:hAnsi="Calibri" w:cs="Calibri"/>
          <w:sz w:val="25"/>
          <w:szCs w:val="25"/>
        </w:rPr>
      </w:pPr>
    </w:p>
    <w:p w:rsidR="000A31A8" w:rsidRDefault="0065345B">
      <w:pPr>
        <w:pStyle w:val="Retraitcorpsdetexte"/>
        <w:tabs>
          <w:tab w:val="clear" w:pos="1185"/>
        </w:tabs>
        <w:spacing w:line="324" w:lineRule="auto"/>
        <w:ind w:left="0" w:right="-2" w:firstLine="0"/>
        <w:rPr>
          <w:rFonts w:ascii="Calibri" w:hAnsi="Calibri" w:cs="Calibri"/>
          <w:sz w:val="25"/>
          <w:szCs w:val="25"/>
        </w:rPr>
      </w:pPr>
      <w:r>
        <w:rPr>
          <w:rFonts w:ascii="Calibri" w:hAnsi="Calibri" w:cs="Calibri"/>
          <w:sz w:val="25"/>
          <w:szCs w:val="25"/>
        </w:rPr>
        <w:t xml:space="preserve">Une telle façon de voir la politique nous conduit au cœur même de </w:t>
      </w:r>
      <w:r>
        <w:rPr>
          <w:rFonts w:ascii="Calibri" w:hAnsi="Calibri" w:cs="Calibri"/>
          <w:i/>
          <w:iCs/>
          <w:sz w:val="25"/>
          <w:szCs w:val="25"/>
        </w:rPr>
        <w:t xml:space="preserve">l’intersubjectivité englobante de la bisobansoïté. </w:t>
      </w:r>
      <w:r>
        <w:rPr>
          <w:rFonts w:ascii="Calibri" w:hAnsi="Calibri" w:cs="Calibri"/>
          <w:sz w:val="25"/>
          <w:szCs w:val="25"/>
        </w:rPr>
        <w:t xml:space="preserve">L’une des grandes questions qui animent le débat philosophique contemporain est celui de l’intersubjectivité. Ce dont on discute n’est </w:t>
      </w:r>
      <w:r>
        <w:rPr>
          <w:rFonts w:ascii="Calibri" w:hAnsi="Calibri" w:cs="Calibri"/>
          <w:sz w:val="25"/>
          <w:szCs w:val="25"/>
        </w:rPr>
        <w:lastRenderedPageBreak/>
        <w:t>pas qu’il faille choisir entre la subjectivité moderne et l’intersubjectivité postmoderne, mais il s’agit d’approfondir cette dernière et de tenter de résoudre les questions qu’elle « trimbale». Alors que l’héritage moderne de l’affirmation des libertés individuelles est adopté par la postmodernité, des questions de grande importance, comme celles qui alimentent la discussion entre le libéralisme et le communautarisme prennent racine. Mais l’intersubjectivité en tant que reconnaissance de l’</w:t>
      </w:r>
      <w:r>
        <w:rPr>
          <w:rFonts w:ascii="Calibri" w:hAnsi="Calibri" w:cs="Calibri"/>
          <w:i/>
          <w:iCs/>
          <w:sz w:val="25"/>
          <w:szCs w:val="25"/>
        </w:rPr>
        <w:t>Autre</w:t>
      </w:r>
      <w:r>
        <w:rPr>
          <w:rFonts w:ascii="Calibri" w:hAnsi="Calibri" w:cs="Calibri"/>
          <w:sz w:val="25"/>
          <w:szCs w:val="25"/>
        </w:rPr>
        <w:t xml:space="preserve"> suffit-elle aujourd’hui ? Et qui est cet </w:t>
      </w:r>
      <w:r>
        <w:rPr>
          <w:rFonts w:ascii="Calibri" w:hAnsi="Calibri" w:cs="Calibri"/>
          <w:i/>
          <w:iCs/>
          <w:sz w:val="25"/>
          <w:szCs w:val="25"/>
        </w:rPr>
        <w:t>Autre</w:t>
      </w:r>
      <w:r>
        <w:rPr>
          <w:rFonts w:ascii="Calibri" w:hAnsi="Calibri" w:cs="Calibri"/>
          <w:sz w:val="25"/>
          <w:szCs w:val="25"/>
        </w:rPr>
        <w:t> ? Le mérite de Levinas ne porte pas sur la reconnaissance de l</w:t>
      </w:r>
      <w:r>
        <w:rPr>
          <w:rFonts w:ascii="Calibri" w:hAnsi="Calibri" w:cs="Calibri"/>
          <w:i/>
          <w:iCs/>
          <w:sz w:val="25"/>
          <w:szCs w:val="25"/>
        </w:rPr>
        <w:t>’Autre</w:t>
      </w:r>
      <w:r>
        <w:rPr>
          <w:rFonts w:ascii="Calibri" w:hAnsi="Calibri" w:cs="Calibri"/>
          <w:sz w:val="25"/>
          <w:szCs w:val="25"/>
        </w:rPr>
        <w:t xml:space="preserve">, mais de </w:t>
      </w:r>
      <w:r>
        <w:rPr>
          <w:rFonts w:ascii="Calibri" w:hAnsi="Calibri" w:cs="Calibri"/>
          <w:i/>
          <w:iCs/>
          <w:sz w:val="25"/>
          <w:szCs w:val="25"/>
        </w:rPr>
        <w:t>Tout Autre</w:t>
      </w:r>
      <w:r>
        <w:rPr>
          <w:rStyle w:val="Appelnotedebasdep"/>
          <w:rFonts w:ascii="Calibri" w:hAnsi="Calibri" w:cs="Calibri"/>
          <w:i/>
          <w:iCs/>
          <w:sz w:val="25"/>
          <w:szCs w:val="25"/>
        </w:rPr>
        <w:footnoteReference w:id="346"/>
      </w:r>
      <w:r>
        <w:rPr>
          <w:rFonts w:ascii="Calibri" w:hAnsi="Calibri" w:cs="Calibri"/>
          <w:i/>
          <w:iCs/>
          <w:sz w:val="25"/>
          <w:szCs w:val="25"/>
        </w:rPr>
        <w:t>.</w:t>
      </w:r>
      <w:r>
        <w:rPr>
          <w:rFonts w:ascii="Calibri" w:hAnsi="Calibri" w:cs="Calibri"/>
          <w:sz w:val="25"/>
          <w:szCs w:val="25"/>
        </w:rPr>
        <w:t xml:space="preserve"> Dans un monde où, par les prouesses de la technologie, tout devient tout proche, le prochain n’est plus seulement celui qui est présent géographiquement, culturellement, mais </w:t>
      </w:r>
      <w:r>
        <w:rPr>
          <w:rFonts w:ascii="Calibri" w:hAnsi="Calibri" w:cs="Calibri"/>
          <w:i/>
          <w:iCs/>
          <w:sz w:val="25"/>
          <w:szCs w:val="25"/>
        </w:rPr>
        <w:t>Tout Autre</w:t>
      </w:r>
      <w:r>
        <w:rPr>
          <w:rFonts w:ascii="Calibri" w:hAnsi="Calibri" w:cs="Calibri"/>
          <w:sz w:val="25"/>
          <w:szCs w:val="25"/>
        </w:rPr>
        <w:t>.</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La dimension fondamentale de l’homme demeure l’</w:t>
      </w:r>
      <w:r>
        <w:rPr>
          <w:rFonts w:ascii="Calibri" w:eastAsia="Batang" w:hAnsi="Calibri" w:cs="Calibri"/>
          <w:i/>
          <w:iCs/>
          <w:sz w:val="25"/>
          <w:szCs w:val="25"/>
        </w:rPr>
        <w:t>être-avec</w:t>
      </w:r>
      <w:r>
        <w:rPr>
          <w:rFonts w:ascii="Calibri" w:eastAsia="Batang" w:hAnsi="Calibri" w:cs="Calibri"/>
          <w:sz w:val="25"/>
          <w:szCs w:val="25"/>
        </w:rPr>
        <w:t xml:space="preserve"> ou la</w:t>
      </w:r>
      <w:r>
        <w:rPr>
          <w:rFonts w:ascii="Calibri" w:eastAsia="Batang" w:hAnsi="Calibri" w:cs="Calibri"/>
          <w:i/>
          <w:iCs/>
          <w:sz w:val="25"/>
          <w:szCs w:val="25"/>
        </w:rPr>
        <w:t xml:space="preserve"> bisoïté </w:t>
      </w:r>
      <w:r>
        <w:rPr>
          <w:rFonts w:ascii="Calibri" w:eastAsia="Batang" w:hAnsi="Calibri" w:cs="Calibri"/>
          <w:sz w:val="25"/>
          <w:szCs w:val="25"/>
        </w:rPr>
        <w:t>pour reprendre la thèse de Tshiamalenga Ntumba</w:t>
      </w:r>
      <w:r>
        <w:rPr>
          <w:rStyle w:val="Appelnotedebasdep"/>
          <w:rFonts w:ascii="Calibri" w:eastAsia="Batang" w:hAnsi="Calibri" w:cs="Calibri"/>
          <w:i/>
          <w:iCs/>
          <w:sz w:val="25"/>
          <w:szCs w:val="25"/>
        </w:rPr>
        <w:footnoteReference w:id="347"/>
      </w:r>
      <w:r>
        <w:rPr>
          <w:rFonts w:ascii="Calibri" w:eastAsia="Batang" w:hAnsi="Calibri" w:cs="Calibri"/>
          <w:sz w:val="25"/>
          <w:szCs w:val="25"/>
        </w:rPr>
        <w:t>. Pour ce dernier l’</w:t>
      </w:r>
      <w:r>
        <w:rPr>
          <w:rFonts w:ascii="Calibri" w:eastAsia="Batang" w:hAnsi="Calibri" w:cs="Calibri"/>
          <w:i/>
          <w:iCs/>
          <w:sz w:val="25"/>
          <w:szCs w:val="25"/>
        </w:rPr>
        <w:t>être avec</w:t>
      </w:r>
      <w:r>
        <w:rPr>
          <w:rFonts w:ascii="Calibri" w:eastAsia="Batang" w:hAnsi="Calibri" w:cs="Calibri"/>
          <w:sz w:val="25"/>
          <w:szCs w:val="25"/>
        </w:rPr>
        <w:t xml:space="preserve"> se retrouve d’une part,  devant la nécessaire ouverture au monde et d’autre part, il proclame le primat du « nous » sur le « je ». Ce pose un vrai problème dans l’entreprise de fondation du pouvoir ; puisque la</w:t>
      </w:r>
      <w:r>
        <w:rPr>
          <w:rFonts w:ascii="Calibri" w:eastAsia="Batang" w:hAnsi="Calibri" w:cs="Calibri"/>
          <w:i/>
          <w:iCs/>
          <w:sz w:val="25"/>
          <w:szCs w:val="25"/>
        </w:rPr>
        <w:t xml:space="preserve"> bisoïté</w:t>
      </w:r>
      <w:r>
        <w:rPr>
          <w:rFonts w:ascii="Calibri" w:eastAsia="Batang" w:hAnsi="Calibri" w:cs="Calibri"/>
          <w:sz w:val="25"/>
          <w:szCs w:val="25"/>
        </w:rPr>
        <w:t xml:space="preserve"> conduit inéluctablement à l’écrasement de l’individu par la communauté et à l’inspiration d’un Etat unitaire.</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Une phénoménologie des langues congolaises peut témoigner de manière éloquente du besoin de prolonger la</w:t>
      </w:r>
      <w:r>
        <w:rPr>
          <w:rFonts w:ascii="Calibri" w:eastAsia="Batang" w:hAnsi="Calibri" w:cs="Calibri"/>
          <w:i/>
          <w:iCs/>
          <w:sz w:val="25"/>
          <w:szCs w:val="25"/>
        </w:rPr>
        <w:t xml:space="preserve"> bisoïté.</w:t>
      </w:r>
      <w:r>
        <w:rPr>
          <w:rFonts w:ascii="Calibri" w:eastAsia="Batang" w:hAnsi="Calibri" w:cs="Calibri"/>
          <w:sz w:val="25"/>
          <w:szCs w:val="25"/>
        </w:rPr>
        <w:t xml:space="preserve"> En effet, que désigne</w:t>
      </w:r>
      <w:r>
        <w:rPr>
          <w:rFonts w:ascii="Calibri" w:eastAsia="Batang" w:hAnsi="Calibri" w:cs="Calibri"/>
          <w:i/>
          <w:iCs/>
          <w:sz w:val="25"/>
          <w:szCs w:val="25"/>
        </w:rPr>
        <w:t xml:space="preserve"> biso</w:t>
      </w:r>
      <w:r>
        <w:rPr>
          <w:rFonts w:ascii="Calibri" w:eastAsia="Batang" w:hAnsi="Calibri" w:cs="Calibri"/>
          <w:sz w:val="25"/>
          <w:szCs w:val="25"/>
        </w:rPr>
        <w:t xml:space="preserve"> ? Lorsqu’en Lingala on dit </w:t>
      </w:r>
      <w:r>
        <w:rPr>
          <w:rFonts w:ascii="Calibri" w:eastAsia="Batang" w:hAnsi="Calibri" w:cs="Calibri"/>
          <w:i/>
          <w:iCs/>
          <w:sz w:val="25"/>
          <w:szCs w:val="25"/>
        </w:rPr>
        <w:t>biso</w:t>
      </w:r>
      <w:r>
        <w:rPr>
          <w:rFonts w:ascii="Calibri" w:eastAsia="Batang" w:hAnsi="Calibri" w:cs="Calibri"/>
          <w:sz w:val="25"/>
          <w:szCs w:val="25"/>
        </w:rPr>
        <w:t xml:space="preserve">, c’est juste pour désigner un groupe restreint de personnes : un groupe d’amis, une tribu, une ethnie, une nation, plus hypothétiquement le continent africain. Le </w:t>
      </w:r>
      <w:r>
        <w:rPr>
          <w:rFonts w:ascii="Calibri" w:eastAsia="Batang" w:hAnsi="Calibri" w:cs="Calibri"/>
          <w:i/>
          <w:iCs/>
          <w:sz w:val="25"/>
          <w:szCs w:val="25"/>
        </w:rPr>
        <w:t>bisoïsme</w:t>
      </w:r>
      <w:r>
        <w:rPr>
          <w:rFonts w:ascii="Calibri" w:eastAsia="Batang" w:hAnsi="Calibri" w:cs="Calibri"/>
          <w:sz w:val="25"/>
          <w:szCs w:val="25"/>
        </w:rPr>
        <w:t xml:space="preserve"> est une philosophie du primat du Nous sur le </w:t>
      </w:r>
      <w:r>
        <w:rPr>
          <w:rFonts w:ascii="Calibri" w:eastAsia="Batang" w:hAnsi="Calibri" w:cs="Calibri"/>
          <w:i/>
          <w:sz w:val="25"/>
          <w:szCs w:val="25"/>
        </w:rPr>
        <w:t>Je</w:t>
      </w:r>
      <w:r>
        <w:rPr>
          <w:rFonts w:ascii="Calibri" w:eastAsia="Batang" w:hAnsi="Calibri" w:cs="Calibri"/>
          <w:sz w:val="25"/>
          <w:szCs w:val="25"/>
        </w:rPr>
        <w:t xml:space="preserve"> et le </w:t>
      </w:r>
      <w:r>
        <w:rPr>
          <w:rFonts w:ascii="Calibri" w:eastAsia="Batang" w:hAnsi="Calibri" w:cs="Calibri"/>
          <w:i/>
          <w:sz w:val="25"/>
          <w:szCs w:val="25"/>
        </w:rPr>
        <w:t>Je-Tu</w:t>
      </w:r>
      <w:r>
        <w:rPr>
          <w:rFonts w:ascii="Calibri" w:eastAsia="Batang" w:hAnsi="Calibri" w:cs="Calibri"/>
          <w:sz w:val="25"/>
          <w:szCs w:val="25"/>
        </w:rPr>
        <w:t xml:space="preserve"> et des conséquences de ce primat dans tous les domaines</w:t>
      </w:r>
      <w:r>
        <w:rPr>
          <w:rStyle w:val="Appelnotedebasdep"/>
          <w:rFonts w:ascii="Calibri" w:eastAsia="Batang" w:hAnsi="Calibri" w:cs="Calibri"/>
          <w:sz w:val="25"/>
          <w:szCs w:val="25"/>
        </w:rPr>
        <w:footnoteReference w:id="348"/>
      </w:r>
      <w:r>
        <w:rPr>
          <w:rFonts w:ascii="Calibri" w:eastAsia="Batang" w:hAnsi="Calibri" w:cs="Calibri"/>
          <w:sz w:val="25"/>
          <w:szCs w:val="25"/>
        </w:rPr>
        <w:t>.</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 Tshiamalenga entend le primat du « nous » comme une idéalité englobante et sans frontières, idéalité englobante qui n’est pas oppression des « je » libres et créateurs </w:t>
      </w:r>
      <w:r>
        <w:rPr>
          <w:rFonts w:ascii="Calibri" w:eastAsia="Batang" w:hAnsi="Calibri" w:cs="Calibri"/>
          <w:sz w:val="25"/>
          <w:szCs w:val="25"/>
        </w:rPr>
        <w:lastRenderedPageBreak/>
        <w:t>en tant qu’ambassadeurs du « nous ». Dans son article de 1997, l’auteur de la</w:t>
      </w:r>
      <w:r>
        <w:rPr>
          <w:rFonts w:ascii="Calibri" w:eastAsia="Batang" w:hAnsi="Calibri" w:cs="Calibri"/>
          <w:i/>
          <w:iCs/>
          <w:sz w:val="25"/>
          <w:szCs w:val="25"/>
        </w:rPr>
        <w:t xml:space="preserve"> bisoïté </w:t>
      </w:r>
      <w:r>
        <w:rPr>
          <w:rFonts w:ascii="Calibri" w:eastAsia="Batang" w:hAnsi="Calibri" w:cs="Calibri"/>
          <w:sz w:val="25"/>
          <w:szCs w:val="25"/>
        </w:rPr>
        <w:t xml:space="preserve">semble s’en tenir seulement à la dimension qualitative idéale ou transcendantale de sa théorie. La </w:t>
      </w:r>
      <w:r>
        <w:rPr>
          <w:rFonts w:ascii="Calibri" w:eastAsia="Batang" w:hAnsi="Calibri" w:cs="Calibri"/>
          <w:i/>
          <w:iCs/>
          <w:sz w:val="25"/>
          <w:szCs w:val="25"/>
        </w:rPr>
        <w:t>bisoïté</w:t>
      </w:r>
      <w:r>
        <w:rPr>
          <w:rFonts w:ascii="Calibri" w:eastAsia="Batang" w:hAnsi="Calibri" w:cs="Calibri"/>
          <w:sz w:val="25"/>
          <w:szCs w:val="25"/>
        </w:rPr>
        <w:t xml:space="preserve"> est ici un « Nous » sans frontière englobant le Divin (Dieu –avec-nous ou </w:t>
      </w:r>
      <w:r>
        <w:rPr>
          <w:rFonts w:ascii="Calibri" w:eastAsia="Batang" w:hAnsi="Calibri" w:cs="Calibri"/>
          <w:i/>
          <w:iCs/>
          <w:sz w:val="25"/>
          <w:szCs w:val="25"/>
        </w:rPr>
        <w:t>bisoïste</w:t>
      </w:r>
      <w:r>
        <w:rPr>
          <w:rFonts w:ascii="Calibri" w:eastAsia="Batang" w:hAnsi="Calibri" w:cs="Calibri"/>
          <w:sz w:val="25"/>
          <w:szCs w:val="25"/>
        </w:rPr>
        <w:t>), le cosmique (homme-microcosme) et le social humain (</w:t>
      </w:r>
      <w:r>
        <w:rPr>
          <w:rFonts w:ascii="Calibri" w:eastAsia="Batang" w:hAnsi="Calibri" w:cs="Calibri"/>
          <w:i/>
          <w:iCs/>
          <w:sz w:val="25"/>
          <w:szCs w:val="25"/>
        </w:rPr>
        <w:t>zoon politikon</w:t>
      </w:r>
      <w:r>
        <w:rPr>
          <w:rFonts w:ascii="Calibri" w:eastAsia="Batang" w:hAnsi="Calibri" w:cs="Calibri"/>
          <w:sz w:val="25"/>
          <w:szCs w:val="25"/>
        </w:rPr>
        <w:t xml:space="preserve"> tiré d’Aristote). Serait-ce un  nouveau choix de Tshiamalenga, puisqu’en 1985 dans</w:t>
      </w:r>
      <w:r>
        <w:rPr>
          <w:rFonts w:ascii="Calibri" w:eastAsia="Batang" w:hAnsi="Calibri" w:cs="Calibri"/>
          <w:i/>
          <w:iCs/>
          <w:sz w:val="25"/>
          <w:szCs w:val="25"/>
        </w:rPr>
        <w:t xml:space="preserve"> Langage et socialité, Primat de la bisoïté sur l’intersubjectivité,</w:t>
      </w:r>
      <w:r>
        <w:rPr>
          <w:rFonts w:ascii="Calibri" w:eastAsia="Batang" w:hAnsi="Calibri" w:cs="Calibri"/>
          <w:sz w:val="25"/>
          <w:szCs w:val="25"/>
        </w:rPr>
        <w:t xml:space="preserve"> la </w:t>
      </w:r>
      <w:r>
        <w:rPr>
          <w:rFonts w:ascii="Calibri" w:eastAsia="Batang" w:hAnsi="Calibri" w:cs="Calibri"/>
          <w:i/>
          <w:iCs/>
          <w:sz w:val="25"/>
          <w:szCs w:val="25"/>
        </w:rPr>
        <w:t>Bisoïté</w:t>
      </w:r>
      <w:r>
        <w:rPr>
          <w:rFonts w:ascii="Calibri" w:eastAsia="Batang" w:hAnsi="Calibri" w:cs="Calibri"/>
          <w:sz w:val="25"/>
          <w:szCs w:val="25"/>
        </w:rPr>
        <w:t xml:space="preserve"> est présentée comme un concept à la fois factuel, réel, concret et normatif, éthique et idéal. Dans sa réalité concrète, elle représente les communautés familiales et socioculturelles historiques, les </w:t>
      </w:r>
      <w:r>
        <w:rPr>
          <w:rFonts w:ascii="Calibri" w:eastAsia="Batang" w:hAnsi="Calibri" w:cs="Calibri"/>
          <w:i/>
          <w:iCs/>
          <w:sz w:val="25"/>
          <w:szCs w:val="25"/>
        </w:rPr>
        <w:t>bisoïtés</w:t>
      </w:r>
      <w:r>
        <w:rPr>
          <w:rFonts w:ascii="Calibri" w:eastAsia="Batang" w:hAnsi="Calibri" w:cs="Calibri"/>
          <w:sz w:val="25"/>
          <w:szCs w:val="25"/>
        </w:rPr>
        <w:t xml:space="preserve"> particulières qui sont appelées à s’ouvrir à la </w:t>
      </w:r>
      <w:r>
        <w:rPr>
          <w:rFonts w:ascii="Calibri" w:eastAsia="Batang" w:hAnsi="Calibri" w:cs="Calibri"/>
          <w:i/>
          <w:iCs/>
          <w:sz w:val="25"/>
          <w:szCs w:val="25"/>
        </w:rPr>
        <w:t>bisoïté</w:t>
      </w:r>
      <w:r>
        <w:rPr>
          <w:rFonts w:ascii="Calibri" w:eastAsia="Batang" w:hAnsi="Calibri" w:cs="Calibri"/>
          <w:sz w:val="25"/>
          <w:szCs w:val="25"/>
        </w:rPr>
        <w:t xml:space="preserve"> idéale et universelle de la grande famille humaine. </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On aurait pu comprendre que l’auteur passe des</w:t>
      </w:r>
      <w:r>
        <w:rPr>
          <w:rFonts w:ascii="Calibri" w:eastAsia="Batang" w:hAnsi="Calibri" w:cs="Calibri"/>
          <w:i/>
          <w:iCs/>
          <w:sz w:val="25"/>
          <w:szCs w:val="25"/>
        </w:rPr>
        <w:t xml:space="preserve"> bisoïtés particulières</w:t>
      </w:r>
      <w:r>
        <w:rPr>
          <w:rFonts w:ascii="Calibri" w:eastAsia="Batang" w:hAnsi="Calibri" w:cs="Calibri"/>
          <w:sz w:val="25"/>
          <w:szCs w:val="25"/>
        </w:rPr>
        <w:t xml:space="preserve"> à la</w:t>
      </w:r>
      <w:r>
        <w:rPr>
          <w:rFonts w:ascii="Calibri" w:eastAsia="Batang" w:hAnsi="Calibri" w:cs="Calibri"/>
          <w:i/>
          <w:iCs/>
          <w:sz w:val="25"/>
          <w:szCs w:val="25"/>
        </w:rPr>
        <w:t xml:space="preserve"> bisobansoïté idéale</w:t>
      </w:r>
      <w:r>
        <w:rPr>
          <w:rFonts w:ascii="Calibri" w:eastAsia="Batang" w:hAnsi="Calibri" w:cs="Calibri"/>
          <w:sz w:val="25"/>
          <w:szCs w:val="25"/>
        </w:rPr>
        <w:t xml:space="preserve"> puisqu’il n’y a que </w:t>
      </w:r>
      <w:r>
        <w:rPr>
          <w:rFonts w:ascii="Calibri" w:eastAsia="Batang" w:hAnsi="Calibri" w:cs="Calibri"/>
          <w:i/>
          <w:iCs/>
          <w:sz w:val="25"/>
          <w:szCs w:val="25"/>
        </w:rPr>
        <w:t xml:space="preserve">Biso banso </w:t>
      </w:r>
      <w:r>
        <w:rPr>
          <w:rFonts w:ascii="Calibri" w:eastAsia="Batang" w:hAnsi="Calibri" w:cs="Calibri"/>
          <w:sz w:val="25"/>
          <w:szCs w:val="25"/>
        </w:rPr>
        <w:t>qui est égale à</w:t>
      </w:r>
      <w:r>
        <w:rPr>
          <w:rFonts w:ascii="Calibri" w:eastAsia="Batang" w:hAnsi="Calibri" w:cs="Calibri"/>
          <w:i/>
          <w:iCs/>
          <w:sz w:val="25"/>
          <w:szCs w:val="25"/>
        </w:rPr>
        <w:t xml:space="preserve"> biso na bino,biso na bango</w:t>
      </w:r>
      <w:r>
        <w:rPr>
          <w:rFonts w:ascii="Calibri" w:eastAsia="Batang" w:hAnsi="Calibri" w:cs="Calibri"/>
          <w:sz w:val="25"/>
          <w:szCs w:val="25"/>
        </w:rPr>
        <w:t xml:space="preserve"> où le </w:t>
      </w:r>
      <w:r>
        <w:rPr>
          <w:rFonts w:ascii="Calibri" w:eastAsia="Batang" w:hAnsi="Calibri" w:cs="Calibri"/>
          <w:i/>
          <w:sz w:val="25"/>
          <w:szCs w:val="25"/>
        </w:rPr>
        <w:t>Je</w:t>
      </w:r>
      <w:r>
        <w:rPr>
          <w:rFonts w:ascii="Calibri" w:eastAsia="Batang" w:hAnsi="Calibri" w:cs="Calibri"/>
          <w:sz w:val="25"/>
          <w:szCs w:val="25"/>
        </w:rPr>
        <w:t xml:space="preserve">, </w:t>
      </w:r>
      <w:r>
        <w:rPr>
          <w:rFonts w:ascii="Calibri" w:eastAsia="Batang" w:hAnsi="Calibri" w:cs="Calibri"/>
          <w:i/>
          <w:sz w:val="25"/>
          <w:szCs w:val="25"/>
        </w:rPr>
        <w:t>Tu</w:t>
      </w:r>
      <w:r>
        <w:rPr>
          <w:rFonts w:ascii="Calibri" w:eastAsia="Batang" w:hAnsi="Calibri" w:cs="Calibri"/>
          <w:sz w:val="25"/>
          <w:szCs w:val="25"/>
        </w:rPr>
        <w:t xml:space="preserve"> sont compris</w:t>
      </w:r>
      <w:r>
        <w:rPr>
          <w:rStyle w:val="Appelnotedebasdep"/>
          <w:rFonts w:ascii="Calibri" w:eastAsia="Batang" w:hAnsi="Calibri" w:cs="Calibri"/>
          <w:sz w:val="25"/>
          <w:szCs w:val="25"/>
        </w:rPr>
        <w:footnoteReference w:id="349"/>
      </w:r>
      <w:r>
        <w:rPr>
          <w:rFonts w:ascii="Calibri" w:eastAsia="Batang" w:hAnsi="Calibri" w:cs="Calibri"/>
          <w:sz w:val="25"/>
          <w:szCs w:val="25"/>
        </w:rPr>
        <w:t xml:space="preserve">. </w:t>
      </w:r>
      <w:r>
        <w:rPr>
          <w:rFonts w:ascii="Calibri" w:eastAsia="Batang" w:hAnsi="Calibri" w:cs="Calibri"/>
          <w:i/>
          <w:iCs/>
          <w:sz w:val="25"/>
          <w:szCs w:val="25"/>
        </w:rPr>
        <w:t>Biso</w:t>
      </w:r>
      <w:r>
        <w:rPr>
          <w:rFonts w:ascii="Calibri" w:eastAsia="Batang" w:hAnsi="Calibri" w:cs="Calibri"/>
          <w:sz w:val="25"/>
          <w:szCs w:val="25"/>
        </w:rPr>
        <w:t xml:space="preserve"> ne désigne pas le monde. Employé seul, il appelle un complément : </w:t>
      </w:r>
      <w:r>
        <w:rPr>
          <w:rFonts w:ascii="Calibri" w:eastAsia="Batang" w:hAnsi="Calibri" w:cs="Calibri"/>
          <w:i/>
          <w:iCs/>
          <w:sz w:val="25"/>
          <w:szCs w:val="25"/>
        </w:rPr>
        <w:t xml:space="preserve">biso ba nani </w:t>
      </w:r>
      <w:r>
        <w:rPr>
          <w:rFonts w:ascii="Calibri" w:eastAsia="Batang" w:hAnsi="Calibri" w:cs="Calibri"/>
          <w:sz w:val="25"/>
          <w:szCs w:val="25"/>
        </w:rPr>
        <w:t xml:space="preserve">(nous qui ?). Un des compléments le plus proche et le plus usité est contenu dans l’expression </w:t>
      </w:r>
      <w:r>
        <w:rPr>
          <w:rFonts w:ascii="Calibri" w:eastAsia="Batang" w:hAnsi="Calibri" w:cs="Calibri"/>
          <w:i/>
          <w:iCs/>
          <w:sz w:val="25"/>
          <w:szCs w:val="25"/>
        </w:rPr>
        <w:t>biso na biso</w:t>
      </w:r>
      <w:r>
        <w:rPr>
          <w:rFonts w:ascii="Calibri" w:eastAsia="Batang" w:hAnsi="Calibri" w:cs="Calibri"/>
          <w:sz w:val="25"/>
          <w:szCs w:val="25"/>
        </w:rPr>
        <w:t xml:space="preserve">. Cette expression peut être traduite littéralement en « nous et nous » ou « nous avec nous » puisque le </w:t>
      </w:r>
      <w:r>
        <w:rPr>
          <w:rFonts w:ascii="Calibri" w:eastAsia="Batang" w:hAnsi="Calibri" w:cs="Calibri"/>
          <w:i/>
          <w:iCs/>
          <w:sz w:val="25"/>
          <w:szCs w:val="25"/>
        </w:rPr>
        <w:t>na</w:t>
      </w:r>
      <w:r>
        <w:rPr>
          <w:rFonts w:ascii="Calibri" w:eastAsia="Batang" w:hAnsi="Calibri" w:cs="Calibri"/>
          <w:sz w:val="25"/>
          <w:szCs w:val="25"/>
        </w:rPr>
        <w:t xml:space="preserve"> fait en même temps office de conjonction et du « </w:t>
      </w:r>
      <w:r>
        <w:rPr>
          <w:rFonts w:ascii="Calibri" w:eastAsia="Batang" w:hAnsi="Calibri" w:cs="Calibri"/>
          <w:i/>
          <w:iCs/>
          <w:sz w:val="25"/>
          <w:szCs w:val="25"/>
        </w:rPr>
        <w:t>cum</w:t>
      </w:r>
      <w:r>
        <w:rPr>
          <w:rFonts w:ascii="Calibri" w:eastAsia="Batang" w:hAnsi="Calibri" w:cs="Calibri"/>
          <w:sz w:val="25"/>
          <w:szCs w:val="25"/>
        </w:rPr>
        <w:t> » d’accompagnement. Sa traduction littéraire est « nous tout seuls », ce qui implique la réduction de l’Autre au Même et l’exclusion.</w:t>
      </w:r>
    </w:p>
    <w:p w:rsidR="000A31A8" w:rsidRDefault="000A31A8">
      <w:pPr>
        <w:pStyle w:val="Notedebasdepage"/>
        <w:spacing w:line="324" w:lineRule="auto"/>
        <w:ind w:right="-2"/>
        <w:jc w:val="both"/>
        <w:rPr>
          <w:rFonts w:ascii="Calibri" w:eastAsia="Batang" w:hAnsi="Calibri" w:cs="Calibri"/>
          <w:sz w:val="25"/>
          <w:szCs w:val="25"/>
        </w:rPr>
      </w:pPr>
    </w:p>
    <w:p w:rsidR="000A31A8" w:rsidRDefault="0065345B">
      <w:pPr>
        <w:pStyle w:val="Notedebasdepage"/>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Si je dis maintenant : </w:t>
      </w:r>
      <w:r>
        <w:rPr>
          <w:rFonts w:ascii="Calibri" w:eastAsia="Batang" w:hAnsi="Calibri" w:cs="Calibri"/>
          <w:i/>
          <w:iCs/>
          <w:sz w:val="25"/>
          <w:szCs w:val="25"/>
        </w:rPr>
        <w:t xml:space="preserve">Biso na biso </w:t>
      </w:r>
      <w:r>
        <w:rPr>
          <w:rFonts w:ascii="Calibri" w:eastAsia="Batang" w:hAnsi="Calibri" w:cs="Calibri"/>
          <w:sz w:val="25"/>
          <w:szCs w:val="25"/>
        </w:rPr>
        <w:t xml:space="preserve">sans un discours préalable ou explicatif, chacun pourra comprendre à sa manière : nous philosophes ; nous Congolais ; nous nègres ; finalement nous, qui ?  Le </w:t>
      </w:r>
      <w:r>
        <w:rPr>
          <w:rFonts w:ascii="Calibri" w:eastAsia="Batang" w:hAnsi="Calibri" w:cs="Calibri"/>
          <w:i/>
          <w:sz w:val="25"/>
          <w:szCs w:val="25"/>
        </w:rPr>
        <w:t>biso</w:t>
      </w:r>
      <w:r>
        <w:rPr>
          <w:rFonts w:ascii="Calibri" w:eastAsia="Batang" w:hAnsi="Calibri" w:cs="Calibri"/>
          <w:sz w:val="25"/>
          <w:szCs w:val="25"/>
        </w:rPr>
        <w:t xml:space="preserve"> de la </w:t>
      </w:r>
      <w:r>
        <w:rPr>
          <w:rFonts w:ascii="Calibri" w:eastAsia="Batang" w:hAnsi="Calibri" w:cs="Calibri"/>
          <w:i/>
          <w:iCs/>
          <w:sz w:val="25"/>
          <w:szCs w:val="25"/>
        </w:rPr>
        <w:t>bisoïté</w:t>
      </w:r>
      <w:r>
        <w:rPr>
          <w:rFonts w:ascii="Calibri" w:eastAsia="Batang" w:hAnsi="Calibri" w:cs="Calibri"/>
          <w:sz w:val="25"/>
          <w:szCs w:val="25"/>
        </w:rPr>
        <w:t xml:space="preserve"> de Tshiamalenga est exclusif et réclame une restriction</w:t>
      </w:r>
      <w:r>
        <w:rPr>
          <w:rStyle w:val="Appelnotedebasdep"/>
          <w:rFonts w:ascii="Calibri" w:eastAsia="Batang" w:hAnsi="Calibri" w:cs="Calibri"/>
          <w:sz w:val="25"/>
          <w:szCs w:val="25"/>
        </w:rPr>
        <w:footnoteReference w:id="350"/>
      </w:r>
      <w:r>
        <w:rPr>
          <w:rFonts w:ascii="Calibri" w:eastAsia="Batang" w:hAnsi="Calibri" w:cs="Calibri"/>
          <w:sz w:val="25"/>
          <w:szCs w:val="25"/>
        </w:rPr>
        <w:t xml:space="preserve"> qui, elle-même, implique l’exclusion de certaines catégories de personnes. Elle n’est pas </w:t>
      </w:r>
      <w:r>
        <w:rPr>
          <w:rFonts w:ascii="Calibri" w:eastAsia="Batang" w:hAnsi="Calibri" w:cs="Calibri"/>
          <w:i/>
          <w:iCs/>
          <w:sz w:val="25"/>
          <w:szCs w:val="25"/>
        </w:rPr>
        <w:t xml:space="preserve">englobante </w:t>
      </w:r>
      <w:r>
        <w:rPr>
          <w:rFonts w:ascii="Calibri" w:eastAsia="Batang" w:hAnsi="Calibri" w:cs="Calibri"/>
          <w:sz w:val="25"/>
          <w:szCs w:val="25"/>
        </w:rPr>
        <w:t>puisqu’elle reconnaît l’</w:t>
      </w:r>
      <w:r>
        <w:rPr>
          <w:rFonts w:ascii="Calibri" w:eastAsia="Batang" w:hAnsi="Calibri" w:cs="Calibri"/>
          <w:i/>
          <w:iCs/>
          <w:sz w:val="25"/>
          <w:szCs w:val="25"/>
        </w:rPr>
        <w:t>Autre</w:t>
      </w:r>
      <w:r>
        <w:rPr>
          <w:rFonts w:ascii="Calibri" w:eastAsia="Batang" w:hAnsi="Calibri" w:cs="Calibri"/>
          <w:sz w:val="25"/>
          <w:szCs w:val="25"/>
        </w:rPr>
        <w:t xml:space="preserve">, mais pas  le </w:t>
      </w:r>
      <w:r>
        <w:rPr>
          <w:rFonts w:ascii="Calibri" w:eastAsia="Batang" w:hAnsi="Calibri" w:cs="Calibri"/>
          <w:i/>
          <w:iCs/>
          <w:sz w:val="25"/>
          <w:szCs w:val="25"/>
        </w:rPr>
        <w:t>Tout Autre.</w:t>
      </w:r>
      <w:r>
        <w:rPr>
          <w:rFonts w:ascii="Calibri" w:eastAsia="Batang" w:hAnsi="Calibri" w:cs="Calibri"/>
          <w:sz w:val="25"/>
          <w:szCs w:val="25"/>
        </w:rPr>
        <w:t xml:space="preserve"> On peut se référer ici à la logique des classes où « l’exclusion » pourrait être considérée comme la négation de la relation d’inclusion    </w:t>
      </w:r>
      <w:r>
        <w:rPr>
          <w:rFonts w:ascii="Calibri" w:eastAsia="Batang" w:hAnsi="Calibri" w:cs="Calibri"/>
          <w:sz w:val="25"/>
          <w:szCs w:val="24"/>
        </w:rPr>
        <w:sym w:font="Symbol" w:char="F0A3"/>
      </w:r>
      <w:r>
        <w:rPr>
          <w:rFonts w:ascii="Calibri" w:eastAsia="Batang" w:hAnsi="Calibri" w:cs="Calibri"/>
          <w:sz w:val="25"/>
          <w:szCs w:val="25"/>
        </w:rPr>
        <w:t xml:space="preserve">     qui par définition peut être rendue comme suit : </w:t>
      </w:r>
      <w:r>
        <w:rPr>
          <w:rFonts w:ascii="Calibri" w:eastAsia="Batang" w:hAnsi="Calibri" w:cs="Calibri"/>
          <w:sz w:val="25"/>
          <w:szCs w:val="24"/>
        </w:rPr>
        <w:sym w:font="Symbol" w:char="F061"/>
      </w:r>
      <w:r>
        <w:rPr>
          <w:rFonts w:ascii="Calibri" w:eastAsia="Batang" w:hAnsi="Calibri" w:cs="Calibri"/>
          <w:sz w:val="25"/>
          <w:szCs w:val="25"/>
        </w:rPr>
        <w:t xml:space="preserve"> </w:t>
      </w:r>
      <w:r>
        <w:rPr>
          <w:rFonts w:ascii="Calibri" w:eastAsia="Batang" w:hAnsi="Calibri" w:cs="Calibri"/>
          <w:sz w:val="25"/>
          <w:szCs w:val="24"/>
        </w:rPr>
        <w:sym w:font="Symbol" w:char="F0A3"/>
      </w:r>
      <w:r>
        <w:rPr>
          <w:rFonts w:ascii="Calibri" w:eastAsia="Batang" w:hAnsi="Calibri" w:cs="Calibri"/>
          <w:sz w:val="25"/>
          <w:szCs w:val="25"/>
        </w:rPr>
        <w:t xml:space="preserve"> </w:t>
      </w:r>
      <w:r>
        <w:rPr>
          <w:rFonts w:ascii="Calibri" w:eastAsia="Batang" w:hAnsi="Calibri" w:cs="Calibri"/>
          <w:sz w:val="25"/>
          <w:szCs w:val="24"/>
        </w:rPr>
        <w:sym w:font="Symbol" w:char="F062"/>
      </w:r>
      <w:r>
        <w:rPr>
          <w:rFonts w:ascii="Calibri" w:eastAsia="Batang" w:hAnsi="Calibri" w:cs="Calibri"/>
          <w:sz w:val="25"/>
          <w:szCs w:val="25"/>
        </w:rPr>
        <w:t xml:space="preserve"> si tous les éléments de « </w:t>
      </w:r>
      <w:r>
        <w:rPr>
          <w:rFonts w:ascii="Calibri" w:eastAsia="Batang" w:hAnsi="Calibri" w:cs="Calibri"/>
          <w:sz w:val="25"/>
          <w:szCs w:val="24"/>
        </w:rPr>
        <w:sym w:font="Symbol" w:char="F061"/>
      </w:r>
      <w:r>
        <w:rPr>
          <w:rFonts w:ascii="Calibri" w:eastAsia="Batang" w:hAnsi="Calibri" w:cs="Calibri"/>
          <w:sz w:val="25"/>
          <w:szCs w:val="25"/>
        </w:rPr>
        <w:t xml:space="preserve"> » sont aussi des éléments </w:t>
      </w:r>
      <w:r>
        <w:rPr>
          <w:rFonts w:ascii="Calibri" w:eastAsia="Batang" w:hAnsi="Calibri" w:cs="Calibri"/>
          <w:sz w:val="25"/>
          <w:szCs w:val="25"/>
        </w:rPr>
        <w:lastRenderedPageBreak/>
        <w:t>de «</w:t>
      </w:r>
      <w:r>
        <w:rPr>
          <w:rFonts w:ascii="Calibri" w:eastAsia="Batang" w:hAnsi="Calibri" w:cs="Calibri"/>
          <w:sz w:val="25"/>
          <w:szCs w:val="24"/>
        </w:rPr>
        <w:sym w:font="Symbol" w:char="F062"/>
      </w:r>
      <w:r>
        <w:rPr>
          <w:rFonts w:ascii="Calibri" w:eastAsia="Batang" w:hAnsi="Calibri" w:cs="Calibri"/>
          <w:sz w:val="25"/>
          <w:szCs w:val="25"/>
        </w:rPr>
        <w:t xml:space="preserve"> »  sans qu’il soit précisé si l’inverse a lieu ou non. Dans ces conditions, on vérifie que : </w:t>
      </w:r>
    </w:p>
    <w:p w:rsidR="000A31A8" w:rsidRDefault="0065345B">
      <w:pPr>
        <w:pStyle w:val="Notedebasdepage"/>
        <w:spacing w:line="324" w:lineRule="auto"/>
        <w:ind w:right="-2"/>
        <w:jc w:val="both"/>
        <w:rPr>
          <w:rFonts w:ascii="Calibri" w:hAnsi="Calibri" w:cs="Calibri"/>
          <w:sz w:val="25"/>
          <w:szCs w:val="25"/>
        </w:rPr>
      </w:pPr>
      <w:r>
        <w:rPr>
          <w:rFonts w:ascii="Calibri" w:eastAsia="Batang" w:hAnsi="Calibri" w:cs="Calibri"/>
          <w:sz w:val="25"/>
          <w:szCs w:val="25"/>
        </w:rPr>
        <w:t xml:space="preserve">(i) </w:t>
      </w:r>
      <w:r>
        <w:rPr>
          <w:rFonts w:ascii="Calibri" w:eastAsia="Batang" w:hAnsi="Calibri" w:cs="Calibri"/>
          <w:sz w:val="25"/>
          <w:szCs w:val="24"/>
        </w:rPr>
        <w:sym w:font="Symbol" w:char="F061"/>
      </w:r>
      <w:r>
        <w:rPr>
          <w:rFonts w:ascii="Calibri" w:eastAsia="Batang" w:hAnsi="Calibri" w:cs="Calibri"/>
          <w:sz w:val="25"/>
          <w:szCs w:val="25"/>
        </w:rPr>
        <w:t xml:space="preserve">  </w:t>
      </w:r>
      <w:r>
        <w:rPr>
          <w:rFonts w:ascii="Calibri" w:eastAsia="Batang" w:hAnsi="Calibri" w:cs="Calibri"/>
          <w:sz w:val="25"/>
          <w:szCs w:val="24"/>
        </w:rPr>
        <w:sym w:font="Symbol" w:char="F0A3"/>
      </w:r>
      <w:r>
        <w:rPr>
          <w:rFonts w:ascii="Calibri" w:eastAsia="Batang" w:hAnsi="Calibri" w:cs="Calibri"/>
          <w:sz w:val="25"/>
          <w:szCs w:val="25"/>
        </w:rPr>
        <w:t xml:space="preserve">  </w:t>
      </w:r>
      <w:r>
        <w:rPr>
          <w:rFonts w:ascii="Calibri" w:eastAsia="Batang" w:hAnsi="Calibri" w:cs="Calibri"/>
          <w:sz w:val="25"/>
          <w:szCs w:val="24"/>
        </w:rPr>
        <w:sym w:font="Symbol" w:char="F062"/>
      </w:r>
      <w:r>
        <w:rPr>
          <w:rFonts w:ascii="Calibri" w:hAnsi="Calibri" w:cs="Calibri"/>
          <w:sz w:val="25"/>
          <w:szCs w:val="25"/>
        </w:rPr>
        <w:t xml:space="preserve">  </w:t>
      </w:r>
      <w:r>
        <w:rPr>
          <w:rFonts w:ascii="Calibri" w:eastAsia="Batang" w:hAnsi="Calibri" w:cs="Calibri"/>
          <w:sz w:val="25"/>
          <w:szCs w:val="25"/>
        </w:rPr>
        <w:t>: La relation est réflexive.</w:t>
      </w:r>
    </w:p>
    <w:p w:rsidR="000A31A8" w:rsidRDefault="0065345B">
      <w:pPr>
        <w:pStyle w:val="Notedebasdepage"/>
        <w:spacing w:line="324" w:lineRule="auto"/>
        <w:ind w:right="-2"/>
        <w:jc w:val="both"/>
        <w:rPr>
          <w:rFonts w:ascii="Calibri" w:eastAsia="Batang" w:hAnsi="Calibri" w:cs="Calibri"/>
          <w:sz w:val="25"/>
          <w:szCs w:val="25"/>
        </w:rPr>
      </w:pPr>
      <w:r>
        <w:rPr>
          <w:rFonts w:ascii="Calibri" w:eastAsia="Batang" w:hAnsi="Calibri" w:cs="Calibri"/>
          <w:sz w:val="25"/>
          <w:szCs w:val="25"/>
        </w:rPr>
        <w:t>(ii) si α ≤ þ et þ ≤ α alors α = þ : égalité ou antisymétrie</w:t>
      </w:r>
    </w:p>
    <w:p w:rsidR="000A31A8" w:rsidRDefault="0065345B">
      <w:pPr>
        <w:spacing w:line="324" w:lineRule="auto"/>
        <w:ind w:right="-2"/>
        <w:jc w:val="both"/>
        <w:rPr>
          <w:rFonts w:ascii="Calibri" w:hAnsi="Calibri" w:cs="Calibri"/>
          <w:sz w:val="25"/>
          <w:szCs w:val="25"/>
        </w:rPr>
      </w:pPr>
      <w:r>
        <w:rPr>
          <w:rFonts w:ascii="Calibri" w:eastAsia="Batang" w:hAnsi="Calibri" w:cs="Calibri"/>
          <w:sz w:val="25"/>
          <w:szCs w:val="25"/>
        </w:rPr>
        <w:t>(iii) si α ≤ þ et þ ≤ α alors α ≤ þ: Relation de transitivité</w:t>
      </w:r>
      <w:r>
        <w:rPr>
          <w:rStyle w:val="Appelnotedebasdep"/>
          <w:rFonts w:ascii="Calibri" w:eastAsia="Batang" w:hAnsi="Calibri" w:cs="Calibri"/>
          <w:sz w:val="25"/>
          <w:szCs w:val="25"/>
        </w:rPr>
        <w:footnoteReference w:id="351"/>
      </w:r>
      <w:r>
        <w:rPr>
          <w:rFonts w:ascii="Calibri" w:hAnsi="Calibri" w:cs="Calibri"/>
          <w:sz w:val="25"/>
          <w:szCs w:val="25"/>
        </w:rPr>
        <w:t>.</w:t>
      </w:r>
    </w:p>
    <w:p w:rsidR="000A31A8" w:rsidRDefault="0065345B">
      <w:pPr>
        <w:spacing w:line="324" w:lineRule="auto"/>
        <w:ind w:right="-2" w:firstLine="709"/>
        <w:jc w:val="both"/>
        <w:rPr>
          <w:rFonts w:ascii="Calibri" w:eastAsia="Batang" w:hAnsi="Calibri" w:cs="Calibri"/>
          <w:sz w:val="25"/>
          <w:szCs w:val="25"/>
          <w:lang w:val="nl-NL"/>
        </w:rPr>
      </w:pPr>
      <w:r>
        <w:rPr>
          <w:rFonts w:ascii="Calibri" w:hAnsi="Calibri" w:cs="Calibri"/>
          <w:sz w:val="25"/>
          <w:szCs w:val="25"/>
        </w:rPr>
        <w:t xml:space="preserve">        </w:t>
      </w: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Une philosophie de la</w:t>
      </w:r>
      <w:r>
        <w:rPr>
          <w:rFonts w:ascii="Calibri" w:eastAsia="Batang" w:hAnsi="Calibri" w:cs="Calibri"/>
          <w:i/>
          <w:iCs/>
          <w:sz w:val="25"/>
          <w:szCs w:val="25"/>
        </w:rPr>
        <w:t xml:space="preserve"> bisoïté</w:t>
      </w:r>
      <w:r>
        <w:rPr>
          <w:rFonts w:ascii="Calibri" w:eastAsia="Batang" w:hAnsi="Calibri" w:cs="Calibri"/>
          <w:sz w:val="25"/>
          <w:szCs w:val="25"/>
        </w:rPr>
        <w:t xml:space="preserve"> correspondrait à la reconnaissance des identités particulières : identité ethnique, culturelle ou tribale  qui est une étape préliminaire nécessaire à l’</w:t>
      </w:r>
      <w:r>
        <w:rPr>
          <w:rFonts w:ascii="Calibri" w:eastAsia="Batang" w:hAnsi="Calibri" w:cs="Calibri"/>
          <w:i/>
          <w:iCs/>
          <w:sz w:val="25"/>
          <w:szCs w:val="25"/>
        </w:rPr>
        <w:t>intersubjectivité englobante</w:t>
      </w:r>
      <w:r>
        <w:rPr>
          <w:rFonts w:ascii="Calibri" w:eastAsia="Batang" w:hAnsi="Calibri" w:cs="Calibri"/>
          <w:sz w:val="25"/>
          <w:szCs w:val="25"/>
        </w:rPr>
        <w:t xml:space="preserve">. En plus, la </w:t>
      </w:r>
      <w:r>
        <w:rPr>
          <w:rFonts w:ascii="Calibri" w:eastAsia="Batang" w:hAnsi="Calibri" w:cs="Calibri"/>
          <w:i/>
          <w:iCs/>
          <w:sz w:val="25"/>
          <w:szCs w:val="25"/>
        </w:rPr>
        <w:t>bisoïté</w:t>
      </w:r>
      <w:r>
        <w:rPr>
          <w:rFonts w:ascii="Calibri" w:eastAsia="Batang" w:hAnsi="Calibri" w:cs="Calibri"/>
          <w:sz w:val="25"/>
          <w:szCs w:val="25"/>
        </w:rPr>
        <w:t xml:space="preserve"> consacre dangereusement l’écrasement de l’individu par la communauté et l’appartenance ethnique ou tribale. Une telle philosophie n’a rien d’avantageux pour un continent qui doit lutter âprement pour la formation des nations à la place des agrégats des tribus et pour son ouverture au monde.</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La</w:t>
      </w:r>
      <w:r>
        <w:rPr>
          <w:rFonts w:ascii="Calibri" w:eastAsia="Batang" w:hAnsi="Calibri" w:cs="Calibri"/>
          <w:i/>
          <w:iCs/>
          <w:sz w:val="25"/>
          <w:szCs w:val="25"/>
        </w:rPr>
        <w:t xml:space="preserve"> bisobansoïté </w:t>
      </w:r>
      <w:r>
        <w:rPr>
          <w:rFonts w:ascii="Calibri" w:eastAsia="Batang" w:hAnsi="Calibri" w:cs="Calibri"/>
          <w:sz w:val="25"/>
          <w:szCs w:val="25"/>
        </w:rPr>
        <w:t xml:space="preserve"> en tant que théorie de l’</w:t>
      </w:r>
      <w:r>
        <w:rPr>
          <w:rFonts w:ascii="Calibri" w:eastAsia="Batang" w:hAnsi="Calibri" w:cs="Calibri"/>
          <w:i/>
          <w:iCs/>
          <w:sz w:val="25"/>
          <w:szCs w:val="25"/>
        </w:rPr>
        <w:t>intersubjectivité</w:t>
      </w:r>
      <w:r>
        <w:rPr>
          <w:rFonts w:ascii="Calibri" w:eastAsia="Batang" w:hAnsi="Calibri" w:cs="Calibri"/>
          <w:sz w:val="25"/>
          <w:szCs w:val="25"/>
        </w:rPr>
        <w:t xml:space="preserve"> </w:t>
      </w:r>
      <w:r>
        <w:rPr>
          <w:rFonts w:ascii="Calibri" w:eastAsia="Batang" w:hAnsi="Calibri" w:cs="Calibri"/>
          <w:i/>
          <w:iCs/>
          <w:sz w:val="25"/>
          <w:szCs w:val="25"/>
        </w:rPr>
        <w:t>englobante</w:t>
      </w:r>
      <w:r>
        <w:rPr>
          <w:rFonts w:ascii="Calibri" w:eastAsia="Batang" w:hAnsi="Calibri" w:cs="Calibri"/>
          <w:sz w:val="25"/>
          <w:szCs w:val="25"/>
        </w:rPr>
        <w:t xml:space="preserve"> s’oppose au primat du nous sur l’intersubjectivité. L’une des erreurs majeures de la </w:t>
      </w:r>
      <w:r>
        <w:rPr>
          <w:rFonts w:ascii="Calibri" w:eastAsia="Batang" w:hAnsi="Calibri" w:cs="Calibri"/>
          <w:i/>
          <w:iCs/>
          <w:sz w:val="25"/>
          <w:szCs w:val="25"/>
        </w:rPr>
        <w:t>Bisoïté</w:t>
      </w:r>
      <w:r>
        <w:rPr>
          <w:rFonts w:ascii="Calibri" w:eastAsia="Batang" w:hAnsi="Calibri" w:cs="Calibri"/>
          <w:sz w:val="25"/>
          <w:szCs w:val="25"/>
        </w:rPr>
        <w:t xml:space="preserve"> de Tshiamalenga est justement la proclamation de ce primat. L’auteur de la </w:t>
      </w:r>
      <w:r>
        <w:rPr>
          <w:rFonts w:ascii="Calibri" w:eastAsia="Batang" w:hAnsi="Calibri" w:cs="Calibri"/>
          <w:i/>
          <w:iCs/>
          <w:sz w:val="25"/>
          <w:szCs w:val="25"/>
        </w:rPr>
        <w:t>Bisoïté</w:t>
      </w:r>
      <w:r>
        <w:rPr>
          <w:rFonts w:ascii="Calibri" w:eastAsia="Batang" w:hAnsi="Calibri" w:cs="Calibri"/>
          <w:sz w:val="25"/>
          <w:szCs w:val="25"/>
        </w:rPr>
        <w:t xml:space="preserve"> ignore que « l’idée fondamentale de l’intersubjectivité est que nous ne sommes pas seuls, que, quoi que nous fassions, nous sommes responsables de ce qui arrive à l’autre »</w:t>
      </w:r>
      <w:r>
        <w:rPr>
          <w:rStyle w:val="Appelnotedebasdep"/>
          <w:rFonts w:ascii="Calibri" w:eastAsia="Batang" w:hAnsi="Calibri" w:cs="Calibri"/>
          <w:sz w:val="25"/>
          <w:szCs w:val="25"/>
        </w:rPr>
        <w:footnoteReference w:id="352"/>
      </w:r>
      <w:r>
        <w:rPr>
          <w:rFonts w:ascii="Calibri" w:eastAsia="Batang" w:hAnsi="Calibri" w:cs="Calibri"/>
          <w:sz w:val="25"/>
          <w:szCs w:val="25"/>
        </w:rPr>
        <w:t xml:space="preserve">. Avec la proclamation du primat du nous sur les « je » libres, la </w:t>
      </w:r>
      <w:r>
        <w:rPr>
          <w:rFonts w:ascii="Calibri" w:eastAsia="Batang" w:hAnsi="Calibri" w:cs="Calibri"/>
          <w:i/>
          <w:iCs/>
          <w:sz w:val="25"/>
          <w:szCs w:val="25"/>
        </w:rPr>
        <w:t>bisoïté</w:t>
      </w:r>
      <w:r>
        <w:rPr>
          <w:rFonts w:ascii="Calibri" w:eastAsia="Batang" w:hAnsi="Calibri" w:cs="Calibri"/>
          <w:sz w:val="25"/>
          <w:szCs w:val="25"/>
        </w:rPr>
        <w:t xml:space="preserve"> fonde l’unitarisme. Or  la structuration unitariste adoptée par la plupart des pays d’Afrique noire francophone, comme le pense Ngoma-Binda, aboutit naturellement au musellement des libertés individuelles et collectives. L’on sait combien cette ignorance des diversités et des revendications locales (sous prétexte de maintenir l’unité et de prévenir le séparatisme et les désordres) a permis à l’Etat unitaire de franchir très vite le seul pas qui le séparait de la dictature, conduisant ainsi et inexorablement les pays africains au sous-développement</w:t>
      </w:r>
      <w:r>
        <w:rPr>
          <w:rStyle w:val="Appelnotedebasdep"/>
          <w:rFonts w:ascii="Calibri" w:eastAsia="Batang" w:hAnsi="Calibri" w:cs="Calibri"/>
          <w:sz w:val="25"/>
          <w:szCs w:val="25"/>
        </w:rPr>
        <w:footnoteReference w:id="353"/>
      </w:r>
      <w:r>
        <w:rPr>
          <w:rFonts w:ascii="Calibri" w:eastAsia="Batang" w:hAnsi="Calibri" w:cs="Calibri"/>
          <w:sz w:val="25"/>
          <w:szCs w:val="25"/>
        </w:rPr>
        <w:t>.</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lastRenderedPageBreak/>
        <w:t>Le mérite de Tshiamalenga aura été l’intuition que « la position privilégiée du langage ordinaire apparaît au grand jour lorsqu’on réalise que, de fait, tous les langages spécialisés des sciences empiriques ou non empiriques sont toujours formés à partir/ou en conformité avec les langages ordinaires préexistants</w:t>
      </w:r>
      <w:r>
        <w:rPr>
          <w:rStyle w:val="Appelnotedebasdep"/>
          <w:rFonts w:ascii="Calibri" w:eastAsia="Batang" w:hAnsi="Calibri" w:cs="Calibri"/>
          <w:sz w:val="25"/>
          <w:szCs w:val="25"/>
        </w:rPr>
        <w:footnoteReference w:id="354"/>
      </w:r>
      <w:r>
        <w:rPr>
          <w:rFonts w:ascii="Calibri" w:eastAsia="Batang" w:hAnsi="Calibri" w:cs="Calibri"/>
          <w:sz w:val="25"/>
          <w:szCs w:val="25"/>
        </w:rPr>
        <w:t xml:space="preserve"> ». Malheureusement, l’exercice auquel il s’adonne se limite à la répétition du dire traditionnel sans une critique profonde de ce que cela implique notamment dans la conception et la gestion du pouvoir politique. Un primat du « nous » sur le « je » et sur l’intersubjectivité débouche au communisme, à une société dans laquelle les individus se retrouvent comme des numéros sans noms et identités particulières. Dès lors qu’on sait que dans la tradition africaine le « nous » ou le « on » qui légifère à travers le chef est tantôt Dieu, les ancêtres, les notables,  jamais « moi » et par conséquent personne, est un « nous » le plus souvent irrationnel, on ne peut qu’exprimer des réserves devant la </w:t>
      </w:r>
      <w:r>
        <w:rPr>
          <w:rFonts w:ascii="Calibri" w:eastAsia="Batang" w:hAnsi="Calibri" w:cs="Calibri"/>
          <w:i/>
          <w:iCs/>
          <w:sz w:val="25"/>
          <w:szCs w:val="25"/>
        </w:rPr>
        <w:t>bisoïté</w:t>
      </w:r>
      <w:r>
        <w:rPr>
          <w:rFonts w:ascii="Calibri" w:eastAsia="Batang" w:hAnsi="Calibri" w:cs="Calibri"/>
          <w:sz w:val="25"/>
          <w:szCs w:val="25"/>
        </w:rPr>
        <w:t>.</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i/>
          <w:iCs/>
          <w:sz w:val="25"/>
          <w:szCs w:val="25"/>
        </w:rPr>
      </w:pPr>
      <w:r>
        <w:rPr>
          <w:rFonts w:ascii="Calibri" w:eastAsia="Batang" w:hAnsi="Calibri" w:cs="Calibri"/>
          <w:sz w:val="25"/>
          <w:szCs w:val="25"/>
        </w:rPr>
        <w:t xml:space="preserve">La </w:t>
      </w:r>
      <w:r>
        <w:rPr>
          <w:rFonts w:ascii="Calibri" w:eastAsia="Batang" w:hAnsi="Calibri" w:cs="Calibri"/>
          <w:i/>
          <w:iCs/>
          <w:sz w:val="25"/>
          <w:szCs w:val="25"/>
        </w:rPr>
        <w:t>bisobansoïté</w:t>
      </w:r>
      <w:r>
        <w:rPr>
          <w:rFonts w:ascii="Calibri" w:eastAsia="Batang" w:hAnsi="Calibri" w:cs="Calibri"/>
          <w:sz w:val="25"/>
          <w:szCs w:val="25"/>
        </w:rPr>
        <w:t xml:space="preserve"> a le mérite de n’exclure personne. Elle me rend responsable de ce qui arrive au prochain qui n’est plus le plus proche culturellement, géographiquement, linguistiquement, etc., mais celui qui m’est proche par la nature humaine qu’il partage avec moi. La </w:t>
      </w:r>
      <w:r>
        <w:rPr>
          <w:rFonts w:ascii="Calibri" w:eastAsia="Batang" w:hAnsi="Calibri" w:cs="Calibri"/>
          <w:i/>
          <w:iCs/>
          <w:sz w:val="25"/>
          <w:szCs w:val="25"/>
        </w:rPr>
        <w:t>bisobansoïté</w:t>
      </w:r>
      <w:r>
        <w:rPr>
          <w:rFonts w:ascii="Calibri" w:eastAsia="Batang" w:hAnsi="Calibri" w:cs="Calibri"/>
          <w:sz w:val="25"/>
          <w:szCs w:val="25"/>
        </w:rPr>
        <w:t xml:space="preserve"> me rend responsable (soucieux) de ce qui arrive aux hommes de mon village, de mon quartier, mais aussi de ceux du Nord-Kivu, de l’Ituri, de l’Ukraine, de la Chine, etc. La </w:t>
      </w:r>
      <w:r>
        <w:rPr>
          <w:rFonts w:ascii="Calibri" w:eastAsia="Batang" w:hAnsi="Calibri" w:cs="Calibri"/>
          <w:i/>
          <w:iCs/>
          <w:sz w:val="25"/>
          <w:szCs w:val="25"/>
        </w:rPr>
        <w:t>bisobansoïté</w:t>
      </w:r>
      <w:r>
        <w:rPr>
          <w:rFonts w:ascii="Calibri" w:eastAsia="Batang" w:hAnsi="Calibri" w:cs="Calibri"/>
          <w:sz w:val="25"/>
          <w:szCs w:val="25"/>
        </w:rPr>
        <w:t xml:space="preserve"> reconnaît le </w:t>
      </w:r>
      <w:r>
        <w:rPr>
          <w:rFonts w:ascii="Calibri" w:eastAsia="Batang" w:hAnsi="Calibri" w:cs="Calibri"/>
          <w:i/>
          <w:iCs/>
          <w:sz w:val="25"/>
          <w:szCs w:val="25"/>
        </w:rPr>
        <w:t xml:space="preserve">Tout Autre. </w:t>
      </w:r>
      <w:r>
        <w:rPr>
          <w:rFonts w:ascii="Calibri" w:eastAsia="Batang" w:hAnsi="Calibri" w:cs="Calibri"/>
          <w:sz w:val="25"/>
          <w:szCs w:val="25"/>
        </w:rPr>
        <w:t xml:space="preserve">L’équilibre entre la reconnaissance de l’individu et celle du rôle de la communauté rend possible la vie en communauté. La </w:t>
      </w:r>
      <w:r>
        <w:rPr>
          <w:rFonts w:ascii="Calibri" w:eastAsia="Batang" w:hAnsi="Calibri" w:cs="Calibri"/>
          <w:i/>
          <w:iCs/>
          <w:sz w:val="25"/>
          <w:szCs w:val="25"/>
        </w:rPr>
        <w:t>bisobansoïté</w:t>
      </w:r>
      <w:r>
        <w:rPr>
          <w:rFonts w:ascii="Calibri" w:eastAsia="Batang" w:hAnsi="Calibri" w:cs="Calibri"/>
          <w:sz w:val="25"/>
          <w:szCs w:val="25"/>
        </w:rPr>
        <w:t xml:space="preserve"> prolonge la </w:t>
      </w:r>
      <w:r>
        <w:rPr>
          <w:rFonts w:ascii="Calibri" w:eastAsia="Batang" w:hAnsi="Calibri" w:cs="Calibri"/>
          <w:i/>
          <w:iCs/>
          <w:sz w:val="25"/>
          <w:szCs w:val="25"/>
        </w:rPr>
        <w:t>bisoïté</w:t>
      </w:r>
      <w:r>
        <w:rPr>
          <w:rFonts w:ascii="Calibri" w:eastAsia="Batang" w:hAnsi="Calibri" w:cs="Calibri"/>
          <w:sz w:val="25"/>
          <w:szCs w:val="25"/>
        </w:rPr>
        <w:t xml:space="preserve"> parce que celle-ci parle en terme de primat du « nous » sur le « je », du primat du « nous » sur l’intersubjectivité. Au fait, il est difficile de démontrer comment le « nous » (avec son primat, même ontologique) ne peut opprimer les « je » libres. L’écrasement de l’individu par la </w:t>
      </w:r>
      <w:r>
        <w:rPr>
          <w:rFonts w:ascii="Calibri" w:eastAsia="Batang" w:hAnsi="Calibri" w:cs="Calibri"/>
          <w:sz w:val="25"/>
          <w:szCs w:val="25"/>
        </w:rPr>
        <w:lastRenderedPageBreak/>
        <w:t>communauté ne peut pas être constructif. De quatre rapports possibles : l’inclusion totale, l’exclusion totale, l’inclusion partielle, l’exclusion partielle, le seul valable dans la lecture du couple « individu communauté » est l’inclusion totale. Tout individu appartient à une communauté et toute communauté est composée d’individus.</w:t>
      </w:r>
    </w:p>
    <w:p w:rsidR="000A31A8" w:rsidRDefault="0065345B">
      <w:pPr>
        <w:spacing w:after="160" w:line="259" w:lineRule="auto"/>
        <w:rPr>
          <w:rFonts w:ascii="Calibri" w:eastAsia="Batang" w:hAnsi="Calibri" w:cs="Calibri"/>
          <w:b/>
          <w:bCs/>
          <w:kern w:val="32"/>
          <w:sz w:val="25"/>
          <w:szCs w:val="25"/>
          <w:lang w:val="fr-BE"/>
        </w:rPr>
      </w:pPr>
      <w:r>
        <w:rPr>
          <w:rFonts w:ascii="Calibri" w:hAnsi="Calibri" w:cs="Calibri"/>
          <w:sz w:val="25"/>
          <w:szCs w:val="25"/>
        </w:rPr>
        <w:br w:type="page"/>
      </w:r>
      <w:bookmarkStart w:id="41" w:name="_Toc63602980"/>
      <w:r>
        <w:rPr>
          <w:rFonts w:ascii="Calibri" w:hAnsi="Calibri" w:cs="Calibri"/>
          <w:noProof/>
          <w:sz w:val="25"/>
          <w:szCs w:val="25"/>
        </w:rPr>
        <w:lastRenderedPageBreak/>
        <mc:AlternateContent>
          <mc:Choice Requires="wps">
            <w:drawing>
              <wp:anchor distT="0" distB="0" distL="0" distR="0" simplePos="0" relativeHeight="4" behindDoc="0" locked="0" layoutInCell="1" allowOverlap="1">
                <wp:simplePos x="0" y="0"/>
                <wp:positionH relativeFrom="column">
                  <wp:posOffset>2438400</wp:posOffset>
                </wp:positionH>
                <wp:positionV relativeFrom="paragraph">
                  <wp:posOffset>-462844</wp:posOffset>
                </wp:positionV>
                <wp:extent cx="677333" cy="496710"/>
                <wp:effectExtent l="0" t="0" r="2794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333" cy="496710"/>
                        </a:xfrm>
                        <a:prstGeom prst="rect">
                          <a:avLst/>
                        </a:prstGeom>
                        <a:solidFill>
                          <a:srgbClr val="FFFFFF"/>
                        </a:solidFill>
                        <a:ln w="12700" cap="flat" cmpd="sng">
                          <a:solidFill>
                            <a:srgbClr val="FFFFFF"/>
                          </a:solidFill>
                          <a:prstDash val="solid"/>
                          <a:miter/>
                          <a:headEnd/>
                          <a:tailEnd/>
                        </a:ln>
                      </wps:spPr>
                      <wps:bodyPr>
                        <a:prstTxWarp prst="textNoShape">
                          <a:avLst/>
                        </a:prstTxWarp>
                      </wps:bodyPr>
                    </wps:wsp>
                  </a:graphicData>
                </a:graphic>
              </wp:anchor>
            </w:drawing>
          </mc:Choice>
          <mc:Fallback xmlns:cx1="http://schemas.microsoft.com/office/drawing/2015/9/8/chartex">
            <w:pict>
              <v:rect w14:anchorId="197EE314" id="Rectangle 4" o:spid="_x0000_s1026" style="position:absolute;margin-left:192pt;margin-top:-36.45pt;width:53.35pt;height:39.1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" strokecolor="white" strokeweight="1pt">
                <v:path arrowok="t"/>
              </v:rect>
            </w:pict>
          </mc:Fallback>
        </mc:AlternateContent>
      </w:r>
      <w:r>
        <w:rPr>
          <w:rFonts w:ascii="Calibri" w:hAnsi="Calibri" w:cs="Calibri"/>
          <w:sz w:val="25"/>
          <w:szCs w:val="25"/>
        </w:rPr>
        <w:br w:type="page"/>
      </w:r>
    </w:p>
    <w:p w:rsidR="000A31A8" w:rsidRDefault="0065345B">
      <w:pPr>
        <w:pStyle w:val="Titre1"/>
        <w:tabs>
          <w:tab w:val="clear" w:pos="1185"/>
        </w:tabs>
        <w:spacing w:after="0" w:line="324" w:lineRule="auto"/>
        <w:ind w:left="0" w:right="-2" w:firstLine="0"/>
        <w:jc w:val="left"/>
        <w:rPr>
          <w:rFonts w:ascii="Calibri" w:hAnsi="Calibri" w:cs="Calibri"/>
          <w:sz w:val="36"/>
          <w:szCs w:val="36"/>
        </w:rPr>
      </w:pPr>
      <w:bookmarkStart w:id="42" w:name="_Toc127173510"/>
      <w:r>
        <w:rPr>
          <w:rFonts w:ascii="Calibri" w:hAnsi="Calibri" w:cs="Calibri"/>
          <w:sz w:val="36"/>
          <w:szCs w:val="36"/>
        </w:rPr>
        <w:lastRenderedPageBreak/>
        <w:t>CONCLUSION</w:t>
      </w:r>
      <w:bookmarkEnd w:id="42"/>
      <w:r>
        <w:rPr>
          <w:rFonts w:ascii="Calibri" w:hAnsi="Calibri" w:cs="Calibri"/>
          <w:sz w:val="36"/>
          <w:szCs w:val="36"/>
        </w:rPr>
        <w:t xml:space="preserve"> </w:t>
      </w:r>
      <w:bookmarkEnd w:id="41"/>
    </w:p>
    <w:p w:rsidR="000A31A8" w:rsidRDefault="000A31A8">
      <w:pPr>
        <w:spacing w:line="324" w:lineRule="auto"/>
        <w:ind w:right="-2" w:firstLine="709"/>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Cette réflexion a consisté à l’examen de la manière dont les théories contractualistes fondent le pouvoir. Le contractualisme récuse la fondation du pouvoir politique dans le fait naturel de socialité. Telle a été la démarche de Hobbes, dans la remise en question du </w:t>
      </w:r>
      <w:r>
        <w:rPr>
          <w:rFonts w:ascii="Calibri" w:eastAsia="Batang" w:hAnsi="Calibri" w:cs="Calibri"/>
          <w:i/>
          <w:iCs/>
          <w:sz w:val="25"/>
          <w:szCs w:val="25"/>
        </w:rPr>
        <w:t>zoon politikon</w:t>
      </w:r>
      <w:r>
        <w:rPr>
          <w:rFonts w:ascii="Calibri" w:eastAsia="Batang" w:hAnsi="Calibri" w:cs="Calibri"/>
          <w:sz w:val="25"/>
          <w:szCs w:val="25"/>
        </w:rPr>
        <w:t xml:space="preserve"> d’Aristote. Le pouvoir repose désormais sur les accords primordiaux, sur le contrat social. Voilà comment entre en jeu l’hypothétique état de nature [que Rawls nommera la « position originelle »].</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contribution de cette étude aura été de passer en revue les débats sur les fondements du pouvoir politique au sein même des théories  classiques du contrat social et d’approfondir leur capacité à repenser le pouvoir. Une telle recherche est voulue </w:t>
      </w:r>
      <w:r>
        <w:rPr>
          <w:rFonts w:ascii="Calibri" w:eastAsia="Batang" w:hAnsi="Calibri" w:cs="Calibri"/>
          <w:i/>
          <w:iCs/>
          <w:sz w:val="25"/>
          <w:szCs w:val="25"/>
        </w:rPr>
        <w:t>inflexionnelle</w:t>
      </w:r>
      <w:r>
        <w:rPr>
          <w:rFonts w:ascii="Calibri" w:eastAsia="Batang" w:hAnsi="Calibri" w:cs="Calibri"/>
          <w:sz w:val="25"/>
          <w:szCs w:val="25"/>
        </w:rPr>
        <w:t xml:space="preserve"> quand on sait comment le continent noir se recherche sur le plan de l’organisation du pouvoir. Les théories contractualistes nous paraissent être un bon prétexte d’une autopsie de la conception du pouvoir politique en Afrique. En effet, l’on doit s’interroger sur la  légitimation du pouvoir ici comme ailleurs.</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Alors qu’à l’époque antique le pouvoir était fondé avant tout sur le lien de sang, sur la richesse sur la sagesse et  philosophiquement sur la nature sociale de l’homme, le débat moderne se caractérise par la récusation du </w:t>
      </w:r>
      <w:r>
        <w:rPr>
          <w:rFonts w:ascii="Calibri" w:eastAsia="Batang" w:hAnsi="Calibri" w:cs="Calibri"/>
          <w:i/>
          <w:iCs/>
          <w:sz w:val="25"/>
          <w:szCs w:val="25"/>
        </w:rPr>
        <w:t>zoon politikon</w:t>
      </w:r>
      <w:r>
        <w:rPr>
          <w:rFonts w:ascii="Calibri" w:eastAsia="Batang" w:hAnsi="Calibri" w:cs="Calibri"/>
          <w:sz w:val="25"/>
          <w:szCs w:val="25"/>
        </w:rPr>
        <w:t xml:space="preserve"> et tourne autour de l’hypothétique « état de nature » qui, pour Hobbes, est l’état de la guerre de chacun contre tous. La liberté absolue dont chacun jouit à l’état de nature est un étalon négatif ; seule la raison démontre la nécessité de renoncer à cette liberté en vue de la paix. L’état de nature est aussi celui de l’égalité naturelle : chacun a les droits sur tout.</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Locke et Rousseau qui remettent en question l’état de nature hobbesien n’échappent pas eux-mêmes à «  l’état de nature ». Si pour l’un la liberté de l’état de nature n’est pas à confondre avec la licence, pour l’autre l’état de nature est dépourvu de tout vice.</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En effet, le pouvoir moderne tel que Hobbes le conçoit  refuse tout fondement de type aristotélicien. L’idée d’un Etat intégré à l’ordre naturel et celle d’une nature humaine destinée à l’Etat est illusoire. L’Etat n’est pas issu de la nature ; car, on ne trouve le fondement juridique de l’Etat civil qu’en revenant à l’individu et à son droit. L’Etat est </w:t>
      </w:r>
      <w:r>
        <w:rPr>
          <w:rFonts w:ascii="Calibri" w:eastAsia="Batang" w:hAnsi="Calibri" w:cs="Calibri"/>
          <w:sz w:val="25"/>
          <w:szCs w:val="25"/>
        </w:rPr>
        <w:lastRenderedPageBreak/>
        <w:t>un artifice humain. Les méthodologies aristotélicienne et hobbesienne pour fonder l’Etat ne sont d’ailleurs pas les mêmes. Aristote a appliqué le procédé de décomposition de la totalité, qui confirme l’idée de l’origine naturelle de la cité. Le passage du composé au simple s’arrête quand les sociétés ne peuvent plus être divisées. Hobbes par contre – avec le principe épistémologique que « nous comprenons seulement ce que nous construisons pratiquement -, décompose conceptuellement l’Etat. C’est en décomposant par la pensée un tout en ses éléments qu’il atteint les éléments premiers. La politique est alors production d’entités artificielles et en tant que telle elle peut être démontrée a priori.</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De ce qui précède, les sociétés civiles ne peuvent pas naître du consentement ou des accords entre les hommes. La naissance de l’Etat – l’Etat défini comme une personne dont la volonté est tenue nécessairement par la volonté de tous les particuliers de décider pour l’intérêt de la paix – se fait par la soumission de la volonté de chaque particulier à celle d’une assemblée de telle sorte que les avis concernant la paix cessent d’être discutés. C’est d’ailleurs pour cette raison que la différence entre les types d’Etat (monarchie, démocratie, aristocratie) se situe non pas dans une différence de pouvoir, mais dans une différence d’aptitude à procurer la paix et la sécurité. Et c’est le pouvoir absolu qui apparaît comme le plus apte à la paix. Voilà comment Hobbes a fondé le pouvoir commun à partir de la liberté absolue.</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La postmodernité (Rawls) elle- même s’invite dans l’</w:t>
      </w:r>
      <w:r>
        <w:rPr>
          <w:rFonts w:ascii="Calibri" w:eastAsia="Batang" w:hAnsi="Calibri" w:cs="Calibri"/>
          <w:i/>
          <w:iCs/>
          <w:sz w:val="25"/>
          <w:szCs w:val="25"/>
        </w:rPr>
        <w:t>espace hypothétique</w:t>
      </w:r>
      <w:r>
        <w:rPr>
          <w:rFonts w:ascii="Calibri" w:eastAsia="Batang" w:hAnsi="Calibri" w:cs="Calibri"/>
          <w:sz w:val="25"/>
          <w:szCs w:val="25"/>
        </w:rPr>
        <w:t xml:space="preserve"> avec la position originelle. Rawls appelle, d’une part, à une nuance dans la critique du fondement théorique hobbesien du pouvoir, puisque, théoriquement, le pouvoir hobbesien est l’émanation de la volonté de chaque citoyen. En ce sens, la souveraineté est instituée par la remise volontaire des libertés individuelles à l’Etat ou au souverain. Mais Rawls reproche à la liberté hobbesienne de ne contenir que des droits. La liberté doit, selon lui, comporter droits et devoirs car elle est un tout qui doit garantir et protéger à la fois les intérêts fondamentaux de chacun.</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Sa critique positive de Rawls présente le libéralisme politique - dans une conception politique de la justice et par le consensus – comme le terrain de réconciliation des libertés particulières (égalité de la liberté pour tous). Les intérêts particuliers inhérents aux </w:t>
      </w:r>
      <w:r>
        <w:rPr>
          <w:rFonts w:ascii="Calibri" w:eastAsia="Batang" w:hAnsi="Calibri" w:cs="Calibri"/>
          <w:i/>
          <w:iCs/>
          <w:sz w:val="25"/>
          <w:szCs w:val="25"/>
        </w:rPr>
        <w:t>doctrines compréhensibles</w:t>
      </w:r>
      <w:r>
        <w:rPr>
          <w:rFonts w:ascii="Calibri" w:eastAsia="Batang" w:hAnsi="Calibri" w:cs="Calibri"/>
          <w:sz w:val="25"/>
          <w:szCs w:val="25"/>
        </w:rPr>
        <w:t xml:space="preserve"> doivent disparaître au profit du </w:t>
      </w:r>
      <w:r>
        <w:rPr>
          <w:rFonts w:ascii="Calibri" w:eastAsia="Batang" w:hAnsi="Calibri" w:cs="Calibri"/>
          <w:i/>
          <w:iCs/>
          <w:sz w:val="25"/>
          <w:szCs w:val="25"/>
        </w:rPr>
        <w:t>juste</w:t>
      </w:r>
      <w:r>
        <w:rPr>
          <w:rFonts w:ascii="Calibri" w:eastAsia="Batang" w:hAnsi="Calibri" w:cs="Calibri"/>
          <w:sz w:val="25"/>
          <w:szCs w:val="25"/>
        </w:rPr>
        <w:t xml:space="preserve"> et du </w:t>
      </w:r>
      <w:r>
        <w:rPr>
          <w:rFonts w:ascii="Calibri" w:eastAsia="Batang" w:hAnsi="Calibri" w:cs="Calibri"/>
          <w:i/>
          <w:iCs/>
          <w:sz w:val="25"/>
          <w:szCs w:val="25"/>
        </w:rPr>
        <w:t>bien</w:t>
      </w:r>
      <w:r>
        <w:rPr>
          <w:rFonts w:ascii="Calibri" w:eastAsia="Batang" w:hAnsi="Calibri" w:cs="Calibri"/>
          <w:sz w:val="25"/>
          <w:szCs w:val="25"/>
        </w:rPr>
        <w:t xml:space="preserve">.. Donc, </w:t>
      </w:r>
      <w:r>
        <w:rPr>
          <w:rFonts w:ascii="Calibri" w:eastAsia="Batang" w:hAnsi="Calibri" w:cs="Calibri"/>
          <w:sz w:val="25"/>
          <w:szCs w:val="25"/>
        </w:rPr>
        <w:lastRenderedPageBreak/>
        <w:t xml:space="preserve">Rawls lui-même commence son argument par la question de fondement (la remise en question des </w:t>
      </w:r>
      <w:r>
        <w:rPr>
          <w:rFonts w:ascii="Calibri" w:eastAsia="Batang" w:hAnsi="Calibri" w:cs="Calibri"/>
          <w:i/>
          <w:iCs/>
          <w:sz w:val="25"/>
          <w:szCs w:val="25"/>
        </w:rPr>
        <w:t>théories non souhaitables</w:t>
      </w:r>
      <w:r>
        <w:rPr>
          <w:rFonts w:ascii="Calibri" w:eastAsia="Batang" w:hAnsi="Calibri" w:cs="Calibri"/>
          <w:sz w:val="25"/>
          <w:szCs w:val="25"/>
        </w:rPr>
        <w:t>), le cas échéant par la destruction des fondements philosophiques de Hobbes.</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Une autre </w:t>
      </w:r>
      <w:r>
        <w:rPr>
          <w:rFonts w:ascii="Calibri" w:eastAsia="Batang" w:hAnsi="Calibri" w:cs="Calibri"/>
          <w:i/>
          <w:iCs/>
          <w:sz w:val="25"/>
          <w:szCs w:val="25"/>
        </w:rPr>
        <w:t>théorie non souhaitable</w:t>
      </w:r>
      <w:r>
        <w:rPr>
          <w:rFonts w:ascii="Calibri" w:eastAsia="Batang" w:hAnsi="Calibri" w:cs="Calibri"/>
          <w:sz w:val="25"/>
          <w:szCs w:val="25"/>
        </w:rPr>
        <w:t xml:space="preserve"> est l’utilitarisme. Ce dernier définit la liberté de manière exclusive. Et de deux fondements de la démocratie (liberté et égalité), l’utilitarisme opte pour le primat de la liberté sur l’égalité. Cette option a pour conséquence que la justice elle-même est définie indépendamment du bien et la liberté est définie comme le pouvoir de chaque homme de vivre comme bon lui semble, de travailler pour son propre gré, etc. </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Ce que récuse Rawls ; puisque ce primat implique la priorité du bien sur le juste. C’est grâce à Kant – notion de la personne comme fin et non comme moyen - que Rawls pose les conditions de possibilité du pluralisme dans le libéralisme démocratique (tolérance, justice politique, justice distributive). L’harmonisation de la liberté et de l’égalité permet l’expression de différentes libertés (pluralisme) dans le respect de l’égalité et des règles (démocratie).</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Nous avons pu apprécier à juste titre l’effort rawlsien puisqu’il est refus des primats. Mais une recherche dans un contexte africain ne peut être qu’</w:t>
      </w:r>
      <w:r>
        <w:rPr>
          <w:rFonts w:ascii="Calibri" w:eastAsia="Batang" w:hAnsi="Calibri" w:cs="Calibri"/>
          <w:i/>
          <w:iCs/>
          <w:sz w:val="25"/>
          <w:szCs w:val="25"/>
        </w:rPr>
        <w:t>analytique</w:t>
      </w:r>
      <w:r>
        <w:rPr>
          <w:rFonts w:ascii="Calibri" w:eastAsia="Batang" w:hAnsi="Calibri" w:cs="Calibri"/>
          <w:sz w:val="25"/>
          <w:szCs w:val="25"/>
        </w:rPr>
        <w:t xml:space="preserve">. D’où notre propre lecture de l’utilitarisme pour relever le rôle important de la poursuite de l’utile afin d’empêcher de « philosopher pour philosopher ». </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lecture de Mbolokala sur Stuart Mill extrait un véritable souci de rendre service à l’humanité. Le « management pluraliste » (affirmation des droits personnels de l’individu, de son autonomie, etc.) ne peut être ignoré d’une Afrique à la recherche de la démocratie.  Cependant, là où l’utilitarisme échoue c’est dans la définition du rapport entre l’individu et la communauté, entre l’individu et les autres. Le pluralisme lui-même est universel et à ce titre il est susceptible d’être appliqué en Afrique. L’une des tâches des philosophes politiques africains est d’identifier les fondements philosophiques africains capables de justifier le pluralisme (la démocratie) en Afrique. </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La culture de la discussion caractéristique de la démocratie (l’agora des Grecs) peut être reconnue dans la palabre. Celle-ci n’est pas seulement, comme d’aucuns le </w:t>
      </w:r>
      <w:r>
        <w:rPr>
          <w:rFonts w:ascii="Calibri" w:eastAsia="Batang" w:hAnsi="Calibri" w:cs="Calibri"/>
          <w:sz w:val="25"/>
          <w:szCs w:val="25"/>
        </w:rPr>
        <w:lastRenderedPageBreak/>
        <w:t>pensent, un simple mode de règlement des conflits. La palabre est, pour nous, un paradigme politique, un mode de gestion de la chose publique au même titre que l’agora.</w:t>
      </w:r>
    </w:p>
    <w:p w:rsidR="000A31A8" w:rsidRDefault="0065345B">
      <w:pPr>
        <w:spacing w:line="324" w:lineRule="auto"/>
        <w:ind w:right="-2" w:firstLine="709"/>
        <w:jc w:val="both"/>
        <w:rPr>
          <w:rFonts w:ascii="Calibri" w:eastAsia="Batang" w:hAnsi="Calibri" w:cs="Calibri"/>
          <w:sz w:val="25"/>
          <w:szCs w:val="25"/>
        </w:rPr>
      </w:pPr>
      <w:r>
        <w:rPr>
          <w:rFonts w:ascii="Calibri" w:eastAsia="Batang" w:hAnsi="Calibri" w:cs="Calibri"/>
          <w:sz w:val="25"/>
          <w:szCs w:val="25"/>
        </w:rPr>
        <w:t>Si dans la modernité les fondements du pouvoir sont avant tout la liberté et l’égalité, la contemporanéité cherche à fonder le pouvoir à partir de l’individu ou de la communauté. Mais  la tendance de la postmodernité est de rompre avec le règne de l’individu considéré comme le produit de la modernité. L’avènement de la phénoménologie et de l’intentionnalité est une rupture d’avec la modernité. L’individu est bousculé par autrui et nous fait entrer dans le champ de l’invention morale. Malheureusement, la postmodernité, dans la mesure où elle constitue, elle-même, le terrain de débat entre le libéralisme et le communautarisme, retombe dans la recherche des primats. Les critiques des uns des autres restent valables puisque la question dont on discute est mal posée. Il ne s’agit pas de dégager le primat entre l’individu et la communauté.</w:t>
      </w:r>
    </w:p>
    <w:p w:rsidR="000A31A8" w:rsidRDefault="000A31A8">
      <w:pPr>
        <w:spacing w:line="324" w:lineRule="auto"/>
        <w:ind w:right="-2"/>
        <w:jc w:val="both"/>
        <w:rPr>
          <w:rFonts w:ascii="Calibri" w:eastAsia="Batang" w:hAnsi="Calibri" w:cs="Calibri"/>
          <w:sz w:val="25"/>
          <w:szCs w:val="25"/>
        </w:rPr>
      </w:pPr>
    </w:p>
    <w:p w:rsidR="000A31A8" w:rsidRDefault="0065345B">
      <w:pPr>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Pour les communautaristes comme Walzer, le libéralisme contemporain est une social-démocratie. Le libéralisme interprète mal la vie  réelle puisque les hommes ne peuvent pas être libérés de tout lien social. Mais est-ce une raison pour prôner le primat de la communauté sur l’individu comme le fait Tshiamalenga ?  L’approche </w:t>
      </w:r>
      <w:r>
        <w:rPr>
          <w:rFonts w:ascii="Calibri" w:eastAsia="Batang" w:hAnsi="Calibri" w:cs="Calibri"/>
          <w:i/>
          <w:iCs/>
          <w:sz w:val="25"/>
          <w:szCs w:val="25"/>
        </w:rPr>
        <w:t>bisobansoïste</w:t>
      </w:r>
      <w:r>
        <w:rPr>
          <w:rFonts w:ascii="Calibri" w:eastAsia="Batang" w:hAnsi="Calibri" w:cs="Calibri"/>
          <w:sz w:val="25"/>
          <w:szCs w:val="25"/>
        </w:rPr>
        <w:t xml:space="preserve"> répond par la négative. Le rapport « individu-communauté » ne peut être interprété de manière dichotomique. Proclamer le primat du « nous » sur le « je » et « tu » et sur l’intersubjectivité (</w:t>
      </w:r>
      <w:r>
        <w:rPr>
          <w:rFonts w:ascii="Calibri" w:eastAsia="Batang" w:hAnsi="Calibri" w:cs="Calibri"/>
          <w:i/>
          <w:iCs/>
          <w:sz w:val="25"/>
          <w:szCs w:val="25"/>
        </w:rPr>
        <w:t>bisoïté)</w:t>
      </w:r>
      <w:r>
        <w:rPr>
          <w:rFonts w:ascii="Calibri" w:eastAsia="Batang" w:hAnsi="Calibri" w:cs="Calibri"/>
          <w:sz w:val="25"/>
          <w:szCs w:val="25"/>
        </w:rPr>
        <w:t xml:space="preserve"> n’est pas soutenable. Dans la </w:t>
      </w:r>
      <w:r>
        <w:rPr>
          <w:rFonts w:ascii="Calibri" w:eastAsia="Batang" w:hAnsi="Calibri" w:cs="Calibri"/>
          <w:i/>
          <w:iCs/>
          <w:sz w:val="25"/>
          <w:szCs w:val="25"/>
        </w:rPr>
        <w:t xml:space="preserve">bisobansoïté, </w:t>
      </w:r>
      <w:r>
        <w:rPr>
          <w:rFonts w:ascii="Calibri" w:eastAsia="Batang" w:hAnsi="Calibri" w:cs="Calibri"/>
          <w:sz w:val="25"/>
          <w:szCs w:val="25"/>
        </w:rPr>
        <w:t xml:space="preserve"> l’individu et la communauté sont lus, dans un rapport d’inclusion totale. En effet, tout individu appartient à une communauté et toute communauté est composée d’individus. Les concepts s’appellent nécessairement plus qu’ils ne se repoussent… La communauté est pour l’individu – à la lumière de l’argument ontologique de Descartes – ce que la vallée est pour une montagne. De même que l’on ne peut imaginer une montagne sans vallée, un individu sans communauté ou vice versa reste incompréhensible. Telle est la thèse </w:t>
      </w:r>
      <w:r>
        <w:rPr>
          <w:rFonts w:ascii="Calibri" w:eastAsia="Batang" w:hAnsi="Calibri" w:cs="Calibri"/>
          <w:i/>
          <w:iCs/>
          <w:sz w:val="25"/>
          <w:szCs w:val="25"/>
        </w:rPr>
        <w:t>bisobansoïste</w:t>
      </w:r>
      <w:r>
        <w:rPr>
          <w:rFonts w:ascii="Calibri" w:eastAsia="Batang" w:hAnsi="Calibri" w:cs="Calibri"/>
          <w:sz w:val="25"/>
          <w:szCs w:val="25"/>
        </w:rPr>
        <w:t xml:space="preserve"> dont cette étude est une analyse préparatoire. Les systèmes politiques devraient se construire (cette tâche appartient aux hommes d’Etat) à la lumière des fondements philosophiques du pouvoir. </w:t>
      </w:r>
    </w:p>
    <w:p w:rsidR="000A31A8" w:rsidRDefault="0065345B">
      <w:pPr>
        <w:spacing w:line="324" w:lineRule="auto"/>
        <w:ind w:right="-2" w:firstLine="709"/>
        <w:jc w:val="both"/>
        <w:rPr>
          <w:rFonts w:ascii="Calibri" w:eastAsia="Batang" w:hAnsi="Calibri" w:cs="Calibri"/>
          <w:sz w:val="25"/>
          <w:szCs w:val="25"/>
        </w:rPr>
      </w:pPr>
      <w:r>
        <w:rPr>
          <w:rFonts w:ascii="Calibri" w:eastAsia="Batang" w:hAnsi="Calibri" w:cs="Calibri"/>
          <w:sz w:val="25"/>
          <w:szCs w:val="25"/>
        </w:rPr>
        <w:br w:type="page"/>
      </w:r>
      <w:bookmarkStart w:id="43" w:name="_Toc63602981"/>
    </w:p>
    <w:p w:rsidR="000A31A8" w:rsidRDefault="0065345B">
      <w:pPr>
        <w:pStyle w:val="Titre1"/>
        <w:spacing w:after="0" w:line="324" w:lineRule="auto"/>
        <w:ind w:left="0" w:firstLine="0"/>
        <w:jc w:val="left"/>
        <w:rPr>
          <w:rFonts w:ascii="Calibri" w:hAnsi="Calibri" w:cs="Calibri"/>
          <w:bCs w:val="0"/>
          <w:sz w:val="36"/>
          <w:szCs w:val="36"/>
        </w:rPr>
      </w:pPr>
      <w:bookmarkStart w:id="44" w:name="_Toc127173511"/>
      <w:r>
        <w:rPr>
          <w:rFonts w:ascii="Calibri" w:hAnsi="Calibri" w:cs="Calibri"/>
          <w:bCs w:val="0"/>
          <w:sz w:val="36"/>
          <w:szCs w:val="36"/>
        </w:rPr>
        <w:lastRenderedPageBreak/>
        <w:t>BIBLIOGRAPHIE</w:t>
      </w:r>
      <w:bookmarkEnd w:id="43"/>
      <w:bookmarkEnd w:id="44"/>
    </w:p>
    <w:p w:rsidR="000A31A8" w:rsidRDefault="000A31A8">
      <w:pPr>
        <w:tabs>
          <w:tab w:val="left" w:pos="2520"/>
        </w:tabs>
        <w:spacing w:line="324" w:lineRule="auto"/>
        <w:ind w:left="851" w:right="-2" w:hanging="851"/>
        <w:jc w:val="both"/>
        <w:rPr>
          <w:rFonts w:ascii="Calibri" w:eastAsia="Batang" w:hAnsi="Calibri" w:cs="Calibri"/>
          <w:sz w:val="25"/>
          <w:szCs w:val="25"/>
          <w:lang w:val="fr-BE"/>
        </w:rPr>
      </w:pP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ANDREANI, T. &amp; FERAY, M., </w:t>
      </w:r>
      <w:r>
        <w:rPr>
          <w:rFonts w:ascii="Calibri" w:eastAsia="Batang" w:hAnsi="Calibri" w:cs="Calibri"/>
          <w:i/>
          <w:iCs/>
          <w:sz w:val="25"/>
          <w:szCs w:val="25"/>
          <w:lang w:val="fr-BE"/>
        </w:rPr>
        <w:t>Discours sur l’égalité parmi les hommes. Penser l’alternative</w:t>
      </w:r>
      <w:r>
        <w:rPr>
          <w:rFonts w:ascii="Calibri" w:eastAsia="Batang" w:hAnsi="Calibri" w:cs="Calibri"/>
          <w:sz w:val="25"/>
          <w:szCs w:val="25"/>
          <w:lang w:val="fr-BE"/>
        </w:rPr>
        <w:t>, Paris, l’Harmattan, 1993.</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ANDREANI, T., </w:t>
      </w:r>
      <w:r>
        <w:rPr>
          <w:rFonts w:ascii="Calibri" w:eastAsia="Batang" w:hAnsi="Calibri" w:cs="Calibri"/>
          <w:i/>
          <w:iCs/>
          <w:sz w:val="25"/>
          <w:szCs w:val="25"/>
          <w:lang w:val="fr-BE"/>
        </w:rPr>
        <w:t>Un être de raison. Critique de l’homo oeconomicus</w:t>
      </w:r>
      <w:r>
        <w:rPr>
          <w:rFonts w:ascii="Calibri" w:eastAsia="Batang" w:hAnsi="Calibri" w:cs="Calibri"/>
          <w:sz w:val="25"/>
          <w:szCs w:val="25"/>
          <w:lang w:val="fr-BE"/>
        </w:rPr>
        <w:t>, Syllepses, 2000.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ANSART, P., </w:t>
      </w:r>
      <w:r>
        <w:rPr>
          <w:rFonts w:ascii="Calibri" w:eastAsia="Batang" w:hAnsi="Calibri" w:cs="Calibri"/>
          <w:i/>
          <w:iCs/>
          <w:sz w:val="25"/>
          <w:szCs w:val="25"/>
          <w:lang w:val="fr-BE"/>
        </w:rPr>
        <w:t>Sociologie de Proudhon</w:t>
      </w:r>
      <w:r>
        <w:rPr>
          <w:rFonts w:ascii="Calibri" w:eastAsia="Batang" w:hAnsi="Calibri" w:cs="Calibri"/>
          <w:sz w:val="25"/>
          <w:szCs w:val="25"/>
          <w:lang w:val="fr-BE"/>
        </w:rPr>
        <w:t>, Paris, Librairie J. Vrin, 1989.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ARISTOTE, </w:t>
      </w:r>
      <w:r>
        <w:rPr>
          <w:rFonts w:ascii="Calibri" w:eastAsia="Batang" w:hAnsi="Calibri" w:cs="Calibri"/>
          <w:i/>
          <w:iCs/>
          <w:sz w:val="25"/>
          <w:szCs w:val="25"/>
          <w:lang w:val="fr-BE"/>
        </w:rPr>
        <w:t>La politique</w:t>
      </w:r>
      <w:r>
        <w:rPr>
          <w:rFonts w:ascii="Calibri" w:eastAsia="Batang" w:hAnsi="Calibri" w:cs="Calibri"/>
          <w:sz w:val="25"/>
          <w:szCs w:val="25"/>
          <w:lang w:val="fr-BE"/>
        </w:rPr>
        <w:t xml:space="preserve"> (33</w:t>
      </w:r>
      <w:r>
        <w:rPr>
          <w:rFonts w:ascii="Calibri" w:eastAsia="Batang" w:hAnsi="Calibri" w:cs="Calibri"/>
          <w:sz w:val="25"/>
          <w:szCs w:val="25"/>
          <w:vertAlign w:val="superscript"/>
          <w:lang w:val="fr-BE"/>
        </w:rPr>
        <w:t>ème</w:t>
      </w:r>
      <w:r>
        <w:rPr>
          <w:rFonts w:ascii="Calibri" w:eastAsia="Batang" w:hAnsi="Calibri" w:cs="Calibri"/>
          <w:sz w:val="25"/>
          <w:szCs w:val="25"/>
          <w:lang w:val="fr-BE"/>
        </w:rPr>
        <w:t xml:space="preserve"> édition), Paris, J. Vrin, 1977.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AUDARD  C., </w:t>
      </w:r>
      <w:r>
        <w:rPr>
          <w:rFonts w:ascii="Calibri" w:eastAsia="Batang" w:hAnsi="Calibri" w:cs="Calibri"/>
          <w:i/>
          <w:sz w:val="25"/>
          <w:szCs w:val="25"/>
          <w:lang w:val="fr-BE"/>
        </w:rPr>
        <w:t>Individu et justice sociale. Autour de John Rawls</w:t>
      </w:r>
      <w:r>
        <w:rPr>
          <w:rFonts w:ascii="Calibri" w:eastAsia="Batang" w:hAnsi="Calibri" w:cs="Calibri"/>
          <w:sz w:val="25"/>
          <w:szCs w:val="25"/>
          <w:lang w:val="fr-BE"/>
        </w:rPr>
        <w:t>, Paris, Seuil, 1988.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AUDARD  C., </w:t>
      </w:r>
      <w:r>
        <w:rPr>
          <w:rFonts w:ascii="Calibri" w:eastAsia="Batang" w:hAnsi="Calibri" w:cs="Calibri"/>
          <w:i/>
          <w:sz w:val="25"/>
          <w:szCs w:val="25"/>
          <w:lang w:val="fr-BE"/>
        </w:rPr>
        <w:t>La démocratie et la raison. Actualité de John Rawls</w:t>
      </w:r>
      <w:r>
        <w:rPr>
          <w:rFonts w:ascii="Calibri" w:eastAsia="Batang" w:hAnsi="Calibri" w:cs="Calibri"/>
          <w:sz w:val="25"/>
          <w:szCs w:val="25"/>
          <w:lang w:val="fr-BE"/>
        </w:rPr>
        <w:t>, Grasset, 2019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BAMBOLA MAZINA  A., </w:t>
      </w:r>
      <w:r>
        <w:rPr>
          <w:rFonts w:ascii="Calibri" w:eastAsia="Batang" w:hAnsi="Calibri" w:cs="Calibri"/>
          <w:i/>
          <w:sz w:val="25"/>
          <w:szCs w:val="25"/>
          <w:lang w:val="fr-BE"/>
        </w:rPr>
        <w:t>Pour une vraie démocratistion des Etats Africains : pluralisme et tolérance. Une lecture de John Ralws</w:t>
      </w:r>
      <w:r>
        <w:rPr>
          <w:rFonts w:ascii="Calibri" w:eastAsia="Batang" w:hAnsi="Calibri" w:cs="Calibri"/>
          <w:sz w:val="25"/>
          <w:szCs w:val="25"/>
          <w:lang w:val="fr-BE"/>
        </w:rPr>
        <w:t>, L’Harmattan, 2021.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BARRINGTON, M., </w:t>
      </w:r>
      <w:r>
        <w:rPr>
          <w:rFonts w:ascii="Calibri" w:eastAsia="Batang" w:hAnsi="Calibri" w:cs="Calibri"/>
          <w:i/>
          <w:iCs/>
          <w:sz w:val="25"/>
          <w:szCs w:val="25"/>
          <w:lang w:val="fr-BE"/>
        </w:rPr>
        <w:t>Les origines sociales de la dictature et de la démocratie</w:t>
      </w:r>
      <w:r>
        <w:rPr>
          <w:rFonts w:ascii="Calibri" w:eastAsia="Batang" w:hAnsi="Calibri" w:cs="Calibri"/>
          <w:sz w:val="25"/>
          <w:szCs w:val="25"/>
          <w:lang w:val="fr-BE"/>
        </w:rPr>
        <w:t>, Trad. P. Clinquert, Paris, Découverte Maspero, 1983.</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BIDIMA, J.-G., </w:t>
      </w:r>
      <w:r>
        <w:rPr>
          <w:rFonts w:ascii="Calibri" w:eastAsia="Batang" w:hAnsi="Calibri" w:cs="Calibri"/>
          <w:i/>
          <w:iCs/>
          <w:sz w:val="25"/>
          <w:szCs w:val="25"/>
          <w:lang w:val="fr-BE"/>
        </w:rPr>
        <w:t>La palabre</w:t>
      </w:r>
      <w:r>
        <w:rPr>
          <w:rFonts w:ascii="Calibri" w:eastAsia="Batang" w:hAnsi="Calibri" w:cs="Calibri"/>
          <w:sz w:val="25"/>
          <w:szCs w:val="25"/>
          <w:lang w:val="fr-BE"/>
        </w:rPr>
        <w:t>, Paris, éd. Michalon,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CARRIVE, P., </w:t>
      </w:r>
      <w:r>
        <w:rPr>
          <w:rFonts w:ascii="Calibri" w:eastAsia="Batang" w:hAnsi="Calibri" w:cs="Calibri"/>
          <w:i/>
          <w:iCs/>
          <w:sz w:val="25"/>
          <w:szCs w:val="25"/>
          <w:lang w:val="fr-BE"/>
        </w:rPr>
        <w:t>La pensée politique anglaise de Hooker à Hume</w:t>
      </w:r>
      <w:r>
        <w:rPr>
          <w:rFonts w:ascii="Calibri" w:eastAsia="Batang" w:hAnsi="Calibri" w:cs="Calibri"/>
          <w:sz w:val="25"/>
          <w:szCs w:val="25"/>
          <w:lang w:val="fr-BE"/>
        </w:rPr>
        <w:t>, Paris, PUF, 1994.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CASTILLO, M., « Volonté républicaine et raison démocratique », dans </w:t>
      </w:r>
      <w:r>
        <w:rPr>
          <w:rFonts w:ascii="Calibri" w:eastAsia="Batang" w:hAnsi="Calibri" w:cs="Calibri"/>
          <w:i/>
          <w:iCs/>
          <w:sz w:val="25"/>
          <w:szCs w:val="25"/>
          <w:lang w:val="fr-BE"/>
        </w:rPr>
        <w:t>Revue de métaphysique et de morale</w:t>
      </w:r>
      <w:r>
        <w:rPr>
          <w:rFonts w:ascii="Calibri" w:eastAsia="Batang" w:hAnsi="Calibri" w:cs="Calibri"/>
          <w:sz w:val="25"/>
          <w:szCs w:val="25"/>
          <w:lang w:val="fr-BE"/>
        </w:rPr>
        <w:t>  n°2 (Philosophie politique), 1996, pp.147-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CHATELET, F. (Dir.), </w:t>
      </w:r>
      <w:r>
        <w:rPr>
          <w:rFonts w:ascii="Calibri" w:eastAsia="Batang" w:hAnsi="Calibri" w:cs="Calibri"/>
          <w:i/>
          <w:iCs/>
          <w:sz w:val="25"/>
          <w:szCs w:val="25"/>
          <w:lang w:val="fr-BE"/>
        </w:rPr>
        <w:t>Histoire des idéologues. Savoir et pouvoir du XVIIIè au XXès</w:t>
      </w:r>
      <w:r>
        <w:rPr>
          <w:rFonts w:ascii="Calibri" w:eastAsia="Batang" w:hAnsi="Calibri" w:cs="Calibri"/>
          <w:sz w:val="25"/>
          <w:szCs w:val="25"/>
          <w:lang w:val="fr-BE"/>
        </w:rPr>
        <w:t>, Paris, Hachette, 1978.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CHAUVIER, S., « Libéralisme politique et universalisme juridique », dans  </w:t>
      </w:r>
      <w:r>
        <w:rPr>
          <w:rFonts w:ascii="Calibri" w:eastAsia="Batang" w:hAnsi="Calibri" w:cs="Calibri"/>
          <w:i/>
          <w:iCs/>
          <w:sz w:val="25"/>
          <w:szCs w:val="25"/>
          <w:lang w:val="fr-BE"/>
        </w:rPr>
        <w:t>Revue de métaphysique et de morale</w:t>
      </w:r>
      <w:r>
        <w:rPr>
          <w:rFonts w:ascii="Calibri" w:eastAsia="Batang" w:hAnsi="Calibri" w:cs="Calibri"/>
          <w:sz w:val="25"/>
          <w:szCs w:val="25"/>
          <w:lang w:val="fr-BE"/>
        </w:rPr>
        <w:t>  n°2 (philosophie politique), 1996, pp.169-188.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CHEVALIER, J.-J.,  </w:t>
      </w:r>
      <w:r>
        <w:rPr>
          <w:rFonts w:ascii="Calibri" w:eastAsia="Batang" w:hAnsi="Calibri" w:cs="Calibri"/>
          <w:i/>
          <w:iCs/>
          <w:sz w:val="25"/>
          <w:szCs w:val="25"/>
          <w:lang w:val="fr-BE"/>
        </w:rPr>
        <w:t>Les grandes idées politiques de Machiavel à nos jours</w:t>
      </w:r>
      <w:r>
        <w:rPr>
          <w:rFonts w:ascii="Calibri" w:eastAsia="Batang" w:hAnsi="Calibri" w:cs="Calibri"/>
          <w:sz w:val="25"/>
          <w:szCs w:val="25"/>
          <w:lang w:val="fr-BE"/>
        </w:rPr>
        <w:t>, Paris, Librairie Armand Colin, 1970.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CHEVALIER, J.-J., </w:t>
      </w:r>
      <w:r>
        <w:rPr>
          <w:rFonts w:ascii="Calibri" w:eastAsia="Batang" w:hAnsi="Calibri" w:cs="Calibri"/>
          <w:i/>
          <w:iCs/>
          <w:sz w:val="25"/>
          <w:szCs w:val="25"/>
          <w:lang w:val="fr-BE"/>
        </w:rPr>
        <w:t>Histoire de la pensée politique, tome III, La grande transition (1789-1848</w:t>
      </w:r>
      <w:r>
        <w:rPr>
          <w:rFonts w:ascii="Calibri" w:eastAsia="Batang" w:hAnsi="Calibri" w:cs="Calibri"/>
          <w:sz w:val="25"/>
          <w:szCs w:val="25"/>
          <w:lang w:val="fr-BE"/>
        </w:rPr>
        <w:t>), Paris, Paillot, 1984.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D’AVIAU DE TERNAY, H., « De l’opportunité d’une relecture de la philosophie du droit de Kant à partir de la troisième critique », dans  </w:t>
      </w:r>
      <w:r>
        <w:rPr>
          <w:rFonts w:ascii="Calibri" w:eastAsia="Batang" w:hAnsi="Calibri" w:cs="Calibri"/>
          <w:i/>
          <w:iCs/>
          <w:sz w:val="25"/>
          <w:szCs w:val="25"/>
          <w:lang w:val="fr-BE"/>
        </w:rPr>
        <w:t xml:space="preserve">Revue de métaphysique et de morale  </w:t>
      </w:r>
      <w:r>
        <w:rPr>
          <w:rFonts w:ascii="Calibri" w:eastAsia="Batang" w:hAnsi="Calibri" w:cs="Calibri"/>
          <w:sz w:val="25"/>
          <w:szCs w:val="25"/>
          <w:lang w:val="fr-BE"/>
        </w:rPr>
        <w:t xml:space="preserve">n°2(philosophie politique), 1996, pp.225-243.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DELACAMPAGNE, C., </w:t>
      </w:r>
      <w:r>
        <w:rPr>
          <w:rFonts w:ascii="Calibri" w:eastAsia="Batang" w:hAnsi="Calibri" w:cs="Calibri"/>
          <w:i/>
          <w:iCs/>
          <w:sz w:val="25"/>
          <w:szCs w:val="25"/>
          <w:lang w:val="fr-BE"/>
        </w:rPr>
        <w:t>La philosophie politique aujourd’hui : Idées, débats, enjeux</w:t>
      </w:r>
      <w:r>
        <w:rPr>
          <w:rFonts w:ascii="Calibri" w:eastAsia="Batang" w:hAnsi="Calibri" w:cs="Calibri"/>
          <w:sz w:val="25"/>
          <w:szCs w:val="25"/>
          <w:lang w:val="fr-BE"/>
        </w:rPr>
        <w:t>, Paris, Seuil, 2000.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DENIS C., </w:t>
      </w:r>
      <w:r>
        <w:rPr>
          <w:rFonts w:ascii="Calibri" w:eastAsia="Batang" w:hAnsi="Calibri" w:cs="Calibri"/>
          <w:i/>
          <w:sz w:val="25"/>
          <w:szCs w:val="25"/>
          <w:lang w:val="fr-BE"/>
        </w:rPr>
        <w:t>John Rawls et le libéralisme politique</w:t>
      </w:r>
      <w:r>
        <w:rPr>
          <w:rFonts w:ascii="Calibri" w:eastAsia="Batang" w:hAnsi="Calibri" w:cs="Calibri"/>
          <w:sz w:val="25"/>
          <w:szCs w:val="25"/>
          <w:lang w:val="fr-BE"/>
        </w:rPr>
        <w:t>, Bréal, 2020.</w:t>
      </w:r>
    </w:p>
    <w:p w:rsidR="000A31A8" w:rsidRDefault="0065345B">
      <w:pPr>
        <w:tabs>
          <w:tab w:val="left" w:pos="2520"/>
        </w:tabs>
        <w:spacing w:line="324" w:lineRule="auto"/>
        <w:ind w:left="851" w:right="-2" w:hanging="851"/>
        <w:jc w:val="both"/>
        <w:rPr>
          <w:rFonts w:ascii="Calibri" w:eastAsia="Batang" w:hAnsi="Calibri" w:cs="Calibri"/>
          <w:sz w:val="25"/>
          <w:szCs w:val="25"/>
          <w:lang w:val="en-GB"/>
        </w:rPr>
      </w:pPr>
      <w:r>
        <w:rPr>
          <w:rFonts w:ascii="Calibri" w:eastAsia="Batang" w:hAnsi="Calibri" w:cs="Calibri"/>
          <w:sz w:val="25"/>
          <w:szCs w:val="25"/>
          <w:lang w:val="en-GB"/>
        </w:rPr>
        <w:t xml:space="preserve">DEWEY, J., </w:t>
      </w:r>
      <w:r>
        <w:rPr>
          <w:rFonts w:ascii="Calibri" w:eastAsia="Batang" w:hAnsi="Calibri" w:cs="Calibri"/>
          <w:i/>
          <w:iCs/>
          <w:sz w:val="25"/>
          <w:szCs w:val="25"/>
          <w:lang w:val="en-GB"/>
        </w:rPr>
        <w:t>Liberalism and social Action</w:t>
      </w:r>
      <w:r>
        <w:rPr>
          <w:rFonts w:ascii="Calibri" w:eastAsia="Batang" w:hAnsi="Calibri" w:cs="Calibri"/>
          <w:sz w:val="25"/>
          <w:szCs w:val="25"/>
          <w:lang w:val="en-GB"/>
        </w:rPr>
        <w:t>, Carbondale, Southen Illinois University Press, 1991.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lastRenderedPageBreak/>
        <w:t xml:space="preserve">DUMONT, R., </w:t>
      </w:r>
      <w:r>
        <w:rPr>
          <w:rFonts w:ascii="Calibri" w:eastAsia="Batang" w:hAnsi="Calibri" w:cs="Calibri"/>
          <w:i/>
          <w:iCs/>
          <w:sz w:val="25"/>
          <w:szCs w:val="25"/>
        </w:rPr>
        <w:t>Un monde intolérable. Le libéralisme en question</w:t>
      </w:r>
      <w:r>
        <w:rPr>
          <w:rFonts w:ascii="Calibri" w:eastAsia="Batang" w:hAnsi="Calibri" w:cs="Calibri"/>
          <w:sz w:val="25"/>
          <w:szCs w:val="25"/>
          <w:lang w:val="fr-BE"/>
        </w:rPr>
        <w:t>, Paris, Seuil,</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DUMOUCHEL, P. &amp; MELKEVIK, B. (Dir.), </w:t>
      </w:r>
      <w:r>
        <w:rPr>
          <w:rFonts w:ascii="Calibri" w:eastAsia="Batang" w:hAnsi="Calibri" w:cs="Calibri"/>
          <w:i/>
          <w:iCs/>
          <w:sz w:val="25"/>
          <w:szCs w:val="25"/>
        </w:rPr>
        <w:t>Tolérance, pluralisme et histoire</w:t>
      </w:r>
      <w:r>
        <w:rPr>
          <w:rFonts w:ascii="Calibri" w:eastAsia="Batang" w:hAnsi="Calibri" w:cs="Calibri"/>
          <w:sz w:val="25"/>
          <w:szCs w:val="25"/>
          <w:lang w:val="fr-BE"/>
        </w:rPr>
        <w:t>, Québec, Harmattan Inc., 1998.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DUPUY,  J.-P., </w:t>
      </w:r>
      <w:r>
        <w:rPr>
          <w:rFonts w:ascii="Calibri" w:eastAsia="Batang" w:hAnsi="Calibri" w:cs="Calibri"/>
          <w:i/>
          <w:iCs/>
          <w:sz w:val="25"/>
          <w:szCs w:val="25"/>
          <w:lang w:val="fr-BE"/>
        </w:rPr>
        <w:t>Le sacrifice et l’envie : le libéralisme aux prises avec la justice sociale</w:t>
      </w:r>
      <w:r>
        <w:rPr>
          <w:rFonts w:ascii="Calibri" w:eastAsia="Batang" w:hAnsi="Calibri" w:cs="Calibri"/>
          <w:sz w:val="25"/>
          <w:szCs w:val="25"/>
          <w:lang w:val="fr-BE"/>
        </w:rPr>
        <w:t>, Paris, Calman-lévy, 1992.</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DUPUY,  J.-P., </w:t>
      </w:r>
      <w:r>
        <w:rPr>
          <w:rFonts w:ascii="Calibri" w:eastAsia="Batang" w:hAnsi="Calibri" w:cs="Calibri"/>
          <w:i/>
          <w:iCs/>
          <w:sz w:val="25"/>
          <w:szCs w:val="25"/>
        </w:rPr>
        <w:t>Libéralisme et justice sociale</w:t>
      </w:r>
      <w:r>
        <w:rPr>
          <w:rFonts w:ascii="Calibri" w:eastAsia="Batang" w:hAnsi="Calibri" w:cs="Calibri"/>
          <w:sz w:val="25"/>
          <w:szCs w:val="25"/>
          <w:lang w:val="fr-BE"/>
        </w:rPr>
        <w:t>, Paris, Hachette,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DUPUY,  J.-P., </w:t>
      </w:r>
      <w:r>
        <w:rPr>
          <w:rFonts w:ascii="Calibri" w:eastAsia="Batang" w:hAnsi="Calibri" w:cs="Calibri"/>
          <w:i/>
          <w:sz w:val="25"/>
          <w:szCs w:val="25"/>
          <w:lang w:val="fr-BE"/>
        </w:rPr>
        <w:t>Libéralisme et justice sociale</w:t>
      </w:r>
      <w:r>
        <w:rPr>
          <w:rFonts w:ascii="Calibri" w:eastAsia="Batang" w:hAnsi="Calibri" w:cs="Calibri"/>
          <w:sz w:val="25"/>
          <w:szCs w:val="25"/>
          <w:lang w:val="fr-BE"/>
        </w:rPr>
        <w:t>, Paris, Hachette, 2009.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ELONGO Lukulunga &amp; NKONGOLO Mpata, « Fondements communicationnels d’une démocratie authentique », dans  </w:t>
      </w:r>
      <w:r>
        <w:rPr>
          <w:rFonts w:ascii="Calibri" w:eastAsia="Batang" w:hAnsi="Calibri" w:cs="Calibri"/>
          <w:i/>
          <w:iCs/>
          <w:sz w:val="25"/>
          <w:szCs w:val="25"/>
          <w:lang w:val="fr-BE"/>
        </w:rPr>
        <w:t>Revue philosophique de Kinshasa</w:t>
      </w:r>
      <w:r>
        <w:rPr>
          <w:rFonts w:ascii="Calibri" w:eastAsia="Batang" w:hAnsi="Calibri" w:cs="Calibri"/>
          <w:sz w:val="25"/>
          <w:szCs w:val="25"/>
          <w:lang w:val="fr-BE"/>
        </w:rPr>
        <w:t>  n°14, vol. VIII, 1994, pp.73-82.</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GILBERT, P., « La négation immanente à la philosophie contemporaine et l’affirmation théologique », dans </w:t>
      </w:r>
      <w:r>
        <w:rPr>
          <w:rFonts w:ascii="Calibri" w:eastAsia="Batang" w:hAnsi="Calibri" w:cs="Calibri"/>
          <w:i/>
          <w:iCs/>
          <w:sz w:val="25"/>
          <w:szCs w:val="25"/>
          <w:lang w:val="fr-BE"/>
        </w:rPr>
        <w:t>Caminhios de dialogo</w:t>
      </w:r>
      <w:r>
        <w:rPr>
          <w:rFonts w:ascii="Calibri" w:eastAsia="Batang" w:hAnsi="Calibri" w:cs="Calibri"/>
          <w:sz w:val="25"/>
          <w:szCs w:val="25"/>
          <w:lang w:val="fr-BE"/>
        </w:rPr>
        <w:t>, actas das jornadas de teologia, Fe e resào 2000.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GOLDSCHMIDT, V., « Etat de nature et pacte de soumission chez Hegel », dans  </w:t>
      </w:r>
      <w:r>
        <w:rPr>
          <w:rFonts w:ascii="Calibri" w:eastAsia="Batang" w:hAnsi="Calibri" w:cs="Calibri"/>
          <w:i/>
          <w:iCs/>
          <w:sz w:val="25"/>
          <w:szCs w:val="25"/>
          <w:lang w:val="fr-BE"/>
        </w:rPr>
        <w:t>Revue philosophique</w:t>
      </w:r>
      <w:r>
        <w:rPr>
          <w:rFonts w:ascii="Calibri" w:eastAsia="Batang" w:hAnsi="Calibri" w:cs="Calibri"/>
          <w:sz w:val="25"/>
          <w:szCs w:val="25"/>
          <w:lang w:val="fr-BE"/>
        </w:rPr>
        <w:t>, 1964, pp.45-65.</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GOYARD-FABRE, S., </w:t>
      </w:r>
      <w:r>
        <w:rPr>
          <w:rFonts w:ascii="Calibri" w:eastAsia="Batang" w:hAnsi="Calibri" w:cs="Calibri"/>
          <w:i/>
          <w:iCs/>
          <w:sz w:val="25"/>
          <w:szCs w:val="25"/>
        </w:rPr>
        <w:t>Pufendorf et le droit naturel</w:t>
      </w:r>
      <w:r>
        <w:rPr>
          <w:rFonts w:ascii="Calibri" w:eastAsia="Batang" w:hAnsi="Calibri" w:cs="Calibri"/>
          <w:sz w:val="25"/>
          <w:szCs w:val="25"/>
          <w:lang w:val="fr-BE"/>
        </w:rPr>
        <w:t>, Paris, PUF, 1994.</w:t>
      </w:r>
    </w:p>
    <w:p w:rsidR="000A31A8" w:rsidRDefault="0065345B">
      <w:pPr>
        <w:tabs>
          <w:tab w:val="left" w:pos="2520"/>
        </w:tabs>
        <w:spacing w:line="324" w:lineRule="auto"/>
        <w:ind w:left="851" w:right="-2" w:hanging="851"/>
        <w:jc w:val="both"/>
        <w:rPr>
          <w:rFonts w:ascii="Calibri" w:eastAsia="Batang" w:hAnsi="Calibri" w:cs="Calibri"/>
          <w:sz w:val="25"/>
          <w:szCs w:val="25"/>
        </w:rPr>
      </w:pPr>
      <w:r>
        <w:rPr>
          <w:rFonts w:ascii="Calibri" w:eastAsia="Batang" w:hAnsi="Calibri" w:cs="Calibri"/>
          <w:sz w:val="25"/>
          <w:szCs w:val="25"/>
        </w:rPr>
        <w:t xml:space="preserve">GRUERARD S., RADICA G., SPECTOR C., (Dir.), </w:t>
      </w:r>
      <w:r>
        <w:rPr>
          <w:rFonts w:ascii="Calibri" w:eastAsia="Batang" w:hAnsi="Calibri" w:cs="Calibri"/>
          <w:i/>
          <w:sz w:val="25"/>
          <w:szCs w:val="25"/>
        </w:rPr>
        <w:t>Le sens de la justice, une “utopia réaliste”? Rawls et ses critiques</w:t>
      </w:r>
      <w:r>
        <w:rPr>
          <w:rFonts w:ascii="Calibri" w:eastAsia="Batang" w:hAnsi="Calibri" w:cs="Calibri"/>
          <w:sz w:val="25"/>
          <w:szCs w:val="25"/>
        </w:rPr>
        <w:t>, Classiques Garnier, 2015.</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GUILLARME, B., « Rawls, philosophie de l’égalité démocratique », dans A. RENAUT (Dir), </w:t>
      </w:r>
      <w:r>
        <w:rPr>
          <w:rFonts w:ascii="Calibri" w:eastAsia="Batang" w:hAnsi="Calibri" w:cs="Calibri"/>
          <w:i/>
          <w:iCs/>
          <w:sz w:val="25"/>
          <w:szCs w:val="25"/>
          <w:lang w:val="fr-BE"/>
        </w:rPr>
        <w:t>les philosophies politiques contemporaines</w:t>
      </w:r>
      <w:r>
        <w:rPr>
          <w:rFonts w:ascii="Calibri" w:eastAsia="Batang" w:hAnsi="Calibri" w:cs="Calibri"/>
          <w:sz w:val="25"/>
          <w:szCs w:val="25"/>
          <w:lang w:val="fr-BE"/>
        </w:rPr>
        <w:t>, Paris, Clamann-lévy, 2001, pp.307-341.</w:t>
      </w:r>
    </w:p>
    <w:p w:rsidR="000A31A8" w:rsidRDefault="0065345B">
      <w:pPr>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GUILLARME,  B., </w:t>
      </w:r>
      <w:r>
        <w:rPr>
          <w:rFonts w:ascii="Calibri" w:eastAsia="Batang" w:hAnsi="Calibri" w:cs="Calibri"/>
          <w:i/>
          <w:iCs/>
          <w:sz w:val="25"/>
          <w:szCs w:val="25"/>
        </w:rPr>
        <w:t>Rawls et l’égalité démocratique</w:t>
      </w:r>
      <w:r>
        <w:rPr>
          <w:rFonts w:ascii="Calibri" w:eastAsia="Batang" w:hAnsi="Calibri" w:cs="Calibri"/>
          <w:sz w:val="25"/>
          <w:szCs w:val="25"/>
          <w:lang w:val="fr-BE"/>
        </w:rPr>
        <w:t>, Paris, PUF, 1999.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HABERMAS, J. &amp; RAWLS, J., </w:t>
      </w:r>
      <w:r>
        <w:rPr>
          <w:rFonts w:ascii="Calibri" w:eastAsia="Batang" w:hAnsi="Calibri" w:cs="Calibri"/>
          <w:i/>
          <w:iCs/>
          <w:sz w:val="25"/>
          <w:szCs w:val="25"/>
          <w:lang w:val="fr-BE"/>
        </w:rPr>
        <w:t>Débat sur la justice politique</w:t>
      </w:r>
      <w:r>
        <w:rPr>
          <w:rFonts w:ascii="Calibri" w:eastAsia="Batang" w:hAnsi="Calibri" w:cs="Calibri"/>
          <w:sz w:val="25"/>
          <w:szCs w:val="25"/>
          <w:lang w:val="fr-BE"/>
        </w:rPr>
        <w:t>, Paris, Cerf,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HABERMAS, J., </w:t>
      </w:r>
      <w:r>
        <w:rPr>
          <w:rFonts w:ascii="Calibri" w:eastAsia="Batang" w:hAnsi="Calibri" w:cs="Calibri"/>
          <w:i/>
          <w:iCs/>
          <w:sz w:val="25"/>
          <w:szCs w:val="25"/>
        </w:rPr>
        <w:t>De l’Ethique de la discussion</w:t>
      </w:r>
      <w:r>
        <w:rPr>
          <w:rFonts w:ascii="Calibri" w:eastAsia="Batang" w:hAnsi="Calibri" w:cs="Calibri"/>
          <w:sz w:val="25"/>
          <w:szCs w:val="25"/>
          <w:lang w:val="fr-BE"/>
        </w:rPr>
        <w:t>, Paris, Cerf, 1991.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HABERMAS, J., </w:t>
      </w:r>
      <w:r>
        <w:rPr>
          <w:rFonts w:ascii="Calibri" w:eastAsia="Batang" w:hAnsi="Calibri" w:cs="Calibri"/>
          <w:i/>
          <w:iCs/>
          <w:sz w:val="25"/>
          <w:szCs w:val="25"/>
        </w:rPr>
        <w:t>Droit et démocratie : entre faits et normes</w:t>
      </w:r>
      <w:r>
        <w:rPr>
          <w:rFonts w:ascii="Calibri" w:eastAsia="Batang" w:hAnsi="Calibri" w:cs="Calibri"/>
          <w:sz w:val="25"/>
          <w:szCs w:val="25"/>
          <w:lang w:val="fr-BE"/>
        </w:rPr>
        <w:t>, Paris, Gallimard,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HABERMAS, J., </w:t>
      </w:r>
      <w:r>
        <w:rPr>
          <w:rFonts w:ascii="Calibri" w:eastAsia="Batang" w:hAnsi="Calibri" w:cs="Calibri"/>
          <w:i/>
          <w:iCs/>
          <w:sz w:val="25"/>
          <w:szCs w:val="25"/>
        </w:rPr>
        <w:t>Ecrits politiques</w:t>
      </w:r>
      <w:r>
        <w:rPr>
          <w:rFonts w:ascii="Calibri" w:eastAsia="Batang" w:hAnsi="Calibri" w:cs="Calibri"/>
          <w:sz w:val="25"/>
          <w:szCs w:val="25"/>
          <w:lang w:val="fr-BE"/>
        </w:rPr>
        <w:t>, Paris, Cerf, 1990.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HABERMAS, J., </w:t>
      </w:r>
      <w:r>
        <w:rPr>
          <w:rFonts w:ascii="Calibri" w:eastAsia="Batang" w:hAnsi="Calibri" w:cs="Calibri"/>
          <w:i/>
          <w:iCs/>
          <w:sz w:val="25"/>
          <w:szCs w:val="25"/>
        </w:rPr>
        <w:t>Théorie de l’agir communicationnel</w:t>
      </w:r>
      <w:r>
        <w:rPr>
          <w:rFonts w:ascii="Calibri" w:eastAsia="Batang" w:hAnsi="Calibri" w:cs="Calibri"/>
          <w:sz w:val="25"/>
          <w:szCs w:val="25"/>
          <w:lang w:val="fr-BE"/>
        </w:rPr>
        <w:t>, Paris, Fayard, 1987.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HOBBES, T.,  </w:t>
      </w:r>
      <w:r>
        <w:rPr>
          <w:rFonts w:ascii="Calibri" w:eastAsia="Batang" w:hAnsi="Calibri" w:cs="Calibri"/>
          <w:i/>
          <w:iCs/>
          <w:sz w:val="25"/>
          <w:szCs w:val="25"/>
        </w:rPr>
        <w:t>Les éléments du droit naturel et politique</w:t>
      </w:r>
      <w:r>
        <w:rPr>
          <w:rFonts w:ascii="Calibri" w:eastAsia="Batang" w:hAnsi="Calibri" w:cs="Calibri"/>
          <w:sz w:val="25"/>
          <w:szCs w:val="25"/>
          <w:lang w:val="fr-BE"/>
        </w:rPr>
        <w:t>, trad. Roux, Lyon, éd. d'Hermes, 1977.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HOBBES, T.,  </w:t>
      </w:r>
      <w:r>
        <w:rPr>
          <w:rFonts w:ascii="Calibri" w:eastAsia="Batang" w:hAnsi="Calibri" w:cs="Calibri"/>
          <w:i/>
          <w:iCs/>
          <w:sz w:val="25"/>
          <w:szCs w:val="25"/>
        </w:rPr>
        <w:t>Traité de l'homme</w:t>
      </w:r>
      <w:r>
        <w:rPr>
          <w:rFonts w:ascii="Calibri" w:eastAsia="Batang" w:hAnsi="Calibri" w:cs="Calibri"/>
          <w:sz w:val="25"/>
          <w:szCs w:val="25"/>
          <w:lang w:val="fr-BE"/>
        </w:rPr>
        <w:t xml:space="preserve">, trad. Paul- Marie Maurin, Paris, Albert Blanchard, 1974.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HOBBES, T., </w:t>
      </w:r>
      <w:r>
        <w:rPr>
          <w:rFonts w:ascii="Calibri" w:eastAsia="Batang" w:hAnsi="Calibri" w:cs="Calibri"/>
          <w:i/>
          <w:iCs/>
          <w:sz w:val="25"/>
          <w:szCs w:val="25"/>
        </w:rPr>
        <w:t>De</w:t>
      </w:r>
      <w:r>
        <w:rPr>
          <w:rFonts w:ascii="Calibri" w:eastAsia="Batang" w:hAnsi="Calibri" w:cs="Calibri"/>
          <w:sz w:val="25"/>
          <w:szCs w:val="25"/>
          <w:lang w:val="fr-BE"/>
        </w:rPr>
        <w:t xml:space="preserve"> </w:t>
      </w:r>
      <w:r>
        <w:rPr>
          <w:rFonts w:ascii="Calibri" w:eastAsia="Batang" w:hAnsi="Calibri" w:cs="Calibri"/>
          <w:i/>
          <w:iCs/>
          <w:sz w:val="25"/>
          <w:szCs w:val="25"/>
        </w:rPr>
        <w:t>cive ou les fondements de la politique</w:t>
      </w:r>
      <w:r>
        <w:rPr>
          <w:rFonts w:ascii="Calibri" w:eastAsia="Batang" w:hAnsi="Calibri" w:cs="Calibri"/>
          <w:sz w:val="25"/>
          <w:szCs w:val="25"/>
          <w:lang w:val="fr-BE"/>
        </w:rPr>
        <w:t>, trad. Sorbière, Paris, éd. Sirey, , 1981.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HOBBES, T., </w:t>
      </w:r>
      <w:r>
        <w:rPr>
          <w:rFonts w:ascii="Calibri" w:eastAsia="Batang" w:hAnsi="Calibri" w:cs="Calibri"/>
          <w:i/>
          <w:iCs/>
          <w:sz w:val="25"/>
          <w:szCs w:val="25"/>
        </w:rPr>
        <w:t>De la nature humaine</w:t>
      </w:r>
      <w:r>
        <w:rPr>
          <w:rFonts w:ascii="Calibri" w:eastAsia="Batang" w:hAnsi="Calibri" w:cs="Calibri"/>
          <w:sz w:val="25"/>
          <w:szCs w:val="25"/>
          <w:lang w:val="fr-BE"/>
        </w:rPr>
        <w:t>, Trad. Baron d'Olbach, Paris, J. Vrin, 1981.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lastRenderedPageBreak/>
        <w:t xml:space="preserve">HOBBES, T., </w:t>
      </w:r>
      <w:r>
        <w:rPr>
          <w:rFonts w:ascii="Calibri" w:eastAsia="Batang" w:hAnsi="Calibri" w:cs="Calibri"/>
          <w:i/>
          <w:iCs/>
          <w:sz w:val="25"/>
          <w:szCs w:val="25"/>
        </w:rPr>
        <w:t>Léviathan</w:t>
      </w:r>
      <w:r>
        <w:rPr>
          <w:rFonts w:ascii="Calibri" w:eastAsia="Batang" w:hAnsi="Calibri" w:cs="Calibri"/>
          <w:sz w:val="25"/>
          <w:szCs w:val="25"/>
          <w:lang w:val="fr-BE"/>
        </w:rPr>
        <w:t>,  Trad. J. Tricaud, Paris,  éd. Sirey, 1971.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HÖFFE, O., </w:t>
      </w:r>
      <w:r>
        <w:rPr>
          <w:rFonts w:ascii="Calibri" w:eastAsia="Batang" w:hAnsi="Calibri" w:cs="Calibri"/>
          <w:i/>
          <w:iCs/>
          <w:sz w:val="25"/>
          <w:szCs w:val="25"/>
        </w:rPr>
        <w:t>l’Etat et la justice, John Rawls et Robert Nozick. Les problèmes éthiques et politiques dans la philosophie anglo-saxonne</w:t>
      </w:r>
      <w:r>
        <w:rPr>
          <w:rFonts w:ascii="Calibri" w:eastAsia="Batang" w:hAnsi="Calibri" w:cs="Calibri"/>
          <w:sz w:val="25"/>
          <w:szCs w:val="25"/>
          <w:lang w:val="fr-BE"/>
        </w:rPr>
        <w:t>, Paris, J. Vrin, 1988.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JAUME, L., </w:t>
      </w:r>
      <w:r>
        <w:rPr>
          <w:rFonts w:ascii="Calibri" w:eastAsia="Batang" w:hAnsi="Calibri" w:cs="Calibri"/>
          <w:i/>
          <w:iCs/>
          <w:sz w:val="25"/>
          <w:szCs w:val="25"/>
        </w:rPr>
        <w:t>Hobbes et l’Etat représentatif moderne</w:t>
      </w:r>
      <w:r>
        <w:rPr>
          <w:rFonts w:ascii="Calibri" w:eastAsia="Batang" w:hAnsi="Calibri" w:cs="Calibri"/>
          <w:sz w:val="25"/>
          <w:szCs w:val="25"/>
          <w:lang w:val="fr-BE"/>
        </w:rPr>
        <w:t>, Paris, PUF, 1986.</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JONAS, H., </w:t>
      </w:r>
      <w:r>
        <w:rPr>
          <w:rFonts w:ascii="Calibri" w:eastAsia="Batang" w:hAnsi="Calibri" w:cs="Calibri"/>
          <w:i/>
          <w:iCs/>
          <w:sz w:val="25"/>
          <w:szCs w:val="25"/>
        </w:rPr>
        <w:t>Le principe responsabilité</w:t>
      </w:r>
      <w:r>
        <w:rPr>
          <w:rFonts w:ascii="Calibri" w:eastAsia="Batang" w:hAnsi="Calibri" w:cs="Calibri"/>
          <w:sz w:val="25"/>
          <w:szCs w:val="25"/>
          <w:lang w:val="fr-BE"/>
        </w:rPr>
        <w:t>, Trad. J. Greisch, Paris, Flammarion, 1998.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KANT, E., </w:t>
      </w:r>
      <w:r>
        <w:rPr>
          <w:rFonts w:ascii="Calibri" w:eastAsia="Batang" w:hAnsi="Calibri" w:cs="Calibri"/>
          <w:i/>
          <w:iCs/>
          <w:sz w:val="25"/>
          <w:szCs w:val="25"/>
          <w:lang w:val="fr-BE"/>
        </w:rPr>
        <w:t>Fondements de la métaphysique des meurs</w:t>
      </w:r>
      <w:r>
        <w:rPr>
          <w:rFonts w:ascii="Calibri" w:eastAsia="Batang" w:hAnsi="Calibri" w:cs="Calibri"/>
          <w:sz w:val="25"/>
          <w:szCs w:val="25"/>
          <w:lang w:val="fr-BE"/>
        </w:rPr>
        <w:t>, Paris, J. Vrin, 1980.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KEMP, P., </w:t>
      </w:r>
      <w:r>
        <w:rPr>
          <w:rFonts w:ascii="Calibri" w:eastAsia="Batang" w:hAnsi="Calibri" w:cs="Calibri"/>
          <w:i/>
          <w:iCs/>
          <w:sz w:val="25"/>
          <w:szCs w:val="25"/>
        </w:rPr>
        <w:t>L’irremplaçable, une éthique de la tech</w:t>
      </w:r>
      <w:r>
        <w:rPr>
          <w:rFonts w:ascii="Calibri" w:eastAsia="Batang" w:hAnsi="Calibri" w:cs="Calibri"/>
          <w:i/>
          <w:iCs/>
          <w:sz w:val="25"/>
          <w:szCs w:val="25"/>
          <w:lang w:val="fr-BE"/>
        </w:rPr>
        <w:t xml:space="preserve">nologie, </w:t>
      </w:r>
      <w:r>
        <w:rPr>
          <w:rFonts w:ascii="Calibri" w:eastAsia="Batang" w:hAnsi="Calibri" w:cs="Calibri"/>
          <w:sz w:val="25"/>
          <w:szCs w:val="25"/>
          <w:lang w:val="fr-BE"/>
        </w:rPr>
        <w:t>trad. P. Rush, Paris, les éditions du Cerf,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LACROIX, J., </w:t>
      </w:r>
      <w:r>
        <w:rPr>
          <w:rFonts w:ascii="Calibri" w:eastAsia="Batang" w:hAnsi="Calibri" w:cs="Calibri"/>
          <w:i/>
          <w:iCs/>
          <w:sz w:val="25"/>
          <w:szCs w:val="25"/>
        </w:rPr>
        <w:t>Machael Walzer, le pluralisme et l’universel</w:t>
      </w:r>
      <w:r>
        <w:rPr>
          <w:rFonts w:ascii="Calibri" w:eastAsia="Batang" w:hAnsi="Calibri" w:cs="Calibri"/>
          <w:sz w:val="25"/>
          <w:szCs w:val="25"/>
          <w:lang w:val="fr-BE"/>
        </w:rPr>
        <w:t>, Paris éd. Michalon, 2001.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LADRIERE, J. &amp; VAN PARIJS, P., </w:t>
      </w:r>
      <w:r>
        <w:rPr>
          <w:rFonts w:ascii="Calibri" w:eastAsia="Batang" w:hAnsi="Calibri" w:cs="Calibri"/>
          <w:i/>
          <w:iCs/>
          <w:sz w:val="25"/>
          <w:szCs w:val="25"/>
        </w:rPr>
        <w:t xml:space="preserve">Les fondements d’une théorie de la justice : Essai critique sur la philosophie politique de John Rawls, </w:t>
      </w:r>
      <w:r>
        <w:rPr>
          <w:rFonts w:ascii="Calibri" w:eastAsia="Batang" w:hAnsi="Calibri" w:cs="Calibri"/>
          <w:sz w:val="25"/>
          <w:szCs w:val="25"/>
        </w:rPr>
        <w:t>Louvain-la-neuve, édition de l’institut supérieur de philosophie,</w:t>
      </w:r>
      <w:r>
        <w:rPr>
          <w:rFonts w:ascii="Calibri" w:eastAsia="Batang" w:hAnsi="Calibri" w:cs="Calibri"/>
          <w:sz w:val="25"/>
          <w:szCs w:val="25"/>
          <w:lang w:val="fr-BE"/>
        </w:rPr>
        <w:t xml:space="preserve"> 1984.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LEVINAS, E., </w:t>
      </w:r>
      <w:r>
        <w:rPr>
          <w:rFonts w:ascii="Calibri" w:eastAsia="Batang" w:hAnsi="Calibri" w:cs="Calibri"/>
          <w:i/>
          <w:iCs/>
          <w:sz w:val="25"/>
          <w:szCs w:val="25"/>
        </w:rPr>
        <w:t>Autrement qu’être ou au-delà de l’essence</w:t>
      </w:r>
      <w:r>
        <w:rPr>
          <w:rFonts w:ascii="Calibri" w:eastAsia="Batang" w:hAnsi="Calibri" w:cs="Calibri"/>
          <w:sz w:val="25"/>
          <w:szCs w:val="25"/>
          <w:lang w:val="fr-BE"/>
        </w:rPr>
        <w:t>, Paris, Brodard et Taupin, 2001.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LEVINAS, E., </w:t>
      </w:r>
      <w:r>
        <w:rPr>
          <w:rFonts w:ascii="Calibri" w:eastAsia="Batang" w:hAnsi="Calibri" w:cs="Calibri"/>
          <w:i/>
          <w:iCs/>
          <w:sz w:val="25"/>
          <w:szCs w:val="25"/>
        </w:rPr>
        <w:t>Humanisme de l’autre homme</w:t>
      </w:r>
      <w:r>
        <w:rPr>
          <w:rFonts w:ascii="Calibri" w:eastAsia="Batang" w:hAnsi="Calibri" w:cs="Calibri"/>
          <w:sz w:val="25"/>
          <w:szCs w:val="25"/>
          <w:lang w:val="fr-BE"/>
        </w:rPr>
        <w:t>, Paris, Fata morgana, 1972.</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LOCKE, J., « Quatre lettres à Philippe Limborch », Trad. Jean-Fabien Spitz, dans </w:t>
      </w:r>
      <w:r>
        <w:rPr>
          <w:rFonts w:ascii="Calibri" w:eastAsia="Batang" w:hAnsi="Calibri" w:cs="Calibri"/>
          <w:i/>
          <w:iCs/>
          <w:sz w:val="25"/>
          <w:szCs w:val="25"/>
          <w:lang w:val="fr-BE"/>
        </w:rPr>
        <w:t>Philosophie</w:t>
      </w:r>
      <w:r>
        <w:rPr>
          <w:rFonts w:ascii="Calibri" w:eastAsia="Batang" w:hAnsi="Calibri" w:cs="Calibri"/>
          <w:sz w:val="25"/>
          <w:szCs w:val="25"/>
          <w:lang w:val="fr-BE"/>
        </w:rPr>
        <w:t>, Paris, Les éditions de minuit,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LOCKE, J., </w:t>
      </w:r>
      <w:r>
        <w:rPr>
          <w:rFonts w:ascii="Calibri" w:eastAsia="Batang" w:hAnsi="Calibri" w:cs="Calibri"/>
          <w:i/>
          <w:iCs/>
          <w:sz w:val="25"/>
          <w:szCs w:val="25"/>
        </w:rPr>
        <w:t>Du gouvernement civil</w:t>
      </w:r>
      <w:r>
        <w:rPr>
          <w:rFonts w:ascii="Calibri" w:eastAsia="Batang" w:hAnsi="Calibri" w:cs="Calibri"/>
          <w:sz w:val="25"/>
          <w:szCs w:val="25"/>
          <w:lang w:val="fr-BE"/>
        </w:rPr>
        <w:t xml:space="preserve">, Paris, Flammarion, 1984.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LYOTARD, J.-F., </w:t>
      </w:r>
      <w:r>
        <w:rPr>
          <w:rFonts w:ascii="Calibri" w:eastAsia="Batang" w:hAnsi="Calibri" w:cs="Calibri"/>
          <w:i/>
          <w:iCs/>
          <w:sz w:val="25"/>
          <w:szCs w:val="25"/>
        </w:rPr>
        <w:t>La condition postmoderne</w:t>
      </w:r>
      <w:r>
        <w:rPr>
          <w:rFonts w:ascii="Calibri" w:eastAsia="Batang" w:hAnsi="Calibri" w:cs="Calibri"/>
          <w:sz w:val="25"/>
          <w:szCs w:val="25"/>
          <w:lang w:val="fr-BE"/>
        </w:rPr>
        <w:t>, Paris, éd. de Minuit, 1979.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en-US"/>
        </w:rPr>
        <w:t xml:space="preserve">M’BONDA E-M., </w:t>
      </w:r>
      <w:r>
        <w:rPr>
          <w:rFonts w:ascii="Calibri" w:eastAsia="Batang" w:hAnsi="Calibri" w:cs="Calibri"/>
          <w:i/>
          <w:sz w:val="25"/>
          <w:szCs w:val="25"/>
          <w:lang w:val="en-US"/>
        </w:rPr>
        <w:t xml:space="preserve">John Rawls. </w:t>
      </w:r>
      <w:r>
        <w:rPr>
          <w:rFonts w:ascii="Calibri" w:eastAsia="Batang" w:hAnsi="Calibri" w:cs="Calibri"/>
          <w:i/>
          <w:sz w:val="25"/>
          <w:szCs w:val="25"/>
          <w:lang w:val="fr-BE"/>
        </w:rPr>
        <w:t>Droits de l’homme et justice politique</w:t>
      </w:r>
      <w:r>
        <w:rPr>
          <w:rFonts w:ascii="Calibri" w:eastAsia="Batang" w:hAnsi="Calibri" w:cs="Calibri"/>
          <w:sz w:val="25"/>
          <w:szCs w:val="25"/>
          <w:lang w:val="fr-BE"/>
        </w:rPr>
        <w:t>, Les Presses de l’Université de Lava et Presses de l’Université catholique d’Afrique centrale, 2008.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MACINTYRE, A., </w:t>
      </w:r>
      <w:r>
        <w:rPr>
          <w:rFonts w:ascii="Calibri" w:eastAsia="Batang" w:hAnsi="Calibri" w:cs="Calibri"/>
          <w:i/>
          <w:iCs/>
          <w:sz w:val="25"/>
          <w:szCs w:val="25"/>
        </w:rPr>
        <w:t>Après la vertu</w:t>
      </w:r>
      <w:r>
        <w:rPr>
          <w:rFonts w:ascii="Calibri" w:eastAsia="Batang" w:hAnsi="Calibri" w:cs="Calibri"/>
          <w:sz w:val="25"/>
          <w:szCs w:val="25"/>
          <w:lang w:val="fr-BE"/>
        </w:rPr>
        <w:t>, Paris, PUF,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MAESSCHALCK, M., </w:t>
      </w:r>
      <w:r>
        <w:rPr>
          <w:rFonts w:ascii="Calibri" w:eastAsia="Batang" w:hAnsi="Calibri" w:cs="Calibri"/>
          <w:i/>
          <w:iCs/>
          <w:sz w:val="25"/>
          <w:szCs w:val="25"/>
          <w:lang w:val="fr-BE"/>
        </w:rPr>
        <w:t>Raison et pouvoir. Les impasses de la pensée politique postmoderne</w:t>
      </w:r>
      <w:r>
        <w:rPr>
          <w:rFonts w:ascii="Calibri" w:eastAsia="Batang" w:hAnsi="Calibri" w:cs="Calibri"/>
          <w:sz w:val="25"/>
          <w:szCs w:val="25"/>
          <w:lang w:val="fr-BE"/>
        </w:rPr>
        <w:t>, Bruxelles, Facultés universitaires Saint-Louis, 1992.</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MATUNGULU Otene., </w:t>
      </w:r>
      <w:r>
        <w:rPr>
          <w:rFonts w:ascii="Calibri" w:eastAsia="Batang" w:hAnsi="Calibri" w:cs="Calibri"/>
          <w:i/>
          <w:iCs/>
          <w:sz w:val="25"/>
          <w:szCs w:val="25"/>
        </w:rPr>
        <w:t>Etre avec : Heurts et Lueurs d’une communication</w:t>
      </w:r>
      <w:r>
        <w:rPr>
          <w:rFonts w:ascii="Calibri" w:eastAsia="Batang" w:hAnsi="Calibri" w:cs="Calibri"/>
          <w:sz w:val="25"/>
          <w:szCs w:val="25"/>
          <w:lang w:val="fr-BE"/>
        </w:rPr>
        <w:t>, Lubumbashi, éd. saint Paul Afrique, 1981.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MBOLOKALA Imbuli, « Démocratie, culture et développement : le cas de l’Afrique », dans  </w:t>
      </w:r>
      <w:r>
        <w:rPr>
          <w:rFonts w:ascii="Calibri" w:eastAsia="Batang" w:hAnsi="Calibri" w:cs="Calibri"/>
          <w:i/>
          <w:iCs/>
          <w:sz w:val="25"/>
          <w:szCs w:val="25"/>
          <w:lang w:val="fr-BE"/>
        </w:rPr>
        <w:t>Revue philosophiques de Kinshasa</w:t>
      </w:r>
      <w:r>
        <w:rPr>
          <w:rFonts w:ascii="Calibri" w:eastAsia="Batang" w:hAnsi="Calibri" w:cs="Calibri"/>
          <w:sz w:val="25"/>
          <w:szCs w:val="25"/>
          <w:lang w:val="fr-BE"/>
        </w:rPr>
        <w:t> n°14, vol. VIII, 1994, pp.83-94.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MBOLOKALA Imbuli, </w:t>
      </w:r>
      <w:r>
        <w:rPr>
          <w:rFonts w:ascii="Calibri" w:eastAsia="Batang" w:hAnsi="Calibri" w:cs="Calibri"/>
          <w:i/>
          <w:iCs/>
          <w:sz w:val="25"/>
          <w:szCs w:val="25"/>
        </w:rPr>
        <w:t>La thérapeutique philosophique, Kinshasa</w:t>
      </w:r>
      <w:r>
        <w:rPr>
          <w:rFonts w:ascii="Calibri" w:eastAsia="Batang" w:hAnsi="Calibri" w:cs="Calibri"/>
          <w:sz w:val="25"/>
          <w:szCs w:val="25"/>
          <w:lang w:val="fr-BE"/>
        </w:rPr>
        <w:t>, Facultés catholiques de Kinshasa, 1996.</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MEDA, D., </w:t>
      </w:r>
      <w:r>
        <w:rPr>
          <w:rFonts w:ascii="Calibri" w:eastAsia="Batang" w:hAnsi="Calibri" w:cs="Calibri"/>
          <w:i/>
          <w:iCs/>
          <w:sz w:val="25"/>
          <w:szCs w:val="25"/>
        </w:rPr>
        <w:t>Le travail, une valeur en voie de disparition</w:t>
      </w:r>
      <w:r>
        <w:rPr>
          <w:rFonts w:ascii="Calibri" w:eastAsia="Batang" w:hAnsi="Calibri" w:cs="Calibri"/>
          <w:sz w:val="25"/>
          <w:szCs w:val="25"/>
          <w:lang w:val="fr-BE"/>
        </w:rPr>
        <w:t>, Paris, Flammarion, 1995.</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MFOUAKOUET, L., </w:t>
      </w:r>
      <w:r>
        <w:rPr>
          <w:rFonts w:ascii="Calibri" w:eastAsia="Batang" w:hAnsi="Calibri" w:cs="Calibri"/>
          <w:i/>
          <w:iCs/>
          <w:sz w:val="25"/>
          <w:szCs w:val="25"/>
          <w:lang w:val="fr-BE"/>
        </w:rPr>
        <w:t>Jacques Derrida. Entre la question de l’écriture et l’appel de la voix</w:t>
      </w:r>
      <w:r>
        <w:rPr>
          <w:rFonts w:ascii="Calibri" w:eastAsia="Batang" w:hAnsi="Calibri" w:cs="Calibri"/>
          <w:sz w:val="25"/>
          <w:szCs w:val="25"/>
          <w:lang w:val="fr-BE"/>
        </w:rPr>
        <w:t>, Rome, Pontifica Universitas Gregoriana, 2002.</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MILL, J.- S., </w:t>
      </w:r>
      <w:r>
        <w:rPr>
          <w:rFonts w:ascii="Calibri" w:eastAsia="Batang" w:hAnsi="Calibri" w:cs="Calibri"/>
          <w:i/>
          <w:iCs/>
          <w:sz w:val="25"/>
          <w:szCs w:val="25"/>
        </w:rPr>
        <w:t>De la liberté</w:t>
      </w:r>
      <w:r>
        <w:rPr>
          <w:rFonts w:ascii="Calibri" w:eastAsia="Batang" w:hAnsi="Calibri" w:cs="Calibri"/>
          <w:sz w:val="25"/>
          <w:szCs w:val="25"/>
          <w:lang w:val="fr-BE"/>
        </w:rPr>
        <w:t>, trad. L. Lenglet, Paris, Gallimard, 1990.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lastRenderedPageBreak/>
        <w:t xml:space="preserve">MILL, J.- S., </w:t>
      </w:r>
      <w:r>
        <w:rPr>
          <w:rFonts w:ascii="Calibri" w:eastAsia="Batang" w:hAnsi="Calibri" w:cs="Calibri"/>
          <w:i/>
          <w:iCs/>
          <w:sz w:val="25"/>
          <w:szCs w:val="25"/>
        </w:rPr>
        <w:t>L’utilitarisme</w:t>
      </w:r>
      <w:r>
        <w:rPr>
          <w:rFonts w:ascii="Calibri" w:eastAsia="Batang" w:hAnsi="Calibri" w:cs="Calibri"/>
          <w:sz w:val="25"/>
          <w:szCs w:val="25"/>
          <w:lang w:val="fr-BE"/>
        </w:rPr>
        <w:t>, trad. G. Tanesse, Paris, Flammarion, 1986.</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MUDIJI Malamba Gilombe, « Bases de la culture politique démocratique : Entre l’Agora et l’arbre à palabre », dans </w:t>
      </w:r>
      <w:r>
        <w:rPr>
          <w:rFonts w:ascii="Calibri" w:eastAsia="Batang" w:hAnsi="Calibri" w:cs="Calibri"/>
          <w:i/>
          <w:iCs/>
          <w:sz w:val="25"/>
          <w:szCs w:val="25"/>
          <w:lang w:val="fr-BE"/>
        </w:rPr>
        <w:t>Recherches philosophiques africaines</w:t>
      </w:r>
      <w:r>
        <w:rPr>
          <w:rFonts w:ascii="Calibri" w:eastAsia="Batang" w:hAnsi="Calibri" w:cs="Calibri"/>
          <w:sz w:val="25"/>
          <w:szCs w:val="25"/>
          <w:lang w:val="fr-BE"/>
        </w:rPr>
        <w:t>  n°25 (Responsabilité politique du philosophe Africain), Actes du 9è séminaire de philosophie, Kinshasa, Facultés Catholiques de Kinshasa, 1996, pp.157-165.</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MULUMBATI Ngasha, </w:t>
      </w:r>
      <w:r>
        <w:rPr>
          <w:rFonts w:ascii="Calibri" w:eastAsia="Batang" w:hAnsi="Calibri" w:cs="Calibri"/>
          <w:i/>
          <w:iCs/>
          <w:sz w:val="25"/>
          <w:szCs w:val="25"/>
          <w:lang w:val="fr-BE"/>
        </w:rPr>
        <w:t xml:space="preserve">Introduction à la science politique, </w:t>
      </w:r>
      <w:r>
        <w:rPr>
          <w:rFonts w:ascii="Calibri" w:eastAsia="Batang" w:hAnsi="Calibri" w:cs="Calibri"/>
          <w:sz w:val="25"/>
          <w:szCs w:val="25"/>
          <w:lang w:val="fr-BE"/>
        </w:rPr>
        <w:t>Lubumbashi, 1977.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MVUMBI, Ngolu Tsasa, « Ethique et politique », dans  </w:t>
      </w:r>
      <w:r>
        <w:rPr>
          <w:rFonts w:ascii="Calibri" w:eastAsia="Batang" w:hAnsi="Calibri" w:cs="Calibri"/>
          <w:i/>
          <w:iCs/>
          <w:sz w:val="25"/>
          <w:szCs w:val="25"/>
          <w:lang w:val="fr-BE"/>
        </w:rPr>
        <w:t>Recherches philosophiques africaines</w:t>
      </w:r>
      <w:r>
        <w:rPr>
          <w:rFonts w:ascii="Calibri" w:eastAsia="Batang" w:hAnsi="Calibri" w:cs="Calibri"/>
          <w:sz w:val="25"/>
          <w:szCs w:val="25"/>
          <w:lang w:val="fr-BE"/>
        </w:rPr>
        <w:t>  n°25 (Responsabilité politique du philosophe africain), actes du 9ème séminaire de philosophie,  1993, pp. 105-108.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NAGEL, T., </w:t>
      </w:r>
      <w:r>
        <w:rPr>
          <w:rFonts w:ascii="Calibri" w:eastAsia="Batang" w:hAnsi="Calibri" w:cs="Calibri"/>
          <w:i/>
          <w:iCs/>
          <w:sz w:val="25"/>
          <w:szCs w:val="25"/>
          <w:lang w:val="fr-BE"/>
        </w:rPr>
        <w:t>Egalité et partialité</w:t>
      </w:r>
      <w:r>
        <w:rPr>
          <w:rFonts w:ascii="Calibri" w:eastAsia="Batang" w:hAnsi="Calibri" w:cs="Calibri"/>
          <w:sz w:val="25"/>
          <w:szCs w:val="25"/>
          <w:lang w:val="fr-BE"/>
        </w:rPr>
        <w:t>, Paris, PUF, 1994.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NANCY, J.-L., </w:t>
      </w:r>
      <w:r>
        <w:rPr>
          <w:rFonts w:ascii="Calibri" w:eastAsia="Batang" w:hAnsi="Calibri" w:cs="Calibri"/>
          <w:i/>
          <w:iCs/>
          <w:sz w:val="25"/>
          <w:szCs w:val="25"/>
        </w:rPr>
        <w:t>l’expérience de la liberté</w:t>
      </w:r>
      <w:r>
        <w:rPr>
          <w:rFonts w:ascii="Calibri" w:eastAsia="Batang" w:hAnsi="Calibri" w:cs="Calibri"/>
          <w:sz w:val="25"/>
          <w:szCs w:val="25"/>
          <w:lang w:val="fr-BE"/>
        </w:rPr>
        <w:t>, Paris, Galilée, 1988.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NDUMBA Y’Oole Lifefo, « Le philosophe Africain face aux discours politiques de démocratie », dans  </w:t>
      </w:r>
      <w:r>
        <w:rPr>
          <w:rFonts w:ascii="Calibri" w:eastAsia="Batang" w:hAnsi="Calibri" w:cs="Calibri"/>
          <w:i/>
          <w:iCs/>
          <w:sz w:val="25"/>
          <w:szCs w:val="25"/>
          <w:lang w:val="fr-BE"/>
        </w:rPr>
        <w:t>Recherches philosophiques Africaines </w:t>
      </w:r>
      <w:r>
        <w:rPr>
          <w:rFonts w:ascii="Calibri" w:eastAsia="Batang" w:hAnsi="Calibri" w:cs="Calibri"/>
          <w:sz w:val="25"/>
          <w:szCs w:val="25"/>
          <w:lang w:val="fr-BE"/>
        </w:rPr>
        <w:t xml:space="preserve"> n°25 (Responsabilité politique du philosophe Africain), Actes du 9è séminaire de philosophie, 1996, pp.167-177.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NGIMBI Nseka, </w:t>
      </w:r>
      <w:r>
        <w:rPr>
          <w:rFonts w:ascii="Calibri" w:eastAsia="Batang" w:hAnsi="Calibri" w:cs="Calibri"/>
          <w:i/>
          <w:iCs/>
          <w:sz w:val="25"/>
          <w:szCs w:val="25"/>
          <w:lang w:val="fr-BE"/>
        </w:rPr>
        <w:t>Ethique et intersubjectivité. Essai sur les fondements philosophiques de la vie en société</w:t>
      </w:r>
      <w:r>
        <w:rPr>
          <w:rFonts w:ascii="Calibri" w:eastAsia="Batang" w:hAnsi="Calibri" w:cs="Calibri"/>
          <w:sz w:val="25"/>
          <w:szCs w:val="25"/>
          <w:lang w:val="fr-BE"/>
        </w:rPr>
        <w:t>, Kinshasa, Facultés Catholiques de Kinshasa, 2001.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NGOMA-BINDA Ngenge, « Philosophie et pouvoir politique. Essai de théorie inflexionnelle », dans  </w:t>
      </w:r>
      <w:r>
        <w:rPr>
          <w:rFonts w:ascii="Calibri" w:eastAsia="Batang" w:hAnsi="Calibri" w:cs="Calibri"/>
          <w:i/>
          <w:iCs/>
          <w:sz w:val="25"/>
          <w:szCs w:val="25"/>
          <w:lang w:val="fr-BE"/>
        </w:rPr>
        <w:t>Recherches philosophiques africaines</w:t>
      </w:r>
      <w:r>
        <w:rPr>
          <w:rFonts w:ascii="Calibri" w:eastAsia="Batang" w:hAnsi="Calibri" w:cs="Calibri"/>
          <w:sz w:val="25"/>
          <w:szCs w:val="25"/>
          <w:lang w:val="fr-BE"/>
        </w:rPr>
        <w:t> n°25 (Responsabilité politique du philosophe Africain), 1996, pp.167-177.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NGOMA-BINDA P., </w:t>
      </w:r>
      <w:r>
        <w:rPr>
          <w:rFonts w:ascii="Calibri" w:eastAsia="Batang" w:hAnsi="Calibri" w:cs="Calibri"/>
          <w:i/>
          <w:iCs/>
          <w:sz w:val="25"/>
          <w:szCs w:val="25"/>
          <w:lang w:val="fr-BE"/>
        </w:rPr>
        <w:t>La participation politique. Eléments de Formation Civique et Politique</w:t>
      </w:r>
      <w:r>
        <w:rPr>
          <w:rFonts w:ascii="Calibri" w:eastAsia="Batang" w:hAnsi="Calibri" w:cs="Calibri"/>
          <w:sz w:val="25"/>
          <w:szCs w:val="25"/>
          <w:lang w:val="fr-BE"/>
        </w:rPr>
        <w:t>, Kinshasa, IFEP et FKA, 1995.</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NGUTE Novato A., « Libéralisme et/ou communautarisme : approche bisobansoite » dans Revue Philosophique de Kinshasa, n°35-36, 2005.</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NGUTE Novato A., « Liberté et responsabilité. Contribution à la philosophie politique africaine » dans « Publications du Grand séminaire Saint Augustin », Kinshasa, MédiasPaul, 2004.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NOZICK, R., </w:t>
      </w:r>
      <w:r>
        <w:rPr>
          <w:rFonts w:ascii="Calibri" w:eastAsia="Batang" w:hAnsi="Calibri" w:cs="Calibri"/>
          <w:i/>
          <w:iCs/>
          <w:sz w:val="25"/>
          <w:szCs w:val="25"/>
        </w:rPr>
        <w:t>Anarchie, Etat et Utopie</w:t>
      </w:r>
      <w:r>
        <w:rPr>
          <w:rFonts w:ascii="Calibri" w:eastAsia="Batang" w:hAnsi="Calibri" w:cs="Calibri"/>
          <w:sz w:val="25"/>
          <w:szCs w:val="25"/>
          <w:lang w:val="fr-BE"/>
        </w:rPr>
        <w:t>, Paris PUF, 1988.</w:t>
      </w:r>
    </w:p>
    <w:p w:rsidR="000A31A8" w:rsidRDefault="0065345B">
      <w:pPr>
        <w:tabs>
          <w:tab w:val="left" w:pos="2520"/>
        </w:tabs>
        <w:spacing w:line="324" w:lineRule="auto"/>
        <w:ind w:left="851" w:right="-2" w:hanging="851"/>
        <w:jc w:val="both"/>
        <w:rPr>
          <w:rFonts w:ascii="Calibri" w:eastAsia="Batang" w:hAnsi="Calibri" w:cs="Calibri"/>
          <w:sz w:val="25"/>
          <w:szCs w:val="25"/>
          <w:lang w:val="en-GB"/>
        </w:rPr>
      </w:pPr>
      <w:r>
        <w:rPr>
          <w:rFonts w:ascii="Calibri" w:eastAsia="Batang" w:hAnsi="Calibri" w:cs="Calibri"/>
          <w:sz w:val="25"/>
          <w:szCs w:val="25"/>
          <w:lang w:val="en-GB"/>
        </w:rPr>
        <w:t xml:space="preserve">NOZICK, R., </w:t>
      </w:r>
      <w:r>
        <w:rPr>
          <w:rFonts w:ascii="Calibri" w:eastAsia="Batang" w:hAnsi="Calibri" w:cs="Calibri"/>
          <w:i/>
          <w:iCs/>
          <w:sz w:val="25"/>
          <w:szCs w:val="25"/>
          <w:lang w:val="en-GB"/>
        </w:rPr>
        <w:t>Anarchy, State, and Utopia</w:t>
      </w:r>
      <w:r>
        <w:rPr>
          <w:rFonts w:ascii="Calibri" w:eastAsia="Batang" w:hAnsi="Calibri" w:cs="Calibri"/>
          <w:sz w:val="25"/>
          <w:szCs w:val="25"/>
          <w:lang w:val="en-GB"/>
        </w:rPr>
        <w:t>, New york, Basic books, 1974.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PORTY, R., </w:t>
      </w:r>
      <w:r>
        <w:rPr>
          <w:rFonts w:ascii="Calibri" w:eastAsia="Batang" w:hAnsi="Calibri" w:cs="Calibri"/>
          <w:i/>
          <w:iCs/>
          <w:sz w:val="25"/>
          <w:szCs w:val="25"/>
        </w:rPr>
        <w:t>Contingence, ironie et solidarité</w:t>
      </w:r>
      <w:r>
        <w:rPr>
          <w:rFonts w:ascii="Calibri" w:eastAsia="Batang" w:hAnsi="Calibri" w:cs="Calibri"/>
          <w:sz w:val="25"/>
          <w:szCs w:val="25"/>
          <w:lang w:val="fr-BE"/>
        </w:rPr>
        <w:t>, Paris Armand Colin, 1993.</w:t>
      </w:r>
    </w:p>
    <w:p w:rsidR="000A31A8" w:rsidRDefault="0065345B">
      <w:pPr>
        <w:tabs>
          <w:tab w:val="left" w:pos="2520"/>
        </w:tabs>
        <w:spacing w:line="324" w:lineRule="auto"/>
        <w:ind w:left="851" w:right="-2" w:hanging="851"/>
        <w:jc w:val="both"/>
        <w:rPr>
          <w:rFonts w:ascii="Calibri" w:eastAsia="Batang" w:hAnsi="Calibri" w:cs="Calibri"/>
          <w:sz w:val="25"/>
          <w:szCs w:val="25"/>
          <w:lang w:val="en-GB"/>
        </w:rPr>
      </w:pPr>
      <w:r>
        <w:rPr>
          <w:rFonts w:ascii="Calibri" w:eastAsia="Batang" w:hAnsi="Calibri" w:cs="Calibri"/>
          <w:sz w:val="25"/>
          <w:szCs w:val="25"/>
          <w:lang w:val="en-GB"/>
        </w:rPr>
        <w:t xml:space="preserve">RAWLS, J., </w:t>
      </w:r>
      <w:r>
        <w:rPr>
          <w:rFonts w:ascii="Calibri" w:eastAsia="Batang" w:hAnsi="Calibri" w:cs="Calibri"/>
          <w:i/>
          <w:iCs/>
          <w:sz w:val="25"/>
          <w:szCs w:val="25"/>
          <w:lang w:val="en-GB"/>
        </w:rPr>
        <w:t xml:space="preserve">A theory of justice, </w:t>
      </w:r>
      <w:r>
        <w:rPr>
          <w:rFonts w:ascii="Calibri" w:eastAsia="Batang" w:hAnsi="Calibri" w:cs="Calibri"/>
          <w:sz w:val="25"/>
          <w:szCs w:val="25"/>
          <w:lang w:val="en-GB"/>
        </w:rPr>
        <w:t xml:space="preserve">Cambridge, Harward University Press, 1971.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RAWLS, J., </w:t>
      </w:r>
      <w:r>
        <w:rPr>
          <w:rFonts w:ascii="Calibri" w:eastAsia="Batang" w:hAnsi="Calibri" w:cs="Calibri"/>
          <w:i/>
          <w:iCs/>
          <w:sz w:val="25"/>
          <w:szCs w:val="25"/>
        </w:rPr>
        <w:t>Justice et démocratie</w:t>
      </w:r>
      <w:r>
        <w:rPr>
          <w:rFonts w:ascii="Calibri" w:eastAsia="Batang" w:hAnsi="Calibri" w:cs="Calibri"/>
          <w:sz w:val="25"/>
          <w:szCs w:val="25"/>
          <w:lang w:val="fr-BE"/>
        </w:rPr>
        <w:t>, Trad. C. Audard, Paris, Seuil, 1993.</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RAWLS, J., </w:t>
      </w:r>
      <w:r>
        <w:rPr>
          <w:rFonts w:ascii="Calibri" w:eastAsia="Batang" w:hAnsi="Calibri" w:cs="Calibri"/>
          <w:i/>
          <w:sz w:val="25"/>
          <w:szCs w:val="25"/>
          <w:lang w:val="fr-BE"/>
        </w:rPr>
        <w:t>La justice comme équité. Une reformulation de Théorie de la justice</w:t>
      </w:r>
      <w:r>
        <w:rPr>
          <w:rFonts w:ascii="Calibri" w:eastAsia="Batang" w:hAnsi="Calibri" w:cs="Calibri"/>
          <w:sz w:val="25"/>
          <w:szCs w:val="25"/>
          <w:lang w:val="fr-BE"/>
        </w:rPr>
        <w:t>, Paris, La Découverte, 2020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lastRenderedPageBreak/>
        <w:t xml:space="preserve">RAWLS, J., </w:t>
      </w:r>
      <w:r>
        <w:rPr>
          <w:rFonts w:ascii="Calibri" w:eastAsia="Batang" w:hAnsi="Calibri" w:cs="Calibri"/>
          <w:i/>
          <w:iCs/>
          <w:sz w:val="25"/>
          <w:szCs w:val="25"/>
        </w:rPr>
        <w:t>Le droit des gens</w:t>
      </w:r>
      <w:r>
        <w:rPr>
          <w:rFonts w:ascii="Calibri" w:eastAsia="Batang" w:hAnsi="Calibri" w:cs="Calibri"/>
          <w:sz w:val="25"/>
          <w:szCs w:val="25"/>
          <w:lang w:val="fr-BE"/>
        </w:rPr>
        <w:t>, Paris, éd. Esprit, 1996.</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RAWLS, J., </w:t>
      </w:r>
      <w:r>
        <w:rPr>
          <w:rFonts w:ascii="Calibri" w:eastAsia="Batang" w:hAnsi="Calibri" w:cs="Calibri"/>
          <w:i/>
          <w:iCs/>
          <w:sz w:val="25"/>
          <w:szCs w:val="25"/>
        </w:rPr>
        <w:t>Libéralisme politique</w:t>
      </w:r>
      <w:r>
        <w:rPr>
          <w:rFonts w:ascii="Calibri" w:eastAsia="Batang" w:hAnsi="Calibri" w:cs="Calibri"/>
          <w:sz w:val="25"/>
          <w:szCs w:val="25"/>
          <w:lang w:val="fr-BE"/>
        </w:rPr>
        <w:t>, Trad. C. Audard, Paris, PUF, 1995.</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RAWLS, J., </w:t>
      </w:r>
      <w:r>
        <w:rPr>
          <w:rFonts w:ascii="Calibri" w:eastAsia="Batang" w:hAnsi="Calibri" w:cs="Calibri"/>
          <w:i/>
          <w:sz w:val="25"/>
          <w:szCs w:val="25"/>
        </w:rPr>
        <w:t>Paix et démocratie. Le droit des peuples et la raison publique</w:t>
      </w:r>
      <w:r>
        <w:rPr>
          <w:rFonts w:ascii="Calibri" w:eastAsia="Batang" w:hAnsi="Calibri" w:cs="Calibri"/>
          <w:sz w:val="25"/>
          <w:szCs w:val="25"/>
        </w:rPr>
        <w:t>, Editions du Boréal et La Découverte, 2006</w:t>
      </w:r>
    </w:p>
    <w:p w:rsidR="000A31A8" w:rsidRDefault="0065345B">
      <w:pPr>
        <w:tabs>
          <w:tab w:val="left" w:pos="2520"/>
        </w:tabs>
        <w:spacing w:line="324" w:lineRule="auto"/>
        <w:ind w:left="851" w:right="-2" w:hanging="851"/>
        <w:jc w:val="both"/>
        <w:rPr>
          <w:rFonts w:ascii="Calibri" w:eastAsia="Batang" w:hAnsi="Calibri" w:cs="Calibri"/>
          <w:sz w:val="25"/>
          <w:szCs w:val="25"/>
          <w:lang w:val="en-GB"/>
        </w:rPr>
      </w:pPr>
      <w:r>
        <w:rPr>
          <w:rFonts w:ascii="Calibri" w:eastAsia="Batang" w:hAnsi="Calibri" w:cs="Calibri"/>
          <w:sz w:val="25"/>
          <w:szCs w:val="25"/>
          <w:lang w:val="en-GB"/>
        </w:rPr>
        <w:t xml:space="preserve">RAWLS, J., </w:t>
      </w:r>
      <w:r>
        <w:rPr>
          <w:rFonts w:ascii="Calibri" w:eastAsia="Batang" w:hAnsi="Calibri" w:cs="Calibri"/>
          <w:i/>
          <w:iCs/>
          <w:sz w:val="25"/>
          <w:szCs w:val="25"/>
          <w:lang w:val="en-GB"/>
        </w:rPr>
        <w:t>Political liberalism</w:t>
      </w:r>
      <w:r>
        <w:rPr>
          <w:rFonts w:ascii="Calibri" w:eastAsia="Batang" w:hAnsi="Calibri" w:cs="Calibri"/>
          <w:sz w:val="25"/>
          <w:szCs w:val="25"/>
          <w:lang w:val="en-GB"/>
        </w:rPr>
        <w:t>, New york, Columbia University Press, 1993.</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RAWLS, J., </w:t>
      </w:r>
      <w:r>
        <w:rPr>
          <w:rFonts w:ascii="Calibri" w:eastAsia="Batang" w:hAnsi="Calibri" w:cs="Calibri"/>
          <w:i/>
          <w:iCs/>
          <w:sz w:val="25"/>
          <w:szCs w:val="25"/>
        </w:rPr>
        <w:t>Théorie de la justice</w:t>
      </w:r>
      <w:r>
        <w:rPr>
          <w:rFonts w:ascii="Calibri" w:eastAsia="Batang" w:hAnsi="Calibri" w:cs="Calibri"/>
          <w:sz w:val="25"/>
          <w:szCs w:val="25"/>
          <w:lang w:val="fr-BE"/>
        </w:rPr>
        <w:t xml:space="preserve">, Trad. C. Audard, Paris, Seuil, 1987.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RENAUT, A. (Dir.), </w:t>
      </w:r>
      <w:r>
        <w:rPr>
          <w:rFonts w:ascii="Calibri" w:eastAsia="Batang" w:hAnsi="Calibri" w:cs="Calibri"/>
          <w:i/>
          <w:iCs/>
          <w:sz w:val="25"/>
          <w:szCs w:val="25"/>
        </w:rPr>
        <w:t>Les philosophies politiques contemporaines</w:t>
      </w:r>
      <w:r>
        <w:rPr>
          <w:rFonts w:ascii="Calibri" w:eastAsia="Batang" w:hAnsi="Calibri" w:cs="Calibri"/>
          <w:sz w:val="25"/>
          <w:szCs w:val="25"/>
          <w:lang w:val="fr-BE"/>
        </w:rPr>
        <w:t>, Paris, Calmann-lévy, 2001.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REVEL, J.-F., </w:t>
      </w:r>
      <w:r>
        <w:rPr>
          <w:rFonts w:ascii="Calibri" w:eastAsia="Batang" w:hAnsi="Calibri" w:cs="Calibri"/>
          <w:i/>
          <w:iCs/>
          <w:sz w:val="25"/>
          <w:szCs w:val="25"/>
        </w:rPr>
        <w:t>Histoire de la pensée occidentale</w:t>
      </w:r>
      <w:r>
        <w:rPr>
          <w:rFonts w:ascii="Calibri" w:eastAsia="Batang" w:hAnsi="Calibri" w:cs="Calibri"/>
          <w:sz w:val="25"/>
          <w:szCs w:val="25"/>
          <w:lang w:val="fr-BE"/>
        </w:rPr>
        <w:t>. Penseurs grecs et latins, Paris, éd. Stock, 1968.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RICOEUR, P., </w:t>
      </w:r>
      <w:r>
        <w:rPr>
          <w:rFonts w:ascii="Calibri" w:eastAsia="Batang" w:hAnsi="Calibri" w:cs="Calibri"/>
          <w:i/>
          <w:iCs/>
          <w:sz w:val="25"/>
          <w:szCs w:val="25"/>
        </w:rPr>
        <w:t>A l’école de la phénoménologie</w:t>
      </w:r>
      <w:r>
        <w:rPr>
          <w:rFonts w:ascii="Calibri" w:eastAsia="Batang" w:hAnsi="Calibri" w:cs="Calibri"/>
          <w:sz w:val="25"/>
          <w:szCs w:val="25"/>
          <w:lang w:val="fr-BE"/>
        </w:rPr>
        <w:t>, Paris, J. Vrin, 1986.</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RICOEUR, P., </w:t>
      </w:r>
      <w:r>
        <w:rPr>
          <w:rFonts w:ascii="Calibri" w:eastAsia="Batang" w:hAnsi="Calibri" w:cs="Calibri"/>
          <w:i/>
          <w:iCs/>
          <w:sz w:val="25"/>
          <w:szCs w:val="25"/>
        </w:rPr>
        <w:t>Histoire et vérité</w:t>
      </w:r>
      <w:r>
        <w:rPr>
          <w:rFonts w:ascii="Calibri" w:eastAsia="Batang" w:hAnsi="Calibri" w:cs="Calibri"/>
          <w:sz w:val="25"/>
          <w:szCs w:val="25"/>
          <w:lang w:val="fr-BE"/>
        </w:rPr>
        <w:t>, Paris Seuil, 1999.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RICOEUR, P., </w:t>
      </w:r>
      <w:r>
        <w:rPr>
          <w:rFonts w:ascii="Calibri" w:eastAsia="Batang" w:hAnsi="Calibri" w:cs="Calibri"/>
          <w:i/>
          <w:iCs/>
          <w:sz w:val="25"/>
          <w:szCs w:val="25"/>
        </w:rPr>
        <w:t>Le juste</w:t>
      </w:r>
      <w:r>
        <w:rPr>
          <w:rFonts w:ascii="Calibri" w:eastAsia="Batang" w:hAnsi="Calibri" w:cs="Calibri"/>
          <w:sz w:val="25"/>
          <w:szCs w:val="25"/>
          <w:lang w:val="fr-BE"/>
        </w:rPr>
        <w:t xml:space="preserve"> </w:t>
      </w:r>
      <w:r>
        <w:rPr>
          <w:rFonts w:ascii="Calibri" w:eastAsia="Batang" w:hAnsi="Calibri" w:cs="Calibri"/>
          <w:i/>
          <w:iCs/>
          <w:sz w:val="25"/>
          <w:szCs w:val="25"/>
        </w:rPr>
        <w:t>2</w:t>
      </w:r>
      <w:r>
        <w:rPr>
          <w:rFonts w:ascii="Calibri" w:eastAsia="Batang" w:hAnsi="Calibri" w:cs="Calibri"/>
          <w:sz w:val="25"/>
          <w:szCs w:val="25"/>
          <w:lang w:val="fr-BE"/>
        </w:rPr>
        <w:t>, Paris, éd. Esprit, 2001.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RICOEUR, P., </w:t>
      </w:r>
      <w:r>
        <w:rPr>
          <w:rFonts w:ascii="Calibri" w:eastAsia="Batang" w:hAnsi="Calibri" w:cs="Calibri"/>
          <w:i/>
          <w:iCs/>
          <w:sz w:val="25"/>
          <w:szCs w:val="25"/>
        </w:rPr>
        <w:t>Lectures I. Autour du politique</w:t>
      </w:r>
      <w:r>
        <w:rPr>
          <w:rFonts w:ascii="Calibri" w:eastAsia="Batang" w:hAnsi="Calibri" w:cs="Calibri"/>
          <w:sz w:val="25"/>
          <w:szCs w:val="25"/>
          <w:lang w:val="fr-BE"/>
        </w:rPr>
        <w:t>, Paris, Seuil, 1991.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RICOEUR, P., </w:t>
      </w:r>
      <w:r>
        <w:rPr>
          <w:rFonts w:ascii="Calibri" w:eastAsia="Batang" w:hAnsi="Calibri" w:cs="Calibri"/>
          <w:i/>
          <w:iCs/>
          <w:sz w:val="25"/>
          <w:szCs w:val="25"/>
        </w:rPr>
        <w:t>Soi-même comme un autre</w:t>
      </w:r>
      <w:r>
        <w:rPr>
          <w:rFonts w:ascii="Calibri" w:eastAsia="Batang" w:hAnsi="Calibri" w:cs="Calibri"/>
          <w:sz w:val="25"/>
          <w:szCs w:val="25"/>
          <w:lang w:val="fr-BE"/>
        </w:rPr>
        <w:t>, Paris, Seuil, 1990.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RIMA Hawi, </w:t>
      </w:r>
      <w:r>
        <w:rPr>
          <w:rFonts w:ascii="Calibri" w:eastAsia="Batang" w:hAnsi="Calibri" w:cs="Calibri"/>
          <w:i/>
          <w:sz w:val="25"/>
          <w:szCs w:val="25"/>
          <w:lang w:val="fr-BE"/>
        </w:rPr>
        <w:t>John Rawls. Itinéraire d’un libéral américain vers l’égalité sociale</w:t>
      </w:r>
      <w:r>
        <w:rPr>
          <w:rFonts w:ascii="Calibri" w:eastAsia="Batang" w:hAnsi="Calibri" w:cs="Calibri"/>
          <w:sz w:val="25"/>
          <w:szCs w:val="25"/>
          <w:lang w:val="fr-BE"/>
        </w:rPr>
        <w:t>,  Classiques Garnier, 2016.</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ROGERS, J., « Contextes des rapports intellectuelles entre Hobbes et Locke », dans  </w:t>
      </w:r>
      <w:r>
        <w:rPr>
          <w:rFonts w:ascii="Calibri" w:eastAsia="Batang" w:hAnsi="Calibri" w:cs="Calibri"/>
          <w:i/>
          <w:iCs/>
          <w:sz w:val="25"/>
          <w:szCs w:val="25"/>
          <w:lang w:val="fr-BE"/>
        </w:rPr>
        <w:t>The review of metaphysics</w:t>
      </w:r>
      <w:r>
        <w:rPr>
          <w:rFonts w:ascii="Calibri" w:eastAsia="Batang" w:hAnsi="Calibri" w:cs="Calibri"/>
          <w:sz w:val="25"/>
          <w:szCs w:val="25"/>
          <w:lang w:val="fr-BE"/>
        </w:rPr>
        <w:t xml:space="preserve"> , </w:t>
      </w:r>
      <w:r>
        <w:rPr>
          <w:rFonts w:ascii="Calibri" w:eastAsia="Batang" w:hAnsi="Calibri" w:cs="Calibri"/>
          <w:i/>
          <w:iCs/>
          <w:sz w:val="25"/>
          <w:szCs w:val="25"/>
          <w:lang w:val="fr-BE"/>
        </w:rPr>
        <w:t>Archives de philosophie</w:t>
      </w:r>
      <w:r>
        <w:rPr>
          <w:rFonts w:ascii="Calibri" w:eastAsia="Batang" w:hAnsi="Calibri" w:cs="Calibri"/>
          <w:sz w:val="25"/>
          <w:szCs w:val="25"/>
          <w:lang w:val="fr-BE"/>
        </w:rPr>
        <w:t xml:space="preserve">, </w:t>
      </w:r>
      <w:r>
        <w:rPr>
          <w:rFonts w:ascii="Calibri" w:eastAsia="Batang" w:hAnsi="Calibri" w:cs="Calibri"/>
          <w:i/>
          <w:iCs/>
          <w:sz w:val="25"/>
          <w:szCs w:val="25"/>
          <w:lang w:val="fr-BE"/>
        </w:rPr>
        <w:t>recherches et documentation</w:t>
      </w:r>
      <w:r>
        <w:rPr>
          <w:rFonts w:ascii="Calibri" w:eastAsia="Batang" w:hAnsi="Calibri" w:cs="Calibri"/>
          <w:sz w:val="25"/>
          <w:szCs w:val="25"/>
          <w:lang w:val="fr-BE"/>
        </w:rPr>
        <w:t>, 1992, pp.531-551.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ROUGE-PULLON C., </w:t>
      </w:r>
      <w:r>
        <w:rPr>
          <w:rFonts w:ascii="Calibri" w:eastAsia="Batang" w:hAnsi="Calibri" w:cs="Calibri"/>
          <w:i/>
          <w:sz w:val="25"/>
          <w:szCs w:val="25"/>
          <w:lang w:val="fr-BE"/>
        </w:rPr>
        <w:t>John Rawls, vie, œuvre, concepts</w:t>
      </w:r>
      <w:r>
        <w:rPr>
          <w:rFonts w:ascii="Calibri" w:eastAsia="Batang" w:hAnsi="Calibri" w:cs="Calibri"/>
          <w:sz w:val="25"/>
          <w:szCs w:val="25"/>
          <w:lang w:val="fr-BE"/>
        </w:rPr>
        <w:t>, ellipses, 2003</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ROUSSEAU, J.-J., </w:t>
      </w:r>
      <w:r>
        <w:rPr>
          <w:rFonts w:ascii="Calibri" w:eastAsia="Batang" w:hAnsi="Calibri" w:cs="Calibri"/>
          <w:i/>
          <w:iCs/>
          <w:sz w:val="25"/>
          <w:szCs w:val="25"/>
        </w:rPr>
        <w:t>Du contrat social</w:t>
      </w:r>
      <w:r>
        <w:rPr>
          <w:rFonts w:ascii="Calibri" w:eastAsia="Batang" w:hAnsi="Calibri" w:cs="Calibri"/>
          <w:sz w:val="25"/>
          <w:szCs w:val="25"/>
          <w:lang w:val="fr-BE"/>
        </w:rPr>
        <w:t>, Paris, Magnard, 1986.</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RUOL, M., « De la neutralisation au recoupement. John Rawls face au défi de la démocratie plurielle », dans </w:t>
      </w:r>
      <w:r>
        <w:rPr>
          <w:rFonts w:ascii="Calibri" w:eastAsia="Batang" w:hAnsi="Calibri" w:cs="Calibri"/>
          <w:i/>
          <w:iCs/>
          <w:sz w:val="25"/>
          <w:szCs w:val="25"/>
          <w:lang w:val="fr-BE"/>
        </w:rPr>
        <w:t>Revue philosophique de Louvain</w:t>
      </w:r>
      <w:r>
        <w:rPr>
          <w:rFonts w:ascii="Calibri" w:eastAsia="Batang" w:hAnsi="Calibri" w:cs="Calibri"/>
          <w:sz w:val="25"/>
          <w:szCs w:val="25"/>
          <w:lang w:val="fr-BE"/>
        </w:rPr>
        <w:t>, 2000.</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SANDEL, M., </w:t>
      </w:r>
      <w:r>
        <w:rPr>
          <w:rFonts w:ascii="Calibri" w:eastAsia="Batang" w:hAnsi="Calibri" w:cs="Calibri"/>
          <w:sz w:val="25"/>
          <w:szCs w:val="25"/>
          <w:lang w:val="fr-BE"/>
        </w:rPr>
        <w:t>Le</w:t>
      </w:r>
      <w:r>
        <w:rPr>
          <w:rFonts w:ascii="Calibri" w:eastAsia="Batang" w:hAnsi="Calibri" w:cs="Calibri"/>
          <w:i/>
          <w:iCs/>
          <w:sz w:val="25"/>
          <w:szCs w:val="25"/>
        </w:rPr>
        <w:t xml:space="preserve"> libéralisme et les limites de la justice</w:t>
      </w:r>
      <w:r>
        <w:rPr>
          <w:rFonts w:ascii="Calibri" w:eastAsia="Batang" w:hAnsi="Calibri" w:cs="Calibri"/>
          <w:sz w:val="25"/>
          <w:szCs w:val="25"/>
          <w:lang w:val="fr-BE"/>
        </w:rPr>
        <w:t>, trad. Jean-Fabien Spitz, Paris, Seuil, 1999.</w:t>
      </w:r>
    </w:p>
    <w:p w:rsidR="000A31A8" w:rsidRDefault="0065345B">
      <w:pPr>
        <w:tabs>
          <w:tab w:val="left" w:pos="2520"/>
        </w:tabs>
        <w:spacing w:line="324" w:lineRule="auto"/>
        <w:ind w:left="851" w:right="-2" w:hanging="851"/>
        <w:jc w:val="both"/>
        <w:rPr>
          <w:rFonts w:ascii="Calibri" w:eastAsia="Batang" w:hAnsi="Calibri" w:cs="Calibri"/>
          <w:sz w:val="25"/>
          <w:szCs w:val="25"/>
          <w:lang w:val="en-GB"/>
        </w:rPr>
      </w:pPr>
      <w:r>
        <w:rPr>
          <w:rFonts w:ascii="Calibri" w:eastAsia="Batang" w:hAnsi="Calibri" w:cs="Calibri"/>
          <w:sz w:val="25"/>
          <w:szCs w:val="25"/>
          <w:lang w:val="en-GB"/>
        </w:rPr>
        <w:t xml:space="preserve">SANDEL, M., </w:t>
      </w:r>
      <w:r>
        <w:rPr>
          <w:rFonts w:ascii="Calibri" w:eastAsia="Batang" w:hAnsi="Calibri" w:cs="Calibri"/>
          <w:i/>
          <w:iCs/>
          <w:sz w:val="25"/>
          <w:szCs w:val="25"/>
          <w:lang w:val="en-GB"/>
        </w:rPr>
        <w:t>Liberalism and the limits of justice</w:t>
      </w:r>
      <w:r>
        <w:rPr>
          <w:rFonts w:ascii="Calibri" w:eastAsia="Batang" w:hAnsi="Calibri" w:cs="Calibri"/>
          <w:sz w:val="25"/>
          <w:szCs w:val="25"/>
          <w:lang w:val="en-GB"/>
        </w:rPr>
        <w:t>, Cambridge, Cambridge University press, 1982.</w:t>
      </w:r>
    </w:p>
    <w:p w:rsidR="000A31A8" w:rsidRDefault="0065345B">
      <w:pPr>
        <w:tabs>
          <w:tab w:val="left" w:pos="2520"/>
        </w:tabs>
        <w:spacing w:line="324" w:lineRule="auto"/>
        <w:ind w:left="851" w:right="-2" w:hanging="851"/>
        <w:jc w:val="both"/>
        <w:rPr>
          <w:rFonts w:ascii="Calibri" w:eastAsia="Batang" w:hAnsi="Calibri" w:cs="Calibri"/>
          <w:sz w:val="25"/>
          <w:szCs w:val="25"/>
          <w:lang w:val="en-GB"/>
        </w:rPr>
      </w:pPr>
      <w:r>
        <w:rPr>
          <w:rFonts w:ascii="Calibri" w:eastAsia="Batang" w:hAnsi="Calibri" w:cs="Calibri"/>
          <w:sz w:val="25"/>
          <w:szCs w:val="25"/>
          <w:lang w:val="en-GB"/>
        </w:rPr>
        <w:t xml:space="preserve">SANDEL, M., </w:t>
      </w:r>
      <w:r>
        <w:rPr>
          <w:rFonts w:ascii="Calibri" w:eastAsia="Batang" w:hAnsi="Calibri" w:cs="Calibri"/>
          <w:i/>
          <w:iCs/>
          <w:sz w:val="25"/>
          <w:szCs w:val="25"/>
          <w:lang w:val="en-GB"/>
        </w:rPr>
        <w:t>Moral Argument and liberal toleration:Abortion and homosexuality</w:t>
      </w:r>
      <w:r>
        <w:rPr>
          <w:rFonts w:ascii="Calibri" w:eastAsia="Batang" w:hAnsi="Calibri" w:cs="Calibri"/>
          <w:sz w:val="25"/>
          <w:szCs w:val="25"/>
          <w:lang w:val="en-GB"/>
        </w:rPr>
        <w:t>, California law review, 1989.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SAVIDAN, P., </w:t>
      </w:r>
      <w:r>
        <w:rPr>
          <w:rFonts w:ascii="Calibri" w:eastAsia="Batang" w:hAnsi="Calibri" w:cs="Calibri"/>
          <w:i/>
          <w:iCs/>
          <w:sz w:val="25"/>
          <w:szCs w:val="25"/>
        </w:rPr>
        <w:t>Le libertarisme de Hayek et de Nozick</w:t>
      </w:r>
      <w:r>
        <w:rPr>
          <w:rFonts w:ascii="Calibri" w:eastAsia="Batang" w:hAnsi="Calibri" w:cs="Calibri"/>
          <w:sz w:val="25"/>
          <w:szCs w:val="25"/>
          <w:lang w:val="fr-BE"/>
        </w:rPr>
        <w:t xml:space="preserve">, dans A. RENAUT (Dir.), </w:t>
      </w:r>
      <w:r>
        <w:rPr>
          <w:rFonts w:ascii="Calibri" w:eastAsia="Batang" w:hAnsi="Calibri" w:cs="Calibri"/>
          <w:i/>
          <w:iCs/>
          <w:sz w:val="25"/>
          <w:szCs w:val="25"/>
        </w:rPr>
        <w:t>Les philosophies politiques contemporaines,</w:t>
      </w:r>
      <w:r>
        <w:rPr>
          <w:rFonts w:ascii="Calibri" w:eastAsia="Batang" w:hAnsi="Calibri" w:cs="Calibri"/>
          <w:sz w:val="25"/>
          <w:szCs w:val="25"/>
          <w:lang w:val="fr-BE"/>
        </w:rPr>
        <w:t xml:space="preserve"> Paris, Calmann-lévy, 2001, pp.341-382.</w:t>
      </w:r>
    </w:p>
    <w:p w:rsidR="000A31A8" w:rsidRDefault="0065345B">
      <w:pPr>
        <w:tabs>
          <w:tab w:val="left" w:pos="851"/>
          <w:tab w:val="left" w:pos="2520"/>
        </w:tabs>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t>SHUSTERMAN R., « Le libéralisme pragmatique », dans  </w:t>
      </w:r>
      <w:r>
        <w:rPr>
          <w:rFonts w:ascii="Calibri" w:eastAsia="Batang" w:hAnsi="Calibri" w:cs="Calibri"/>
          <w:sz w:val="25"/>
          <w:szCs w:val="25"/>
          <w:lang w:val="fr-BE"/>
        </w:rPr>
        <w:tab/>
      </w:r>
      <w:r>
        <w:rPr>
          <w:rFonts w:ascii="Calibri" w:eastAsia="Batang" w:hAnsi="Calibri" w:cs="Calibri"/>
          <w:i/>
          <w:iCs/>
          <w:sz w:val="25"/>
          <w:szCs w:val="25"/>
          <w:lang w:val="fr-BE"/>
        </w:rPr>
        <w:t>Critique</w:t>
      </w:r>
      <w:r>
        <w:rPr>
          <w:rFonts w:ascii="Calibri" w:eastAsia="Batang" w:hAnsi="Calibri" w:cs="Calibri"/>
          <w:sz w:val="25"/>
          <w:szCs w:val="25"/>
          <w:lang w:val="fr-BE"/>
        </w:rPr>
        <w:t>, 1993, pp.546-565.</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lastRenderedPageBreak/>
        <w:t xml:space="preserve">SINTOMER, Y., </w:t>
      </w:r>
      <w:r>
        <w:rPr>
          <w:rFonts w:ascii="Calibri" w:eastAsia="Batang" w:hAnsi="Calibri" w:cs="Calibri"/>
          <w:i/>
          <w:iCs/>
          <w:sz w:val="25"/>
          <w:szCs w:val="25"/>
        </w:rPr>
        <w:t>La démocratie impossible ? Politique et modernité chez Weber et Habermas</w:t>
      </w:r>
      <w:r>
        <w:rPr>
          <w:rFonts w:ascii="Calibri" w:eastAsia="Batang" w:hAnsi="Calibri" w:cs="Calibri"/>
          <w:sz w:val="25"/>
          <w:szCs w:val="25"/>
          <w:lang w:val="fr-BE"/>
        </w:rPr>
        <w:t xml:space="preserve">, Paris, Découverte, 1999.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SOSOE K.-L., « La réaction communautarienne », dans RENAUT, A. (Dir.) </w:t>
      </w:r>
      <w:r>
        <w:rPr>
          <w:rFonts w:ascii="Calibri" w:eastAsia="Batang" w:hAnsi="Calibri" w:cs="Calibri"/>
          <w:i/>
          <w:iCs/>
          <w:sz w:val="25"/>
          <w:szCs w:val="25"/>
          <w:lang w:val="fr-BE"/>
        </w:rPr>
        <w:t>Les philosophies politiques contemporaines</w:t>
      </w:r>
      <w:r>
        <w:rPr>
          <w:rFonts w:ascii="Calibri" w:eastAsia="Batang" w:hAnsi="Calibri" w:cs="Calibri"/>
          <w:sz w:val="25"/>
          <w:szCs w:val="25"/>
          <w:lang w:val="fr-BE"/>
        </w:rPr>
        <w:t xml:space="preserve">, Paris, Calmann-lévy, 2001, pp.385-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SPITZ, J.-F., « Concept de souveraineté et politique placée sous le signe de la loi de nature dans e Second traité du gouvernement civil de Locke », dans </w:t>
      </w:r>
      <w:r>
        <w:rPr>
          <w:rFonts w:ascii="Calibri" w:eastAsia="Batang" w:hAnsi="Calibri" w:cs="Calibri"/>
          <w:i/>
          <w:iCs/>
          <w:sz w:val="25"/>
          <w:szCs w:val="25"/>
          <w:lang w:val="fr-BE"/>
        </w:rPr>
        <w:t>Philosophie</w:t>
      </w:r>
      <w:r>
        <w:rPr>
          <w:rFonts w:ascii="Calibri" w:eastAsia="Batang" w:hAnsi="Calibri" w:cs="Calibri"/>
          <w:sz w:val="25"/>
          <w:szCs w:val="25"/>
          <w:lang w:val="fr-BE"/>
        </w:rPr>
        <w:t>, 1993, pp.39-63.</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STRAUSS, L., </w:t>
      </w:r>
      <w:r>
        <w:rPr>
          <w:rFonts w:ascii="Calibri" w:eastAsia="Batang" w:hAnsi="Calibri" w:cs="Calibri"/>
          <w:i/>
          <w:iCs/>
          <w:sz w:val="25"/>
          <w:szCs w:val="25"/>
        </w:rPr>
        <w:t>Droit naturel et histoire</w:t>
      </w:r>
      <w:r>
        <w:rPr>
          <w:rFonts w:ascii="Calibri" w:eastAsia="Batang" w:hAnsi="Calibri" w:cs="Calibri"/>
          <w:sz w:val="25"/>
          <w:szCs w:val="25"/>
          <w:lang w:val="fr-BE"/>
        </w:rPr>
        <w:t>, Paris, Plon, Trad. M. Nathan et E. De Dampierre, 1969.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TAYLOR, C., </w:t>
      </w:r>
      <w:r>
        <w:rPr>
          <w:rFonts w:ascii="Calibri" w:eastAsia="Batang" w:hAnsi="Calibri" w:cs="Calibri"/>
          <w:i/>
          <w:iCs/>
          <w:sz w:val="25"/>
          <w:szCs w:val="25"/>
        </w:rPr>
        <w:t>Hegel et la société moderne</w:t>
      </w:r>
      <w:r>
        <w:rPr>
          <w:rFonts w:ascii="Calibri" w:eastAsia="Batang" w:hAnsi="Calibri" w:cs="Calibri"/>
          <w:sz w:val="25"/>
          <w:szCs w:val="25"/>
          <w:lang w:val="fr-BE"/>
        </w:rPr>
        <w:t xml:space="preserve">, trad.Pierre R. Desrosiers, Paris, Les éditions du Cerf, 1958.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TAYLOR, C., </w:t>
      </w:r>
      <w:r>
        <w:rPr>
          <w:rFonts w:ascii="Calibri" w:eastAsia="Batang" w:hAnsi="Calibri" w:cs="Calibri"/>
          <w:i/>
          <w:iCs/>
          <w:sz w:val="25"/>
          <w:szCs w:val="25"/>
        </w:rPr>
        <w:t>La liberté des modernes</w:t>
      </w:r>
      <w:r>
        <w:rPr>
          <w:rFonts w:ascii="Calibri" w:eastAsia="Batang" w:hAnsi="Calibri" w:cs="Calibri"/>
          <w:sz w:val="25"/>
          <w:szCs w:val="25"/>
          <w:lang w:val="fr-BE"/>
        </w:rPr>
        <w:t>, Paris, PUF,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TAYLOR, C., </w:t>
      </w:r>
      <w:r>
        <w:rPr>
          <w:rFonts w:ascii="Calibri" w:eastAsia="Batang" w:hAnsi="Calibri" w:cs="Calibri"/>
          <w:i/>
          <w:iCs/>
          <w:sz w:val="25"/>
          <w:szCs w:val="25"/>
        </w:rPr>
        <w:t>Le Malaise de la modernité</w:t>
      </w:r>
      <w:r>
        <w:rPr>
          <w:rFonts w:ascii="Calibri" w:eastAsia="Batang" w:hAnsi="Calibri" w:cs="Calibri"/>
          <w:sz w:val="25"/>
          <w:szCs w:val="25"/>
          <w:lang w:val="fr-BE"/>
        </w:rPr>
        <w:t>, Paris, Cerf, 1994.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TAYLOR, C., </w:t>
      </w:r>
      <w:r>
        <w:rPr>
          <w:rFonts w:ascii="Calibri" w:eastAsia="Batang" w:hAnsi="Calibri" w:cs="Calibri"/>
          <w:i/>
          <w:iCs/>
          <w:sz w:val="25"/>
          <w:szCs w:val="25"/>
        </w:rPr>
        <w:t>Les sources du moi</w:t>
      </w:r>
      <w:r>
        <w:rPr>
          <w:rFonts w:ascii="Calibri" w:eastAsia="Batang" w:hAnsi="Calibri" w:cs="Calibri"/>
          <w:sz w:val="25"/>
          <w:szCs w:val="25"/>
          <w:lang w:val="fr-BE"/>
        </w:rPr>
        <w:t>, Paris, Seuil, 1998.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TRICAUD, F., « Le roman philosophique de l’humanité chez Hobbes et chez Locke », dans  </w:t>
      </w:r>
      <w:r>
        <w:rPr>
          <w:rFonts w:ascii="Calibri" w:eastAsia="Batang" w:hAnsi="Calibri" w:cs="Calibri"/>
          <w:i/>
          <w:iCs/>
          <w:sz w:val="25"/>
          <w:szCs w:val="25"/>
          <w:lang w:val="fr-BE"/>
        </w:rPr>
        <w:t>The review of metaphysics</w:t>
      </w:r>
      <w:r>
        <w:rPr>
          <w:rFonts w:ascii="Calibri" w:eastAsia="Batang" w:hAnsi="Calibri" w:cs="Calibri"/>
          <w:sz w:val="25"/>
          <w:szCs w:val="25"/>
          <w:lang w:val="fr-BE"/>
        </w:rPr>
        <w:t> , 1992, pp.631-643.</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TSHIAMALENGA Ntumba, </w:t>
      </w:r>
      <w:r>
        <w:rPr>
          <w:rFonts w:ascii="Calibri" w:eastAsia="Batang" w:hAnsi="Calibri" w:cs="Calibri"/>
          <w:i/>
          <w:iCs/>
          <w:sz w:val="25"/>
          <w:szCs w:val="25"/>
        </w:rPr>
        <w:t>La complémentarité radicale du politique et du religieux, approche bisoïste</w:t>
      </w:r>
      <w:r>
        <w:rPr>
          <w:rFonts w:ascii="Calibri" w:eastAsia="Batang" w:hAnsi="Calibri" w:cs="Calibri"/>
          <w:sz w:val="25"/>
          <w:szCs w:val="25"/>
        </w:rPr>
        <w:t xml:space="preserve">, dans </w:t>
      </w:r>
      <w:r>
        <w:rPr>
          <w:rFonts w:ascii="Calibri" w:eastAsia="Batang" w:hAnsi="Calibri" w:cs="Calibri"/>
          <w:i/>
          <w:iCs/>
          <w:sz w:val="25"/>
          <w:szCs w:val="25"/>
        </w:rPr>
        <w:t>Cahiers des religions africaines</w:t>
      </w:r>
      <w:r>
        <w:rPr>
          <w:rFonts w:ascii="Calibri" w:eastAsia="Batang" w:hAnsi="Calibri" w:cs="Calibri"/>
          <w:sz w:val="25"/>
          <w:szCs w:val="25"/>
        </w:rPr>
        <w:t>, vol.31, n°61-62, 1997</w:t>
      </w:r>
    </w:p>
    <w:p w:rsidR="000A31A8" w:rsidRDefault="0065345B">
      <w:pPr>
        <w:tabs>
          <w:tab w:val="left" w:pos="2520"/>
        </w:tabs>
        <w:spacing w:line="324" w:lineRule="auto"/>
        <w:ind w:right="-2"/>
        <w:jc w:val="both"/>
        <w:rPr>
          <w:rFonts w:ascii="Calibri" w:eastAsia="Batang" w:hAnsi="Calibri" w:cs="Calibri"/>
          <w:sz w:val="25"/>
          <w:szCs w:val="25"/>
        </w:rPr>
      </w:pPr>
      <w:r>
        <w:rPr>
          <w:rFonts w:ascii="Calibri" w:eastAsia="Batang" w:hAnsi="Calibri" w:cs="Calibri"/>
          <w:sz w:val="25"/>
          <w:szCs w:val="25"/>
        </w:rPr>
        <w:t xml:space="preserve">TSHIAMALENGA Ntumba, </w:t>
      </w:r>
      <w:r>
        <w:rPr>
          <w:rFonts w:ascii="Calibri" w:eastAsia="Batang" w:hAnsi="Calibri" w:cs="Calibri"/>
          <w:i/>
          <w:iCs/>
          <w:sz w:val="25"/>
          <w:szCs w:val="25"/>
        </w:rPr>
        <w:t>Langage et socialité</w:t>
      </w:r>
      <w:r>
        <w:rPr>
          <w:rFonts w:ascii="Calibri" w:eastAsia="Batang" w:hAnsi="Calibri" w:cs="Calibri"/>
          <w:sz w:val="25"/>
          <w:szCs w:val="25"/>
        </w:rPr>
        <w:t xml:space="preserve">, dans </w:t>
      </w:r>
      <w:r>
        <w:rPr>
          <w:rFonts w:ascii="Calibri" w:eastAsia="Batang" w:hAnsi="Calibri" w:cs="Calibri"/>
          <w:i/>
          <w:iCs/>
          <w:sz w:val="25"/>
          <w:szCs w:val="25"/>
        </w:rPr>
        <w:t>Philosophie africaine et ordre social</w:t>
      </w:r>
      <w:r>
        <w:rPr>
          <w:rFonts w:ascii="Calibri" w:eastAsia="Batang" w:hAnsi="Calibri" w:cs="Calibri"/>
          <w:sz w:val="25"/>
          <w:szCs w:val="25"/>
        </w:rPr>
        <w:t>, 1985</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TSHIKOJI MBUMBA, « Les libertés politiques ; enjeux dialogiques du pouvoir en Afrique du 21è siècle », dans  </w:t>
      </w:r>
      <w:r>
        <w:rPr>
          <w:rFonts w:ascii="Calibri" w:eastAsia="Batang" w:hAnsi="Calibri" w:cs="Calibri"/>
          <w:i/>
          <w:iCs/>
          <w:sz w:val="25"/>
          <w:szCs w:val="25"/>
          <w:lang w:val="fr-BE"/>
        </w:rPr>
        <w:t>Pensée Agissante</w:t>
      </w:r>
      <w:r>
        <w:rPr>
          <w:rFonts w:ascii="Calibri" w:eastAsia="Batang" w:hAnsi="Calibri" w:cs="Calibri"/>
          <w:sz w:val="25"/>
          <w:szCs w:val="25"/>
          <w:lang w:val="fr-BE"/>
        </w:rPr>
        <w:t>  n°8 (Libération et droits de l’homme à l’aube du 3è millénaire), Actes des deuxièmes journées philosophiques du philosophât Saint Augustin, pp.109-128.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VAN DER LINDEN, H., « La philosophie politique de Hermann Cohen et la critique communautarienne du libéralisme », trad. Stéphane Chaivier, dans </w:t>
      </w:r>
      <w:r>
        <w:rPr>
          <w:rFonts w:ascii="Calibri" w:eastAsia="Batang" w:hAnsi="Calibri" w:cs="Calibri"/>
          <w:i/>
          <w:iCs/>
          <w:sz w:val="25"/>
          <w:szCs w:val="25"/>
          <w:lang w:val="fr-BE"/>
        </w:rPr>
        <w:t>Cahiers de philosophie politique et juridique</w:t>
      </w:r>
      <w:r>
        <w:rPr>
          <w:rFonts w:ascii="Calibri" w:eastAsia="Batang" w:hAnsi="Calibri" w:cs="Calibri"/>
          <w:sz w:val="25"/>
          <w:szCs w:val="25"/>
          <w:lang w:val="fr-BE"/>
        </w:rPr>
        <w:t>  Louvain-la-neuve, Institut supérieur de philosophie, 1994, pp.93-118.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VAN PARIJS,  </w:t>
      </w:r>
      <w:r>
        <w:rPr>
          <w:rFonts w:ascii="Calibri" w:eastAsia="Batang" w:hAnsi="Calibri" w:cs="Calibri"/>
          <w:i/>
          <w:iCs/>
          <w:sz w:val="25"/>
          <w:szCs w:val="25"/>
          <w:lang w:val="fr-BE"/>
        </w:rPr>
        <w:t>Traité sur la tolérance</w:t>
      </w:r>
      <w:r>
        <w:rPr>
          <w:rFonts w:ascii="Calibri" w:eastAsia="Batang" w:hAnsi="Calibri" w:cs="Calibri"/>
          <w:sz w:val="25"/>
          <w:szCs w:val="25"/>
          <w:lang w:val="fr-BE"/>
        </w:rPr>
        <w:t>, Paris, Gallimard, 1998.</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VAN PARIJS, </w:t>
      </w:r>
      <w:r>
        <w:rPr>
          <w:rFonts w:ascii="Calibri" w:eastAsia="Batang" w:hAnsi="Calibri" w:cs="Calibri"/>
          <w:i/>
          <w:iCs/>
          <w:sz w:val="25"/>
          <w:szCs w:val="25"/>
          <w:lang w:val="fr-BE"/>
        </w:rPr>
        <w:t>Guerres justes et injustes</w:t>
      </w:r>
      <w:r>
        <w:rPr>
          <w:rFonts w:ascii="Calibri" w:eastAsia="Batang" w:hAnsi="Calibri" w:cs="Calibri"/>
          <w:sz w:val="25"/>
          <w:szCs w:val="25"/>
          <w:lang w:val="fr-BE"/>
        </w:rPr>
        <w:t>, Paris, Belin, 1999.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VAN PARIJS, </w:t>
      </w:r>
      <w:r>
        <w:rPr>
          <w:rFonts w:ascii="Calibri" w:eastAsia="Batang" w:hAnsi="Calibri" w:cs="Calibri"/>
          <w:i/>
          <w:iCs/>
          <w:sz w:val="25"/>
          <w:szCs w:val="25"/>
        </w:rPr>
        <w:t>Pluralisme démocratique</w:t>
      </w:r>
      <w:r>
        <w:rPr>
          <w:rFonts w:ascii="Calibri" w:eastAsia="Batang" w:hAnsi="Calibri" w:cs="Calibri"/>
          <w:sz w:val="25"/>
          <w:szCs w:val="25"/>
          <w:lang w:val="fr-BE"/>
        </w:rPr>
        <w:t>, Paris, Esprit,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VAN PARIJS, </w:t>
      </w:r>
      <w:r>
        <w:rPr>
          <w:rFonts w:ascii="Calibri" w:eastAsia="Batang" w:hAnsi="Calibri" w:cs="Calibri"/>
          <w:i/>
          <w:iCs/>
          <w:sz w:val="25"/>
          <w:szCs w:val="25"/>
        </w:rPr>
        <w:t>Qu’est-ce qu’une société juste ?</w:t>
      </w:r>
      <w:r>
        <w:rPr>
          <w:rFonts w:ascii="Calibri" w:eastAsia="Batang" w:hAnsi="Calibri" w:cs="Calibri"/>
          <w:sz w:val="25"/>
          <w:szCs w:val="25"/>
          <w:lang w:val="fr-BE"/>
        </w:rPr>
        <w:t xml:space="preserve"> Paris, Seuil,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lastRenderedPageBreak/>
        <w:t xml:space="preserve">VON LEYDEN, W., « La loi, la liberté et la prérogative dans la pensée politique de John Locke », trad. Marie-claire Pasquier, dans </w:t>
      </w:r>
      <w:r>
        <w:rPr>
          <w:rFonts w:ascii="Calibri" w:eastAsia="Batang" w:hAnsi="Calibri" w:cs="Calibri"/>
          <w:i/>
          <w:iCs/>
          <w:sz w:val="25"/>
          <w:szCs w:val="25"/>
          <w:lang w:val="fr-BE"/>
        </w:rPr>
        <w:t>Revue philosophique</w:t>
      </w:r>
      <w:r>
        <w:rPr>
          <w:rFonts w:ascii="Calibri" w:eastAsia="Batang" w:hAnsi="Calibri" w:cs="Calibri"/>
          <w:sz w:val="25"/>
          <w:szCs w:val="25"/>
          <w:lang w:val="fr-BE"/>
        </w:rPr>
        <w:t>, Paris, PUF, 1964.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WALZER, M., </w:t>
      </w:r>
      <w:r>
        <w:rPr>
          <w:rFonts w:ascii="Calibri" w:eastAsia="Batang" w:hAnsi="Calibri" w:cs="Calibri"/>
          <w:i/>
          <w:iCs/>
          <w:sz w:val="25"/>
          <w:szCs w:val="25"/>
          <w:lang w:val="fr-BE"/>
        </w:rPr>
        <w:t>Guerres justes et injustes, argumetation morale avec exemples historiques</w:t>
      </w:r>
      <w:r>
        <w:rPr>
          <w:rFonts w:ascii="Calibri" w:eastAsia="Batang" w:hAnsi="Calibri" w:cs="Calibri"/>
          <w:sz w:val="25"/>
          <w:szCs w:val="25"/>
          <w:lang w:val="fr-BE"/>
        </w:rPr>
        <w:t xml:space="preserve">, trad. Simone Chambon et Anne Wicke, Paris, Belin, 1999. </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WALZER, M., </w:t>
      </w:r>
      <w:r>
        <w:rPr>
          <w:rFonts w:ascii="Calibri" w:eastAsia="Batang" w:hAnsi="Calibri" w:cs="Calibri"/>
          <w:sz w:val="25"/>
          <w:szCs w:val="25"/>
          <w:lang w:val="fr-BE"/>
        </w:rPr>
        <w:t>Pluralisme</w:t>
      </w:r>
      <w:r>
        <w:rPr>
          <w:rFonts w:ascii="Calibri" w:eastAsia="Batang" w:hAnsi="Calibri" w:cs="Calibri"/>
          <w:i/>
          <w:iCs/>
          <w:sz w:val="25"/>
          <w:szCs w:val="25"/>
          <w:lang w:val="fr-BE"/>
        </w:rPr>
        <w:t xml:space="preserve"> et démocratie</w:t>
      </w:r>
      <w:r>
        <w:rPr>
          <w:rFonts w:ascii="Calibri" w:eastAsia="Batang" w:hAnsi="Calibri" w:cs="Calibri"/>
          <w:sz w:val="25"/>
          <w:szCs w:val="25"/>
          <w:lang w:val="fr-BE"/>
        </w:rPr>
        <w:t>, Paris, éditions esprit, 1997.</w:t>
      </w:r>
    </w:p>
    <w:p w:rsidR="000A31A8" w:rsidRDefault="0065345B">
      <w:pPr>
        <w:tabs>
          <w:tab w:val="left" w:pos="2520"/>
        </w:tabs>
        <w:spacing w:line="324" w:lineRule="auto"/>
        <w:ind w:left="851" w:right="-2" w:hanging="851"/>
        <w:jc w:val="both"/>
        <w:rPr>
          <w:rFonts w:ascii="Calibri" w:eastAsia="Batang" w:hAnsi="Calibri" w:cs="Calibri"/>
          <w:sz w:val="25"/>
          <w:szCs w:val="25"/>
          <w:lang w:val="en-US"/>
        </w:rPr>
      </w:pPr>
      <w:r>
        <w:rPr>
          <w:rFonts w:ascii="Calibri" w:eastAsia="Batang" w:hAnsi="Calibri" w:cs="Calibri"/>
          <w:sz w:val="25"/>
          <w:szCs w:val="25"/>
        </w:rPr>
        <w:t xml:space="preserve">WALZER, M., </w:t>
      </w:r>
      <w:r>
        <w:rPr>
          <w:rFonts w:ascii="Calibri" w:eastAsia="Batang" w:hAnsi="Calibri" w:cs="Calibri"/>
          <w:i/>
          <w:iCs/>
          <w:sz w:val="25"/>
          <w:szCs w:val="25"/>
          <w:lang w:val="fr-BE"/>
        </w:rPr>
        <w:t>Sphères de justice, une défense du pluralisme et de l’égalité</w:t>
      </w:r>
      <w:r>
        <w:rPr>
          <w:rFonts w:ascii="Calibri" w:eastAsia="Batang" w:hAnsi="Calibri" w:cs="Calibri"/>
          <w:sz w:val="25"/>
          <w:szCs w:val="25"/>
          <w:lang w:val="fr-BE"/>
        </w:rPr>
        <w:t xml:space="preserve">, trad. </w:t>
      </w:r>
      <w:r>
        <w:rPr>
          <w:rFonts w:ascii="Calibri" w:eastAsia="Batang" w:hAnsi="Calibri" w:cs="Calibri"/>
          <w:sz w:val="25"/>
          <w:szCs w:val="25"/>
          <w:lang w:val="en-US"/>
        </w:rPr>
        <w:t xml:space="preserve">Pascal Engel, Paris, Editions du Seuil, 1997. </w:t>
      </w:r>
    </w:p>
    <w:p w:rsidR="000A31A8" w:rsidRDefault="0065345B">
      <w:pPr>
        <w:tabs>
          <w:tab w:val="left" w:pos="2520"/>
        </w:tabs>
        <w:spacing w:line="324" w:lineRule="auto"/>
        <w:ind w:left="851" w:right="-2" w:hanging="851"/>
        <w:jc w:val="both"/>
        <w:rPr>
          <w:rFonts w:ascii="Calibri" w:eastAsia="Batang" w:hAnsi="Calibri" w:cs="Calibri"/>
          <w:sz w:val="25"/>
          <w:szCs w:val="25"/>
          <w:lang w:val="en-GB"/>
        </w:rPr>
      </w:pPr>
      <w:r>
        <w:rPr>
          <w:rFonts w:ascii="Calibri" w:eastAsia="Batang" w:hAnsi="Calibri" w:cs="Calibri"/>
          <w:sz w:val="25"/>
          <w:szCs w:val="25"/>
          <w:lang w:val="en-GB"/>
        </w:rPr>
        <w:t xml:space="preserve">WALZER, M., </w:t>
      </w:r>
      <w:r>
        <w:rPr>
          <w:rFonts w:ascii="Calibri" w:eastAsia="Batang" w:hAnsi="Calibri" w:cs="Calibri"/>
          <w:i/>
          <w:iCs/>
          <w:sz w:val="25"/>
          <w:szCs w:val="25"/>
          <w:lang w:val="en-GB"/>
        </w:rPr>
        <w:t>Spheres of justice: A defense of pluralism and equality</w:t>
      </w:r>
      <w:r>
        <w:rPr>
          <w:rFonts w:ascii="Calibri" w:eastAsia="Batang" w:hAnsi="Calibri" w:cs="Calibri"/>
          <w:sz w:val="25"/>
          <w:szCs w:val="25"/>
          <w:lang w:val="en-GB"/>
        </w:rPr>
        <w:t>, New york, Basic books, 1983.</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rPr>
        <w:t xml:space="preserve">WALZER, M., </w:t>
      </w:r>
      <w:r>
        <w:rPr>
          <w:rFonts w:ascii="Calibri" w:eastAsia="Batang" w:hAnsi="Calibri" w:cs="Calibri"/>
          <w:i/>
          <w:iCs/>
          <w:sz w:val="25"/>
          <w:szCs w:val="25"/>
          <w:lang w:val="fr-BE"/>
        </w:rPr>
        <w:t>Traité sur la tolérance</w:t>
      </w:r>
      <w:r>
        <w:rPr>
          <w:rFonts w:ascii="Calibri" w:eastAsia="Batang" w:hAnsi="Calibri" w:cs="Calibri"/>
          <w:sz w:val="25"/>
          <w:szCs w:val="25"/>
          <w:lang w:val="fr-BE"/>
        </w:rPr>
        <w:t>, trad. Chaïm Hutner, Paris, éd .Gallimard, 1997.</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WEIL, E., </w:t>
      </w:r>
      <w:r>
        <w:rPr>
          <w:rFonts w:ascii="Calibri" w:eastAsia="Batang" w:hAnsi="Calibri" w:cs="Calibri"/>
          <w:i/>
          <w:iCs/>
          <w:sz w:val="25"/>
          <w:szCs w:val="25"/>
          <w:lang w:val="fr-BE"/>
        </w:rPr>
        <w:t>Hegel et l’Etat</w:t>
      </w:r>
      <w:r>
        <w:rPr>
          <w:rFonts w:ascii="Calibri" w:eastAsia="Batang" w:hAnsi="Calibri" w:cs="Calibri"/>
          <w:sz w:val="25"/>
          <w:szCs w:val="25"/>
          <w:lang w:val="fr-BE"/>
        </w:rPr>
        <w:t>, Paris, J. Vrin, 1994.</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WEIL, E., </w:t>
      </w:r>
      <w:r>
        <w:rPr>
          <w:rFonts w:ascii="Calibri" w:eastAsia="Batang" w:hAnsi="Calibri" w:cs="Calibri"/>
          <w:i/>
          <w:iCs/>
          <w:sz w:val="25"/>
          <w:szCs w:val="25"/>
          <w:lang w:val="fr-BE"/>
        </w:rPr>
        <w:t>Philosophie politique</w:t>
      </w:r>
      <w:r>
        <w:rPr>
          <w:rFonts w:ascii="Calibri" w:eastAsia="Batang" w:hAnsi="Calibri" w:cs="Calibri"/>
          <w:sz w:val="25"/>
          <w:szCs w:val="25"/>
          <w:lang w:val="fr-BE"/>
        </w:rPr>
        <w:t>, Paris, J. Vrin, 1989.</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WEINSTOCK, D., « La problématique multiculturaliste », dans RENAUT, A. (Dir.), </w:t>
      </w:r>
      <w:r>
        <w:rPr>
          <w:rFonts w:ascii="Calibri" w:eastAsia="Batang" w:hAnsi="Calibri" w:cs="Calibri"/>
          <w:i/>
          <w:iCs/>
          <w:sz w:val="25"/>
          <w:szCs w:val="25"/>
          <w:lang w:val="fr-BE"/>
        </w:rPr>
        <w:t>Les philosophies</w:t>
      </w:r>
      <w:r>
        <w:rPr>
          <w:rFonts w:ascii="Calibri" w:eastAsia="Batang" w:hAnsi="Calibri" w:cs="Calibri"/>
          <w:sz w:val="25"/>
          <w:szCs w:val="25"/>
          <w:lang w:val="fr-BE"/>
        </w:rPr>
        <w:t xml:space="preserve"> </w:t>
      </w:r>
      <w:r>
        <w:rPr>
          <w:rFonts w:ascii="Calibri" w:eastAsia="Batang" w:hAnsi="Calibri" w:cs="Calibri"/>
          <w:i/>
          <w:iCs/>
          <w:sz w:val="25"/>
          <w:szCs w:val="25"/>
          <w:lang w:val="fr-BE"/>
        </w:rPr>
        <w:t>politiques contemporaines</w:t>
      </w:r>
      <w:r>
        <w:rPr>
          <w:rFonts w:ascii="Calibri" w:eastAsia="Batang" w:hAnsi="Calibri" w:cs="Calibri"/>
          <w:sz w:val="25"/>
          <w:szCs w:val="25"/>
          <w:lang w:val="fr-BE"/>
        </w:rPr>
        <w:t>, Paris, Calmann-lévy, 2001, pp.429-461.</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 xml:space="preserve">WOETZEL, R.K., </w:t>
      </w:r>
      <w:r>
        <w:rPr>
          <w:rFonts w:ascii="Calibri" w:eastAsia="Batang" w:hAnsi="Calibri" w:cs="Calibri"/>
          <w:i/>
          <w:iCs/>
          <w:sz w:val="25"/>
          <w:szCs w:val="25"/>
          <w:lang w:val="fr-BE"/>
        </w:rPr>
        <w:t>Une philosophie de la liberté</w:t>
      </w:r>
      <w:r>
        <w:rPr>
          <w:rFonts w:ascii="Calibri" w:eastAsia="Batang" w:hAnsi="Calibri" w:cs="Calibri"/>
          <w:sz w:val="25"/>
          <w:szCs w:val="25"/>
          <w:lang w:val="fr-BE"/>
        </w:rPr>
        <w:t>, Manille-Philippines, 1977.</w:t>
      </w:r>
    </w:p>
    <w:p w:rsidR="000A31A8" w:rsidRDefault="0065345B">
      <w:pPr>
        <w:spacing w:line="324" w:lineRule="auto"/>
        <w:ind w:left="851" w:right="-2" w:hanging="851"/>
        <w:jc w:val="both"/>
        <w:rPr>
          <w:rFonts w:ascii="Calibri" w:eastAsia="Batang" w:hAnsi="Calibri" w:cs="Calibri"/>
          <w:sz w:val="25"/>
          <w:szCs w:val="25"/>
          <w:lang w:val="fr-BE"/>
        </w:rPr>
      </w:pPr>
      <w:r>
        <w:rPr>
          <w:rFonts w:ascii="Calibri" w:eastAsia="Batang" w:hAnsi="Calibri" w:cs="Calibri"/>
          <w:sz w:val="25"/>
          <w:szCs w:val="25"/>
          <w:lang w:val="fr-BE"/>
        </w:rPr>
        <w:t>ZARKA, Y.- C,</w:t>
      </w:r>
      <w:r>
        <w:rPr>
          <w:rFonts w:ascii="Calibri" w:eastAsia="Batang" w:hAnsi="Calibri" w:cs="Calibri"/>
          <w:i/>
          <w:iCs/>
          <w:sz w:val="25"/>
          <w:szCs w:val="25"/>
          <w:lang w:val="fr-BE"/>
        </w:rPr>
        <w:t xml:space="preserve"> « </w:t>
      </w:r>
      <w:r>
        <w:rPr>
          <w:rFonts w:ascii="Calibri" w:eastAsia="Batang" w:hAnsi="Calibri" w:cs="Calibri"/>
          <w:sz w:val="25"/>
          <w:szCs w:val="25"/>
          <w:lang w:val="fr-BE"/>
        </w:rPr>
        <w:t xml:space="preserve">La propriété chez Hobbes », dans </w:t>
      </w:r>
      <w:r>
        <w:rPr>
          <w:rFonts w:ascii="Calibri" w:eastAsia="Batang" w:hAnsi="Calibri" w:cs="Calibri"/>
          <w:i/>
          <w:iCs/>
          <w:sz w:val="25"/>
          <w:szCs w:val="25"/>
          <w:lang w:val="fr-BE"/>
        </w:rPr>
        <w:t>The review of metaphysics</w:t>
      </w:r>
      <w:r>
        <w:rPr>
          <w:rFonts w:ascii="Calibri" w:eastAsia="Batang" w:hAnsi="Calibri" w:cs="Calibri"/>
          <w:sz w:val="25"/>
          <w:szCs w:val="25"/>
          <w:lang w:val="fr-BE"/>
        </w:rPr>
        <w:t>, 1992, pp.587-605.</w:t>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bookmarkStart w:id="45" w:name="_Toc60824166"/>
      <w:bookmarkStart w:id="46" w:name="_Toc61276671"/>
      <w:bookmarkStart w:id="47" w:name="_Toc61541173"/>
      <w:bookmarkStart w:id="48" w:name="_Toc63602982"/>
      <w:r>
        <w:rPr>
          <w:rFonts w:ascii="Calibri" w:eastAsia="Batang" w:hAnsi="Calibri" w:cs="Calibri"/>
          <w:sz w:val="25"/>
          <w:szCs w:val="25"/>
          <w:lang w:val="fr-BE"/>
        </w:rPr>
        <w:t xml:space="preserve">ZARKA, Y.- C., </w:t>
      </w:r>
      <w:r>
        <w:rPr>
          <w:rFonts w:ascii="Calibri" w:eastAsia="Batang" w:hAnsi="Calibri" w:cs="Calibri"/>
          <w:i/>
          <w:iCs/>
          <w:sz w:val="25"/>
          <w:szCs w:val="25"/>
          <w:lang w:val="fr-BE"/>
        </w:rPr>
        <w:t>Hobbes et la pensée politique moderne</w:t>
      </w:r>
      <w:r>
        <w:rPr>
          <w:rFonts w:ascii="Calibri" w:eastAsia="Batang" w:hAnsi="Calibri" w:cs="Calibri"/>
          <w:sz w:val="25"/>
          <w:szCs w:val="25"/>
          <w:lang w:val="fr-BE"/>
        </w:rPr>
        <w:t>, Paris, PUF, 1995.</w:t>
      </w:r>
      <w:bookmarkEnd w:id="45"/>
      <w:bookmarkEnd w:id="46"/>
      <w:bookmarkEnd w:id="47"/>
      <w:bookmarkEnd w:id="48"/>
    </w:p>
    <w:p w:rsidR="000A31A8" w:rsidRDefault="0065345B">
      <w:pPr>
        <w:spacing w:after="160" w:line="259" w:lineRule="auto"/>
        <w:rPr>
          <w:rFonts w:ascii="Calibri" w:eastAsia="Batang" w:hAnsi="Calibri" w:cs="Calibri"/>
          <w:sz w:val="25"/>
          <w:szCs w:val="25"/>
          <w:lang w:val="fr-BE"/>
        </w:rPr>
      </w:pPr>
      <w:r>
        <w:rPr>
          <w:rFonts w:ascii="Calibri" w:eastAsia="Batang" w:hAnsi="Calibri" w:cs="Calibri"/>
          <w:sz w:val="25"/>
          <w:szCs w:val="25"/>
          <w:lang w:val="fr-BE"/>
        </w:rPr>
        <w:br w:type="page"/>
      </w:r>
    </w:p>
    <w:p w:rsidR="000A31A8" w:rsidRDefault="0065345B">
      <w:pPr>
        <w:tabs>
          <w:tab w:val="left" w:pos="2520"/>
        </w:tabs>
        <w:spacing w:line="324" w:lineRule="auto"/>
        <w:ind w:left="851" w:right="-2" w:hanging="851"/>
        <w:jc w:val="both"/>
        <w:rPr>
          <w:rFonts w:ascii="Calibri" w:eastAsia="Batang" w:hAnsi="Calibri" w:cs="Calibri"/>
          <w:sz w:val="25"/>
          <w:szCs w:val="25"/>
          <w:lang w:val="fr-BE"/>
        </w:rPr>
      </w:pPr>
      <w:r>
        <w:rPr>
          <w:rFonts w:ascii="Calibri" w:eastAsia="Batang" w:hAnsi="Calibri" w:cs="Calibri"/>
          <w:noProof/>
          <w:sz w:val="25"/>
          <w:szCs w:val="25"/>
        </w:rPr>
        <w:lastRenderedPageBreak/>
        <mc:AlternateContent>
          <mc:Choice Requires="wps">
            <w:drawing>
              <wp:anchor distT="0" distB="0" distL="0" distR="0" simplePos="0" relativeHeight="5" behindDoc="0" locked="0" layoutInCell="1" allowOverlap="1">
                <wp:simplePos x="0" y="0"/>
                <wp:positionH relativeFrom="column">
                  <wp:posOffset>2291644</wp:posOffset>
                </wp:positionH>
                <wp:positionV relativeFrom="paragraph">
                  <wp:posOffset>-474133</wp:posOffset>
                </wp:positionV>
                <wp:extent cx="1072445" cy="530577"/>
                <wp:effectExtent l="0" t="0" r="13970" b="22225"/>
                <wp:wrapNone/>
                <wp:docPr id="10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2445" cy="530577"/>
                        </a:xfrm>
                        <a:prstGeom prst="rect">
                          <a:avLst/>
                        </a:prstGeom>
                        <a:solidFill>
                          <a:srgbClr val="FFFFFF"/>
                        </a:solidFill>
                        <a:ln w="12700" cap="flat" cmpd="sng">
                          <a:solidFill>
                            <a:srgbClr val="FFFFFF"/>
                          </a:solidFill>
                          <a:prstDash val="solid"/>
                          <a:miter/>
                          <a:headEnd/>
                          <a:tailEnd/>
                        </a:ln>
                      </wps:spPr>
                      <wps:bodyPr>
                        <a:prstTxWarp prst="textNoShape">
                          <a:avLst/>
                        </a:prstTxWarp>
                      </wps:bodyPr>
                    </wps:wsp>
                  </a:graphicData>
                </a:graphic>
              </wp:anchor>
            </w:drawing>
          </mc:Choice>
          <mc:Fallback xmlns:cx1="http://schemas.microsoft.com/office/drawing/2015/9/8/chartex">
            <w:pict>
              <v:rect w14:anchorId="6C23C700" id="Rectangle 5" o:spid="_x0000_s1026" style="position:absolute;margin-left:180.45pt;margin-top:-37.35pt;width:84.45pt;height:41.8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" strokecolor="white" strokeweight="1pt">
                <v:path arrowok="t"/>
              </v:rect>
            </w:pict>
          </mc:Fallback>
        </mc:AlternateContent>
      </w:r>
    </w:p>
    <w:p w:rsidR="000A31A8" w:rsidRDefault="000A31A8">
      <w:pPr>
        <w:spacing w:line="324" w:lineRule="auto"/>
        <w:ind w:left="851" w:right="-2" w:hanging="851"/>
        <w:jc w:val="both"/>
        <w:rPr>
          <w:rFonts w:ascii="Calibri" w:eastAsia="Batang" w:hAnsi="Calibri" w:cs="Calibri"/>
          <w:sz w:val="25"/>
          <w:szCs w:val="25"/>
          <w:lang w:val="fr-BE"/>
        </w:rPr>
      </w:pPr>
    </w:p>
    <w:p w:rsidR="000A31A8" w:rsidRDefault="000A31A8">
      <w:pPr>
        <w:spacing w:line="324" w:lineRule="auto"/>
        <w:ind w:left="851" w:right="-2" w:hanging="851"/>
        <w:jc w:val="both"/>
        <w:rPr>
          <w:rFonts w:ascii="Calibri" w:eastAsia="Batang" w:hAnsi="Calibri" w:cs="Calibri"/>
          <w:sz w:val="25"/>
          <w:szCs w:val="25"/>
          <w:lang w:val="fr-BE"/>
        </w:rPr>
        <w:sectPr w:rsidR="000A31A8">
          <w:pgSz w:w="11906" w:h="16838"/>
          <w:pgMar w:top="1440" w:right="1440" w:bottom="1440" w:left="1800" w:header="850" w:footer="850" w:gutter="0"/>
          <w:pgNumType w:start="57"/>
          <w:cols w:space="720"/>
          <w:docGrid w:linePitch="272"/>
        </w:sectPr>
      </w:pPr>
    </w:p>
    <w:p w:rsidR="000A31A8" w:rsidRDefault="0065345B">
      <w:pPr>
        <w:spacing w:line="324" w:lineRule="auto"/>
        <w:ind w:right="-2"/>
        <w:jc w:val="both"/>
        <w:rPr>
          <w:rFonts w:ascii="Calibri" w:eastAsia="Batang" w:hAnsi="Calibri" w:cs="Calibri"/>
          <w:sz w:val="25"/>
          <w:szCs w:val="25"/>
          <w:lang w:val="fr-BE"/>
        </w:rPr>
      </w:pPr>
      <w:r>
        <w:rPr>
          <w:rFonts w:ascii="Calibri" w:eastAsia="Batang" w:hAnsi="Calibri" w:cs="Calibri"/>
          <w:sz w:val="25"/>
          <w:szCs w:val="25"/>
          <w:lang w:val="fr-BE"/>
        </w:rPr>
        <w:lastRenderedPageBreak/>
        <w:t xml:space="preserve">Les théories du contrat social constituent une alternative au fondement divin du pouvoir politique. Comment légitimer la démocratie ? D’Hugues Cornet dit Grotius, à Hobbes, Locke, Rousseau et Rawls, on cherche à fonder le pouvoir sur l’individu. Cet héritage de la modernité est aujourd’hui discutée pour ses conséquences, notamment l’affirmation excessive de l’individualisme que d’aucuns qualifie de solipsisme moderne. Pour les communautaristes, pour la Gauche et même pour certains penseurs africains, il y a lieu d’envisager un rapport harmonieux entre l’individu et la société. </w:t>
      </w:r>
    </w:p>
    <w:p w:rsidR="000A31A8" w:rsidRDefault="000A31A8">
      <w:pPr>
        <w:spacing w:line="324" w:lineRule="auto"/>
        <w:ind w:left="851" w:right="-2"/>
        <w:jc w:val="both"/>
        <w:rPr>
          <w:rFonts w:ascii="Calibri" w:eastAsia="Batang" w:hAnsi="Calibri" w:cs="Calibri"/>
          <w:noProof/>
          <w:sz w:val="25"/>
          <w:szCs w:val="25"/>
        </w:rPr>
      </w:pPr>
    </w:p>
    <w:p w:rsidR="000A31A8" w:rsidRDefault="000A31A8">
      <w:pPr>
        <w:spacing w:line="324" w:lineRule="auto"/>
        <w:ind w:left="851" w:right="-2"/>
        <w:jc w:val="both"/>
        <w:rPr>
          <w:rFonts w:ascii="Calibri" w:eastAsia="Batang" w:hAnsi="Calibri" w:cs="Calibri"/>
          <w:noProof/>
          <w:sz w:val="25"/>
          <w:szCs w:val="25"/>
        </w:rPr>
      </w:pPr>
    </w:p>
    <w:p w:rsidR="000A31A8" w:rsidRDefault="000A31A8">
      <w:pPr>
        <w:spacing w:line="324" w:lineRule="auto"/>
        <w:ind w:left="851" w:right="-2"/>
        <w:jc w:val="both"/>
        <w:rPr>
          <w:rFonts w:ascii="Calibri" w:eastAsia="Batang" w:hAnsi="Calibri" w:cs="Calibri"/>
          <w:noProof/>
          <w:sz w:val="25"/>
          <w:szCs w:val="25"/>
        </w:rPr>
      </w:pPr>
    </w:p>
    <w:p w:rsidR="000A31A8" w:rsidRDefault="000A31A8">
      <w:pPr>
        <w:spacing w:line="324" w:lineRule="auto"/>
        <w:ind w:left="851" w:right="-2"/>
        <w:jc w:val="both"/>
        <w:rPr>
          <w:rFonts w:ascii="Calibri" w:eastAsia="Batang" w:hAnsi="Calibri" w:cs="Calibri"/>
          <w:noProof/>
          <w:sz w:val="25"/>
          <w:szCs w:val="25"/>
        </w:rPr>
      </w:pPr>
    </w:p>
    <w:p w:rsidR="000A31A8" w:rsidRDefault="000A31A8">
      <w:pPr>
        <w:spacing w:line="324" w:lineRule="auto"/>
        <w:ind w:left="851" w:right="-2"/>
        <w:jc w:val="both"/>
        <w:rPr>
          <w:rFonts w:ascii="Calibri" w:eastAsia="Batang" w:hAnsi="Calibri" w:cs="Calibri"/>
          <w:noProof/>
          <w:sz w:val="25"/>
          <w:szCs w:val="25"/>
        </w:rPr>
      </w:pPr>
    </w:p>
    <w:p w:rsidR="000A31A8" w:rsidRDefault="000A31A8">
      <w:pPr>
        <w:spacing w:line="324" w:lineRule="auto"/>
        <w:ind w:left="851" w:right="-2"/>
        <w:jc w:val="both"/>
        <w:rPr>
          <w:rFonts w:ascii="Calibri" w:eastAsia="Batang" w:hAnsi="Calibri" w:cs="Calibri"/>
          <w:noProof/>
          <w:sz w:val="25"/>
          <w:szCs w:val="25"/>
        </w:rPr>
      </w:pPr>
    </w:p>
    <w:p w:rsidR="000A31A8" w:rsidRDefault="0065345B">
      <w:pPr>
        <w:spacing w:line="324" w:lineRule="auto"/>
        <w:ind w:right="-2"/>
        <w:jc w:val="both"/>
        <w:rPr>
          <w:rFonts w:ascii="Calibri" w:eastAsia="Batang" w:hAnsi="Calibri" w:cs="Calibri"/>
          <w:sz w:val="24"/>
          <w:szCs w:val="24"/>
          <w:lang w:val="fr-BE"/>
        </w:rPr>
      </w:pPr>
      <w:r>
        <w:rPr>
          <w:noProof/>
        </w:rPr>
        <w:drawing>
          <wp:anchor distT="0" distB="0" distL="114300" distR="114300" simplePos="0" relativeHeight="2" behindDoc="1" locked="0" layoutInCell="1" allowOverlap="1">
            <wp:simplePos x="0" y="0"/>
            <wp:positionH relativeFrom="column">
              <wp:posOffset>0</wp:posOffset>
            </wp:positionH>
            <wp:positionV relativeFrom="paragraph">
              <wp:posOffset>50800</wp:posOffset>
            </wp:positionV>
            <wp:extent cx="1546225" cy="2063114"/>
            <wp:effectExtent l="0" t="0" r="0" b="0"/>
            <wp:wrapTight wrapText="bothSides">
              <wp:wrapPolygon edited="0">
                <wp:start x="0" y="0"/>
                <wp:lineTo x="0" y="21341"/>
                <wp:lineTo x="21290" y="21341"/>
                <wp:lineTo x="21290" y="0"/>
                <wp:lineTo x="0" y="0"/>
              </wp:wrapPolygon>
            </wp:wrapTight>
            <wp:docPr id="103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rcRect/>
                    <a:stretch/>
                  </pic:blipFill>
                  <pic:spPr>
                    <a:xfrm>
                      <a:off x="0" y="0"/>
                      <a:ext cx="1546225" cy="2063114"/>
                    </a:xfrm>
                    <a:prstGeom prst="rect">
                      <a:avLst/>
                    </a:prstGeom>
                    <a:ln>
                      <a:noFill/>
                    </a:ln>
                  </pic:spPr>
                </pic:pic>
              </a:graphicData>
            </a:graphic>
            <wp14:sizeRelH relativeFrom="page">
              <wp14:pctWidth>0</wp14:pctWidth>
            </wp14:sizeRelH>
            <wp14:sizeRelV relativeFrom="page">
              <wp14:pctHeight>0</wp14:pctHeight>
            </wp14:sizeRelV>
          </wp:anchor>
        </w:drawing>
      </w:r>
      <w:r>
        <w:rPr>
          <w:rFonts w:ascii="Calibri" w:eastAsia="Batang" w:hAnsi="Calibri" w:cs="Calibri"/>
          <w:sz w:val="25"/>
          <w:szCs w:val="25"/>
          <w:lang w:val="fr-BE"/>
        </w:rPr>
        <w:t xml:space="preserve">Né à Kisangani dans la province de la Tshopo en république démocratique du Congo, </w:t>
      </w:r>
      <w:r>
        <w:rPr>
          <w:rFonts w:ascii="Calibri" w:eastAsia="Batang" w:hAnsi="Calibri" w:cs="Calibri"/>
          <w:b/>
          <w:sz w:val="25"/>
          <w:szCs w:val="25"/>
          <w:lang w:val="fr-BE"/>
        </w:rPr>
        <w:t>Antoine Ngute Novato</w:t>
      </w:r>
      <w:r>
        <w:rPr>
          <w:rFonts w:ascii="Calibri" w:eastAsia="Batang" w:hAnsi="Calibri" w:cs="Calibri"/>
          <w:sz w:val="25"/>
          <w:szCs w:val="25"/>
          <w:lang w:val="fr-BE"/>
        </w:rPr>
        <w:t xml:space="preserve"> est gradué en philosophie de l’Université de Kinshasa, licencié et Diplômé d’Etudes Supérieures des Facultés Catholiques de Kinshasa (actuellement, Université Catholique du Congo), Docteur en philosophie de l’Université de Kisangani. Certifié en Gestion Axée sur les Résultats et en Leadership par Idéa International, ses domaines de recherche sont: la philosophie politique et sociale, la philosophie du droit et les idéologies politiques.</w:t>
      </w:r>
    </w:p>
    <w:sectPr w:rsidR="000A31A8">
      <w:pgSz w:w="11906" w:h="16838"/>
      <w:pgMar w:top="1440" w:right="1440" w:bottom="1440" w:left="1800" w:header="850" w:footer="850" w:gutter="0"/>
      <w:pgNumType w:start="114"/>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B38" w:rsidRDefault="00146B38">
      <w:r>
        <w:separator/>
      </w:r>
    </w:p>
  </w:endnote>
  <w:endnote w:type="continuationSeparator" w:id="0">
    <w:p w:rsidR="00146B38" w:rsidRDefault="0014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B38" w:rsidRDefault="00146B38">
      <w:r>
        <w:separator/>
      </w:r>
    </w:p>
  </w:footnote>
  <w:footnote w:type="continuationSeparator" w:id="0">
    <w:p w:rsidR="00146B38" w:rsidRDefault="00146B38">
      <w:r>
        <w:continuationSeparator/>
      </w:r>
    </w:p>
  </w:footnote>
  <w:footnote w:id="1">
    <w:p w:rsidR="000A31A8" w:rsidRDefault="0065345B">
      <w:pPr>
        <w:pStyle w:val="Notedebasdepage"/>
        <w:tabs>
          <w:tab w:val="left" w:pos="8080"/>
        </w:tabs>
        <w:ind w:right="-2" w:firstLine="709"/>
        <w:jc w:val="both"/>
      </w:pPr>
      <w:r>
        <w:rPr>
          <w:rStyle w:val="Appelnotedebasdep"/>
          <w:rFonts w:ascii="Calibri Light" w:hAnsi="Calibri Light" w:cs="Calibri Light"/>
          <w:sz w:val="22"/>
          <w:szCs w:val="22"/>
        </w:rPr>
        <w:footnoteRef/>
      </w:r>
      <w:r>
        <w:rPr>
          <w:rFonts w:ascii="Calibri Light" w:hAnsi="Calibri Light" w:cs="Calibri Light"/>
          <w:sz w:val="22"/>
          <w:szCs w:val="22"/>
        </w:rPr>
        <w:t xml:space="preserve"> Pour Socrate, l’individualisme est un mal profond. Son programme de reconstruire un éthos politique et rationnel sera approfondi par Platon pour qui le pouvoir qui se fondait jadis sur les liens de sang devait céder la place à la philosophie. Désormais, c’est le philosophe qui doit gérer la chose publique parce qu’il est sage, parce qu’il possède la science.</w:t>
      </w:r>
    </w:p>
  </w:footnote>
  <w:footnote w:id="2">
    <w:p w:rsidR="000A31A8" w:rsidRDefault="0065345B">
      <w:pPr>
        <w:pStyle w:val="Notedebasdepage"/>
        <w:tabs>
          <w:tab w:val="left" w:pos="8080"/>
        </w:tabs>
        <w:ind w:right="-2" w:firstLine="709"/>
        <w:jc w:val="both"/>
      </w:pPr>
      <w:r>
        <w:rPr>
          <w:rStyle w:val="Appelnotedebasdep"/>
          <w:rFonts w:ascii="Calibri Light" w:hAnsi="Calibri Light" w:cs="Calibri Light"/>
          <w:sz w:val="22"/>
          <w:szCs w:val="22"/>
        </w:rPr>
        <w:footnoteRef/>
      </w:r>
      <w:r>
        <w:rPr>
          <w:rFonts w:ascii="Calibri Light" w:hAnsi="Calibri Light" w:cs="Calibri Light"/>
          <w:sz w:val="22"/>
          <w:szCs w:val="22"/>
        </w:rPr>
        <w:t xml:space="preserve"> Cf. Livre II et livre III de </w:t>
      </w:r>
      <w:r>
        <w:rPr>
          <w:rFonts w:ascii="Calibri Light" w:hAnsi="Calibri Light" w:cs="Calibri Light"/>
          <w:i/>
          <w:iCs/>
          <w:sz w:val="22"/>
          <w:szCs w:val="22"/>
        </w:rPr>
        <w:t>La politique</w:t>
      </w:r>
      <w:r>
        <w:rPr>
          <w:rFonts w:ascii="Calibri Light" w:hAnsi="Calibri Light" w:cs="Calibri Light"/>
          <w:sz w:val="22"/>
          <w:szCs w:val="22"/>
        </w:rPr>
        <w:t>. Aristote fait l’analyse des régimes conçues par ses prédécesseurs et propose une théorie politique d’où sont nées les six formes de constitution : la monarchie et la tyrannie, l’aristocratie et l’oligarchie, la démocratie et la démagogie. Il y revient de manière encore plus explicite dans les livres IV et VI.</w:t>
      </w:r>
    </w:p>
  </w:footnote>
  <w:footnote w:id="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 JAUME, </w:t>
      </w:r>
      <w:r>
        <w:rPr>
          <w:rFonts w:ascii="Calibri Light" w:eastAsia="Batang" w:hAnsi="Calibri Light" w:cs="Calibri Light"/>
          <w:i/>
          <w:iCs/>
          <w:sz w:val="22"/>
          <w:szCs w:val="22"/>
        </w:rPr>
        <w:t>Hobbes et l’Etat représentatif moderne</w:t>
      </w:r>
      <w:r>
        <w:rPr>
          <w:rFonts w:ascii="Calibri Light" w:eastAsia="Batang" w:hAnsi="Calibri Light" w:cs="Calibri Light"/>
          <w:sz w:val="22"/>
          <w:szCs w:val="22"/>
        </w:rPr>
        <w:t>,  Paris, PUF, 1986, p.24.</w:t>
      </w:r>
    </w:p>
  </w:footnote>
  <w:footnote w:id="4">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5">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p.202.</w:t>
      </w:r>
    </w:p>
  </w:footnote>
  <w:footnote w:id="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chap. </w:t>
      </w:r>
      <w:r>
        <w:rPr>
          <w:rFonts w:ascii="Calibri Light" w:eastAsia="Batang" w:hAnsi="Calibri Light" w:cs="Calibri Light"/>
          <w:sz w:val="22"/>
          <w:szCs w:val="22"/>
        </w:rPr>
        <w:t>XV cité par A. VERGEZ &amp; D. HUISMAN,</w:t>
      </w:r>
      <w:r>
        <w:rPr>
          <w:rFonts w:ascii="Calibri Light" w:eastAsia="Batang" w:hAnsi="Calibri Light" w:cs="Calibri Light"/>
          <w:i/>
          <w:iCs/>
          <w:sz w:val="22"/>
          <w:szCs w:val="22"/>
        </w:rPr>
        <w:t xml:space="preserve"> Histoire des philosophes illustrée par les  textes, </w:t>
      </w:r>
      <w:r>
        <w:rPr>
          <w:rFonts w:ascii="Calibri Light" w:eastAsia="Batang" w:hAnsi="Calibri Light" w:cs="Calibri Light"/>
          <w:sz w:val="22"/>
          <w:szCs w:val="22"/>
        </w:rPr>
        <w:t>Paris, Fernand Nathan, 1966, pp .207-208.</w:t>
      </w:r>
    </w:p>
  </w:footnote>
  <w:footnote w:id="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p>
  </w:footnote>
  <w:footnote w:id="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 134.</w:t>
      </w:r>
    </w:p>
  </w:footnote>
  <w:footnote w:id="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LOCKE, </w:t>
      </w:r>
      <w:r>
        <w:rPr>
          <w:rFonts w:ascii="Calibri Light" w:eastAsia="Batang" w:hAnsi="Calibri Light" w:cs="Calibri Light"/>
          <w:i/>
          <w:iCs/>
          <w:sz w:val="22"/>
          <w:szCs w:val="22"/>
        </w:rPr>
        <w:t>Du gouvernement civil</w:t>
      </w:r>
      <w:r>
        <w:rPr>
          <w:rFonts w:ascii="Calibri Light" w:eastAsia="Batang" w:hAnsi="Calibri Light" w:cs="Calibri Light"/>
          <w:sz w:val="22"/>
          <w:szCs w:val="22"/>
        </w:rPr>
        <w:t>, Paris, Flammarion, 1984, p .191.</w:t>
      </w:r>
    </w:p>
  </w:footnote>
  <w:footnote w:id="1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LOCKE,</w:t>
      </w:r>
      <w:r>
        <w:rPr>
          <w:rFonts w:ascii="Calibri Light" w:eastAsia="Batang" w:hAnsi="Calibri Light" w:cs="Calibri Light"/>
          <w:i/>
          <w:iCs/>
          <w:sz w:val="22"/>
          <w:szCs w:val="22"/>
        </w:rPr>
        <w:t xml:space="preserve"> « </w:t>
      </w:r>
      <w:r>
        <w:rPr>
          <w:rFonts w:ascii="Calibri Light" w:eastAsia="Batang" w:hAnsi="Calibri Light" w:cs="Calibri Light"/>
          <w:sz w:val="22"/>
          <w:szCs w:val="22"/>
        </w:rPr>
        <w:t xml:space="preserve">Quatre lettres à Philippe de Limborch »,  dans </w:t>
      </w:r>
      <w:r>
        <w:rPr>
          <w:rFonts w:ascii="Calibri Light" w:eastAsia="Batang" w:hAnsi="Calibri Light" w:cs="Calibri Light"/>
          <w:i/>
          <w:iCs/>
          <w:sz w:val="22"/>
          <w:szCs w:val="22"/>
        </w:rPr>
        <w:t>Philosophie</w:t>
      </w:r>
      <w:r>
        <w:rPr>
          <w:rFonts w:ascii="Calibri Light" w:eastAsia="Batang" w:hAnsi="Calibri Light" w:cs="Calibri Light"/>
          <w:sz w:val="22"/>
          <w:szCs w:val="22"/>
        </w:rPr>
        <w:t>, Paris, Les éd. Minuit, 1997, p.34.</w:t>
      </w:r>
    </w:p>
  </w:footnote>
  <w:footnote w:id="1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 Von LEYDEN,  « La loi, la liberté et la prérogative dans la pensée politique de John Locke », dans </w:t>
      </w:r>
      <w:r>
        <w:rPr>
          <w:rFonts w:ascii="Calibri Light" w:eastAsia="Batang" w:hAnsi="Calibri Light" w:cs="Calibri Light"/>
          <w:i/>
          <w:iCs/>
          <w:sz w:val="22"/>
          <w:szCs w:val="22"/>
        </w:rPr>
        <w:t>Revue de philosophie</w:t>
      </w:r>
      <w:r>
        <w:rPr>
          <w:rFonts w:ascii="Calibri Light" w:eastAsia="Batang" w:hAnsi="Calibri Light" w:cs="Calibri Light"/>
          <w:sz w:val="22"/>
          <w:szCs w:val="22"/>
        </w:rPr>
        <w:t>, Paris, PUF, 1964, p.187.</w:t>
      </w:r>
    </w:p>
  </w:footnote>
  <w:footnote w:id="1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1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1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p.173.</w:t>
      </w:r>
    </w:p>
  </w:footnote>
  <w:footnote w:id="1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R. NOZICK, </w:t>
      </w:r>
      <w:r>
        <w:rPr>
          <w:rFonts w:ascii="Calibri Light" w:eastAsia="Batang" w:hAnsi="Calibri Light" w:cs="Calibri Light"/>
          <w:i/>
          <w:iCs/>
          <w:sz w:val="22"/>
          <w:szCs w:val="22"/>
          <w:lang w:val="fr-BE"/>
        </w:rPr>
        <w:t>Anarchy, State and Utopia</w:t>
      </w:r>
      <w:r>
        <w:rPr>
          <w:rFonts w:ascii="Calibri Light" w:eastAsia="Batang" w:hAnsi="Calibri Light" w:cs="Calibri Light"/>
          <w:sz w:val="22"/>
          <w:szCs w:val="22"/>
          <w:lang w:val="fr-BE"/>
        </w:rPr>
        <w:t xml:space="preserve">, </w:t>
      </w:r>
      <w:r>
        <w:rPr>
          <w:rFonts w:ascii="Calibri Light" w:eastAsia="Batang" w:hAnsi="Calibri Light" w:cs="Calibri Light"/>
          <w:sz w:val="22"/>
          <w:szCs w:val="22"/>
        </w:rPr>
        <w:t>New York, Basic Books, 1974 ; il part d’ailleurs de Locke et non de Hobbes puisque chez Locke l’état de nature est plus agréable. Dans la perspective de Nozick, dans l’état de nature, chacun est absolument libre de disposer à son gré de ses possessions et de sa personne, dès lors que ses actions respectent la loi de nature, c’est-à-dire ne nuisent ni à la vie, ni à la santé, ni à la liberté, ni aux possessions des autres ( J.-P. DUPUY</w:t>
      </w:r>
      <w:r>
        <w:rPr>
          <w:rFonts w:ascii="Calibri Light" w:eastAsia="Batang" w:hAnsi="Calibri Light" w:cs="Calibri Light"/>
          <w:i/>
          <w:iCs/>
          <w:sz w:val="22"/>
          <w:szCs w:val="22"/>
        </w:rPr>
        <w:t xml:space="preserve">, </w:t>
      </w:r>
      <w:r>
        <w:rPr>
          <w:rFonts w:ascii="Calibri Light" w:eastAsia="Batang" w:hAnsi="Calibri Light" w:cs="Calibri Light"/>
          <w:sz w:val="22"/>
          <w:szCs w:val="22"/>
        </w:rPr>
        <w:t xml:space="preserve">« La liberté comme marchandise », dans F. RECANATI (Dir.), </w:t>
      </w:r>
      <w:r>
        <w:rPr>
          <w:rFonts w:ascii="Calibri Light" w:eastAsia="Batang" w:hAnsi="Calibri Light" w:cs="Calibri Light"/>
          <w:i/>
          <w:iCs/>
          <w:sz w:val="22"/>
          <w:szCs w:val="22"/>
        </w:rPr>
        <w:t>Ethique et philosophie politique,</w:t>
      </w:r>
      <w:r>
        <w:rPr>
          <w:rFonts w:ascii="Calibri Light" w:eastAsia="Batang" w:hAnsi="Calibri Light" w:cs="Calibri Light"/>
          <w:sz w:val="22"/>
          <w:szCs w:val="22"/>
        </w:rPr>
        <w:t xml:space="preserve"> dans</w:t>
      </w:r>
      <w:r>
        <w:rPr>
          <w:rFonts w:ascii="Calibri Light" w:eastAsia="Batang" w:hAnsi="Calibri Light" w:cs="Calibri Light"/>
          <w:i/>
          <w:iCs/>
          <w:sz w:val="22"/>
          <w:szCs w:val="22"/>
        </w:rPr>
        <w:t xml:space="preserve"> L’âge de la science, lectures philosophiques 1</w:t>
      </w:r>
      <w:r>
        <w:rPr>
          <w:rFonts w:ascii="Calibri Light" w:eastAsia="Batang" w:hAnsi="Calibri Light" w:cs="Calibri Light"/>
          <w:sz w:val="22"/>
          <w:szCs w:val="22"/>
        </w:rPr>
        <w:t>, 1988, p.90).</w:t>
      </w:r>
    </w:p>
  </w:footnote>
  <w:footnote w:id="1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 pp.187-188.</w:t>
      </w:r>
    </w:p>
  </w:footnote>
  <w:footnote w:id="1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L. STRAUSS,  </w:t>
      </w:r>
      <w:r>
        <w:rPr>
          <w:rFonts w:ascii="Calibri Light" w:eastAsia="Batang" w:hAnsi="Calibri Light" w:cs="Calibri Light"/>
          <w:i/>
          <w:iCs/>
          <w:sz w:val="22"/>
          <w:szCs w:val="22"/>
          <w:lang w:val="fr-BE"/>
        </w:rPr>
        <w:t>Droit naturel et Histoire</w:t>
      </w:r>
      <w:r>
        <w:rPr>
          <w:rFonts w:ascii="Calibri Light" w:eastAsia="Batang" w:hAnsi="Calibri Light" w:cs="Calibri Light"/>
          <w:sz w:val="22"/>
          <w:szCs w:val="22"/>
          <w:lang w:val="fr-BE"/>
        </w:rPr>
        <w:t>, Paris, Plon, 1969, p.234.</w:t>
      </w:r>
    </w:p>
  </w:footnote>
  <w:footnote w:id="2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pp.234-235.</w:t>
      </w:r>
    </w:p>
  </w:footnote>
  <w:footnote w:id="2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p.235.</w:t>
      </w:r>
    </w:p>
  </w:footnote>
  <w:footnote w:id="2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Locke attaque sérieusement l’institution de l’absolutisme monarchique par Hobbes. Il estime que le gouvernement d’un seul homme commandant une multitude est juge dans sa propre cause, et peut faire à tous ses sujets ce qui lui plaît sans que personne n’ait le droit de se plaindre de ceux qui exécutent ses volontés ou de former une opposition.</w:t>
      </w:r>
    </w:p>
  </w:footnote>
  <w:footnote w:id="2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A. VERGEZ &amp; D. HUISMAN, </w:t>
      </w:r>
      <w:r>
        <w:rPr>
          <w:rFonts w:ascii="Calibri Light" w:eastAsia="Batang" w:hAnsi="Calibri Light" w:cs="Calibri Light"/>
          <w:i/>
          <w:iCs/>
          <w:sz w:val="22"/>
          <w:szCs w:val="22"/>
          <w:lang w:val="fr-BE"/>
        </w:rPr>
        <w:t>o.c ; p.206.</w:t>
      </w:r>
    </w:p>
  </w:footnote>
  <w:footnote w:id="2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J.-J. ROUSSEAU, </w:t>
      </w:r>
      <w:r>
        <w:rPr>
          <w:rFonts w:ascii="Calibri Light" w:eastAsia="Batang" w:hAnsi="Calibri Light" w:cs="Calibri Light"/>
          <w:i/>
          <w:iCs/>
          <w:sz w:val="22"/>
          <w:szCs w:val="22"/>
        </w:rPr>
        <w:t>Du contrat social</w:t>
      </w:r>
      <w:r>
        <w:rPr>
          <w:rFonts w:ascii="Calibri Light" w:eastAsia="Batang" w:hAnsi="Calibri Light" w:cs="Calibri Light"/>
          <w:sz w:val="22"/>
          <w:szCs w:val="22"/>
        </w:rPr>
        <w:t>, Paris, Magnard, 1986, p.299. La conception hobbesienne de l’état de nature est tout le contraire du</w:t>
      </w:r>
      <w:r>
        <w:rPr>
          <w:rFonts w:ascii="Calibri Light" w:eastAsia="Batang" w:hAnsi="Calibri Light" w:cs="Calibri Light"/>
          <w:i/>
          <w:iCs/>
          <w:sz w:val="22"/>
          <w:szCs w:val="22"/>
        </w:rPr>
        <w:t xml:space="preserve"> Discours sur l’origine de l’inégalité parmi les hommes.</w:t>
      </w:r>
    </w:p>
  </w:footnote>
  <w:footnote w:id="25">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p.305.</w:t>
      </w:r>
    </w:p>
  </w:footnote>
  <w:footnote w:id="26">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en-GB"/>
        </w:rPr>
        <w:t xml:space="preserve"> Ibidem.</w:t>
      </w:r>
    </w:p>
  </w:footnote>
  <w:footnote w:id="2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L. STRAUSS</w:t>
      </w:r>
      <w:r>
        <w:rPr>
          <w:rFonts w:ascii="Calibri Light" w:eastAsia="Batang" w:hAnsi="Calibri Light" w:cs="Calibri Light"/>
          <w:i/>
          <w:iCs/>
          <w:sz w:val="22"/>
          <w:szCs w:val="22"/>
          <w:lang w:val="de-DE"/>
        </w:rPr>
        <w:t>,o.c.,</w:t>
      </w:r>
      <w:r>
        <w:rPr>
          <w:rFonts w:ascii="Calibri Light" w:eastAsia="Batang" w:hAnsi="Calibri Light" w:cs="Calibri Light"/>
          <w:sz w:val="22"/>
          <w:szCs w:val="22"/>
          <w:lang w:val="de-DE"/>
        </w:rPr>
        <w:t xml:space="preserve"> p. 276. </w:t>
      </w:r>
      <w:r>
        <w:rPr>
          <w:rFonts w:ascii="Calibri Light" w:eastAsia="Batang" w:hAnsi="Calibri Light" w:cs="Calibri Light"/>
          <w:sz w:val="22"/>
          <w:szCs w:val="22"/>
          <w:lang w:val="fr-BE"/>
        </w:rPr>
        <w:t xml:space="preserve">Cette critique deviendra classique : Hobbes voit l’humanité à travers les verres déformants du misanthrope (L. JAUME, </w:t>
      </w:r>
      <w:r>
        <w:rPr>
          <w:rFonts w:ascii="Calibri Light" w:eastAsia="Batang" w:hAnsi="Calibri Light" w:cs="Calibri Light"/>
          <w:i/>
          <w:iCs/>
          <w:sz w:val="22"/>
          <w:szCs w:val="22"/>
          <w:lang w:val="fr-BE"/>
        </w:rPr>
        <w:t>Hobbes et l’Etat représentatif moderne,</w:t>
      </w:r>
      <w:r>
        <w:rPr>
          <w:rFonts w:ascii="Calibri Light" w:eastAsia="Batang" w:hAnsi="Calibri Light" w:cs="Calibri Light"/>
          <w:sz w:val="22"/>
          <w:szCs w:val="22"/>
          <w:lang w:val="fr-BE"/>
        </w:rPr>
        <w:t xml:space="preserve"> Paris, PUF, 1986</w:t>
      </w:r>
      <w:r>
        <w:rPr>
          <w:rFonts w:ascii="Calibri Light" w:eastAsia="Batang" w:hAnsi="Calibri Light" w:cs="Calibri Light"/>
          <w:i/>
          <w:iCs/>
          <w:sz w:val="22"/>
          <w:szCs w:val="22"/>
          <w:lang w:val="fr-BE"/>
        </w:rPr>
        <w:t xml:space="preserve">, </w:t>
      </w:r>
      <w:r>
        <w:rPr>
          <w:rFonts w:ascii="Calibri Light" w:eastAsia="Batang" w:hAnsi="Calibri Light" w:cs="Calibri Light"/>
          <w:sz w:val="22"/>
          <w:szCs w:val="22"/>
          <w:lang w:val="fr-BE"/>
        </w:rPr>
        <w:t xml:space="preserve"> p.26). De même Montesquieu écrit :  « On ne sent pas que l’on attribue aux hommes, avant l’établissement des sociétés, ce qui ne peut leur arriver qu’après cet établissement, qui leur fait trouver des motifs pour s’attaquer et se défendre » ( </w:t>
      </w:r>
      <w:r>
        <w:rPr>
          <w:rFonts w:ascii="Calibri Light" w:eastAsia="Batang" w:hAnsi="Calibri Light" w:cs="Calibri Light"/>
          <w:i/>
          <w:iCs/>
          <w:sz w:val="22"/>
          <w:szCs w:val="22"/>
          <w:lang w:val="fr-BE"/>
        </w:rPr>
        <w:t>Esprit des lois</w:t>
      </w:r>
      <w:r>
        <w:rPr>
          <w:rFonts w:ascii="Calibri Light" w:eastAsia="Batang" w:hAnsi="Calibri Light" w:cs="Calibri Light"/>
          <w:sz w:val="22"/>
          <w:szCs w:val="22"/>
          <w:lang w:val="fr-BE"/>
        </w:rPr>
        <w:t>, p.531).</w:t>
      </w:r>
    </w:p>
  </w:footnote>
  <w:footnote w:id="2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Le passage de l’état de nature à l’état civil se pose chez Rousseau en terme de  trouver une forme d’association (…) par laquelle chacun s’unissant à tous n’obéit pourtant qu’à lui-même et reste aussi libre qu’auparavant. Et ce que l’homme perd pendant ce passage, par le contrat social, c’est la liberté naturelle alors qu’il gagne, par ailleurs, la liberté civile (Cf. J.-J. ROUSSEAU, </w:t>
      </w:r>
      <w:r>
        <w:rPr>
          <w:rFonts w:ascii="Calibri Light" w:eastAsia="Batang" w:hAnsi="Calibri Light" w:cs="Calibri Light"/>
          <w:i/>
          <w:iCs/>
          <w:sz w:val="22"/>
          <w:szCs w:val="22"/>
        </w:rPr>
        <w:t>Contrat social</w:t>
      </w:r>
      <w:r>
        <w:rPr>
          <w:rFonts w:ascii="Calibri Light" w:eastAsia="Batang" w:hAnsi="Calibri Light" w:cs="Calibri Light"/>
          <w:sz w:val="22"/>
          <w:szCs w:val="22"/>
        </w:rPr>
        <w:t xml:space="preserve"> I, VI, VIII).</w:t>
      </w:r>
    </w:p>
  </w:footnote>
  <w:footnote w:id="2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S. GOYARD-FABRE,</w:t>
      </w:r>
      <w:r>
        <w:rPr>
          <w:rFonts w:ascii="Calibri Light" w:eastAsia="Batang" w:hAnsi="Calibri Light" w:cs="Calibri Light"/>
          <w:i/>
          <w:iCs/>
          <w:sz w:val="22"/>
          <w:szCs w:val="22"/>
          <w:lang w:val="fr-BE"/>
        </w:rPr>
        <w:t xml:space="preserve"> Pufendorf et le droit naturel</w:t>
      </w:r>
      <w:r>
        <w:rPr>
          <w:rFonts w:ascii="Calibri Light" w:eastAsia="Batang" w:hAnsi="Calibri Light" w:cs="Calibri Light"/>
          <w:sz w:val="22"/>
          <w:szCs w:val="22"/>
          <w:lang w:val="fr-BE"/>
        </w:rPr>
        <w:t xml:space="preserve">, Paris, PUF, 1994, p.163. Elle se réfère ici à </w:t>
      </w:r>
      <w:r>
        <w:rPr>
          <w:rFonts w:ascii="Calibri Light" w:eastAsia="Batang" w:hAnsi="Calibri Light" w:cs="Calibri Light"/>
          <w:i/>
          <w:iCs/>
          <w:sz w:val="22"/>
          <w:szCs w:val="22"/>
          <w:lang w:val="fr-BE"/>
        </w:rPr>
        <w:t xml:space="preserve">De Officio </w:t>
      </w:r>
      <w:r>
        <w:rPr>
          <w:rFonts w:ascii="Calibri Light" w:eastAsia="Batang" w:hAnsi="Calibri Light" w:cs="Calibri Light"/>
          <w:sz w:val="22"/>
          <w:szCs w:val="22"/>
          <w:lang w:val="fr-BE"/>
        </w:rPr>
        <w:t>, II, V, §2.</w:t>
      </w:r>
    </w:p>
  </w:footnote>
  <w:footnote w:id="3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 p.28</w:t>
      </w:r>
      <w:r>
        <w:rPr>
          <w:rFonts w:ascii="Calibri Light" w:eastAsia="Batang" w:hAnsi="Calibri Light" w:cs="Calibri Light"/>
          <w:sz w:val="22"/>
          <w:szCs w:val="22"/>
          <w:lang w:val="de-DE"/>
        </w:rPr>
        <w:t>1.</w:t>
      </w:r>
    </w:p>
  </w:footnote>
  <w:footnote w:id="3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O. HÖFFE, </w:t>
      </w:r>
      <w:r>
        <w:rPr>
          <w:rFonts w:ascii="Calibri Light" w:eastAsia="Batang" w:hAnsi="Calibri Light" w:cs="Calibri Light"/>
          <w:i/>
          <w:iCs/>
          <w:sz w:val="22"/>
          <w:szCs w:val="22"/>
          <w:lang w:val="fr-BE"/>
        </w:rPr>
        <w:t xml:space="preserve">L'Etat et la Justice .Les problèmes éthiques et politiques dans la philosophie anglo-saxonne, </w:t>
      </w:r>
      <w:r>
        <w:rPr>
          <w:rFonts w:ascii="Calibri Light" w:eastAsia="Batang" w:hAnsi="Calibri Light" w:cs="Calibri Light"/>
          <w:sz w:val="22"/>
          <w:szCs w:val="22"/>
          <w:lang w:val="fr-BE"/>
        </w:rPr>
        <w:t>Paris, J. Vrin, 1988, p.17.</w:t>
      </w:r>
    </w:p>
  </w:footnote>
  <w:footnote w:id="3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La doctrine de la représentation stipule que les contractants forment une personne souveraine reconnaissable en la personne du Léviathan. C’est de cette manière que sont institués les « commonwealth » et «  the right to represent » (Cf. </w:t>
      </w:r>
      <w:r>
        <w:rPr>
          <w:rFonts w:ascii="Calibri Light" w:eastAsia="Batang" w:hAnsi="Calibri Light" w:cs="Calibri Light"/>
          <w:i/>
          <w:iCs/>
          <w:sz w:val="22"/>
          <w:szCs w:val="22"/>
        </w:rPr>
        <w:t>Leviathan</w:t>
      </w:r>
      <w:r>
        <w:rPr>
          <w:rFonts w:ascii="Calibri Light" w:eastAsia="Batang" w:hAnsi="Calibri Light" w:cs="Calibri Light"/>
          <w:sz w:val="22"/>
          <w:szCs w:val="22"/>
        </w:rPr>
        <w:t xml:space="preserve"> XVIII).</w:t>
      </w:r>
    </w:p>
  </w:footnote>
  <w:footnote w:id="3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G. MAIRET, </w:t>
      </w:r>
      <w:r>
        <w:rPr>
          <w:rFonts w:ascii="Calibri Light" w:eastAsia="Batang" w:hAnsi="Calibri Light" w:cs="Calibri Light"/>
          <w:i/>
          <w:iCs/>
          <w:sz w:val="22"/>
          <w:szCs w:val="22"/>
        </w:rPr>
        <w:t>Liberté, égalité</w:t>
      </w:r>
      <w:r>
        <w:rPr>
          <w:rFonts w:ascii="Calibri Light" w:eastAsia="Batang" w:hAnsi="Calibri Light" w:cs="Calibri Light"/>
          <w:sz w:val="22"/>
          <w:szCs w:val="22"/>
        </w:rPr>
        <w:t xml:space="preserve">, dans F. CHATELET (Dir.), </w:t>
      </w:r>
      <w:r>
        <w:rPr>
          <w:rFonts w:ascii="Calibri Light" w:eastAsia="Batang" w:hAnsi="Calibri Light" w:cs="Calibri Light"/>
          <w:i/>
          <w:iCs/>
          <w:sz w:val="22"/>
          <w:szCs w:val="22"/>
        </w:rPr>
        <w:t>Savoir et pouvoir du XVIIIe au XXe s.</w:t>
      </w:r>
      <w:r>
        <w:rPr>
          <w:rFonts w:ascii="Calibri Light" w:eastAsia="Batang" w:hAnsi="Calibri Light" w:cs="Calibri Light"/>
          <w:sz w:val="22"/>
          <w:szCs w:val="22"/>
        </w:rPr>
        <w:t>, Paris, Hachette, 1980, p.80.</w:t>
      </w:r>
    </w:p>
  </w:footnote>
  <w:footnote w:id="3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P. VAN PARIJS,</w:t>
      </w:r>
      <w:r>
        <w:rPr>
          <w:rFonts w:ascii="Calibri Light" w:eastAsia="Batang" w:hAnsi="Calibri Light" w:cs="Calibri Light"/>
          <w:i/>
          <w:iCs/>
          <w:sz w:val="22"/>
          <w:szCs w:val="22"/>
          <w:lang w:val="fr-BE"/>
        </w:rPr>
        <w:t xml:space="preserve"> Qu’est-ce qu’une société juste </w:t>
      </w:r>
      <w:r>
        <w:rPr>
          <w:rFonts w:ascii="Calibri Light" w:eastAsia="Batang" w:hAnsi="Calibri Light" w:cs="Calibri Light"/>
          <w:sz w:val="22"/>
          <w:szCs w:val="22"/>
          <w:lang w:val="fr-BE"/>
        </w:rPr>
        <w:t>? Paris, Seuil, 1997,  p.78.</w:t>
      </w:r>
    </w:p>
  </w:footnote>
  <w:footnote w:id="3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Pour Hannah Arendt, « la politique repose sur un fait : la pluralité humaine (…). La politique traite de la communauté et de la réciprocité d’êtres différents » (Qu’est</w:t>
      </w:r>
      <w:r>
        <w:rPr>
          <w:rFonts w:ascii="Calibri Light" w:eastAsia="Batang" w:hAnsi="Calibri Light" w:cs="Calibri Light"/>
          <w:i/>
          <w:iCs/>
          <w:sz w:val="22"/>
          <w:szCs w:val="22"/>
        </w:rPr>
        <w:t>-ce que la politique</w:t>
      </w:r>
      <w:r>
        <w:rPr>
          <w:rFonts w:ascii="Calibri Light" w:eastAsia="Batang" w:hAnsi="Calibri Light" w:cs="Calibri Light"/>
          <w:sz w:val="22"/>
          <w:szCs w:val="22"/>
        </w:rPr>
        <w:t xml:space="preserve">, pp.39-40). Le </w:t>
      </w:r>
      <w:r>
        <w:rPr>
          <w:rFonts w:ascii="Calibri Light" w:eastAsia="Batang" w:hAnsi="Calibri Light" w:cs="Calibri Light"/>
          <w:i/>
          <w:iCs/>
          <w:sz w:val="22"/>
          <w:szCs w:val="22"/>
        </w:rPr>
        <w:t>« zôon politikon »</w:t>
      </w:r>
      <w:r>
        <w:rPr>
          <w:rFonts w:ascii="Calibri Light" w:eastAsia="Batang" w:hAnsi="Calibri Light" w:cs="Calibri Light"/>
          <w:sz w:val="22"/>
          <w:szCs w:val="22"/>
        </w:rPr>
        <w:t xml:space="preserve"> constitue un être de relation et c’est ce qui fait de lui un  « problème », une difficulté comme l’avait sans doute senti Hobbes.</w:t>
      </w:r>
    </w:p>
  </w:footnote>
  <w:footnote w:id="3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L’argument de Rawls pour le pluralisme, contre l’utilitarisme, tient de deux principes que nous avons en tête pendant toute cette réflexion : Principe d’égale liberté et principe de différence, d’égalité de chances (Cf. J. RAWLS,</w:t>
      </w:r>
      <w:r>
        <w:rPr>
          <w:rFonts w:ascii="Calibri Light" w:eastAsia="Batang" w:hAnsi="Calibri Light" w:cs="Calibri Light"/>
          <w:i/>
          <w:iCs/>
          <w:sz w:val="22"/>
          <w:szCs w:val="22"/>
        </w:rPr>
        <w:t xml:space="preserve"> Théorie de la justice</w:t>
      </w:r>
      <w:r>
        <w:rPr>
          <w:rFonts w:ascii="Calibri Light" w:eastAsia="Batang" w:hAnsi="Calibri Light" w:cs="Calibri Light"/>
          <w:sz w:val="22"/>
          <w:szCs w:val="22"/>
        </w:rPr>
        <w:t>,  Paris, Seuil, 1987, p.60 et p.80).</w:t>
      </w:r>
    </w:p>
  </w:footnote>
  <w:footnote w:id="3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D‘ AVIAU DE TERNAY, « Opportunité d‘une relecture de la philosophie du droit de Kant à partir de la troisième critique »</w:t>
      </w:r>
      <w:r>
        <w:rPr>
          <w:rFonts w:ascii="Calibri Light" w:eastAsia="Batang" w:hAnsi="Calibri Light" w:cs="Calibri Light"/>
          <w:i/>
          <w:iCs/>
          <w:sz w:val="22"/>
          <w:szCs w:val="22"/>
          <w:lang w:val="fr-BE"/>
        </w:rPr>
        <w:t xml:space="preserve">, </w:t>
      </w:r>
      <w:r>
        <w:rPr>
          <w:rFonts w:ascii="Calibri Light" w:eastAsia="Batang" w:hAnsi="Calibri Light" w:cs="Calibri Light"/>
          <w:sz w:val="22"/>
          <w:szCs w:val="22"/>
          <w:lang w:val="fr-BE"/>
        </w:rPr>
        <w:t xml:space="preserve">dans </w:t>
      </w:r>
      <w:r>
        <w:rPr>
          <w:rFonts w:ascii="Calibri Light" w:eastAsia="Batang" w:hAnsi="Calibri Light" w:cs="Calibri Light"/>
          <w:i/>
          <w:iCs/>
          <w:sz w:val="22"/>
          <w:szCs w:val="22"/>
          <w:lang w:val="fr-BE"/>
        </w:rPr>
        <w:t xml:space="preserve">Revue de métaphysique et de morale </w:t>
      </w:r>
      <w:r>
        <w:rPr>
          <w:rFonts w:ascii="Calibri Light" w:eastAsia="Batang" w:hAnsi="Calibri Light" w:cs="Calibri Light"/>
          <w:sz w:val="22"/>
          <w:szCs w:val="22"/>
          <w:lang w:val="fr-BE"/>
        </w:rPr>
        <w:t>(Philosophie politique) n°2, 1996, p.232.</w:t>
      </w:r>
    </w:p>
  </w:footnote>
  <w:footnote w:id="3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o. c</w:t>
      </w:r>
      <w:r>
        <w:rPr>
          <w:rFonts w:ascii="Calibri Light" w:eastAsia="Batang" w:hAnsi="Calibri Light" w:cs="Calibri Light"/>
          <w:sz w:val="22"/>
          <w:szCs w:val="22"/>
        </w:rPr>
        <w:t>. p.150.</w:t>
      </w:r>
    </w:p>
  </w:footnote>
  <w:footnote w:id="3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B. GUILLARME</w:t>
      </w:r>
      <w:r>
        <w:rPr>
          <w:rFonts w:ascii="Calibri Light" w:eastAsia="Batang" w:hAnsi="Calibri Light" w:cs="Calibri Light"/>
          <w:i/>
          <w:iCs/>
          <w:sz w:val="22"/>
          <w:szCs w:val="22"/>
        </w:rPr>
        <w:t>,</w:t>
      </w:r>
      <w:r>
        <w:rPr>
          <w:rFonts w:ascii="Calibri Light" w:eastAsia="Batang" w:hAnsi="Calibri Light" w:cs="Calibri Light"/>
          <w:sz w:val="22"/>
          <w:szCs w:val="22"/>
        </w:rPr>
        <w:t xml:space="preserve"> « Rawls, philosophie de l’égalité démocratique », dans A. RENAUT (Dir.), </w:t>
      </w:r>
      <w:r>
        <w:rPr>
          <w:rFonts w:ascii="Calibri Light" w:eastAsia="Batang" w:hAnsi="Calibri Light" w:cs="Calibri Light"/>
          <w:i/>
          <w:iCs/>
          <w:sz w:val="22"/>
          <w:szCs w:val="22"/>
        </w:rPr>
        <w:t xml:space="preserve">Les philosophies politiques contemporaines, </w:t>
      </w:r>
      <w:r>
        <w:rPr>
          <w:rFonts w:ascii="Calibri Light" w:eastAsia="Batang" w:hAnsi="Calibri Light" w:cs="Calibri Light"/>
          <w:sz w:val="22"/>
          <w:szCs w:val="22"/>
        </w:rPr>
        <w:t>Paris, Calman-lévy, 2001,  p.313.</w:t>
      </w:r>
    </w:p>
  </w:footnote>
  <w:footnote w:id="4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p.311.</w:t>
      </w:r>
    </w:p>
  </w:footnote>
  <w:footnote w:id="4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Pour Kant « la nature raisonnable se distingue de toutes les autres en ce qu’elle se donne une fin à elle-même. Cette fin serait la matière de toute bonne volonté (…) une fin contre laquelle on ne doit jamais agir, et que pourtant il ne faut jamais traiter comme moyen » (E. KANT, </w:t>
      </w:r>
      <w:r>
        <w:rPr>
          <w:rFonts w:ascii="Calibri Light" w:eastAsia="Batang" w:hAnsi="Calibri Light" w:cs="Calibri Light"/>
          <w:i/>
          <w:iCs/>
          <w:sz w:val="22"/>
          <w:szCs w:val="22"/>
        </w:rPr>
        <w:t>Fondements de la métaphysique des mœurs</w:t>
      </w:r>
      <w:r>
        <w:rPr>
          <w:rFonts w:ascii="Calibri Light" w:eastAsia="Batang" w:hAnsi="Calibri Light" w:cs="Calibri Light"/>
          <w:sz w:val="22"/>
          <w:szCs w:val="22"/>
        </w:rPr>
        <w:t>, Paris, J. Vrin, 1980, p.74). Il s’agit finalement du devoir nécessaire et strict envers autrui, celui qui est tenté de faire une promesse trompeuse reconnaîtra aussitôt qu’il veut se servir d’un autre homme simplement comme moyen, comme si cet homme ne contenait pas en soi une fin (Cf.</w:t>
      </w:r>
      <w:r>
        <w:rPr>
          <w:rFonts w:ascii="Calibri Light" w:eastAsia="Batang" w:hAnsi="Calibri Light" w:cs="Calibri Light"/>
          <w:i/>
          <w:iCs/>
          <w:sz w:val="22"/>
          <w:szCs w:val="22"/>
        </w:rPr>
        <w:t>Ibid</w:t>
      </w:r>
      <w:r>
        <w:rPr>
          <w:rFonts w:ascii="Calibri Light" w:eastAsia="Batang" w:hAnsi="Calibri Light" w:cs="Calibri Light"/>
          <w:sz w:val="22"/>
          <w:szCs w:val="22"/>
        </w:rPr>
        <w:t>. p.63).</w:t>
      </w:r>
    </w:p>
  </w:footnote>
  <w:footnote w:id="4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O. HÖFFE, </w:t>
      </w:r>
      <w:r>
        <w:rPr>
          <w:rFonts w:ascii="Calibri Light" w:eastAsia="Batang" w:hAnsi="Calibri Light" w:cs="Calibri Light"/>
          <w:i/>
          <w:iCs/>
          <w:sz w:val="22"/>
          <w:szCs w:val="22"/>
          <w:lang w:val="fr-BE"/>
        </w:rPr>
        <w:t>L'Etat et la Justice</w:t>
      </w:r>
      <w:r>
        <w:rPr>
          <w:rFonts w:ascii="Calibri Light" w:eastAsia="Batang" w:hAnsi="Calibri Light" w:cs="Calibri Light"/>
          <w:sz w:val="22"/>
          <w:szCs w:val="22"/>
          <w:lang w:val="fr-BE"/>
        </w:rPr>
        <w:t>, Paris, J. Vrin, 1988, p.17.</w:t>
      </w:r>
    </w:p>
  </w:footnote>
  <w:footnote w:id="4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La doctrine de la représentation consiste à ce que « les sujets, c’est-à-dire les individus qui ont contractuellement sacrifié leur puissance individuelle forment une seule personne souveraine, mais que représente le Prince. C’est de cette manière que sont institués les « commonwealth » et «  the right to represent » (Cf. </w:t>
      </w:r>
      <w:r>
        <w:rPr>
          <w:rFonts w:ascii="Calibri Light" w:eastAsia="Batang" w:hAnsi="Calibri Light" w:cs="Calibri Light"/>
          <w:i/>
          <w:iCs/>
          <w:sz w:val="22"/>
          <w:szCs w:val="22"/>
        </w:rPr>
        <w:t>Leviathan</w:t>
      </w:r>
      <w:r>
        <w:rPr>
          <w:rFonts w:ascii="Calibri Light" w:eastAsia="Batang" w:hAnsi="Calibri Light" w:cs="Calibri Light"/>
          <w:sz w:val="22"/>
          <w:szCs w:val="22"/>
        </w:rPr>
        <w:t xml:space="preserve"> XVIII).</w:t>
      </w:r>
    </w:p>
  </w:footnote>
  <w:footnote w:id="44">
    <w:p w:rsidR="000A31A8" w:rsidRDefault="000A31A8">
      <w:pPr>
        <w:pStyle w:val="Notedebasdepage"/>
        <w:tabs>
          <w:tab w:val="left" w:pos="8080"/>
        </w:tabs>
        <w:ind w:right="-2" w:firstLine="709"/>
        <w:jc w:val="both"/>
      </w:pPr>
    </w:p>
  </w:footnote>
  <w:footnote w:id="45">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p.18.</w:t>
      </w:r>
    </w:p>
  </w:footnote>
  <w:footnote w:id="46">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 19.</w:t>
      </w:r>
    </w:p>
  </w:footnote>
  <w:footnote w:id="47">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p.21.</w:t>
      </w:r>
    </w:p>
  </w:footnote>
  <w:footnote w:id="48">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xml:space="preserve"> p. 22.</w:t>
      </w:r>
    </w:p>
  </w:footnote>
  <w:footnote w:id="49">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O. HÖFFE,</w:t>
      </w:r>
      <w:r>
        <w:rPr>
          <w:rFonts w:ascii="Calibri Light" w:eastAsia="Batang" w:hAnsi="Calibri Light" w:cs="Calibri Light"/>
          <w:i/>
          <w:iCs/>
          <w:sz w:val="22"/>
          <w:szCs w:val="22"/>
          <w:lang w:val="en-GB"/>
        </w:rPr>
        <w:t xml:space="preserve"> O.c,</w:t>
      </w:r>
      <w:r>
        <w:rPr>
          <w:rFonts w:ascii="Calibri Light" w:eastAsia="Batang" w:hAnsi="Calibri Light" w:cs="Calibri Light"/>
          <w:sz w:val="22"/>
          <w:szCs w:val="22"/>
          <w:lang w:val="en-GB"/>
        </w:rPr>
        <w:t xml:space="preserve"> p.22.</w:t>
      </w:r>
    </w:p>
  </w:footnote>
  <w:footnote w:id="5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5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La liberté des Anciens ou "liberté positive" est conçue comme la participation active des citoyens à la vie publique de la cité. La liberté des Modernes ou "liberté négative" est la liberté privée où l'exercice par l'individu de son droit naturel à gérer sa vie comme il l'entend.(J. RAWLS, </w:t>
      </w:r>
      <w:r>
        <w:rPr>
          <w:rFonts w:ascii="Calibri Light" w:eastAsia="Batang" w:hAnsi="Calibri Light" w:cs="Calibri Light"/>
          <w:i/>
          <w:iCs/>
          <w:sz w:val="22"/>
          <w:szCs w:val="22"/>
        </w:rPr>
        <w:t>Justice et démocratie</w:t>
      </w:r>
      <w:r>
        <w:rPr>
          <w:rFonts w:ascii="Calibri Light" w:eastAsia="Batang" w:hAnsi="Calibri Light" w:cs="Calibri Light"/>
          <w:sz w:val="22"/>
          <w:szCs w:val="22"/>
        </w:rPr>
        <w:t xml:space="preserve">, Trad. C. Audard, Paris, Seuil, 1993, p.362). La controverse entre les partisans d’une définition de la liberté comme liberté négative ou positive caractérise le débat moderne représenté par les descendants de Locke et de Rousseau. Un débat d’ailleurs que la postmodernité veut plus ou moins ignorer. </w:t>
      </w:r>
    </w:p>
  </w:footnote>
  <w:footnote w:id="5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w:t>
      </w:r>
      <w:r>
        <w:rPr>
          <w:rFonts w:ascii="Calibri Light" w:eastAsia="Batang" w:hAnsi="Calibri Light" w:cs="Calibri Light"/>
          <w:i/>
          <w:iCs/>
          <w:sz w:val="22"/>
          <w:szCs w:val="22"/>
        </w:rPr>
        <w:t>, Théorie de la Justice</w:t>
      </w:r>
      <w:r>
        <w:rPr>
          <w:rFonts w:ascii="Calibri Light" w:eastAsia="Batang" w:hAnsi="Calibri Light" w:cs="Calibri Light"/>
          <w:sz w:val="22"/>
          <w:szCs w:val="22"/>
        </w:rPr>
        <w:t>, Trad. C. Audard, Paris, Seuil, 1987, p. 237.</w:t>
      </w:r>
    </w:p>
  </w:footnote>
  <w:footnote w:id="5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p. 238</w:t>
      </w:r>
    </w:p>
  </w:footnote>
  <w:footnote w:id="54">
    <w:p w:rsidR="000A31A8" w:rsidRDefault="0065345B">
      <w:pPr>
        <w:pStyle w:val="Notedebasdepage"/>
        <w:ind w:right="-2" w:firstLine="708"/>
        <w:jc w:val="both"/>
      </w:pPr>
      <w:r>
        <w:rPr>
          <w:rStyle w:val="Appelnotedebasdep"/>
          <w:rFonts w:ascii="Calibri Light" w:hAnsi="Calibri Light" w:cs="Calibri Light"/>
          <w:sz w:val="22"/>
          <w:szCs w:val="22"/>
        </w:rPr>
        <w:footnoteRef/>
      </w:r>
      <w:r>
        <w:rPr>
          <w:rFonts w:ascii="Calibri Light" w:hAnsi="Calibri Light" w:cs="Calibri Light"/>
          <w:sz w:val="22"/>
          <w:szCs w:val="22"/>
        </w:rPr>
        <w:t xml:space="preserve"> </w:t>
      </w:r>
      <w:r>
        <w:rPr>
          <w:rFonts w:ascii="Calibri Light" w:eastAsia="Batang" w:hAnsi="Calibri Light" w:cs="Calibri Light"/>
          <w:sz w:val="22"/>
          <w:szCs w:val="22"/>
        </w:rPr>
        <w:t>Dans sa théorie de la modernité, Kant distingue une situation de « minorité » dans la société de son temps qui se caractérise par deux attitudes sociales complémentaires, mais très inégalement réparties : « les mineurs » délèguent à d’autres leur faculté de juger et forment une sorte de troupeau docile, sans un avis propre sur les enjeux de l’existence. Les « tuteurs » (très peu nombreux) décident pour les autres des actes nécessaires à la réalisation de leur bien, se substituant ainsi à la conscience de la majorité. Pour Kant, une société majeure supposerait que l’on dépasse la relation de minorité et l’attitude à l’égard de la vérité qui détruit de part et d’autre la faculté de juger. (Cf. M. MAESSCHALCK,</w:t>
      </w:r>
      <w:r>
        <w:rPr>
          <w:rFonts w:ascii="Calibri Light" w:eastAsia="Batang" w:hAnsi="Calibri Light" w:cs="Calibri Light"/>
          <w:i/>
          <w:iCs/>
          <w:sz w:val="22"/>
          <w:szCs w:val="22"/>
        </w:rPr>
        <w:t xml:space="preserve"> Raison et pouvoir, les impasses de la pensée politique postmoderne</w:t>
      </w:r>
      <w:r>
        <w:rPr>
          <w:rFonts w:ascii="Calibri Light" w:eastAsia="Batang" w:hAnsi="Calibri Light" w:cs="Calibri Light"/>
          <w:sz w:val="22"/>
          <w:szCs w:val="22"/>
        </w:rPr>
        <w:t>, Bruxelles, Facultés Universitaires Saint-Louis, 1992, pp.20-21).</w:t>
      </w:r>
    </w:p>
  </w:footnote>
  <w:footnote w:id="5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w:t>
      </w:r>
      <w:r>
        <w:rPr>
          <w:rFonts w:ascii="Calibri Light" w:eastAsia="Batang" w:hAnsi="Calibri Light" w:cs="Calibri Light"/>
          <w:i/>
          <w:iCs/>
          <w:sz w:val="22"/>
          <w:szCs w:val="22"/>
        </w:rPr>
        <w:t>, Libéralisme politique</w:t>
      </w:r>
      <w:r>
        <w:rPr>
          <w:rFonts w:ascii="Calibri Light" w:eastAsia="Batang" w:hAnsi="Calibri Light" w:cs="Calibri Light"/>
          <w:sz w:val="22"/>
          <w:szCs w:val="22"/>
        </w:rPr>
        <w:t>, Trad. C. Audard, Paris, PUF, 1995, p. 191.</w:t>
      </w:r>
    </w:p>
  </w:footnote>
  <w:footnote w:id="5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Une doctrine est totalement compréhensive si elle recouvre toutes les valeurs et vertus reconnues au sein d'un même système relativement bien structuré. Or ceci est impossible. Donc aucune doctrine ne peut être totalement compréhensive.</w:t>
      </w:r>
    </w:p>
  </w:footnote>
  <w:footnote w:id="57">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J. RAWLS, </w:t>
      </w:r>
      <w:r>
        <w:rPr>
          <w:rFonts w:ascii="Calibri Light" w:eastAsia="Batang" w:hAnsi="Calibri Light" w:cs="Calibri Light"/>
          <w:i/>
          <w:iCs/>
          <w:sz w:val="22"/>
          <w:szCs w:val="22"/>
          <w:lang w:val="en-GB"/>
        </w:rPr>
        <w:t>O.c.</w:t>
      </w:r>
      <w:r>
        <w:rPr>
          <w:rFonts w:ascii="Calibri Light" w:eastAsia="Batang" w:hAnsi="Calibri Light" w:cs="Calibri Light"/>
          <w:sz w:val="22"/>
          <w:szCs w:val="22"/>
          <w:lang w:val="en-GB"/>
        </w:rPr>
        <w:t>, p. 194.</w:t>
      </w:r>
    </w:p>
  </w:footnote>
  <w:footnote w:id="58">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xml:space="preserve"> p.199.</w:t>
      </w:r>
    </w:p>
  </w:footnote>
  <w:footnote w:id="59">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p.202.</w:t>
      </w:r>
    </w:p>
  </w:footnote>
  <w:footnote w:id="60">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p.203.</w:t>
      </w:r>
    </w:p>
  </w:footnote>
  <w:footnote w:id="61">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 .</w:t>
      </w:r>
      <w:r>
        <w:rPr>
          <w:rFonts w:ascii="Calibri Light" w:eastAsia="Batang" w:hAnsi="Calibri Light" w:cs="Calibri Light"/>
          <w:sz w:val="22"/>
          <w:szCs w:val="22"/>
          <w:lang w:val="de-DE"/>
        </w:rPr>
        <w:t>p.204.</w:t>
      </w:r>
    </w:p>
  </w:footnote>
  <w:footnote w:id="62">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p.206.</w:t>
      </w:r>
    </w:p>
  </w:footnote>
  <w:footnote w:id="63">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pp.208-209.</w:t>
      </w:r>
    </w:p>
  </w:footnote>
  <w:footnote w:id="64">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p.209.</w:t>
      </w:r>
    </w:p>
  </w:footnote>
  <w:footnote w:id="6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RUOL, « De la neutralisation au recoupement, John Rawls face au défi de la démocratie plurielle », dans </w:t>
      </w:r>
      <w:r>
        <w:rPr>
          <w:rFonts w:ascii="Calibri Light" w:eastAsia="Batang" w:hAnsi="Calibri Light" w:cs="Calibri Light"/>
          <w:i/>
          <w:iCs/>
          <w:sz w:val="22"/>
          <w:szCs w:val="22"/>
        </w:rPr>
        <w:t>Revue philosophique de Louvain</w:t>
      </w:r>
      <w:r>
        <w:rPr>
          <w:rFonts w:ascii="Calibri Light" w:eastAsia="Batang" w:hAnsi="Calibri Light" w:cs="Calibri Light"/>
          <w:sz w:val="22"/>
          <w:szCs w:val="22"/>
        </w:rPr>
        <w:t>, février 2000, p.47.</w:t>
      </w:r>
    </w:p>
  </w:footnote>
  <w:footnote w:id="66">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 p.48.</w:t>
      </w:r>
    </w:p>
  </w:footnote>
  <w:footnote w:id="67">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p>
  </w:footnote>
  <w:footnote w:id="68">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Ibidem.</w:t>
      </w:r>
    </w:p>
  </w:footnote>
  <w:footnote w:id="6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H. POURTOIS, « La société libérale face au défi du pluralisme culturel », dans </w:t>
      </w:r>
      <w:r>
        <w:rPr>
          <w:rFonts w:ascii="Calibri Light" w:eastAsia="Batang" w:hAnsi="Calibri Light" w:cs="Calibri Light"/>
          <w:i/>
          <w:iCs/>
          <w:sz w:val="22"/>
          <w:szCs w:val="22"/>
        </w:rPr>
        <w:t> Revue philosophique de Louvain</w:t>
      </w:r>
      <w:r>
        <w:rPr>
          <w:rFonts w:ascii="Calibri Light" w:eastAsia="Batang" w:hAnsi="Calibri Light" w:cs="Calibri Light"/>
          <w:sz w:val="22"/>
          <w:szCs w:val="22"/>
        </w:rPr>
        <w:t>, février 2000, p.6.</w:t>
      </w:r>
    </w:p>
  </w:footnote>
  <w:footnote w:id="7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 p.7.</w:t>
      </w:r>
    </w:p>
  </w:footnote>
  <w:footnote w:id="71">
    <w:p w:rsidR="000A31A8" w:rsidRDefault="0065345B">
      <w:pPr>
        <w:pStyle w:val="Notedebasdepage"/>
        <w:tabs>
          <w:tab w:val="left" w:pos="8080"/>
        </w:tabs>
        <w:ind w:right="-2" w:firstLine="709"/>
        <w:jc w:val="both"/>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Cf. Ibidem  .</w:t>
      </w:r>
      <w:r>
        <w:rPr>
          <w:rFonts w:ascii="Calibri Light" w:eastAsia="Batang" w:hAnsi="Calibri Light" w:cs="Calibri Light"/>
          <w:sz w:val="22"/>
          <w:szCs w:val="22"/>
        </w:rPr>
        <w:t>L’idée selon laquelle les cultures ont une valeur intrinsèque et que l’activité culturelle serait elle aussi une valeur est une idée dangereuse puisqu’elle risque de conduire à la limitation des droits fondamentaux des individus pour protéger soi-disant l’intégrité culturelle d’une communauté. D’où la tendance libérale classique de répondre aux revendications des groupes par la politique de tolérance qui permet de faire droit aux revendications culturelles dans un cadre qui préserve la liberté individuelle et qui accorde une autonomie maximale aux groupes dans leur fonctionnement interne et aux individus dans leur adhésion au groupe.</w:t>
      </w:r>
    </w:p>
  </w:footnote>
  <w:footnote w:id="72">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en-GB"/>
        </w:rPr>
        <w:t xml:space="preserve"> Ibidem, p .11.</w:t>
      </w:r>
    </w:p>
  </w:footnote>
  <w:footnote w:id="73">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en-GB"/>
        </w:rPr>
        <w:t xml:space="preserve"> Ibidem, p.12.</w:t>
      </w:r>
    </w:p>
  </w:footnote>
  <w:footnote w:id="74">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 p.13.</w:t>
      </w:r>
    </w:p>
  </w:footnote>
  <w:footnote w:id="75">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M. RUOL </w:t>
      </w:r>
      <w:r>
        <w:rPr>
          <w:rFonts w:ascii="Calibri Light" w:eastAsia="Batang" w:hAnsi="Calibri Light" w:cs="Calibri Light"/>
          <w:i/>
          <w:iCs/>
          <w:sz w:val="22"/>
          <w:szCs w:val="22"/>
          <w:lang w:val="de-DE"/>
        </w:rPr>
        <w:t>, o. c.,</w:t>
      </w:r>
      <w:r>
        <w:rPr>
          <w:rFonts w:ascii="Calibri Light" w:eastAsia="Batang" w:hAnsi="Calibri Light" w:cs="Calibri Light"/>
          <w:sz w:val="22"/>
          <w:szCs w:val="22"/>
          <w:lang w:val="de-DE"/>
        </w:rPr>
        <w:t xml:space="preserve"> p.54.</w:t>
      </w:r>
    </w:p>
  </w:footnote>
  <w:footnote w:id="7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en-GB"/>
        </w:rPr>
        <w:t xml:space="preserve"> Ibidem, 55.</w:t>
      </w:r>
    </w:p>
  </w:footnote>
  <w:footnote w:id="77">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fr-BE"/>
        </w:rPr>
        <w:t xml:space="preserve"> Ibidem, 56.</w:t>
      </w:r>
    </w:p>
  </w:footnote>
  <w:footnote w:id="7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p.178.</w:t>
      </w:r>
    </w:p>
  </w:footnote>
  <w:footnote w:id="79">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Ibidem.</w:t>
      </w:r>
    </w:p>
  </w:footnote>
  <w:footnote w:id="8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D. WEINTOCK, « La problématique multiculturaliste », dans A. RENAUT (Dir.),</w:t>
      </w:r>
      <w:r>
        <w:rPr>
          <w:rFonts w:ascii="Calibri Light" w:eastAsia="Batang" w:hAnsi="Calibri Light" w:cs="Calibri Light"/>
          <w:i/>
          <w:iCs/>
          <w:sz w:val="22"/>
          <w:szCs w:val="22"/>
        </w:rPr>
        <w:t xml:space="preserve"> Les philosophies politiques contemporaines</w:t>
      </w:r>
      <w:r>
        <w:rPr>
          <w:rFonts w:ascii="Calibri Light" w:eastAsia="Batang" w:hAnsi="Calibri Light" w:cs="Calibri Light"/>
          <w:sz w:val="22"/>
          <w:szCs w:val="22"/>
        </w:rPr>
        <w:t>, p.431.</w:t>
      </w:r>
    </w:p>
  </w:footnote>
  <w:footnote w:id="81">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w:t>
      </w:r>
      <w:r>
        <w:rPr>
          <w:rFonts w:ascii="Calibri Light" w:eastAsia="Batang" w:hAnsi="Calibri Light" w:cs="Calibri Light"/>
          <w:i/>
          <w:iCs/>
          <w:sz w:val="22"/>
          <w:szCs w:val="22"/>
        </w:rPr>
        <w:t>Ibidem</w:t>
      </w:r>
      <w:r>
        <w:rPr>
          <w:rFonts w:ascii="Calibri Light" w:eastAsia="Batang" w:hAnsi="Calibri Light" w:cs="Calibri Light"/>
          <w:sz w:val="22"/>
          <w:szCs w:val="22"/>
        </w:rPr>
        <w:t>, p.432.</w:t>
      </w:r>
    </w:p>
  </w:footnote>
  <w:footnote w:id="8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Théorie de la justice</w:t>
      </w:r>
      <w:r>
        <w:rPr>
          <w:rFonts w:ascii="Calibri Light" w:eastAsia="Batang" w:hAnsi="Calibri Light" w:cs="Calibri Light"/>
          <w:sz w:val="22"/>
          <w:szCs w:val="22"/>
        </w:rPr>
        <w:t xml:space="preserve">, trad. C. Audard, Paris, Seuil, 1987,p.49. Dans le monde anglo-saxon, l’utilitarisme, lui-même défini par un principe unique : est juste la société qui maximise la somme des niveaux de bien-être de ses membres, constituait, avant Rawls, la théorie dominante au sens où la majorité de ceux qui s’efforçaient de rendre compte théoriquement de leurs convictions morales se trouvaient contraints de l’adopter (Cf. P. VAN PARIJS, </w:t>
      </w:r>
      <w:r>
        <w:rPr>
          <w:rFonts w:ascii="Calibri Light" w:eastAsia="Batang" w:hAnsi="Calibri Light" w:cs="Calibri Light"/>
          <w:i/>
          <w:iCs/>
          <w:sz w:val="22"/>
          <w:szCs w:val="22"/>
        </w:rPr>
        <w:t>Qu’est-ce qu’une société juste</w:t>
      </w:r>
      <w:r>
        <w:rPr>
          <w:rFonts w:ascii="Calibri Light" w:eastAsia="Batang" w:hAnsi="Calibri Light" w:cs="Calibri Light"/>
          <w:sz w:val="22"/>
          <w:szCs w:val="22"/>
        </w:rPr>
        <w:t xml:space="preserve"> ?, Paris, Seuil, 1997, p.82). </w:t>
      </w:r>
    </w:p>
  </w:footnote>
  <w:footnote w:id="8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L’aspect de la théorie de la justice le plus directement comparable à l’utilitarisme est bien le principe de différence. Alors que celui-ci exige que la société maximise le sort de ses membres les plus défavorisés, le principe d’utilité, quant à lui, exige qu’elle maximise le sort de l’ensemble de ses membres. Donc l’utilitarisme ne se préoccupe nullement de la répartition du bien-être entre les membres de la société alors que pour Rawls, ce qui compte c’est la manière dont les biens primaires sont répartis. La justice de la société ne dépend finalement pas de la quantité de biens primaires, mais de celle attribuée aux plus défavorisés. (Cf</w:t>
      </w:r>
      <w:r>
        <w:rPr>
          <w:rFonts w:ascii="Calibri Light" w:eastAsia="Batang" w:hAnsi="Calibri Light" w:cs="Calibri Light"/>
          <w:sz w:val="22"/>
          <w:szCs w:val="22"/>
          <w:lang w:val="fr-BE"/>
        </w:rPr>
        <w:t xml:space="preserve">. P. VAN PARIJS, « La double originalité de Rawls », dans J. LADRIERE et P. VAN PARIJS (Dir.), </w:t>
      </w:r>
      <w:r>
        <w:rPr>
          <w:rFonts w:ascii="Calibri Light" w:eastAsia="Batang" w:hAnsi="Calibri Light" w:cs="Calibri Light"/>
          <w:i/>
          <w:iCs/>
          <w:sz w:val="22"/>
          <w:szCs w:val="22"/>
          <w:lang w:val="fr-BE"/>
        </w:rPr>
        <w:t>Fondements d’une théorie de la justice</w:t>
      </w:r>
      <w:r>
        <w:rPr>
          <w:rFonts w:ascii="Calibri Light" w:eastAsia="Batang" w:hAnsi="Calibri Light" w:cs="Calibri Light"/>
          <w:sz w:val="22"/>
          <w:szCs w:val="22"/>
          <w:lang w:val="fr-BE"/>
        </w:rPr>
        <w:t xml:space="preserve">, Louvain-la-neuve, éd. De l’Institut Supérieur de Philosophie, 1984, pp.19-20.) Toujours par rapport au principe de différence, Rawls s’écarte de l’utilitarisme de par le fait qu’il subordonne la distribution optimale de la richesse, du pouvoir, etc. au respect strict de deux contraintes exprimées par le principe d’égale liberté et le principe d’égalité des chances. On ne peut donc pas acheter l’amélioration du sort du plus défavorisé au prix de l’égalité des chances (Cf.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 p.23).</w:t>
      </w:r>
    </w:p>
  </w:footnote>
  <w:footnote w:id="84">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O. HÖFFE, </w:t>
      </w:r>
      <w:r>
        <w:rPr>
          <w:rFonts w:ascii="Calibri Light" w:eastAsia="Batang" w:hAnsi="Calibri Light" w:cs="Calibri Light"/>
          <w:i/>
          <w:iCs/>
          <w:sz w:val="22"/>
          <w:szCs w:val="22"/>
        </w:rPr>
        <w:t>L’Etat et la justice</w:t>
      </w:r>
      <w:r>
        <w:rPr>
          <w:rFonts w:ascii="Calibri Light" w:eastAsia="Batang" w:hAnsi="Calibri Light" w:cs="Calibri Light"/>
          <w:sz w:val="22"/>
          <w:szCs w:val="22"/>
        </w:rPr>
        <w:t xml:space="preserve">. </w:t>
      </w:r>
      <w:r>
        <w:rPr>
          <w:rFonts w:ascii="Calibri Light" w:eastAsia="Batang" w:hAnsi="Calibri Light" w:cs="Calibri Light"/>
          <w:i/>
          <w:iCs/>
          <w:sz w:val="22"/>
          <w:szCs w:val="22"/>
        </w:rPr>
        <w:t>John Rawls et Robert Nozick. Les problèmes éthiques et politiques dans la philosophie anglo-saxonne</w:t>
      </w:r>
      <w:r>
        <w:rPr>
          <w:rFonts w:ascii="Calibri Light" w:eastAsia="Batang" w:hAnsi="Calibri Light" w:cs="Calibri Light"/>
          <w:sz w:val="22"/>
          <w:szCs w:val="22"/>
        </w:rPr>
        <w:t>, Paris, J. Vrin, 1988, p.27.</w:t>
      </w:r>
    </w:p>
  </w:footnote>
  <w:footnote w:id="8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w:t>
      </w:r>
      <w:r>
        <w:rPr>
          <w:rFonts w:ascii="Calibri Light" w:eastAsia="Batang" w:hAnsi="Calibri Light" w:cs="Calibri Light"/>
          <w:i/>
          <w:iCs/>
          <w:sz w:val="22"/>
          <w:szCs w:val="22"/>
        </w:rPr>
        <w:t>Ibidem</w:t>
      </w:r>
      <w:r>
        <w:rPr>
          <w:rFonts w:ascii="Calibri Light" w:eastAsia="Batang" w:hAnsi="Calibri Light" w:cs="Calibri Light"/>
          <w:sz w:val="22"/>
          <w:szCs w:val="22"/>
        </w:rPr>
        <w:t>.</w:t>
      </w:r>
    </w:p>
  </w:footnote>
  <w:footnote w:id="8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Le projet de Rawls s’inscrit plutôt dans le cadre des discussions de philosophie morale au sein de la pensée anglo-saxonne (réflexions des philosophes et des économistes) et les deux concepts fondamentaux de l’éthique demeurent ceux du juste (</w:t>
      </w:r>
      <w:r>
        <w:rPr>
          <w:rFonts w:ascii="Calibri Light" w:eastAsia="Batang" w:hAnsi="Calibri Light" w:cs="Calibri Light"/>
          <w:i/>
          <w:iCs/>
          <w:sz w:val="22"/>
          <w:szCs w:val="22"/>
        </w:rPr>
        <w:t>right</w:t>
      </w:r>
      <w:r>
        <w:rPr>
          <w:rFonts w:ascii="Calibri Light" w:eastAsia="Batang" w:hAnsi="Calibri Light" w:cs="Calibri Light"/>
          <w:sz w:val="22"/>
          <w:szCs w:val="22"/>
        </w:rPr>
        <w:t>) et du bien (</w:t>
      </w:r>
      <w:r>
        <w:rPr>
          <w:rFonts w:ascii="Calibri Light" w:eastAsia="Batang" w:hAnsi="Calibri Light" w:cs="Calibri Light"/>
          <w:i/>
          <w:iCs/>
          <w:sz w:val="22"/>
          <w:szCs w:val="22"/>
        </w:rPr>
        <w:t>good</w:t>
      </w:r>
      <w:r>
        <w:rPr>
          <w:rFonts w:ascii="Calibri Light" w:eastAsia="Batang" w:hAnsi="Calibri Light" w:cs="Calibri Light"/>
          <w:sz w:val="22"/>
          <w:szCs w:val="22"/>
        </w:rPr>
        <w:t xml:space="preserve">) (Cf. A. BOYER,  « La théorie de la justice de John Rawls », dans F. RECANATI (Dir.), </w:t>
      </w:r>
      <w:r>
        <w:rPr>
          <w:rFonts w:ascii="Calibri Light" w:eastAsia="Batang" w:hAnsi="Calibri Light" w:cs="Calibri Light"/>
          <w:i/>
          <w:iCs/>
          <w:sz w:val="22"/>
          <w:szCs w:val="22"/>
        </w:rPr>
        <w:t>Ethique et philosophie politique</w:t>
      </w:r>
      <w:r>
        <w:rPr>
          <w:rFonts w:ascii="Calibri Light" w:eastAsia="Batang" w:hAnsi="Calibri Light" w:cs="Calibri Light"/>
          <w:sz w:val="22"/>
          <w:szCs w:val="22"/>
        </w:rPr>
        <w:t xml:space="preserve">, dans </w:t>
      </w:r>
      <w:r>
        <w:rPr>
          <w:rFonts w:ascii="Calibri Light" w:eastAsia="Batang" w:hAnsi="Calibri Light" w:cs="Calibri Light"/>
          <w:i/>
          <w:iCs/>
          <w:sz w:val="22"/>
          <w:szCs w:val="22"/>
        </w:rPr>
        <w:t>L’âge de la science, lectures philosophiques 1</w:t>
      </w:r>
      <w:r>
        <w:rPr>
          <w:rFonts w:ascii="Calibri Light" w:eastAsia="Batang" w:hAnsi="Calibri Light" w:cs="Calibri Light"/>
          <w:sz w:val="22"/>
          <w:szCs w:val="22"/>
        </w:rPr>
        <w:t>, p.26).</w:t>
      </w:r>
    </w:p>
  </w:footnote>
  <w:footnote w:id="8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p.91.</w:t>
      </w:r>
    </w:p>
  </w:footnote>
  <w:footnote w:id="8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Les théories téléologiques ont l’avantage de la simplicité. Elles définissent le bien indépendamment du juste, et celui-ci comme ce qui maximise le bien : tout ce qui permet d’obtenir le plus possible de bien. Cette idée de maximisation rend ces théories particulièrement attractives si l’on s’avise qu’elles paraissent s’accorder parfaitement avec la conception habituelle –singulièrement en économie- de la rationalité comme une maximisation (A. BOYER, </w:t>
      </w:r>
      <w:r>
        <w:rPr>
          <w:rFonts w:ascii="Calibri Light" w:eastAsia="Batang" w:hAnsi="Calibri Light" w:cs="Calibri Light"/>
          <w:i/>
          <w:iCs/>
          <w:sz w:val="22"/>
          <w:szCs w:val="22"/>
          <w:lang w:val="fr-BE"/>
        </w:rPr>
        <w:t>o. c</w:t>
      </w:r>
      <w:r>
        <w:rPr>
          <w:rFonts w:ascii="Calibri Light" w:eastAsia="Batang" w:hAnsi="Calibri Light" w:cs="Calibri Light"/>
          <w:sz w:val="22"/>
          <w:szCs w:val="22"/>
          <w:lang w:val="fr-BE"/>
        </w:rPr>
        <w:t>.).</w:t>
      </w:r>
    </w:p>
  </w:footnote>
  <w:footnote w:id="89">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xml:space="preserve"> p.56.</w:t>
      </w:r>
    </w:p>
  </w:footnote>
  <w:footnote w:id="90">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p.57.</w:t>
      </w:r>
    </w:p>
  </w:footnote>
  <w:footnote w:id="91">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en-GB"/>
        </w:rPr>
        <w:t xml:space="preserve"> Ibidem.</w:t>
      </w:r>
    </w:p>
  </w:footnote>
  <w:footnote w:id="9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Introduction to the principles of Morals and Legislation</w:t>
      </w:r>
      <w:r>
        <w:rPr>
          <w:rFonts w:ascii="Calibri Light" w:eastAsia="Batang" w:hAnsi="Calibri Light" w:cs="Calibri Light"/>
          <w:sz w:val="22"/>
          <w:szCs w:val="22"/>
        </w:rPr>
        <w:t>, London, 1970, p.13, cité par MUDIJI Malamba Gilombe,</w:t>
      </w:r>
      <w:r>
        <w:rPr>
          <w:rFonts w:ascii="Calibri Light" w:eastAsia="Batang" w:hAnsi="Calibri Light" w:cs="Calibri Light"/>
          <w:i/>
          <w:iCs/>
          <w:sz w:val="22"/>
          <w:szCs w:val="22"/>
        </w:rPr>
        <w:t xml:space="preserve"> Séminaire d’études approfondies de philosophie politique (DES)</w:t>
      </w:r>
      <w:r>
        <w:rPr>
          <w:rFonts w:ascii="Calibri Light" w:eastAsia="Batang" w:hAnsi="Calibri Light" w:cs="Calibri Light"/>
          <w:sz w:val="22"/>
          <w:szCs w:val="22"/>
        </w:rPr>
        <w:t>, Facultés Catholiques de KInshasa, 2001-2002, inédit.</w:t>
      </w:r>
    </w:p>
  </w:footnote>
  <w:footnote w:id="9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9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Justice et démocratie</w:t>
      </w:r>
      <w:r>
        <w:rPr>
          <w:rFonts w:ascii="Calibri Light" w:eastAsia="Batang" w:hAnsi="Calibri Light" w:cs="Calibri Light"/>
          <w:sz w:val="22"/>
          <w:szCs w:val="22"/>
        </w:rPr>
        <w:t>, p.79 cité par M. CASTILLO, « Volonté républicaine et  raison démocratique »,</w:t>
      </w:r>
      <w:r>
        <w:rPr>
          <w:rFonts w:ascii="Calibri Light" w:eastAsia="Batang" w:hAnsi="Calibri Light" w:cs="Calibri Light"/>
          <w:i/>
          <w:iCs/>
          <w:sz w:val="22"/>
          <w:szCs w:val="22"/>
        </w:rPr>
        <w:t xml:space="preserve"> </w:t>
      </w:r>
      <w:r>
        <w:rPr>
          <w:rFonts w:ascii="Calibri Light" w:eastAsia="Batang" w:hAnsi="Calibri Light" w:cs="Calibri Light"/>
          <w:sz w:val="22"/>
          <w:szCs w:val="22"/>
        </w:rPr>
        <w:t xml:space="preserve">dans </w:t>
      </w:r>
      <w:r>
        <w:rPr>
          <w:rFonts w:ascii="Calibri Light" w:eastAsia="Batang" w:hAnsi="Calibri Light" w:cs="Calibri Light"/>
          <w:i/>
          <w:iCs/>
          <w:sz w:val="22"/>
          <w:szCs w:val="22"/>
        </w:rPr>
        <w:t xml:space="preserve">Revue de métaphysique et de morale </w:t>
      </w:r>
      <w:r>
        <w:rPr>
          <w:rFonts w:ascii="Calibri Light" w:eastAsia="Batang" w:hAnsi="Calibri Light" w:cs="Calibri Light"/>
          <w:sz w:val="22"/>
          <w:szCs w:val="22"/>
        </w:rPr>
        <w:t>n°2, 1996, p.147.</w:t>
      </w:r>
    </w:p>
  </w:footnote>
  <w:footnote w:id="9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G. MAIRET, </w:t>
      </w:r>
      <w:r>
        <w:rPr>
          <w:rFonts w:ascii="Calibri Light" w:eastAsia="Batang" w:hAnsi="Calibri Light" w:cs="Calibri Light"/>
          <w:i/>
          <w:iCs/>
          <w:sz w:val="22"/>
          <w:szCs w:val="22"/>
        </w:rPr>
        <w:t>Liberté, égalité</w:t>
      </w:r>
      <w:r>
        <w:rPr>
          <w:rFonts w:ascii="Calibri Light" w:eastAsia="Batang" w:hAnsi="Calibri Light" w:cs="Calibri Light"/>
          <w:sz w:val="22"/>
          <w:szCs w:val="22"/>
        </w:rPr>
        <w:t>, dans F. CHATELET (Dir.),</w:t>
      </w:r>
      <w:r>
        <w:rPr>
          <w:rFonts w:ascii="Calibri Light" w:eastAsia="Batang" w:hAnsi="Calibri Light" w:cs="Calibri Light"/>
          <w:i/>
          <w:iCs/>
          <w:sz w:val="22"/>
          <w:szCs w:val="22"/>
        </w:rPr>
        <w:t xml:space="preserve"> Histoires des idéologies.</w:t>
      </w:r>
      <w:r>
        <w:rPr>
          <w:rFonts w:ascii="Calibri Light" w:eastAsia="Batang" w:hAnsi="Calibri Light" w:cs="Calibri Light"/>
          <w:sz w:val="22"/>
          <w:szCs w:val="22"/>
        </w:rPr>
        <w:t xml:space="preserve"> </w:t>
      </w:r>
      <w:r>
        <w:rPr>
          <w:rFonts w:ascii="Calibri Light" w:eastAsia="Batang" w:hAnsi="Calibri Light" w:cs="Calibri Light"/>
          <w:i/>
          <w:iCs/>
          <w:sz w:val="22"/>
          <w:szCs w:val="22"/>
        </w:rPr>
        <w:t>Savoir et pouvoir du XVIIIè au XXè s.</w:t>
      </w:r>
      <w:r>
        <w:rPr>
          <w:rFonts w:ascii="Calibri Light" w:eastAsia="Batang" w:hAnsi="Calibri Light" w:cs="Calibri Light"/>
          <w:sz w:val="22"/>
          <w:szCs w:val="22"/>
        </w:rPr>
        <w:t>, Paris, Hachette, 1978, p.80.</w:t>
      </w:r>
    </w:p>
  </w:footnote>
  <w:footnote w:id="96">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P. VAN PARIJS,</w:t>
      </w:r>
      <w:r>
        <w:rPr>
          <w:rFonts w:ascii="Calibri Light" w:eastAsia="Batang" w:hAnsi="Calibri Light" w:cs="Calibri Light"/>
          <w:i/>
          <w:iCs/>
          <w:sz w:val="22"/>
          <w:szCs w:val="22"/>
          <w:lang w:val="fr-BE"/>
        </w:rPr>
        <w:t xml:space="preserve"> Qu’est-ce qu’une société juste </w:t>
      </w:r>
      <w:r>
        <w:rPr>
          <w:rFonts w:ascii="Calibri Light" w:eastAsia="Batang" w:hAnsi="Calibri Light" w:cs="Calibri Light"/>
          <w:sz w:val="22"/>
          <w:szCs w:val="22"/>
          <w:lang w:val="fr-BE"/>
        </w:rPr>
        <w:t>? Paris, Seuil, 1997, p.78.</w:t>
      </w:r>
    </w:p>
  </w:footnote>
  <w:footnote w:id="9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Pour Hannah Arendt, « la politique repose sur un fait : la pluralité humaine (…). La politique traite de la communauté et de la réciprocité d’êtres différents » (Qu’est</w:t>
      </w:r>
      <w:r>
        <w:rPr>
          <w:rFonts w:ascii="Calibri Light" w:eastAsia="Batang" w:hAnsi="Calibri Light" w:cs="Calibri Light"/>
          <w:i/>
          <w:iCs/>
          <w:sz w:val="22"/>
          <w:szCs w:val="22"/>
        </w:rPr>
        <w:t>-ce que la politique</w:t>
      </w:r>
      <w:r>
        <w:rPr>
          <w:rFonts w:ascii="Calibri Light" w:eastAsia="Batang" w:hAnsi="Calibri Light" w:cs="Calibri Light"/>
          <w:sz w:val="22"/>
          <w:szCs w:val="22"/>
        </w:rPr>
        <w:t xml:space="preserve">, pp.39-40). Le </w:t>
      </w:r>
      <w:r>
        <w:rPr>
          <w:rFonts w:ascii="Calibri Light" w:eastAsia="Batang" w:hAnsi="Calibri Light" w:cs="Calibri Light"/>
          <w:i/>
          <w:iCs/>
          <w:sz w:val="22"/>
          <w:szCs w:val="22"/>
        </w:rPr>
        <w:t>« zôon politikon »</w:t>
      </w:r>
      <w:r>
        <w:rPr>
          <w:rFonts w:ascii="Calibri Light" w:eastAsia="Batang" w:hAnsi="Calibri Light" w:cs="Calibri Light"/>
          <w:sz w:val="22"/>
          <w:szCs w:val="22"/>
        </w:rPr>
        <w:t xml:space="preserve"> constitue un être de relation et c’est ce qui fait de lui un  « problème », une difficulté comme l’avait sans doute senti Hobbes.</w:t>
      </w:r>
    </w:p>
  </w:footnote>
  <w:footnote w:id="9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Principe d’égale liberté et principe de différence, d’égalité de chances (Cf. J. RAWLS,</w:t>
      </w:r>
      <w:r>
        <w:rPr>
          <w:rFonts w:ascii="Calibri Light" w:eastAsia="Batang" w:hAnsi="Calibri Light" w:cs="Calibri Light"/>
          <w:i/>
          <w:iCs/>
          <w:sz w:val="22"/>
          <w:szCs w:val="22"/>
        </w:rPr>
        <w:t xml:space="preserve"> Théorie de la justice</w:t>
      </w:r>
      <w:r>
        <w:rPr>
          <w:rFonts w:ascii="Calibri Light" w:eastAsia="Batang" w:hAnsi="Calibri Light" w:cs="Calibri Light"/>
          <w:sz w:val="22"/>
          <w:szCs w:val="22"/>
        </w:rPr>
        <w:t>, Trad. C. Audard, Paris, Seuil, 1987, p.60 et p.80).</w:t>
      </w:r>
    </w:p>
  </w:footnote>
  <w:footnote w:id="9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D‘ AVIAU DE TERNAY, « Opportunité d‘une relecture de la philosophie du droit de Kant à partir de la troisième critique »</w:t>
      </w:r>
      <w:r>
        <w:rPr>
          <w:rFonts w:ascii="Calibri Light" w:eastAsia="Batang" w:hAnsi="Calibri Light" w:cs="Calibri Light"/>
          <w:i/>
          <w:iCs/>
          <w:sz w:val="22"/>
          <w:szCs w:val="22"/>
          <w:lang w:val="fr-BE"/>
        </w:rPr>
        <w:t xml:space="preserve">, </w:t>
      </w:r>
      <w:r>
        <w:rPr>
          <w:rFonts w:ascii="Calibri Light" w:eastAsia="Batang" w:hAnsi="Calibri Light" w:cs="Calibri Light"/>
          <w:sz w:val="22"/>
          <w:szCs w:val="22"/>
          <w:lang w:val="fr-BE"/>
        </w:rPr>
        <w:t xml:space="preserve">dans </w:t>
      </w:r>
      <w:r>
        <w:rPr>
          <w:rFonts w:ascii="Calibri Light" w:eastAsia="Batang" w:hAnsi="Calibri Light" w:cs="Calibri Light"/>
          <w:i/>
          <w:iCs/>
          <w:sz w:val="22"/>
          <w:szCs w:val="22"/>
          <w:lang w:val="fr-BE"/>
        </w:rPr>
        <w:t>Revue de métaphysique et de morale</w:t>
      </w:r>
      <w:r>
        <w:rPr>
          <w:rFonts w:ascii="Calibri Light" w:eastAsia="Batang" w:hAnsi="Calibri Light" w:cs="Calibri Light"/>
          <w:sz w:val="22"/>
          <w:szCs w:val="22"/>
          <w:lang w:val="fr-BE"/>
        </w:rPr>
        <w:t xml:space="preserve"> n°2, 1996, p.232.</w:t>
      </w:r>
    </w:p>
  </w:footnote>
  <w:footnote w:id="100">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en-US"/>
        </w:rPr>
        <w:t xml:space="preserve"> Ibidem, </w:t>
      </w:r>
      <w:r>
        <w:rPr>
          <w:rFonts w:ascii="Calibri Light" w:eastAsia="Batang" w:hAnsi="Calibri Light" w:cs="Calibri Light"/>
          <w:sz w:val="22"/>
          <w:szCs w:val="22"/>
          <w:lang w:val="en-US"/>
        </w:rPr>
        <w:t xml:space="preserve"> p. 236.</w:t>
      </w:r>
    </w:p>
  </w:footnote>
  <w:footnote w:id="101">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US"/>
        </w:rPr>
        <w:t xml:space="preserve"> J. RAWLS, </w:t>
      </w:r>
      <w:r>
        <w:rPr>
          <w:rFonts w:ascii="Calibri Light" w:eastAsia="Batang" w:hAnsi="Calibri Light" w:cs="Calibri Light"/>
          <w:i/>
          <w:iCs/>
          <w:sz w:val="22"/>
          <w:szCs w:val="22"/>
          <w:lang w:val="en-US"/>
        </w:rPr>
        <w:t>o.c</w:t>
      </w:r>
      <w:r>
        <w:rPr>
          <w:rFonts w:ascii="Calibri Light" w:eastAsia="Batang" w:hAnsi="Calibri Light" w:cs="Calibri Light"/>
          <w:sz w:val="22"/>
          <w:szCs w:val="22"/>
          <w:lang w:val="en-US"/>
        </w:rPr>
        <w:t>. p.150.</w:t>
      </w:r>
    </w:p>
  </w:footnote>
  <w:footnote w:id="10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B. GUILLARME</w:t>
      </w:r>
      <w:r>
        <w:rPr>
          <w:rFonts w:ascii="Calibri Light" w:eastAsia="Batang" w:hAnsi="Calibri Light" w:cs="Calibri Light"/>
          <w:i/>
          <w:iCs/>
          <w:sz w:val="22"/>
          <w:szCs w:val="22"/>
        </w:rPr>
        <w:t xml:space="preserve">,  </w:t>
      </w:r>
      <w:r>
        <w:rPr>
          <w:rFonts w:ascii="Calibri Light" w:eastAsia="Batang" w:hAnsi="Calibri Light" w:cs="Calibri Light"/>
          <w:sz w:val="22"/>
          <w:szCs w:val="22"/>
        </w:rPr>
        <w:t xml:space="preserve">« Rawls, philosophie de l’égalité démocratique », dans A. RENAUT (Dir.), </w:t>
      </w:r>
      <w:r>
        <w:rPr>
          <w:rFonts w:ascii="Calibri Light" w:eastAsia="Batang" w:hAnsi="Calibri Light" w:cs="Calibri Light"/>
          <w:i/>
          <w:iCs/>
          <w:sz w:val="22"/>
          <w:szCs w:val="22"/>
        </w:rPr>
        <w:t>Les philosophies politiques contemporaines,</w:t>
      </w:r>
      <w:r>
        <w:rPr>
          <w:rFonts w:ascii="Calibri Light" w:eastAsia="Batang" w:hAnsi="Calibri Light" w:cs="Calibri Light"/>
          <w:sz w:val="22"/>
          <w:szCs w:val="22"/>
        </w:rPr>
        <w:t xml:space="preserve"> Paris, Calman-lévy, 2001, p.313.</w:t>
      </w:r>
    </w:p>
  </w:footnote>
  <w:footnote w:id="103">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p. 311.</w:t>
      </w:r>
    </w:p>
  </w:footnote>
  <w:footnote w:id="10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Cf.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pp.311-312. </w:t>
      </w:r>
      <w:r>
        <w:rPr>
          <w:rFonts w:ascii="Calibri Light" w:eastAsia="Batang" w:hAnsi="Calibri Light" w:cs="Calibri Light"/>
          <w:sz w:val="22"/>
          <w:szCs w:val="22"/>
          <w:lang w:val="fr-BE"/>
        </w:rPr>
        <w:t xml:space="preserve">Guillarme lui-même se réfère ici à </w:t>
      </w:r>
      <w:r>
        <w:rPr>
          <w:rFonts w:ascii="Calibri Light" w:eastAsia="Batang" w:hAnsi="Calibri Light" w:cs="Calibri Light"/>
          <w:i/>
          <w:iCs/>
          <w:sz w:val="22"/>
          <w:szCs w:val="22"/>
          <w:lang w:val="fr-BE"/>
        </w:rPr>
        <w:t>Justice as reciprocity</w:t>
      </w:r>
      <w:r>
        <w:rPr>
          <w:rFonts w:ascii="Calibri Light" w:eastAsia="Batang" w:hAnsi="Calibri Light" w:cs="Calibri Light"/>
          <w:sz w:val="22"/>
          <w:szCs w:val="22"/>
          <w:lang w:val="fr-BE"/>
        </w:rPr>
        <w:t xml:space="preserve"> que Rawls écrit en 1958.</w:t>
      </w:r>
    </w:p>
  </w:footnote>
  <w:footnote w:id="10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w:t>
      </w:r>
      <w:r>
        <w:rPr>
          <w:rFonts w:ascii="Calibri Light" w:eastAsia="Batang" w:hAnsi="Calibri Light" w:cs="Calibri Light"/>
          <w:i/>
          <w:iCs/>
          <w:sz w:val="22"/>
          <w:szCs w:val="22"/>
        </w:rPr>
        <w:t xml:space="preserve"> Théorie de la justice</w:t>
      </w:r>
      <w:r>
        <w:rPr>
          <w:rFonts w:ascii="Calibri Light" w:eastAsia="Batang" w:hAnsi="Calibri Light" w:cs="Calibri Light"/>
          <w:sz w:val="22"/>
          <w:szCs w:val="22"/>
        </w:rPr>
        <w:t>, Trad. C. Audard, Paris, Seuil, 1987, p.210.</w:t>
      </w:r>
    </w:p>
  </w:footnote>
  <w:footnote w:id="10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fr-BE"/>
        </w:rPr>
        <w:t xml:space="preserve"> Ibidem.</w:t>
      </w:r>
    </w:p>
  </w:footnote>
  <w:footnote w:id="10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Pour Kant « la nature raisonnable se distingue de toutes les autres en ce qu’elle se donne une fin à elle-même. Cette fin serait la matière de toute bonne volonté (…) une fin contre laquelle on ne doit jamais agir, et que pourtant il ne faut jamais traiter comme moyen » (E. KANT, </w:t>
      </w:r>
      <w:r>
        <w:rPr>
          <w:rFonts w:ascii="Calibri Light" w:eastAsia="Batang" w:hAnsi="Calibri Light" w:cs="Calibri Light"/>
          <w:i/>
          <w:iCs/>
          <w:sz w:val="22"/>
          <w:szCs w:val="22"/>
        </w:rPr>
        <w:t>Fondements de la métaphysique des mœurs</w:t>
      </w:r>
      <w:r>
        <w:rPr>
          <w:rFonts w:ascii="Calibri Light" w:eastAsia="Batang" w:hAnsi="Calibri Light" w:cs="Calibri Light"/>
          <w:sz w:val="22"/>
          <w:szCs w:val="22"/>
        </w:rPr>
        <w:t xml:space="preserve">, p.74). Il s’agit finalement du devoir nécessaire et strict envers autrui, celui qui est tenté de faire une promesse trompeuse reconnaîtra aussitôt qu’il veut se servir d’un autre homme simplement comme moyen, comme si cet homme ne contenait pas en soi une fin (Cf. </w:t>
      </w:r>
      <w:r>
        <w:rPr>
          <w:rFonts w:ascii="Calibri Light" w:eastAsia="Batang" w:hAnsi="Calibri Light" w:cs="Calibri Light"/>
          <w:i/>
          <w:iCs/>
          <w:sz w:val="22"/>
          <w:szCs w:val="22"/>
        </w:rPr>
        <w:t>Ibid</w:t>
      </w:r>
      <w:r>
        <w:rPr>
          <w:rFonts w:ascii="Calibri Light" w:eastAsia="Batang" w:hAnsi="Calibri Light" w:cs="Calibri Light"/>
          <w:sz w:val="22"/>
          <w:szCs w:val="22"/>
        </w:rPr>
        <w:t>., p.63).</w:t>
      </w:r>
    </w:p>
  </w:footnote>
  <w:footnote w:id="10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p>
  </w:footnote>
  <w:footnote w:id="109">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p>
  </w:footnote>
  <w:footnote w:id="110">
    <w:p w:rsidR="000A31A8" w:rsidRDefault="0065345B">
      <w:pPr>
        <w:pStyle w:val="Notedebasdepage"/>
        <w:tabs>
          <w:tab w:val="left" w:pos="8080"/>
        </w:tabs>
        <w:ind w:right="-2" w:firstLine="709"/>
        <w:jc w:val="both"/>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xml:space="preserve"> p.131.</w:t>
      </w:r>
    </w:p>
  </w:footnote>
  <w:footnote w:id="11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Justice et démocratie</w:t>
      </w:r>
      <w:r>
        <w:rPr>
          <w:rFonts w:ascii="Calibri Light" w:eastAsia="Batang" w:hAnsi="Calibri Light" w:cs="Calibri Light"/>
          <w:sz w:val="22"/>
          <w:szCs w:val="22"/>
        </w:rPr>
        <w:t>, Trad. C. Audard, Paris, Seuil, 1993, pp.76-77.</w:t>
      </w:r>
    </w:p>
  </w:footnote>
  <w:footnote w:id="11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L’intuition d’une philosophie politique qui ne serait ni une science –une politologie de caractère scientifique- ni une théorie des idéologies est partagée aussi par Secrétan. A ce sujet, Ricœur estime également que « pour la science, le fait politique est un objet tenu à distance ; pour le philosophe, il ouvre le problème du sens et fait appel à sa capacité de le comprendre, de le réapproprier pour lui-même » (Préface de </w:t>
      </w:r>
      <w:r>
        <w:rPr>
          <w:rFonts w:ascii="Calibri Light" w:eastAsia="Batang" w:hAnsi="Calibri Light" w:cs="Calibri Light"/>
          <w:i/>
          <w:iCs/>
          <w:sz w:val="22"/>
          <w:szCs w:val="22"/>
        </w:rPr>
        <w:t>Autorité, pouvoir, puissance</w:t>
      </w:r>
      <w:r>
        <w:rPr>
          <w:rFonts w:ascii="Calibri Light" w:eastAsia="Batang" w:hAnsi="Calibri Light" w:cs="Calibri Light"/>
          <w:sz w:val="22"/>
          <w:szCs w:val="22"/>
        </w:rPr>
        <w:t>, p IX). Il s’agit ici du sens du pouvoir dont la philosophie est responsable.</w:t>
      </w:r>
    </w:p>
  </w:footnote>
  <w:footnote w:id="11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Rawls fait allusion ici au constructivisme kantien qui fait appel à une conception de la personne que Kant et lui-même souhaitent qu’elle soit acceptable par les citoyens une fois qu’on la leur a présentée et expliquée de manière correcte.</w:t>
      </w:r>
    </w:p>
  </w:footnote>
  <w:footnote w:id="11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P. VAN PARJYS, « La double originalité de Rawls »</w:t>
      </w:r>
      <w:r>
        <w:rPr>
          <w:rFonts w:ascii="Calibri Light" w:eastAsia="Batang" w:hAnsi="Calibri Light" w:cs="Calibri Light"/>
          <w:i/>
          <w:iCs/>
          <w:sz w:val="22"/>
          <w:szCs w:val="22"/>
        </w:rPr>
        <w:t>,</w:t>
      </w:r>
      <w:r>
        <w:rPr>
          <w:rFonts w:ascii="Calibri Light" w:eastAsia="Batang" w:hAnsi="Calibri Light" w:cs="Calibri Light"/>
          <w:sz w:val="22"/>
          <w:szCs w:val="22"/>
        </w:rPr>
        <w:t xml:space="preserve"> dans J. LADRIERE &amp; P. VAN PARIJS (Dir.), </w:t>
      </w:r>
      <w:r>
        <w:rPr>
          <w:rFonts w:ascii="Calibri Light" w:eastAsia="Batang" w:hAnsi="Calibri Light" w:cs="Calibri Light"/>
          <w:i/>
          <w:iCs/>
          <w:sz w:val="22"/>
          <w:szCs w:val="22"/>
        </w:rPr>
        <w:t>Les fondements d’une théorie de la justice</w:t>
      </w:r>
      <w:r>
        <w:rPr>
          <w:rFonts w:ascii="Calibri Light" w:eastAsia="Batang" w:hAnsi="Calibri Light" w:cs="Calibri Light"/>
          <w:sz w:val="22"/>
          <w:szCs w:val="22"/>
        </w:rPr>
        <w:t xml:space="preserve">. </w:t>
      </w:r>
      <w:r>
        <w:rPr>
          <w:rFonts w:ascii="Calibri Light" w:eastAsia="Batang" w:hAnsi="Calibri Light" w:cs="Calibri Light"/>
          <w:i/>
          <w:iCs/>
          <w:sz w:val="22"/>
          <w:szCs w:val="22"/>
        </w:rPr>
        <w:t>Essai critique sur la philosophie politique de John Rawls</w:t>
      </w:r>
      <w:r>
        <w:rPr>
          <w:rFonts w:ascii="Calibri Light" w:eastAsia="Batang" w:hAnsi="Calibri Light" w:cs="Calibri Light"/>
          <w:sz w:val="22"/>
          <w:szCs w:val="22"/>
        </w:rPr>
        <w:t>, Louvain-la-Neuve, éd. De l’Institut Supérieur de Philosophie, 1984, p.13.</w:t>
      </w:r>
    </w:p>
  </w:footnote>
  <w:footnote w:id="11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Justice et démocratie</w:t>
      </w:r>
      <w:r>
        <w:rPr>
          <w:rFonts w:ascii="Calibri Light" w:eastAsia="Batang" w:hAnsi="Calibri Light" w:cs="Calibri Light"/>
          <w:sz w:val="22"/>
          <w:szCs w:val="22"/>
        </w:rPr>
        <w:t>, Trad. C. Audard, Paris, Seuil, 1993, p.80.</w:t>
      </w:r>
    </w:p>
  </w:footnote>
  <w:footnote w:id="11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 xml:space="preserve"> Ibidem</w:t>
      </w:r>
      <w:r>
        <w:rPr>
          <w:rFonts w:ascii="Calibri Light" w:eastAsia="Batang" w:hAnsi="Calibri Light" w:cs="Calibri Light"/>
          <w:sz w:val="22"/>
          <w:szCs w:val="22"/>
        </w:rPr>
        <w:t>, p.81.</w:t>
      </w:r>
    </w:p>
  </w:footnote>
  <w:footnote w:id="117">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Ibidem.</w:t>
      </w:r>
    </w:p>
  </w:footnote>
  <w:footnote w:id="11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Rawls approfondit cette notion de publicité dans le </w:t>
      </w:r>
      <w:r>
        <w:rPr>
          <w:rFonts w:ascii="Calibri Light" w:eastAsia="Batang" w:hAnsi="Calibri Light" w:cs="Calibri Light"/>
          <w:i/>
          <w:iCs/>
          <w:sz w:val="22"/>
          <w:szCs w:val="22"/>
        </w:rPr>
        <w:t> Libéralisme politique,</w:t>
      </w:r>
      <w:r>
        <w:rPr>
          <w:rFonts w:ascii="Calibri Light" w:eastAsia="Batang" w:hAnsi="Calibri Light" w:cs="Calibri Light"/>
          <w:sz w:val="22"/>
          <w:szCs w:val="22"/>
        </w:rPr>
        <w:t> pp.96-102.</w:t>
      </w:r>
    </w:p>
  </w:footnote>
  <w:footnote w:id="11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Théorie de la justice</w:t>
      </w:r>
      <w:r>
        <w:rPr>
          <w:rFonts w:ascii="Calibri Light" w:eastAsia="Batang" w:hAnsi="Calibri Light" w:cs="Calibri Light"/>
          <w:sz w:val="22"/>
          <w:szCs w:val="22"/>
        </w:rPr>
        <w:t>, Trad. C. Audard, Paris, Seuil, 1987, p.263.</w:t>
      </w:r>
    </w:p>
  </w:footnote>
  <w:footnote w:id="12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CASTILLO, « Volonté républicaine et raison démocratique », </w:t>
      </w:r>
      <w:r>
        <w:rPr>
          <w:rFonts w:ascii="Calibri Light" w:eastAsia="Batang" w:hAnsi="Calibri Light" w:cs="Calibri Light"/>
          <w:i/>
          <w:iCs/>
          <w:sz w:val="22"/>
          <w:szCs w:val="22"/>
        </w:rPr>
        <w:t>dans Revue de métaphysique et de morale</w:t>
      </w:r>
      <w:r>
        <w:rPr>
          <w:rFonts w:ascii="Calibri Light" w:eastAsia="Batang" w:hAnsi="Calibri Light" w:cs="Calibri Light"/>
          <w:sz w:val="22"/>
          <w:szCs w:val="22"/>
        </w:rPr>
        <w:t xml:space="preserve"> n°2, 1996, p.161.</w:t>
      </w:r>
    </w:p>
  </w:footnote>
  <w:footnote w:id="12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2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G. NOOTENS, « Multiculturalisme et tolérance, penser l’alternative », dans P. DU MOUCHEL &amp; BJARNE MELKEVIK (Dir.), </w:t>
      </w:r>
      <w:r>
        <w:rPr>
          <w:rFonts w:ascii="Calibri Light" w:eastAsia="Batang" w:hAnsi="Calibri Light" w:cs="Calibri Light"/>
          <w:i/>
          <w:iCs/>
          <w:sz w:val="22"/>
          <w:szCs w:val="22"/>
        </w:rPr>
        <w:t>Tolérance, pluralisme et histoire</w:t>
      </w:r>
      <w:r>
        <w:rPr>
          <w:rFonts w:ascii="Calibri Light" w:eastAsia="Batang" w:hAnsi="Calibri Light" w:cs="Calibri Light"/>
          <w:sz w:val="22"/>
          <w:szCs w:val="22"/>
        </w:rPr>
        <w:t>, Québec, l’Harmattan, 1988, p.161.</w:t>
      </w:r>
    </w:p>
  </w:footnote>
  <w:footnote w:id="123">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en-GB"/>
        </w:rPr>
        <w:t xml:space="preserve"> Ibidem.</w:t>
      </w:r>
    </w:p>
  </w:footnote>
  <w:footnote w:id="124">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J. RAWLS, </w:t>
      </w:r>
      <w:r>
        <w:rPr>
          <w:rFonts w:ascii="Calibri Light" w:eastAsia="Batang" w:hAnsi="Calibri Light" w:cs="Calibri Light"/>
          <w:i/>
          <w:iCs/>
          <w:sz w:val="22"/>
          <w:szCs w:val="22"/>
          <w:lang w:val="en-GB"/>
        </w:rPr>
        <w:t>Political liberalism</w:t>
      </w:r>
      <w:r>
        <w:rPr>
          <w:rFonts w:ascii="Calibri Light" w:eastAsia="Batang" w:hAnsi="Calibri Light" w:cs="Calibri Light"/>
          <w:sz w:val="22"/>
          <w:szCs w:val="22"/>
          <w:lang w:val="en-GB"/>
        </w:rPr>
        <w:t>, New-York, Columbia University Press, 1993, pp.9-10.</w:t>
      </w:r>
    </w:p>
  </w:footnote>
  <w:footnote w:id="125">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M. CASTILLO, </w:t>
      </w:r>
      <w:r>
        <w:rPr>
          <w:rFonts w:ascii="Calibri Light" w:eastAsia="Batang" w:hAnsi="Calibri Light" w:cs="Calibri Light"/>
          <w:i/>
          <w:iCs/>
          <w:sz w:val="22"/>
          <w:szCs w:val="22"/>
          <w:lang w:val="en-GB"/>
        </w:rPr>
        <w:t>o.c.</w:t>
      </w:r>
    </w:p>
  </w:footnote>
  <w:footnote w:id="126">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p>
  </w:footnote>
  <w:footnote w:id="12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Rawls entend conférer au consensus un degré supplémentaire d’autonomie théorique en le libérant de toute attache philosophique. Son évolution doctrinale le conduit à appliquer le principe de tolérance à la philosophie elle-même (Cf. M., CASTILLO, </w:t>
      </w:r>
      <w:r>
        <w:rPr>
          <w:rFonts w:ascii="Calibri Light" w:eastAsia="Batang" w:hAnsi="Calibri Light" w:cs="Calibri Light"/>
          <w:i/>
          <w:iCs/>
          <w:sz w:val="22"/>
          <w:szCs w:val="22"/>
        </w:rPr>
        <w:t>o.c, p.162</w:t>
      </w:r>
      <w:r>
        <w:rPr>
          <w:rFonts w:ascii="Calibri Light" w:eastAsia="Batang" w:hAnsi="Calibri Light" w:cs="Calibri Light"/>
          <w:sz w:val="22"/>
          <w:szCs w:val="22"/>
        </w:rPr>
        <w:t>.)</w:t>
      </w:r>
    </w:p>
  </w:footnote>
  <w:footnote w:id="12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 xml:space="preserve"> Ibidem</w:t>
      </w:r>
      <w:r>
        <w:rPr>
          <w:rFonts w:ascii="Calibri Light" w:eastAsia="Batang" w:hAnsi="Calibri Light" w:cs="Calibri Light"/>
          <w:sz w:val="22"/>
          <w:szCs w:val="22"/>
        </w:rPr>
        <w:t>, p.164 ; 163.</w:t>
      </w:r>
    </w:p>
  </w:footnote>
  <w:footnote w:id="12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Théorie de la justice</w:t>
      </w:r>
      <w:r>
        <w:rPr>
          <w:rFonts w:ascii="Calibri Light" w:eastAsia="Batang" w:hAnsi="Calibri Light" w:cs="Calibri Light"/>
          <w:sz w:val="22"/>
          <w:szCs w:val="22"/>
        </w:rPr>
        <w:t>, Trad. C. Audard, Paris, Seuil, 1987, pp. 247-248.</w:t>
      </w:r>
    </w:p>
  </w:footnote>
  <w:footnote w:id="13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p>
  </w:footnote>
  <w:footnote w:id="13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 xml:space="preserve"> p.250.</w:t>
      </w:r>
    </w:p>
  </w:footnote>
  <w:footnote w:id="13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 ARNSPERGER &amp; H. POURTOIS, « Raison, sphère publique et défis du pluralisme » (introduction au Tome 98), dans </w:t>
      </w:r>
      <w:r>
        <w:rPr>
          <w:rFonts w:ascii="Calibri Light" w:eastAsia="Batang" w:hAnsi="Calibri Light" w:cs="Calibri Light"/>
          <w:i/>
          <w:iCs/>
          <w:sz w:val="22"/>
          <w:szCs w:val="22"/>
        </w:rPr>
        <w:t>Revue philosophique de Louvain</w:t>
      </w:r>
      <w:r>
        <w:rPr>
          <w:rFonts w:ascii="Calibri Light" w:eastAsia="Batang" w:hAnsi="Calibri Light" w:cs="Calibri Light"/>
          <w:sz w:val="22"/>
          <w:szCs w:val="22"/>
        </w:rPr>
        <w:t>,  février 2000.</w:t>
      </w:r>
    </w:p>
  </w:footnote>
  <w:footnote w:id="133">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Ibidem.</w:t>
      </w:r>
    </w:p>
  </w:footnote>
  <w:footnote w:id="134">
    <w:p w:rsidR="000A31A8" w:rsidRDefault="0065345B">
      <w:pPr>
        <w:pStyle w:val="Notedebasdepage"/>
        <w:tabs>
          <w:tab w:val="left" w:pos="8080"/>
        </w:tabs>
        <w:ind w:right="-2" w:firstLine="709"/>
        <w:jc w:val="both"/>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Cf. Ibidem, p.4. </w:t>
      </w:r>
      <w:r>
        <w:rPr>
          <w:rFonts w:ascii="Calibri Light" w:eastAsia="Batang" w:hAnsi="Calibri Light" w:cs="Calibri Light"/>
          <w:sz w:val="22"/>
          <w:szCs w:val="22"/>
        </w:rPr>
        <w:t xml:space="preserve">Dans l’esprit des Nations Unies (Déclaration de principe sur la tolérance élaborée par L’UNESCO en 1995), la tolérance est comprise comme une attitude, non seulement dans l’esprit de tous et chacun, mais encore dans les dispositifs du fonctionnement social et politique.  « La tolérance est la reconnaissance et l’acceptation des différences entre personnes. Elle consiste à apprendre à écouter les autres, à communiquer avec eux et à les comprendre. C’est la reconnaissance de la diversité culturelle. C’est le fait d’être ouvert à d’autres manières de penser et à d’autres conceptions, ouverture dérivée de l’intérêt et de la curiosité, de même que du refus de rejeter l’inconnu. C’est le fait de reconnaître qu’aucune culture, nation ou religion n’a le monopole de la connaissance ou de la vérité. C’est une forme de liberté qui consiste à être libre de préjugés et de dogmes. La personne tolérante est maîtresse de ses opinions et de sa conduite. C’est attitude positive envers les autres, exempte de toute attitude de supériorité » (UNESCO, </w:t>
      </w:r>
      <w:r>
        <w:rPr>
          <w:rFonts w:ascii="Calibri Light" w:eastAsia="Batang" w:hAnsi="Calibri Light" w:cs="Calibri Light"/>
          <w:i/>
          <w:iCs/>
          <w:sz w:val="22"/>
          <w:szCs w:val="22"/>
        </w:rPr>
        <w:t>Déclaration de principe sur la tolérance</w:t>
      </w:r>
      <w:r>
        <w:rPr>
          <w:rFonts w:ascii="Calibri Light" w:eastAsia="Batang" w:hAnsi="Calibri Light" w:cs="Calibri Light"/>
          <w:sz w:val="22"/>
          <w:szCs w:val="22"/>
        </w:rPr>
        <w:t xml:space="preserve">, cité par M. TOSCANO-MENDEZ, « La tolérance et le conflit des raisons », dans </w:t>
      </w:r>
      <w:r>
        <w:rPr>
          <w:rFonts w:ascii="Calibri Light" w:eastAsia="Batang" w:hAnsi="Calibri Light" w:cs="Calibri Light"/>
          <w:i/>
          <w:iCs/>
          <w:sz w:val="22"/>
          <w:szCs w:val="22"/>
        </w:rPr>
        <w:t>Revue philosophie de Louvain</w:t>
      </w:r>
      <w:r>
        <w:rPr>
          <w:rFonts w:ascii="Calibri Light" w:eastAsia="Batang" w:hAnsi="Calibri Light" w:cs="Calibri Light"/>
          <w:sz w:val="22"/>
          <w:szCs w:val="22"/>
        </w:rPr>
        <w:t>, février 2000, p.29).</w:t>
      </w:r>
    </w:p>
  </w:footnote>
  <w:footnote w:id="13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Libéralisme politique</w:t>
      </w:r>
      <w:r>
        <w:rPr>
          <w:rFonts w:ascii="Calibri Light" w:eastAsia="Batang" w:hAnsi="Calibri Light" w:cs="Calibri Light"/>
          <w:sz w:val="22"/>
          <w:szCs w:val="22"/>
        </w:rPr>
        <w:t>, Trad. C. Audard, Paris, PUF, 1995, p.56.</w:t>
      </w:r>
    </w:p>
  </w:footnote>
  <w:footnote w:id="13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p.60.</w:t>
      </w:r>
    </w:p>
  </w:footnote>
  <w:footnote w:id="13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 RAWLS, </w:t>
      </w:r>
      <w:r>
        <w:rPr>
          <w:rFonts w:ascii="Calibri Light" w:eastAsia="Batang" w:hAnsi="Calibri Light" w:cs="Calibri Light"/>
          <w:i/>
          <w:iCs/>
          <w:sz w:val="22"/>
          <w:szCs w:val="22"/>
        </w:rPr>
        <w:t>Justice et démocratie</w:t>
      </w:r>
      <w:r>
        <w:rPr>
          <w:rFonts w:ascii="Calibri Light" w:eastAsia="Batang" w:hAnsi="Calibri Light" w:cs="Calibri Light"/>
          <w:sz w:val="22"/>
          <w:szCs w:val="22"/>
        </w:rPr>
        <w:t>, Trad. C. Audard, Paris, Seuil, 1993, p.325.</w:t>
      </w:r>
    </w:p>
  </w:footnote>
  <w:footnote w:id="13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13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14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J. RAWLS, </w:t>
      </w:r>
      <w:r>
        <w:rPr>
          <w:rFonts w:ascii="Calibri Light" w:eastAsia="Batang" w:hAnsi="Calibri Light" w:cs="Calibri Light"/>
          <w:i/>
          <w:iCs/>
          <w:sz w:val="22"/>
          <w:szCs w:val="22"/>
        </w:rPr>
        <w:t>Théorie de la justice</w:t>
      </w:r>
      <w:r>
        <w:rPr>
          <w:rFonts w:ascii="Calibri Light" w:eastAsia="Batang" w:hAnsi="Calibri Light" w:cs="Calibri Light"/>
          <w:sz w:val="22"/>
          <w:szCs w:val="22"/>
        </w:rPr>
        <w:t>, Trad. C. Audard, Paris, Seuil, 1987, p.257.</w:t>
      </w:r>
    </w:p>
  </w:footnote>
  <w:footnote w:id="14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w:t>
      </w:r>
    </w:p>
  </w:footnote>
  <w:footnote w:id="14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Procédure dans laquelle une minorité ne peut imposer sa volonté à une majorité ni la freiner.</w:t>
      </w:r>
    </w:p>
  </w:footnote>
  <w:footnote w:id="14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T.ANDREANI &amp; M. FERAY, </w:t>
      </w:r>
      <w:r>
        <w:rPr>
          <w:rFonts w:ascii="Calibri Light" w:eastAsia="Batang" w:hAnsi="Calibri Light" w:cs="Calibri Light"/>
          <w:i/>
          <w:iCs/>
          <w:sz w:val="22"/>
          <w:szCs w:val="22"/>
          <w:lang w:val="fr-BE"/>
        </w:rPr>
        <w:t>Discours sur l’égalité parmi les hommes</w:t>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Penser l’alternative</w:t>
      </w:r>
      <w:r>
        <w:rPr>
          <w:rFonts w:ascii="Calibri Light" w:eastAsia="Batang" w:hAnsi="Calibri Light" w:cs="Calibri Light"/>
          <w:sz w:val="22"/>
          <w:szCs w:val="22"/>
          <w:lang w:val="fr-BE"/>
        </w:rPr>
        <w:t xml:space="preserve">, Paris, l’Harmattan, 1993, p. 111. </w:t>
      </w:r>
    </w:p>
  </w:footnote>
  <w:footnote w:id="144">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w:t>
      </w:r>
      <w:r>
        <w:rPr>
          <w:rFonts w:ascii="Calibri Light" w:eastAsia="Batang" w:hAnsi="Calibri Light" w:cs="Calibri Light"/>
          <w:i/>
          <w:iCs/>
          <w:sz w:val="22"/>
          <w:szCs w:val="22"/>
        </w:rPr>
        <w:t>Ibidem.</w:t>
      </w:r>
    </w:p>
  </w:footnote>
  <w:footnote w:id="14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14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MAESSCHALCK, </w:t>
      </w:r>
      <w:r>
        <w:rPr>
          <w:rFonts w:ascii="Calibri Light" w:eastAsia="Batang" w:hAnsi="Calibri Light" w:cs="Calibri Light"/>
          <w:i/>
          <w:iCs/>
          <w:sz w:val="22"/>
          <w:szCs w:val="22"/>
        </w:rPr>
        <w:t xml:space="preserve">Raison et pouvoir. Les impasses de la pensée politique postmoderne, </w:t>
      </w:r>
      <w:r>
        <w:rPr>
          <w:rFonts w:ascii="Calibri Light" w:eastAsia="Batang" w:hAnsi="Calibri Light" w:cs="Calibri Light"/>
          <w:sz w:val="22"/>
          <w:szCs w:val="22"/>
        </w:rPr>
        <w:t>Bruxelles, Facultés universitaires Saint-Louis, 1992,</w:t>
      </w:r>
      <w:r>
        <w:rPr>
          <w:rFonts w:ascii="Calibri Light" w:eastAsia="Batang" w:hAnsi="Calibri Light" w:cs="Calibri Light"/>
          <w:i/>
          <w:iCs/>
          <w:sz w:val="22"/>
          <w:szCs w:val="22"/>
        </w:rPr>
        <w:t xml:space="preserve"> </w:t>
      </w:r>
      <w:r>
        <w:rPr>
          <w:rFonts w:ascii="Calibri Light" w:eastAsia="Batang" w:hAnsi="Calibri Light" w:cs="Calibri Light"/>
          <w:sz w:val="22"/>
          <w:szCs w:val="22"/>
        </w:rPr>
        <w:t>p.27.</w:t>
      </w:r>
    </w:p>
  </w:footnote>
  <w:footnote w:id="14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p>
  </w:footnote>
  <w:footnote w:id="148">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J.-F. LYOTARD, </w:t>
      </w:r>
      <w:r>
        <w:rPr>
          <w:rFonts w:ascii="Calibri Light" w:eastAsia="Batang" w:hAnsi="Calibri Light" w:cs="Calibri Light"/>
          <w:i/>
          <w:iCs/>
          <w:sz w:val="22"/>
          <w:szCs w:val="22"/>
        </w:rPr>
        <w:t>La condition postmoderne</w:t>
      </w:r>
      <w:r>
        <w:rPr>
          <w:rFonts w:ascii="Calibri Light" w:eastAsia="Batang" w:hAnsi="Calibri Light" w:cs="Calibri Light"/>
          <w:sz w:val="22"/>
          <w:szCs w:val="22"/>
        </w:rPr>
        <w:t>, Paris, éd. de Minuit, 1979,  p.31.</w:t>
      </w:r>
    </w:p>
  </w:footnote>
  <w:footnote w:id="149">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 RICOEUR, </w:t>
      </w:r>
      <w:r>
        <w:rPr>
          <w:rFonts w:ascii="Calibri Light" w:eastAsia="Batang" w:hAnsi="Calibri Light" w:cs="Calibri Light"/>
          <w:i/>
          <w:iCs/>
          <w:sz w:val="22"/>
          <w:szCs w:val="22"/>
        </w:rPr>
        <w:t>A l’école de la phénoménologie</w:t>
      </w:r>
      <w:r>
        <w:rPr>
          <w:rFonts w:ascii="Calibri Light" w:eastAsia="Batang" w:hAnsi="Calibri Light" w:cs="Calibri Light"/>
          <w:sz w:val="22"/>
          <w:szCs w:val="22"/>
        </w:rPr>
        <w:t>, Paris, J. Vrin, 1986, p.162.</w:t>
      </w:r>
    </w:p>
  </w:footnote>
  <w:footnote w:id="15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151">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Cf. </w:t>
      </w:r>
      <w:r>
        <w:rPr>
          <w:rFonts w:ascii="Calibri Light" w:eastAsia="Batang" w:hAnsi="Calibri Light" w:cs="Calibri Light"/>
          <w:i/>
          <w:iCs/>
          <w:sz w:val="22"/>
          <w:szCs w:val="22"/>
          <w:lang w:val="fr-BE"/>
        </w:rPr>
        <w:t>Ibidem, p.77.</w:t>
      </w:r>
    </w:p>
  </w:footnote>
  <w:footnote w:id="152">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A. VERGEZ &amp; D. HUISMAN, </w:t>
      </w:r>
      <w:r>
        <w:rPr>
          <w:rFonts w:ascii="Calibri Light" w:eastAsia="Batang" w:hAnsi="Calibri Light" w:cs="Calibri Light"/>
          <w:i/>
          <w:iCs/>
          <w:sz w:val="22"/>
          <w:szCs w:val="22"/>
        </w:rPr>
        <w:t>Histoire des philosophes illustrée par les textes</w:t>
      </w:r>
      <w:r>
        <w:rPr>
          <w:rFonts w:ascii="Calibri Light" w:eastAsia="Batang" w:hAnsi="Calibri Light" w:cs="Calibri Light"/>
          <w:sz w:val="22"/>
          <w:szCs w:val="22"/>
        </w:rPr>
        <w:t>, Paris, Fernand Nathan, 1966, p.364.</w:t>
      </w:r>
    </w:p>
  </w:footnote>
  <w:footnote w:id="15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Descartes va aller jusqu’au cercle vicieux (la pensée me conduit à Dieu et Dieu garantit la valeur de ma pensée). Alors que Descartes transcende le Cogito par Dieu, Husserl va transcender l’ego par l’</w:t>
      </w:r>
      <w:r>
        <w:rPr>
          <w:rFonts w:ascii="Calibri Light" w:eastAsia="Batang" w:hAnsi="Calibri Light" w:cs="Calibri Light"/>
          <w:i/>
          <w:iCs/>
          <w:sz w:val="22"/>
          <w:szCs w:val="22"/>
        </w:rPr>
        <w:t>alter ego</w:t>
      </w:r>
      <w:r>
        <w:rPr>
          <w:rFonts w:ascii="Calibri Light" w:eastAsia="Batang" w:hAnsi="Calibri Light" w:cs="Calibri Light"/>
          <w:sz w:val="22"/>
          <w:szCs w:val="22"/>
        </w:rPr>
        <w:t xml:space="preserve"> (P. RICOEUR, </w:t>
      </w:r>
      <w:r>
        <w:rPr>
          <w:rFonts w:ascii="Calibri Light" w:eastAsia="Batang" w:hAnsi="Calibri Light" w:cs="Calibri Light"/>
          <w:i/>
          <w:iCs/>
          <w:sz w:val="22"/>
          <w:szCs w:val="22"/>
        </w:rPr>
        <w:t>o.c.</w:t>
      </w:r>
      <w:r>
        <w:rPr>
          <w:rFonts w:ascii="Calibri Light" w:eastAsia="Batang" w:hAnsi="Calibri Light" w:cs="Calibri Light"/>
          <w:sz w:val="22"/>
          <w:szCs w:val="22"/>
        </w:rPr>
        <w:t>, p.77).</w:t>
      </w:r>
    </w:p>
  </w:footnote>
  <w:footnote w:id="154">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nl-NL"/>
        </w:rPr>
        <w:t xml:space="preserve"> A.VERGEZ &amp; D. HUISMAN,</w:t>
      </w:r>
      <w:r>
        <w:rPr>
          <w:rFonts w:ascii="Calibri Light" w:eastAsia="Batang" w:hAnsi="Calibri Light" w:cs="Calibri Light"/>
          <w:i/>
          <w:iCs/>
          <w:sz w:val="22"/>
          <w:szCs w:val="22"/>
          <w:lang w:val="nl-NL"/>
        </w:rPr>
        <w:t xml:space="preserve"> o.c.</w:t>
      </w:r>
      <w:r>
        <w:rPr>
          <w:rFonts w:ascii="Calibri Light" w:eastAsia="Batang" w:hAnsi="Calibri Light" w:cs="Calibri Light"/>
          <w:sz w:val="22"/>
          <w:szCs w:val="22"/>
          <w:lang w:val="nl-NL"/>
        </w:rPr>
        <w:t>, p.366.</w:t>
      </w:r>
    </w:p>
  </w:footnote>
  <w:footnote w:id="15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xml:space="preserve"> pp.365-366.</w:t>
      </w:r>
    </w:p>
  </w:footnote>
  <w:footnote w:id="15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5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 xml:space="preserve">, p.29. </w:t>
      </w:r>
      <w:r>
        <w:rPr>
          <w:rFonts w:ascii="Calibri Light" w:eastAsia="Batang" w:hAnsi="Calibri Light" w:cs="Calibri Light"/>
          <w:sz w:val="22"/>
          <w:szCs w:val="22"/>
        </w:rPr>
        <w:t xml:space="preserve">Hegel avait introduit de manière très spectaculaire la téléologie explicite de la liberté absolue se doublant d’une archéologie implicite du désir marquant le signe de la finitude dans le projet de la raison, la mort ou le désir de l’impossible, l’anéantissement du temps, du procès de la liberté pour une </w:t>
      </w:r>
      <w:r>
        <w:rPr>
          <w:rFonts w:ascii="Calibri Light" w:eastAsia="Batang" w:hAnsi="Calibri Light" w:cs="Calibri Light"/>
          <w:i/>
          <w:iCs/>
          <w:sz w:val="22"/>
          <w:szCs w:val="22"/>
        </w:rPr>
        <w:t>éternisation</w:t>
      </w:r>
      <w:r>
        <w:rPr>
          <w:rFonts w:ascii="Calibri Light" w:eastAsia="Batang" w:hAnsi="Calibri Light" w:cs="Calibri Light"/>
          <w:sz w:val="22"/>
          <w:szCs w:val="22"/>
        </w:rPr>
        <w:t xml:space="preserve"> de l’instant présent, de l’acte de liberté en soi-même. L’on peut comprendre alors que la liberté philosophique suppose la négation de l’absolutisation de la raison dans le but de maintenir en échange continu avec les productions du désir, c’est-à-dire le risque permanent de l’aliénation. Il s’agit donc pour Hegel de sursumer </w:t>
      </w:r>
      <w:r>
        <w:rPr>
          <w:rFonts w:ascii="Calibri Light" w:eastAsia="Batang" w:hAnsi="Calibri Light" w:cs="Calibri Light"/>
          <w:i/>
          <w:iCs/>
          <w:sz w:val="22"/>
          <w:szCs w:val="22"/>
        </w:rPr>
        <w:t xml:space="preserve">(Aufheben) </w:t>
      </w:r>
      <w:r>
        <w:rPr>
          <w:rFonts w:ascii="Calibri Light" w:eastAsia="Batang" w:hAnsi="Calibri Light" w:cs="Calibri Light"/>
          <w:sz w:val="22"/>
          <w:szCs w:val="22"/>
        </w:rPr>
        <w:t>le désir d’être-autre de manière à la transformer en relation de connaissance dans l’histoire de la liberté se concevant. L’autre désire, écrit Maesschalck, devient l’autre qui me renvoie à moi-même, à ma propre responsabilité (Cf. M. MAESSCHALCK,</w:t>
      </w:r>
      <w:r>
        <w:rPr>
          <w:rFonts w:ascii="Calibri Light" w:eastAsia="Batang" w:hAnsi="Calibri Light" w:cs="Calibri Light"/>
          <w:i/>
          <w:iCs/>
          <w:sz w:val="22"/>
          <w:szCs w:val="22"/>
        </w:rPr>
        <w:t xml:space="preserve"> o.c,</w:t>
      </w:r>
      <w:r>
        <w:rPr>
          <w:rFonts w:ascii="Calibri Light" w:eastAsia="Batang" w:hAnsi="Calibri Light" w:cs="Calibri Light"/>
          <w:sz w:val="22"/>
          <w:szCs w:val="22"/>
        </w:rPr>
        <w:t xml:space="preserve"> pp.34-35).</w:t>
      </w:r>
    </w:p>
  </w:footnote>
  <w:footnote w:id="15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t xml:space="preserve">313 </w:t>
      </w:r>
      <w:r>
        <w:rPr>
          <w:rFonts w:ascii="Calibri Light" w:eastAsia="Batang" w:hAnsi="Calibri Light" w:cs="Calibri Light"/>
          <w:sz w:val="22"/>
          <w:szCs w:val="22"/>
        </w:rPr>
        <w:t xml:space="preserve">L’objection du solipsisme a toujours été celle du sens commun contre les philosophies idéalistes : les autres ego ne se réduisent pas à la représentation qu’on en a ; ce ne sont même pas des objets représentés, des unités de sens, les autres sont autres que moi, ce sont des autres moi (P. RICOEUR, </w:t>
      </w:r>
      <w:r>
        <w:rPr>
          <w:rFonts w:ascii="Calibri Light" w:eastAsia="Batang" w:hAnsi="Calibri Light" w:cs="Calibri Light"/>
          <w:i/>
          <w:iCs/>
          <w:sz w:val="22"/>
          <w:szCs w:val="22"/>
        </w:rPr>
        <w:t>A l’école de la phénoménologie</w:t>
      </w:r>
      <w:r>
        <w:rPr>
          <w:rFonts w:ascii="Calibri Light" w:eastAsia="Batang" w:hAnsi="Calibri Light" w:cs="Calibri Light"/>
          <w:sz w:val="22"/>
          <w:szCs w:val="22"/>
        </w:rPr>
        <w:t>, Paris, J. Vrin, 1986, p.198).</w:t>
      </w:r>
    </w:p>
  </w:footnote>
  <w:footnote w:id="15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rPr>
        <w:t xml:space="preserve"> Ibidem, pp.41-42.</w:t>
      </w:r>
    </w:p>
  </w:footnote>
  <w:footnote w:id="16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Le débat initié par NGOMA-BINDA dans la </w:t>
      </w:r>
      <w:r>
        <w:rPr>
          <w:rFonts w:ascii="Calibri Light" w:eastAsia="Batang" w:hAnsi="Calibri Light" w:cs="Calibri Light"/>
          <w:i/>
          <w:iCs/>
          <w:sz w:val="22"/>
          <w:szCs w:val="22"/>
        </w:rPr>
        <w:t>Participation politique (1995).</w:t>
      </w:r>
      <w:r>
        <w:rPr>
          <w:rFonts w:ascii="Calibri Light" w:eastAsia="Batang" w:hAnsi="Calibri Light" w:cs="Calibri Light"/>
          <w:sz w:val="22"/>
          <w:szCs w:val="22"/>
        </w:rPr>
        <w:t xml:space="preserve"> Il relève trois fondements du civisme : la conscience politique, la liberté d’un individu responsable, le sens de l’éthique. Ces fondements expriment valablement la préoccupation de la postmodernité.</w:t>
      </w:r>
    </w:p>
  </w:footnote>
  <w:footnote w:id="161">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w:t>
      </w:r>
      <w:r>
        <w:rPr>
          <w:rFonts w:ascii="Calibri Light" w:eastAsia="Batang" w:hAnsi="Calibri Light" w:cs="Calibri Light"/>
          <w:sz w:val="22"/>
          <w:szCs w:val="22"/>
          <w:lang w:val="de-DE"/>
        </w:rPr>
        <w:t>MAESSCHALCK,</w:t>
      </w:r>
      <w:r>
        <w:rPr>
          <w:rFonts w:ascii="Calibri Light" w:eastAsia="Batang" w:hAnsi="Calibri Light" w:cs="Calibri Light"/>
          <w:i/>
          <w:iCs/>
          <w:sz w:val="22"/>
          <w:szCs w:val="22"/>
          <w:lang w:val="de-DE"/>
        </w:rPr>
        <w:t xml:space="preserve"> o. c.</w:t>
      </w:r>
      <w:r>
        <w:rPr>
          <w:rFonts w:ascii="Calibri Light" w:eastAsia="Batang" w:hAnsi="Calibri Light" w:cs="Calibri Light"/>
          <w:sz w:val="22"/>
          <w:szCs w:val="22"/>
          <w:lang w:val="de-DE"/>
        </w:rPr>
        <w:t>, p.64.</w:t>
      </w:r>
    </w:p>
  </w:footnote>
  <w:footnote w:id="162">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 p.67.</w:t>
      </w:r>
    </w:p>
  </w:footnote>
  <w:footnote w:id="16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E. LEVINAS, </w:t>
      </w:r>
      <w:r>
        <w:rPr>
          <w:rFonts w:ascii="Calibri Light" w:eastAsia="Batang" w:hAnsi="Calibri Light" w:cs="Calibri Light"/>
          <w:i/>
          <w:iCs/>
          <w:sz w:val="22"/>
          <w:szCs w:val="22"/>
        </w:rPr>
        <w:t>Humanisme de l’autre homme,</w:t>
      </w:r>
      <w:r>
        <w:rPr>
          <w:rFonts w:ascii="Calibri Light" w:eastAsia="Batang" w:hAnsi="Calibri Light" w:cs="Calibri Light"/>
          <w:sz w:val="22"/>
          <w:szCs w:val="22"/>
        </w:rPr>
        <w:t xml:space="preserve"> Montpellier, Fata morgana, 1972, p.103.</w:t>
      </w:r>
    </w:p>
  </w:footnote>
  <w:footnote w:id="16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E. LEVINAS, </w:t>
      </w:r>
      <w:r>
        <w:rPr>
          <w:rFonts w:ascii="Calibri Light" w:eastAsia="Batang" w:hAnsi="Calibri Light" w:cs="Calibri Light"/>
          <w:i/>
          <w:iCs/>
          <w:sz w:val="22"/>
          <w:szCs w:val="22"/>
        </w:rPr>
        <w:t>Totalité et infini</w:t>
      </w:r>
      <w:r>
        <w:rPr>
          <w:rFonts w:ascii="Calibri Light" w:eastAsia="Batang" w:hAnsi="Calibri Light" w:cs="Calibri Light"/>
          <w:sz w:val="22"/>
          <w:szCs w:val="22"/>
        </w:rPr>
        <w:t xml:space="preserve">. </w:t>
      </w:r>
      <w:r>
        <w:rPr>
          <w:rFonts w:ascii="Calibri Light" w:eastAsia="Batang" w:hAnsi="Calibri Light" w:cs="Calibri Light"/>
          <w:i/>
          <w:iCs/>
          <w:sz w:val="22"/>
          <w:szCs w:val="22"/>
        </w:rPr>
        <w:t>Essai sur l’extériorité</w:t>
      </w:r>
      <w:r>
        <w:rPr>
          <w:rFonts w:ascii="Calibri Light" w:eastAsia="Batang" w:hAnsi="Calibri Light" w:cs="Calibri Light"/>
          <w:sz w:val="22"/>
          <w:szCs w:val="22"/>
        </w:rPr>
        <w:t>, (Phaenomenologica, 8) 4</w:t>
      </w:r>
      <w:r>
        <w:rPr>
          <w:rFonts w:ascii="Calibri Light" w:eastAsia="Batang" w:hAnsi="Calibri Light" w:cs="Calibri Light"/>
          <w:sz w:val="22"/>
          <w:szCs w:val="22"/>
          <w:vertAlign w:val="superscript"/>
        </w:rPr>
        <w:t>e</w:t>
      </w:r>
      <w:r>
        <w:rPr>
          <w:rFonts w:ascii="Calibri Light" w:eastAsia="Batang" w:hAnsi="Calibri Light" w:cs="Calibri Light"/>
          <w:sz w:val="22"/>
          <w:szCs w:val="22"/>
        </w:rPr>
        <w:t xml:space="preserve"> édition, The Hague, M. Nijhoff, 1984, p.36.</w:t>
      </w:r>
    </w:p>
  </w:footnote>
  <w:footnote w:id="16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D’ailleurs l’  « être-au-monde » heideggérien est compréhension : l’activité technique elle-même est ouverture, dé-couverte de l’être fût-ce sur le mode de l’oubli de l’être. L’ontique-qui du moins comporte une opacité- cède partout le pas à l’ontologie, à une luminosité enfouie à dégager, l’existenti</w:t>
      </w:r>
      <w:r>
        <w:rPr>
          <w:rFonts w:ascii="Calibri Light" w:eastAsia="Batang" w:hAnsi="Calibri Light" w:cs="Calibri Light"/>
          <w:i/>
          <w:iCs/>
          <w:sz w:val="22"/>
          <w:szCs w:val="22"/>
        </w:rPr>
        <w:t>el</w:t>
      </w:r>
      <w:r>
        <w:rPr>
          <w:rFonts w:ascii="Calibri Light" w:eastAsia="Batang" w:hAnsi="Calibri Light" w:cs="Calibri Light"/>
          <w:sz w:val="22"/>
          <w:szCs w:val="22"/>
        </w:rPr>
        <w:t xml:space="preserve"> révèle son sens dans l’existenti</w:t>
      </w:r>
      <w:r>
        <w:rPr>
          <w:rFonts w:ascii="Calibri Light" w:eastAsia="Batang" w:hAnsi="Calibri Light" w:cs="Calibri Light"/>
          <w:i/>
          <w:iCs/>
          <w:sz w:val="22"/>
          <w:szCs w:val="22"/>
        </w:rPr>
        <w:t>al</w:t>
      </w:r>
      <w:r>
        <w:rPr>
          <w:rFonts w:ascii="Calibri Light" w:eastAsia="Batang" w:hAnsi="Calibri Light" w:cs="Calibri Light"/>
          <w:sz w:val="22"/>
          <w:szCs w:val="22"/>
        </w:rPr>
        <w:t xml:space="preserve"> qui est une articulation de l’onto-logie. L’étant ne compte qu’à partie du savoir, à partir de l’apparoir, à partir de la phénoménalité » (E. LEVINAS, </w:t>
      </w:r>
      <w:r>
        <w:rPr>
          <w:rFonts w:ascii="Calibri Light" w:eastAsia="Batang" w:hAnsi="Calibri Light" w:cs="Calibri Light"/>
          <w:i/>
          <w:iCs/>
          <w:sz w:val="22"/>
          <w:szCs w:val="22"/>
        </w:rPr>
        <w:t>Autrement qu’être ou au-delà de l’essence</w:t>
      </w:r>
      <w:r>
        <w:rPr>
          <w:rFonts w:ascii="Calibri Light" w:eastAsia="Batang" w:hAnsi="Calibri Light" w:cs="Calibri Light"/>
          <w:sz w:val="22"/>
          <w:szCs w:val="22"/>
        </w:rPr>
        <w:t>, Paris, Brodard et Taupin, 2001, p.128).</w:t>
      </w:r>
    </w:p>
  </w:footnote>
  <w:footnote w:id="16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67">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68">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69">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p.63.</w:t>
      </w:r>
    </w:p>
  </w:footnote>
  <w:footnote w:id="17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7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Cette vulnérabilité thématisée par Ricœur dans un paradoxe avec l’autonomie :  «  Alors que l’autonomie est l’apanage du droit, la vulnérabilité, elle, reste une condition de possibilité que la pratique judiciaire transforme en tâche dans la mesure où l’homme est en même temps autonome et doit le devenir » ( P. RICOEUR, </w:t>
      </w:r>
      <w:r>
        <w:rPr>
          <w:rFonts w:ascii="Calibri Light" w:eastAsia="Batang" w:hAnsi="Calibri Light" w:cs="Calibri Light"/>
          <w:i/>
          <w:iCs/>
          <w:sz w:val="22"/>
          <w:szCs w:val="22"/>
        </w:rPr>
        <w:t>Le juste 2</w:t>
      </w:r>
      <w:r>
        <w:rPr>
          <w:rFonts w:ascii="Calibri Light" w:eastAsia="Batang" w:hAnsi="Calibri Light" w:cs="Calibri Light"/>
          <w:sz w:val="22"/>
          <w:szCs w:val="22"/>
        </w:rPr>
        <w:t xml:space="preserve">, Paris, éd. Esprit, 2001, pp.85-86), est d’autant plus criante que finalement « écouter la voix de la conscience signifierait être-enjoint par l’Autre (P. RICOEUR, </w:t>
      </w:r>
      <w:r>
        <w:rPr>
          <w:rFonts w:ascii="Calibri Light" w:eastAsia="Batang" w:hAnsi="Calibri Light" w:cs="Calibri Light"/>
          <w:i/>
          <w:iCs/>
          <w:sz w:val="22"/>
          <w:szCs w:val="22"/>
        </w:rPr>
        <w:t>Soi-même comme un autre</w:t>
      </w:r>
      <w:r>
        <w:rPr>
          <w:rFonts w:ascii="Calibri Light" w:eastAsia="Batang" w:hAnsi="Calibri Light" w:cs="Calibri Light"/>
          <w:sz w:val="22"/>
          <w:szCs w:val="22"/>
        </w:rPr>
        <w:t xml:space="preserve">, Paris, Seuil, 1990, p.405) ou être préoccupé avec autrui ( </w:t>
      </w:r>
      <w:r>
        <w:rPr>
          <w:rFonts w:ascii="Calibri Light" w:eastAsia="Batang" w:hAnsi="Calibri Light" w:cs="Calibri Light"/>
          <w:i/>
          <w:iCs/>
          <w:sz w:val="22"/>
          <w:szCs w:val="22"/>
        </w:rPr>
        <w:t>Ibidem</w:t>
      </w:r>
      <w:r>
        <w:rPr>
          <w:rFonts w:ascii="Calibri Light" w:eastAsia="Batang" w:hAnsi="Calibri Light" w:cs="Calibri Light"/>
          <w:sz w:val="22"/>
          <w:szCs w:val="22"/>
        </w:rPr>
        <w:t>, p.402).</w:t>
      </w:r>
    </w:p>
  </w:footnote>
  <w:footnote w:id="17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rPr>
        <w:t xml:space="preserve"> Ibidem.</w:t>
      </w:r>
    </w:p>
  </w:footnote>
  <w:footnote w:id="173">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E. LEVINAS, </w:t>
      </w:r>
      <w:r>
        <w:rPr>
          <w:rFonts w:ascii="Calibri Light" w:eastAsia="Batang" w:hAnsi="Calibri Light" w:cs="Calibri Light"/>
          <w:i/>
          <w:iCs/>
          <w:sz w:val="22"/>
          <w:szCs w:val="22"/>
        </w:rPr>
        <w:t>Autrement qu’être ou au-delà de l’essence</w:t>
      </w:r>
      <w:r>
        <w:rPr>
          <w:rFonts w:ascii="Calibri Light" w:eastAsia="Batang" w:hAnsi="Calibri Light" w:cs="Calibri Light"/>
          <w:sz w:val="22"/>
          <w:szCs w:val="22"/>
        </w:rPr>
        <w:t>, Paris, Brodard et Taupin, 2001, p.188.</w:t>
      </w:r>
    </w:p>
  </w:footnote>
  <w:footnote w:id="17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L’un des résultats auxquels aboutit la phénoménologie de Husserl est la réduction intersubjective (Cf. E. HUSSERL, </w:t>
      </w:r>
      <w:r>
        <w:rPr>
          <w:rFonts w:ascii="Calibri Light" w:eastAsia="Batang" w:hAnsi="Calibri Light" w:cs="Calibri Light"/>
          <w:i/>
          <w:iCs/>
          <w:sz w:val="22"/>
          <w:szCs w:val="22"/>
        </w:rPr>
        <w:t>Sur l’intersubjectivité II</w:t>
      </w:r>
      <w:r>
        <w:rPr>
          <w:rFonts w:ascii="Calibri Light" w:eastAsia="Batang" w:hAnsi="Calibri Light" w:cs="Calibri Light"/>
          <w:sz w:val="22"/>
          <w:szCs w:val="22"/>
        </w:rPr>
        <w:t>, section III).</w:t>
      </w:r>
    </w:p>
  </w:footnote>
  <w:footnote w:id="17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pp.109-110.</w:t>
      </w:r>
    </w:p>
  </w:footnote>
  <w:footnote w:id="17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 GILBERT, « La négation immanente à la philosophie contemporaine et l’affirmation théologique », dans </w:t>
      </w:r>
      <w:r>
        <w:rPr>
          <w:rFonts w:ascii="Calibri Light" w:eastAsia="Batang" w:hAnsi="Calibri Light" w:cs="Calibri Light"/>
          <w:i/>
          <w:iCs/>
          <w:sz w:val="22"/>
          <w:szCs w:val="22"/>
        </w:rPr>
        <w:t>Caminhos de dialogo</w:t>
      </w:r>
      <w:r>
        <w:rPr>
          <w:rFonts w:ascii="Calibri Light" w:eastAsia="Batang" w:hAnsi="Calibri Light" w:cs="Calibri Light"/>
          <w:sz w:val="22"/>
          <w:szCs w:val="22"/>
        </w:rPr>
        <w:t xml:space="preserve"> , Actas das jornadas Ibéricos de Teologia fundamental, Fé e rasào 2000, p.47.</w:t>
      </w:r>
    </w:p>
  </w:footnote>
  <w:footnote w:id="177">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D. MEDA, </w:t>
      </w:r>
      <w:r>
        <w:rPr>
          <w:rFonts w:ascii="Calibri Light" w:eastAsia="Batang" w:hAnsi="Calibri Light" w:cs="Calibri Light"/>
          <w:i/>
          <w:iCs/>
          <w:sz w:val="22"/>
          <w:szCs w:val="22"/>
        </w:rPr>
        <w:t>La travail, une valeur en voie de disparition</w:t>
      </w:r>
      <w:r>
        <w:rPr>
          <w:rFonts w:ascii="Calibri Light" w:eastAsia="Batang" w:hAnsi="Calibri Light" w:cs="Calibri Light"/>
          <w:sz w:val="22"/>
          <w:szCs w:val="22"/>
        </w:rPr>
        <w:t>, Paris, Flammarion, 1995, p.265.</w:t>
      </w:r>
    </w:p>
  </w:footnote>
  <w:footnote w:id="178">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p>
  </w:footnote>
  <w:footnote w:id="179">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p>
  </w:footnote>
  <w:footnote w:id="180">
    <w:p w:rsidR="000A31A8" w:rsidRDefault="0065345B">
      <w:pPr>
        <w:pStyle w:val="Notedebasdepage"/>
        <w:tabs>
          <w:tab w:val="left" w:pos="8080"/>
        </w:tabs>
        <w:ind w:right="-2" w:firstLine="709"/>
        <w:jc w:val="both"/>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xml:space="preserve">. </w:t>
      </w:r>
      <w:r>
        <w:rPr>
          <w:rFonts w:ascii="Calibri Light" w:eastAsia="Batang" w:hAnsi="Calibri Light" w:cs="Calibri Light"/>
          <w:sz w:val="22"/>
          <w:szCs w:val="22"/>
        </w:rPr>
        <w:t xml:space="preserve">L’exemple type de cette opposition est celle de Hobbes que nous avons exploité dans la première partie de cette recherche. Cf.p.7 et p.45. L’éthique classique des Grecs traite aussi de la relation directe entre individus. Aristote considérait l’amitié comme  le modèle de la communauté sociale et il avait conçu son </w:t>
      </w:r>
      <w:r>
        <w:rPr>
          <w:rFonts w:ascii="Calibri Light" w:eastAsia="Batang" w:hAnsi="Calibri Light" w:cs="Calibri Light"/>
          <w:i/>
          <w:iCs/>
          <w:sz w:val="22"/>
          <w:szCs w:val="22"/>
        </w:rPr>
        <w:t>Ethique à Nicomaque</w:t>
      </w:r>
      <w:r>
        <w:rPr>
          <w:rFonts w:ascii="Calibri Light" w:eastAsia="Batang" w:hAnsi="Calibri Light" w:cs="Calibri Light"/>
          <w:sz w:val="22"/>
          <w:szCs w:val="22"/>
        </w:rPr>
        <w:t xml:space="preserve">, qui fait de l’appartenance à un cercle d’amis le plus grand des biens extérieurs, comme une introduction au </w:t>
      </w:r>
      <w:r>
        <w:rPr>
          <w:rFonts w:ascii="Calibri Light" w:eastAsia="Batang" w:hAnsi="Calibri Light" w:cs="Calibri Light"/>
          <w:i/>
          <w:iCs/>
          <w:sz w:val="22"/>
          <w:szCs w:val="22"/>
        </w:rPr>
        <w:t>Politique. (</w:t>
      </w:r>
      <w:r>
        <w:rPr>
          <w:rFonts w:ascii="Calibri Light" w:eastAsia="Batang" w:hAnsi="Calibri Light" w:cs="Calibri Light"/>
          <w:sz w:val="22"/>
          <w:szCs w:val="22"/>
        </w:rPr>
        <w:t xml:space="preserve">P. KEMP, </w:t>
      </w:r>
      <w:r>
        <w:rPr>
          <w:rFonts w:ascii="Calibri Light" w:eastAsia="Batang" w:hAnsi="Calibri Light" w:cs="Calibri Light"/>
          <w:i/>
          <w:iCs/>
          <w:sz w:val="22"/>
          <w:szCs w:val="22"/>
        </w:rPr>
        <w:t>L’irremplaçable, une éthique de la technoscience</w:t>
      </w:r>
      <w:r>
        <w:rPr>
          <w:rFonts w:ascii="Calibri Light" w:eastAsia="Batang" w:hAnsi="Calibri Light" w:cs="Calibri Light"/>
          <w:sz w:val="22"/>
          <w:szCs w:val="22"/>
        </w:rPr>
        <w:t>, Trad. Rush, Paris, les éd. Du Cerf, 1997, p.86).</w:t>
      </w:r>
    </w:p>
  </w:footnote>
  <w:footnote w:id="18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Cf</w:t>
      </w:r>
      <w:r>
        <w:rPr>
          <w:rFonts w:ascii="Calibri Light" w:eastAsia="Batang" w:hAnsi="Calibri Light" w:cs="Calibri Light"/>
          <w:i/>
          <w:iCs/>
          <w:sz w:val="22"/>
          <w:szCs w:val="22"/>
          <w:lang w:val="fr-BE"/>
        </w:rPr>
        <w:t>. Ibidem</w:t>
      </w:r>
      <w:r>
        <w:rPr>
          <w:rFonts w:ascii="Calibri Light" w:eastAsia="Batang" w:hAnsi="Calibri Light" w:cs="Calibri Light"/>
          <w:sz w:val="22"/>
          <w:szCs w:val="22"/>
          <w:lang w:val="fr-BE"/>
        </w:rPr>
        <w:t xml:space="preserve">, p.87. Cette idée est présente dans la légitimation par Aristote de l’esclavage. Il existerait de différentes catégories d’êtres humains. Les femmes et les enfants ne valent pas autant que les hommes adultes…On peut le lire dans </w:t>
      </w:r>
      <w:r>
        <w:rPr>
          <w:rFonts w:ascii="Calibri Light" w:eastAsia="Batang" w:hAnsi="Calibri Light" w:cs="Calibri Light"/>
          <w:i/>
          <w:iCs/>
          <w:sz w:val="22"/>
          <w:szCs w:val="22"/>
          <w:lang w:val="fr-BE"/>
        </w:rPr>
        <w:t>l’Ethique à Nicomaque</w:t>
      </w:r>
      <w:r>
        <w:rPr>
          <w:rFonts w:ascii="Calibri Light" w:eastAsia="Batang" w:hAnsi="Calibri Light" w:cs="Calibri Light"/>
          <w:sz w:val="22"/>
          <w:szCs w:val="22"/>
          <w:lang w:val="fr-BE"/>
        </w:rPr>
        <w:t xml:space="preserve"> I, VIII.</w:t>
      </w:r>
    </w:p>
  </w:footnote>
  <w:footnote w:id="182">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p>
  </w:footnote>
  <w:footnote w:id="183">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p>
  </w:footnote>
  <w:footnote w:id="184">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 p.268.</w:t>
      </w:r>
    </w:p>
  </w:footnote>
  <w:footnote w:id="18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 TAYLOR,</w:t>
      </w:r>
      <w:r>
        <w:rPr>
          <w:rFonts w:ascii="Calibri Light" w:eastAsia="Batang" w:hAnsi="Calibri Light" w:cs="Calibri Light"/>
          <w:i/>
          <w:iCs/>
          <w:sz w:val="22"/>
          <w:szCs w:val="22"/>
        </w:rPr>
        <w:t xml:space="preserve"> Hegel et la société moderne</w:t>
      </w:r>
      <w:r>
        <w:rPr>
          <w:rFonts w:ascii="Calibri Light" w:eastAsia="Batang" w:hAnsi="Calibri Light" w:cs="Calibri Light"/>
          <w:sz w:val="22"/>
          <w:szCs w:val="22"/>
        </w:rPr>
        <w:t>,  Trad. P.-R. Desrosiers, Paris, éd. Du Cerf, 1958, p.69.</w:t>
      </w:r>
    </w:p>
  </w:footnote>
  <w:footnote w:id="186">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p.73.</w:t>
      </w:r>
    </w:p>
  </w:footnote>
  <w:footnote w:id="187">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88">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189">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Cf. </w:t>
      </w:r>
      <w:r>
        <w:rPr>
          <w:rFonts w:ascii="Calibri Light" w:eastAsia="Batang" w:hAnsi="Calibri Light" w:cs="Calibri Light"/>
          <w:i/>
          <w:iCs/>
          <w:sz w:val="22"/>
          <w:szCs w:val="22"/>
          <w:lang w:val="de-DE"/>
        </w:rPr>
        <w:t>Ibidem..</w:t>
      </w:r>
    </w:p>
  </w:footnote>
  <w:footnote w:id="190">
    <w:p w:rsidR="000A31A8" w:rsidRDefault="0065345B">
      <w:pPr>
        <w:pStyle w:val="Notedebasdepage"/>
        <w:tabs>
          <w:tab w:val="left" w:pos="5451"/>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Cette idée suppose sans doute celle selon laquelle il existe un ordre rationnel plus vaste auquel appartient l’homme. Une conception d’ailleurs récusée par la révolution du dix-septième siècle (héritage nécessairement de Hobbes qui se prolongera aux penseurs utilitaristes du dix-huitième siècle).</w:t>
      </w:r>
    </w:p>
  </w:footnote>
  <w:footnote w:id="191">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C. TAYLOR, </w:t>
      </w:r>
      <w:r>
        <w:rPr>
          <w:rFonts w:ascii="Calibri Light" w:eastAsia="Batang" w:hAnsi="Calibri Light" w:cs="Calibri Light"/>
          <w:i/>
          <w:iCs/>
          <w:sz w:val="22"/>
          <w:szCs w:val="22"/>
          <w:lang w:val="en-GB"/>
        </w:rPr>
        <w:t>o. c.</w:t>
      </w:r>
    </w:p>
  </w:footnote>
  <w:footnote w:id="192">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w:t>
      </w:r>
      <w:r>
        <w:rPr>
          <w:rFonts w:ascii="Calibri Light" w:eastAsia="Batang" w:hAnsi="Calibri Light" w:cs="Calibri Light"/>
          <w:sz w:val="22"/>
          <w:szCs w:val="22"/>
          <w:lang w:val="de-DE"/>
        </w:rPr>
        <w:t>e</w:t>
      </w:r>
      <w:r>
        <w:rPr>
          <w:rFonts w:ascii="Calibri Light" w:eastAsia="Batang" w:hAnsi="Calibri Light" w:cs="Calibri Light"/>
          <w:i/>
          <w:iCs/>
          <w:sz w:val="22"/>
          <w:szCs w:val="22"/>
          <w:lang w:val="de-DE"/>
        </w:rPr>
        <w:t>m</w:t>
      </w:r>
      <w:r>
        <w:rPr>
          <w:rFonts w:ascii="Calibri Light" w:eastAsia="Batang" w:hAnsi="Calibri Light" w:cs="Calibri Light"/>
          <w:sz w:val="22"/>
          <w:szCs w:val="22"/>
          <w:lang w:val="de-DE"/>
        </w:rPr>
        <w:t>, p.81.</w:t>
      </w:r>
    </w:p>
  </w:footnote>
  <w:footnote w:id="193">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p.25.</w:t>
      </w:r>
    </w:p>
  </w:footnote>
  <w:footnote w:id="194">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p. 26.</w:t>
      </w:r>
    </w:p>
  </w:footnote>
  <w:footnote w:id="195">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US"/>
        </w:rPr>
        <w:t xml:space="preserve"> </w:t>
      </w:r>
      <w:r>
        <w:rPr>
          <w:rFonts w:ascii="Calibri Light" w:eastAsia="Batang" w:hAnsi="Calibri Light" w:cs="Calibri Light"/>
          <w:i/>
          <w:iCs/>
          <w:sz w:val="22"/>
          <w:szCs w:val="22"/>
          <w:lang w:val="en-US"/>
        </w:rPr>
        <w:t>Ibidem</w:t>
      </w:r>
      <w:r>
        <w:rPr>
          <w:rFonts w:ascii="Calibri Light" w:eastAsia="Batang" w:hAnsi="Calibri Light" w:cs="Calibri Light"/>
          <w:sz w:val="22"/>
          <w:szCs w:val="22"/>
          <w:lang w:val="en-US"/>
        </w:rPr>
        <w:t>, p. 27.</w:t>
      </w:r>
    </w:p>
  </w:footnote>
  <w:footnote w:id="19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 So ist auch die Philosophie, ihre Zeit in Geranken erfasst » (Cf. </w:t>
      </w:r>
      <w:r>
        <w:rPr>
          <w:rFonts w:ascii="Calibri Light" w:eastAsia="Batang" w:hAnsi="Calibri Light" w:cs="Calibri Light"/>
          <w:i/>
          <w:iCs/>
          <w:sz w:val="22"/>
          <w:szCs w:val="22"/>
          <w:lang w:val="de-DE"/>
        </w:rPr>
        <w:t>Philosophie du droit</w:t>
      </w:r>
      <w:r>
        <w:rPr>
          <w:rFonts w:ascii="Calibri Light" w:eastAsia="Batang" w:hAnsi="Calibri Light" w:cs="Calibri Light"/>
          <w:sz w:val="22"/>
          <w:szCs w:val="22"/>
          <w:lang w:val="de-DE"/>
        </w:rPr>
        <w:t>, p.15 (Préface) cité par E. WEIL, o.c, p.28.</w:t>
      </w:r>
    </w:p>
  </w:footnote>
  <w:footnote w:id="197">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D. MEDA, </w:t>
      </w:r>
      <w:r>
        <w:rPr>
          <w:rFonts w:ascii="Calibri Light" w:eastAsia="Batang" w:hAnsi="Calibri Light" w:cs="Calibri Light"/>
          <w:i/>
          <w:iCs/>
          <w:sz w:val="22"/>
          <w:szCs w:val="22"/>
        </w:rPr>
        <w:t>o. c.</w:t>
      </w:r>
    </w:p>
  </w:footnote>
  <w:footnote w:id="198">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L’expression est toujours de Dominique Méda.</w:t>
      </w:r>
    </w:p>
  </w:footnote>
  <w:footnote w:id="19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On peut lire dans le chapitre V de </w:t>
      </w:r>
      <w:r>
        <w:rPr>
          <w:rFonts w:ascii="Calibri Light" w:eastAsia="Batang" w:hAnsi="Calibri Light" w:cs="Calibri Light"/>
          <w:i/>
          <w:iCs/>
          <w:sz w:val="22"/>
          <w:szCs w:val="22"/>
        </w:rPr>
        <w:t>Théorie de la justice</w:t>
      </w:r>
      <w:r>
        <w:rPr>
          <w:rFonts w:ascii="Calibri Light" w:eastAsia="Batang" w:hAnsi="Calibri Light" w:cs="Calibri Light"/>
          <w:sz w:val="22"/>
          <w:szCs w:val="22"/>
        </w:rPr>
        <w:t> : « La pluralité des personnes n’est donc pas prise au sérieux par l’utilitarisme ». Il ne s’agit nullement, pour Rawls, de combattre l’individualisme ; mais, de remplacer l’individualisme primaire des utilitaristes par un individualisme supérieur. Finalement, dans sa critique de l’utilitarisme, il plaide pour la liberté individuelle.</w:t>
      </w:r>
    </w:p>
  </w:footnote>
  <w:footnote w:id="20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D. MEDA, </w:t>
      </w:r>
      <w:r>
        <w:rPr>
          <w:rFonts w:ascii="Calibri Light" w:eastAsia="Batang" w:hAnsi="Calibri Light" w:cs="Calibri Light"/>
          <w:i/>
          <w:iCs/>
          <w:sz w:val="22"/>
          <w:szCs w:val="22"/>
          <w:lang w:val="de-DE"/>
        </w:rPr>
        <w:t>o.c.</w:t>
      </w:r>
      <w:r>
        <w:rPr>
          <w:rFonts w:ascii="Calibri Light" w:eastAsia="Batang" w:hAnsi="Calibri Light" w:cs="Calibri Light"/>
          <w:sz w:val="22"/>
          <w:szCs w:val="22"/>
          <w:lang w:val="de-DE"/>
        </w:rPr>
        <w:t>, p.271.</w:t>
      </w:r>
    </w:p>
  </w:footnote>
  <w:footnote w:id="20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Cet argument que Hobbes oppose à Aristote traverse tout le second chapitre de </w:t>
      </w:r>
      <w:r>
        <w:rPr>
          <w:rFonts w:ascii="Calibri Light" w:eastAsia="Batang" w:hAnsi="Calibri Light" w:cs="Calibri Light"/>
          <w:i/>
          <w:iCs/>
          <w:sz w:val="22"/>
          <w:szCs w:val="22"/>
        </w:rPr>
        <w:t>Léviathan.</w:t>
      </w:r>
    </w:p>
  </w:footnote>
  <w:footnote w:id="20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R.-K. WOETZEL,</w:t>
      </w:r>
      <w:r>
        <w:rPr>
          <w:rFonts w:ascii="Calibri Light" w:eastAsia="Batang" w:hAnsi="Calibri Light" w:cs="Calibri Light"/>
          <w:i/>
          <w:iCs/>
          <w:sz w:val="22"/>
          <w:szCs w:val="22"/>
        </w:rPr>
        <w:t xml:space="preserve"> Une philosophie de la liberté</w:t>
      </w:r>
      <w:r>
        <w:rPr>
          <w:rFonts w:ascii="Calibri Light" w:eastAsia="Batang" w:hAnsi="Calibri Light" w:cs="Calibri Light"/>
          <w:sz w:val="22"/>
          <w:szCs w:val="22"/>
        </w:rPr>
        <w:t>, Manille, 1977, p.21.</w:t>
      </w:r>
    </w:p>
  </w:footnote>
  <w:footnote w:id="203">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204">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p>
  </w:footnote>
  <w:footnote w:id="20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206">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Ibidem.</w:t>
      </w:r>
    </w:p>
  </w:footnote>
  <w:footnote w:id="20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Tocqueville imagine une société démocratique allant de pair avec une conception communautaire de la liberté. Pour les deux auteurs la liberté doit être intégrée harmonieusement dans la communauté puisque la société peut avoir ses propres fins.</w:t>
      </w:r>
    </w:p>
  </w:footnote>
  <w:footnote w:id="20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Ce que Méda dit de Hegel : (</w:t>
      </w:r>
      <w:r>
        <w:rPr>
          <w:rFonts w:ascii="Calibri Light" w:eastAsia="Batang" w:hAnsi="Calibri Light" w:cs="Calibri Light"/>
          <w:sz w:val="22"/>
          <w:szCs w:val="22"/>
          <w:lang w:val="de-DE"/>
        </w:rPr>
        <w:t xml:space="preserve">D.MEDA, </w:t>
      </w:r>
      <w:r>
        <w:rPr>
          <w:rFonts w:ascii="Calibri Light" w:eastAsia="Batang" w:hAnsi="Calibri Light" w:cs="Calibri Light"/>
          <w:i/>
          <w:iCs/>
          <w:sz w:val="22"/>
          <w:szCs w:val="22"/>
          <w:lang w:val="de-DE"/>
        </w:rPr>
        <w:t>o.c,</w:t>
      </w:r>
      <w:r>
        <w:rPr>
          <w:rFonts w:ascii="Calibri Light" w:eastAsia="Batang" w:hAnsi="Calibri Light" w:cs="Calibri Light"/>
          <w:sz w:val="22"/>
          <w:szCs w:val="22"/>
          <w:lang w:val="de-DE"/>
        </w:rPr>
        <w:t xml:space="preserve"> p.279). </w:t>
      </w:r>
      <w:r>
        <w:rPr>
          <w:rFonts w:ascii="Calibri Light" w:eastAsia="Batang" w:hAnsi="Calibri Light" w:cs="Calibri Light"/>
          <w:sz w:val="22"/>
          <w:szCs w:val="22"/>
        </w:rPr>
        <w:t>On peut également comprendre l’intérêt que Charles Taylor accorde à la pensée hégélienne jusqu’à lui réserver tout un livre « </w:t>
      </w:r>
      <w:r>
        <w:rPr>
          <w:rFonts w:ascii="Calibri Light" w:eastAsia="Batang" w:hAnsi="Calibri Light" w:cs="Calibri Light"/>
          <w:i/>
          <w:iCs/>
          <w:sz w:val="22"/>
          <w:szCs w:val="22"/>
        </w:rPr>
        <w:t>Hegel et la société moderne</w:t>
      </w:r>
      <w:r>
        <w:rPr>
          <w:rFonts w:ascii="Calibri Light" w:eastAsia="Batang" w:hAnsi="Calibri Light" w:cs="Calibri Light"/>
          <w:sz w:val="22"/>
          <w:szCs w:val="22"/>
        </w:rPr>
        <w:t xml:space="preserve"> ». Pour Eric Weil aussi Hegel est « le philosophe de l’Etat moderne dont il a donné l’analyse correcte, indiquant avec précision en quoi consiste la liberté dans l’Etat, quelles sont les conditions que l’Etat doit remplir pour être Etat de la liberté, Etat qui réalise la pensée moderne » </w:t>
      </w:r>
      <w:r>
        <w:rPr>
          <w:rFonts w:ascii="Calibri Light" w:eastAsia="Batang" w:hAnsi="Calibri Light" w:cs="Calibri Light"/>
          <w:i/>
          <w:iCs/>
          <w:sz w:val="22"/>
          <w:szCs w:val="22"/>
        </w:rPr>
        <w:t>(Hegel et l’Etat</w:t>
      </w:r>
      <w:r>
        <w:rPr>
          <w:rFonts w:ascii="Calibri Light" w:eastAsia="Batang" w:hAnsi="Calibri Light" w:cs="Calibri Light"/>
          <w:sz w:val="22"/>
          <w:szCs w:val="22"/>
        </w:rPr>
        <w:t>, p.72).</w:t>
      </w:r>
    </w:p>
  </w:footnote>
  <w:footnote w:id="209">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D. MEDA, </w:t>
      </w:r>
      <w:r>
        <w:rPr>
          <w:rFonts w:ascii="Calibri Light" w:eastAsia="Batang" w:hAnsi="Calibri Light" w:cs="Calibri Light"/>
          <w:i/>
          <w:iCs/>
          <w:sz w:val="22"/>
          <w:szCs w:val="22"/>
          <w:lang w:val="de-DE"/>
        </w:rPr>
        <w:t>o.c.,</w:t>
      </w:r>
      <w:r>
        <w:rPr>
          <w:rFonts w:ascii="Calibri Light" w:eastAsia="Batang" w:hAnsi="Calibri Light" w:cs="Calibri Light"/>
          <w:sz w:val="22"/>
          <w:szCs w:val="22"/>
          <w:lang w:val="de-DE"/>
        </w:rPr>
        <w:t xml:space="preserve"> p.276.</w:t>
      </w:r>
    </w:p>
  </w:footnote>
  <w:footnote w:id="210">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Cf. </w:t>
      </w:r>
      <w:r>
        <w:rPr>
          <w:rFonts w:ascii="Calibri Light" w:eastAsia="Batang" w:hAnsi="Calibri Light" w:cs="Calibri Light"/>
          <w:i/>
          <w:iCs/>
          <w:sz w:val="22"/>
          <w:szCs w:val="22"/>
          <w:lang w:val="en-GB"/>
        </w:rPr>
        <w:t>Ibidem.</w:t>
      </w:r>
    </w:p>
  </w:footnote>
  <w:footnote w:id="21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C’est la question posée également par Jean-Pierre Dupuy. Le sous-titre qu’il donne d’ailleurs au </w:t>
      </w:r>
      <w:r>
        <w:rPr>
          <w:rFonts w:ascii="Calibri Light" w:eastAsia="Batang" w:hAnsi="Calibri Light" w:cs="Calibri Light"/>
          <w:i/>
          <w:iCs/>
          <w:sz w:val="22"/>
          <w:szCs w:val="22"/>
        </w:rPr>
        <w:t>Libéralisme et justice sociale</w:t>
      </w:r>
      <w:r>
        <w:rPr>
          <w:rFonts w:ascii="Calibri Light" w:eastAsia="Batang" w:hAnsi="Calibri Light" w:cs="Calibri Light"/>
          <w:sz w:val="22"/>
          <w:szCs w:val="22"/>
        </w:rPr>
        <w:t xml:space="preserve"> est </w:t>
      </w:r>
      <w:r>
        <w:rPr>
          <w:rFonts w:ascii="Calibri Light" w:eastAsia="Batang" w:hAnsi="Calibri Light" w:cs="Calibri Light"/>
          <w:i/>
          <w:iCs/>
          <w:sz w:val="22"/>
          <w:szCs w:val="22"/>
        </w:rPr>
        <w:t>Le sacrifice et l’envie</w:t>
      </w:r>
      <w:r>
        <w:rPr>
          <w:rFonts w:ascii="Calibri Light" w:eastAsia="Batang" w:hAnsi="Calibri Light" w:cs="Calibri Light"/>
          <w:sz w:val="22"/>
          <w:szCs w:val="22"/>
        </w:rPr>
        <w:t>. Ce sous-titre fait référence à deux obsessions de toute théorie individualiste de la justice : dans une société libérale, l’homme doit être préservé du nombre (le sacrifice de l’individu à la collectivité doit être prohibé) et l’individualisme engendre l’envie, la jalousie, cancer de la société menaçant ses bases en permanence. Rejet du sacrifice et de l’envie sont selon Dupuy la trame avec laquelle il faut lire toute théorie libérale de la justice.</w:t>
      </w:r>
    </w:p>
  </w:footnote>
  <w:footnote w:id="21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SANDEL, </w:t>
      </w:r>
      <w:r>
        <w:rPr>
          <w:rFonts w:ascii="Calibri Light" w:eastAsia="Batang" w:hAnsi="Calibri Light" w:cs="Calibri Light"/>
          <w:i/>
          <w:iCs/>
          <w:sz w:val="22"/>
          <w:szCs w:val="22"/>
        </w:rPr>
        <w:t>le libéralisme et les limites de la justice,</w:t>
      </w:r>
      <w:r>
        <w:rPr>
          <w:rFonts w:ascii="Calibri Light" w:eastAsia="Batang" w:hAnsi="Calibri Light" w:cs="Calibri Light"/>
          <w:sz w:val="22"/>
          <w:szCs w:val="22"/>
        </w:rPr>
        <w:t xml:space="preserve"> Trad. J.-F. Spitz, Paris, Seuil, 1999, p.12. Sandel entend contester la thèse -issue chez Rawls et chez Kant de l’antériorité du juste sur le bien- selon laquelle la justification des principes de justice qui définissent nos droits ne repose sur aucune conception particulière de la vie bonne ou, selon la formulation de Rawls, sur aucune conception morale ou religieuse globale (</w:t>
      </w:r>
      <w:r>
        <w:rPr>
          <w:rFonts w:ascii="Calibri Light" w:eastAsia="Batang" w:hAnsi="Calibri Light" w:cs="Calibri Light"/>
          <w:i/>
          <w:iCs/>
          <w:sz w:val="22"/>
          <w:szCs w:val="22"/>
        </w:rPr>
        <w:t>Ibidem</w:t>
      </w:r>
      <w:r>
        <w:rPr>
          <w:rFonts w:ascii="Calibri Light" w:eastAsia="Batang" w:hAnsi="Calibri Light" w:cs="Calibri Light"/>
          <w:sz w:val="22"/>
          <w:szCs w:val="22"/>
        </w:rPr>
        <w:t>, p.13.).</w:t>
      </w:r>
    </w:p>
  </w:footnote>
  <w:footnote w:id="21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p.161. Chez Rawls, la théorie de la justice est étroitement liée à la théorie du choix rationnel dans la mesure où les principes de justice sont les principes mêmes que des personnes libres et rationnelles accepteraient eu égard à leur désir de favoriser leurs propres intérêts dans une situation initiale d’égalité.</w:t>
      </w:r>
    </w:p>
  </w:footnote>
  <w:footnote w:id="214">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B. GUILLARME, </w:t>
      </w:r>
      <w:r>
        <w:rPr>
          <w:rFonts w:ascii="Calibri Light" w:eastAsia="Batang" w:hAnsi="Calibri Light" w:cs="Calibri Light"/>
          <w:i/>
          <w:iCs/>
          <w:sz w:val="22"/>
          <w:szCs w:val="22"/>
        </w:rPr>
        <w:t>Rawls et l’égalité démocratique</w:t>
      </w:r>
      <w:r>
        <w:rPr>
          <w:rFonts w:ascii="Calibri Light" w:eastAsia="Batang" w:hAnsi="Calibri Light" w:cs="Calibri Light"/>
          <w:sz w:val="22"/>
          <w:szCs w:val="22"/>
        </w:rPr>
        <w:t>, Paris, PUF, 1999, p.128.</w:t>
      </w:r>
    </w:p>
  </w:footnote>
  <w:footnote w:id="215">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p.131.</w:t>
      </w:r>
    </w:p>
  </w:footnote>
  <w:footnote w:id="21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M.SANDEL</w:t>
      </w:r>
      <w:r>
        <w:rPr>
          <w:rFonts w:ascii="Calibri Light" w:eastAsia="Batang" w:hAnsi="Calibri Light" w:cs="Calibri Light"/>
          <w:i/>
          <w:iCs/>
          <w:sz w:val="22"/>
          <w:szCs w:val="22"/>
          <w:lang w:val="de-DE"/>
        </w:rPr>
        <w:t>, o.c.</w:t>
      </w:r>
    </w:p>
  </w:footnote>
  <w:footnote w:id="217">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21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 MEYER, « Justice distributive et égalité », dans J. LADRIERE &amp; P. VAN PARIJS, </w:t>
      </w:r>
      <w:r>
        <w:rPr>
          <w:rFonts w:ascii="Calibri Light" w:eastAsia="Batang" w:hAnsi="Calibri Light" w:cs="Calibri Light"/>
          <w:i/>
          <w:iCs/>
          <w:sz w:val="22"/>
          <w:szCs w:val="22"/>
        </w:rPr>
        <w:t>o. c,</w:t>
      </w:r>
      <w:r>
        <w:rPr>
          <w:rFonts w:ascii="Calibri Light" w:eastAsia="Batang" w:hAnsi="Calibri Light" w:cs="Calibri Light"/>
          <w:sz w:val="22"/>
          <w:szCs w:val="22"/>
        </w:rPr>
        <w:t xml:space="preserve"> p.41.</w:t>
      </w:r>
    </w:p>
  </w:footnote>
  <w:footnote w:id="219">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O. HÖFFE,</w:t>
      </w:r>
      <w:r>
        <w:rPr>
          <w:rFonts w:ascii="Calibri Light" w:eastAsia="Batang" w:hAnsi="Calibri Light" w:cs="Calibri Light"/>
          <w:i/>
          <w:iCs/>
          <w:sz w:val="22"/>
          <w:szCs w:val="22"/>
        </w:rPr>
        <w:t xml:space="preserve"> L’Etat et la justice</w:t>
      </w:r>
      <w:r>
        <w:rPr>
          <w:rFonts w:ascii="Calibri Light" w:eastAsia="Batang" w:hAnsi="Calibri Light" w:cs="Calibri Light"/>
          <w:sz w:val="22"/>
          <w:szCs w:val="22"/>
        </w:rPr>
        <w:t>.</w:t>
      </w:r>
      <w:r>
        <w:rPr>
          <w:rFonts w:ascii="Calibri Light" w:eastAsia="Batang" w:hAnsi="Calibri Light" w:cs="Calibri Light"/>
          <w:i/>
          <w:iCs/>
          <w:sz w:val="22"/>
          <w:szCs w:val="22"/>
        </w:rPr>
        <w:t xml:space="preserve"> John Rawls et Robert Nozick. Les problèmes éthiques et politiques dans la philosophie anglo-saxonne,</w:t>
      </w:r>
      <w:r>
        <w:rPr>
          <w:rFonts w:ascii="Calibri Light" w:eastAsia="Batang" w:hAnsi="Calibri Light" w:cs="Calibri Light"/>
          <w:sz w:val="22"/>
          <w:szCs w:val="22"/>
        </w:rPr>
        <w:t xml:space="preserve"> Paris, J. Vrin, 1988, p.67.</w:t>
      </w:r>
    </w:p>
  </w:footnote>
  <w:footnote w:id="220">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en-GB"/>
        </w:rPr>
        <w:t xml:space="preserve"> Ibidem</w:t>
      </w:r>
      <w:r>
        <w:rPr>
          <w:rFonts w:ascii="Calibri Light" w:eastAsia="Batang" w:hAnsi="Calibri Light" w:cs="Calibri Light"/>
          <w:sz w:val="22"/>
          <w:szCs w:val="22"/>
          <w:lang w:val="en-GB"/>
        </w:rPr>
        <w:t>, p.69.</w:t>
      </w:r>
    </w:p>
  </w:footnote>
  <w:footnote w:id="221">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p>
  </w:footnote>
  <w:footnote w:id="222">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p.70.</w:t>
      </w:r>
    </w:p>
  </w:footnote>
  <w:footnote w:id="223">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p.71.</w:t>
      </w:r>
    </w:p>
  </w:footnote>
  <w:footnote w:id="22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Du paragraphe 22 à 25 de</w:t>
      </w:r>
      <w:r>
        <w:rPr>
          <w:rFonts w:ascii="Calibri Light" w:eastAsia="Batang" w:hAnsi="Calibri Light" w:cs="Calibri Light"/>
          <w:i/>
          <w:iCs/>
          <w:sz w:val="22"/>
          <w:szCs w:val="22"/>
        </w:rPr>
        <w:t xml:space="preserve"> Theory of justice</w:t>
      </w:r>
      <w:r>
        <w:rPr>
          <w:rFonts w:ascii="Calibri Light" w:eastAsia="Batang" w:hAnsi="Calibri Light" w:cs="Calibri Light"/>
          <w:sz w:val="22"/>
          <w:szCs w:val="22"/>
        </w:rPr>
        <w:t xml:space="preserve">. Dans ses récents écrits, Rawls, pour échapper à l’individualisme, imagine d’ailleurs une position originelle au sein de laquelle les personnes fictives ne représentent pas des individus mais des peuples, ou des sociétés (B. GUILLARME, </w:t>
      </w:r>
      <w:r>
        <w:rPr>
          <w:rFonts w:ascii="Calibri Light" w:eastAsia="Batang" w:hAnsi="Calibri Light" w:cs="Calibri Light"/>
          <w:i/>
          <w:iCs/>
          <w:sz w:val="22"/>
          <w:szCs w:val="22"/>
        </w:rPr>
        <w:t xml:space="preserve">o.c., </w:t>
      </w:r>
      <w:r>
        <w:rPr>
          <w:rFonts w:ascii="Calibri Light" w:eastAsia="Batang" w:hAnsi="Calibri Light" w:cs="Calibri Light"/>
          <w:sz w:val="22"/>
          <w:szCs w:val="22"/>
        </w:rPr>
        <w:t>p.123).</w:t>
      </w:r>
    </w:p>
  </w:footnote>
  <w:footnote w:id="225">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O. HÖFFE, </w:t>
      </w:r>
      <w:r>
        <w:rPr>
          <w:rFonts w:ascii="Calibri Light" w:eastAsia="Batang" w:hAnsi="Calibri Light" w:cs="Calibri Light"/>
          <w:i/>
          <w:iCs/>
          <w:sz w:val="22"/>
          <w:szCs w:val="22"/>
          <w:lang w:val="en-GB"/>
        </w:rPr>
        <w:t>o. c,</w:t>
      </w:r>
      <w:r>
        <w:rPr>
          <w:rFonts w:ascii="Calibri Light" w:eastAsia="Batang" w:hAnsi="Calibri Light" w:cs="Calibri Light"/>
          <w:sz w:val="22"/>
          <w:szCs w:val="22"/>
          <w:lang w:val="en-GB"/>
        </w:rPr>
        <w:t xml:space="preserve"> p.75.</w:t>
      </w:r>
    </w:p>
  </w:footnote>
  <w:footnote w:id="22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w:t>
      </w:r>
    </w:p>
  </w:footnote>
  <w:footnote w:id="227">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pp.75-76.</w:t>
      </w:r>
    </w:p>
  </w:footnote>
  <w:footnote w:id="22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La stratégie libérale classique, définie par Locke et Kant, consistait à fonder ontologiquement la liberté humaine sur quelque doctrine des droits naturels, dérivables en dernière analyse de notre faculté de raison, don de Dieu ou de la Nature, qui requiert la liberté pour se réaliser dans le choix et l’action rationnels. La liberté individuelle est donc garantie comme ce que les personnes devraient avoir et que les sociétés doivent protéger puisqu’elle est incorporée à la nature même des choses comme une part de l’essence rationnelle de la nature humaine (R. SHUSTERMAN,</w:t>
      </w:r>
      <w:r>
        <w:rPr>
          <w:rFonts w:ascii="Calibri Light" w:eastAsia="Batang" w:hAnsi="Calibri Light" w:cs="Calibri Light"/>
          <w:i/>
          <w:iCs/>
          <w:sz w:val="22"/>
          <w:szCs w:val="22"/>
          <w:lang w:val="fr-BE"/>
        </w:rPr>
        <w:t xml:space="preserve"> </w:t>
      </w:r>
      <w:r>
        <w:rPr>
          <w:rFonts w:ascii="Calibri Light" w:eastAsia="Batang" w:hAnsi="Calibri Light" w:cs="Calibri Light"/>
          <w:sz w:val="22"/>
          <w:szCs w:val="22"/>
          <w:lang w:val="fr-BE"/>
        </w:rPr>
        <w:t xml:space="preserve">« Le libéralisme pragmatique », dans </w:t>
      </w:r>
      <w:r>
        <w:rPr>
          <w:rFonts w:ascii="Calibri Light" w:eastAsia="Batang" w:hAnsi="Calibri Light" w:cs="Calibri Light"/>
          <w:i/>
          <w:iCs/>
          <w:sz w:val="22"/>
          <w:szCs w:val="22"/>
          <w:lang w:val="fr-BE"/>
        </w:rPr>
        <w:t> Critique</w:t>
      </w:r>
      <w:r>
        <w:rPr>
          <w:rFonts w:ascii="Calibri Light" w:eastAsia="Batang" w:hAnsi="Calibri Light" w:cs="Calibri Light"/>
          <w:sz w:val="22"/>
          <w:szCs w:val="22"/>
          <w:lang w:val="fr-BE"/>
        </w:rPr>
        <w:t>, Août-septembre 1993, p.549).</w:t>
      </w:r>
    </w:p>
  </w:footnote>
  <w:footnote w:id="229">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D. MEDA, </w:t>
      </w:r>
      <w:r>
        <w:rPr>
          <w:rFonts w:ascii="Calibri Light" w:eastAsia="Batang" w:hAnsi="Calibri Light" w:cs="Calibri Light"/>
          <w:i/>
          <w:iCs/>
          <w:sz w:val="22"/>
          <w:szCs w:val="22"/>
          <w:lang w:val="de-DE"/>
        </w:rPr>
        <w:t xml:space="preserve">o.c., </w:t>
      </w:r>
      <w:r>
        <w:rPr>
          <w:rFonts w:ascii="Calibri Light" w:eastAsia="Batang" w:hAnsi="Calibri Light" w:cs="Calibri Light"/>
          <w:sz w:val="22"/>
          <w:szCs w:val="22"/>
          <w:lang w:val="de-DE"/>
        </w:rPr>
        <w:t>p.273.</w:t>
      </w:r>
    </w:p>
  </w:footnote>
  <w:footnote w:id="230">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p.274.</w:t>
      </w:r>
    </w:p>
  </w:footnote>
  <w:footnote w:id="231">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232">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M. SANDEL,</w:t>
      </w:r>
      <w:r>
        <w:rPr>
          <w:rFonts w:ascii="Calibri Light" w:eastAsia="Batang" w:hAnsi="Calibri Light" w:cs="Calibri Light"/>
          <w:i/>
          <w:iCs/>
          <w:sz w:val="22"/>
          <w:szCs w:val="22"/>
          <w:lang w:val="de-DE"/>
        </w:rPr>
        <w:t xml:space="preserve"> o.c</w:t>
      </w:r>
      <w:r>
        <w:rPr>
          <w:rFonts w:ascii="Calibri Light" w:eastAsia="Batang" w:hAnsi="Calibri Light" w:cs="Calibri Light"/>
          <w:sz w:val="22"/>
          <w:szCs w:val="22"/>
          <w:lang w:val="de-DE"/>
        </w:rPr>
        <w:t>. p.164.</w:t>
      </w:r>
    </w:p>
  </w:footnote>
  <w:footnote w:id="233">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p>
  </w:footnote>
  <w:footnote w:id="234">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p>
  </w:footnote>
  <w:footnote w:id="23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,p.165. </w:t>
      </w:r>
      <w:r>
        <w:rPr>
          <w:rFonts w:ascii="Calibri Light" w:eastAsia="Batang" w:hAnsi="Calibri Light" w:cs="Calibri Light"/>
          <w:sz w:val="22"/>
          <w:szCs w:val="22"/>
        </w:rPr>
        <w:t>Mais l’effort de Rawls pour corriger Kant a pour but de faire de la loi morale le produit d’une procédure de choix rationnel (même si celle-ci est  hypothétique). En effet, Rawls crée un lien particulier entre son analyse de la justification de la théorie de la personne (conséquence de la théorie de la justice comme équité) et montre ainsi l’importance de la théorie contractualiste dans le libéralisme déontologique (qui s’oppose à l’utilitarisme téléologique).</w:t>
      </w:r>
    </w:p>
  </w:footnote>
  <w:footnote w:id="23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Chez Rawls la priorité de la procédure correspond à la priorité du juste sur le bien et à celle du moi sur les fins et l’idée de la position originelle est d’établir une procédure équitable de telle sorte que tous les principes sur lesquels un accord interviendrait soient justes (M. SANDEL, </w:t>
      </w:r>
      <w:r>
        <w:rPr>
          <w:rFonts w:ascii="Calibri Light" w:eastAsia="Batang" w:hAnsi="Calibri Light" w:cs="Calibri Light"/>
          <w:i/>
          <w:iCs/>
          <w:sz w:val="22"/>
          <w:szCs w:val="22"/>
        </w:rPr>
        <w:t>o. c,</w:t>
      </w:r>
      <w:r>
        <w:rPr>
          <w:rFonts w:ascii="Calibri Light" w:eastAsia="Batang" w:hAnsi="Calibri Light" w:cs="Calibri Light"/>
          <w:sz w:val="22"/>
          <w:szCs w:val="22"/>
        </w:rPr>
        <w:t xml:space="preserve"> p.183).</w:t>
      </w:r>
    </w:p>
  </w:footnote>
  <w:footnote w:id="237">
    <w:p w:rsidR="000A31A8" w:rsidRDefault="0065345B">
      <w:pPr>
        <w:pStyle w:val="Notedebasdepage"/>
        <w:tabs>
          <w:tab w:val="left" w:pos="8080"/>
        </w:tabs>
        <w:ind w:right="-2" w:firstLine="709"/>
        <w:jc w:val="both"/>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fr-BE"/>
        </w:rPr>
        <w:t xml:space="preserve"> Ibidem.</w:t>
      </w:r>
    </w:p>
  </w:footnote>
  <w:footnote w:id="238">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Cf. B. GUILLARME,</w:t>
      </w:r>
      <w:r>
        <w:rPr>
          <w:rFonts w:ascii="Calibri Light" w:eastAsia="Batang" w:hAnsi="Calibri Light" w:cs="Calibri Light"/>
          <w:i/>
          <w:iCs/>
          <w:sz w:val="22"/>
          <w:szCs w:val="22"/>
          <w:lang w:val="fr-BE"/>
        </w:rPr>
        <w:t xml:space="preserve"> o.c.</w:t>
      </w:r>
      <w:r>
        <w:rPr>
          <w:rFonts w:ascii="Calibri Light" w:eastAsia="Batang" w:hAnsi="Calibri Light" w:cs="Calibri Light"/>
          <w:sz w:val="22"/>
          <w:szCs w:val="22"/>
          <w:lang w:val="fr-BE"/>
        </w:rPr>
        <w:t>, p.135.</w:t>
      </w:r>
    </w:p>
  </w:footnote>
  <w:footnote w:id="239">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Cf. </w:t>
      </w:r>
      <w:r>
        <w:rPr>
          <w:rFonts w:ascii="Calibri Light" w:eastAsia="Batang" w:hAnsi="Calibri Light" w:cs="Calibri Light"/>
          <w:i/>
          <w:iCs/>
          <w:sz w:val="22"/>
          <w:szCs w:val="22"/>
          <w:lang w:val="de-DE"/>
        </w:rPr>
        <w:t>Ibidem.</w:t>
      </w:r>
    </w:p>
  </w:footnote>
  <w:footnote w:id="240">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,p.136.</w:t>
      </w:r>
    </w:p>
  </w:footnote>
  <w:footnote w:id="241">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p.136-137.</w:t>
      </w:r>
    </w:p>
  </w:footnote>
  <w:footnote w:id="242">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R. SHUSTERMAN</w:t>
      </w:r>
      <w:r>
        <w:rPr>
          <w:rFonts w:ascii="Calibri Light" w:eastAsia="Batang" w:hAnsi="Calibri Light" w:cs="Calibri Light"/>
          <w:i/>
          <w:iCs/>
          <w:sz w:val="22"/>
          <w:szCs w:val="22"/>
          <w:lang w:val="en-GB"/>
        </w:rPr>
        <w:t>, o. c</w:t>
      </w:r>
      <w:r>
        <w:rPr>
          <w:rFonts w:ascii="Calibri Light" w:eastAsia="Batang" w:hAnsi="Calibri Light" w:cs="Calibri Light"/>
          <w:sz w:val="22"/>
          <w:szCs w:val="22"/>
          <w:lang w:val="en-GB"/>
        </w:rPr>
        <w:t>., p.552.</w:t>
      </w:r>
    </w:p>
  </w:footnote>
  <w:footnote w:id="243">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244">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de-DE"/>
        </w:rPr>
        <w:t xml:space="preserve">Ibidem, </w:t>
      </w:r>
      <w:r>
        <w:rPr>
          <w:rFonts w:ascii="Calibri Light" w:eastAsia="Batang" w:hAnsi="Calibri Light" w:cs="Calibri Light"/>
          <w:sz w:val="22"/>
          <w:szCs w:val="22"/>
          <w:lang w:val="de-DE"/>
        </w:rPr>
        <w:t>p. 553.</w:t>
      </w:r>
    </w:p>
  </w:footnote>
  <w:footnote w:id="245">
    <w:p w:rsidR="000A31A8" w:rsidRDefault="0065345B">
      <w:pPr>
        <w:pStyle w:val="Notedebasdepage"/>
        <w:tabs>
          <w:tab w:val="left" w:pos="8080"/>
        </w:tabs>
        <w:ind w:right="-2" w:firstLine="709"/>
        <w:jc w:val="both"/>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J. DEWEY, </w:t>
      </w:r>
      <w:r>
        <w:rPr>
          <w:rFonts w:ascii="Calibri Light" w:eastAsia="Batang" w:hAnsi="Calibri Light" w:cs="Calibri Light"/>
          <w:i/>
          <w:iCs/>
          <w:sz w:val="22"/>
          <w:szCs w:val="22"/>
          <w:lang w:val="en-GB"/>
        </w:rPr>
        <w:t>I believe</w:t>
      </w:r>
      <w:r>
        <w:rPr>
          <w:rFonts w:ascii="Calibri Light" w:eastAsia="Batang" w:hAnsi="Calibri Light" w:cs="Calibri Light"/>
          <w:sz w:val="22"/>
          <w:szCs w:val="22"/>
          <w:lang w:val="en-GB"/>
        </w:rPr>
        <w:t xml:space="preserve">, dans J. DEWEY, </w:t>
      </w:r>
      <w:r>
        <w:rPr>
          <w:rFonts w:ascii="Calibri Light" w:eastAsia="Batang" w:hAnsi="Calibri Light" w:cs="Calibri Light"/>
          <w:i/>
          <w:iCs/>
          <w:sz w:val="22"/>
          <w:szCs w:val="22"/>
          <w:lang w:val="en-GB"/>
        </w:rPr>
        <w:t>The later Work</w:t>
      </w:r>
      <w:r>
        <w:rPr>
          <w:rFonts w:ascii="Calibri Light" w:eastAsia="Batang" w:hAnsi="Calibri Light" w:cs="Calibri Light"/>
          <w:sz w:val="22"/>
          <w:szCs w:val="22"/>
          <w:lang w:val="en-GB"/>
        </w:rPr>
        <w:t xml:space="preserve">, vol.14, p.91. </w:t>
      </w:r>
      <w:r>
        <w:rPr>
          <w:rFonts w:ascii="Calibri Light" w:eastAsia="Batang" w:hAnsi="Calibri Light" w:cs="Calibri Light"/>
          <w:sz w:val="22"/>
          <w:szCs w:val="22"/>
          <w:lang w:val="fr-BE"/>
        </w:rPr>
        <w:t xml:space="preserve">Le souci de Dewey était de démontrer que ce que l’individu est vraiment dans l’expérience de sa vie dépend de la nature et du mouvement de la vie en association (Cf. R. SHUSTERMAN, </w:t>
      </w:r>
      <w:r>
        <w:rPr>
          <w:rFonts w:ascii="Calibri Light" w:eastAsia="Batang" w:hAnsi="Calibri Light" w:cs="Calibri Light"/>
          <w:i/>
          <w:iCs/>
          <w:sz w:val="22"/>
          <w:szCs w:val="22"/>
          <w:lang w:val="fr-BE"/>
        </w:rPr>
        <w:t>o.c, p.559</w:t>
      </w:r>
      <w:r>
        <w:rPr>
          <w:rFonts w:ascii="Calibri Light" w:eastAsia="Batang" w:hAnsi="Calibri Light" w:cs="Calibri Light"/>
          <w:sz w:val="22"/>
          <w:szCs w:val="22"/>
          <w:lang w:val="fr-BE"/>
        </w:rPr>
        <w:t xml:space="preserve">). </w:t>
      </w:r>
      <w:r>
        <w:rPr>
          <w:rFonts w:ascii="Calibri Light" w:eastAsia="Batang" w:hAnsi="Calibri Light" w:cs="Calibri Light"/>
          <w:sz w:val="22"/>
          <w:szCs w:val="22"/>
          <w:lang w:val="en-GB"/>
        </w:rPr>
        <w:t xml:space="preserve">On peut lire également cet effort de Dewey dans </w:t>
      </w:r>
      <w:r>
        <w:rPr>
          <w:rFonts w:ascii="Calibri Light" w:eastAsia="Batang" w:hAnsi="Calibri Light" w:cs="Calibri Light"/>
          <w:i/>
          <w:iCs/>
          <w:sz w:val="22"/>
          <w:szCs w:val="22"/>
          <w:lang w:val="en-GB"/>
        </w:rPr>
        <w:t>Ethics of democracy</w:t>
      </w:r>
      <w:r>
        <w:rPr>
          <w:rFonts w:ascii="Calibri Light" w:eastAsia="Batang" w:hAnsi="Calibri Light" w:cs="Calibri Light"/>
          <w:sz w:val="22"/>
          <w:szCs w:val="22"/>
          <w:lang w:val="en-GB"/>
        </w:rPr>
        <w:t xml:space="preserve">, dans  J. DEWEY, </w:t>
      </w:r>
      <w:r>
        <w:rPr>
          <w:rFonts w:ascii="Calibri Light" w:eastAsia="Batang" w:hAnsi="Calibri Light" w:cs="Calibri Light"/>
          <w:i/>
          <w:iCs/>
          <w:sz w:val="22"/>
          <w:szCs w:val="22"/>
          <w:lang w:val="en-GB"/>
        </w:rPr>
        <w:t>The Early Works</w:t>
      </w:r>
      <w:r>
        <w:rPr>
          <w:rFonts w:ascii="Calibri Light" w:eastAsia="Batang" w:hAnsi="Calibri Light" w:cs="Calibri Light"/>
          <w:sz w:val="22"/>
          <w:szCs w:val="22"/>
          <w:lang w:val="en-GB"/>
        </w:rPr>
        <w:t xml:space="preserve">, vol.1 et dans J. DEWEY, </w:t>
      </w:r>
      <w:r>
        <w:rPr>
          <w:rFonts w:ascii="Calibri Light" w:eastAsia="Batang" w:hAnsi="Calibri Light" w:cs="Calibri Light"/>
          <w:i/>
          <w:iCs/>
          <w:sz w:val="22"/>
          <w:szCs w:val="22"/>
          <w:lang w:val="en-GB"/>
        </w:rPr>
        <w:t>Creative Democracy, The Task Before</w:t>
      </w:r>
      <w:r>
        <w:rPr>
          <w:rFonts w:ascii="Calibri Light" w:eastAsia="Batang" w:hAnsi="Calibri Light" w:cs="Calibri Light"/>
          <w:sz w:val="22"/>
          <w:szCs w:val="22"/>
          <w:lang w:val="en-GB"/>
        </w:rPr>
        <w:t xml:space="preserve">, dans </w:t>
      </w:r>
      <w:r>
        <w:rPr>
          <w:rFonts w:ascii="Calibri Light" w:eastAsia="Batang" w:hAnsi="Calibri Light" w:cs="Calibri Light"/>
          <w:i/>
          <w:iCs/>
          <w:sz w:val="22"/>
          <w:szCs w:val="22"/>
          <w:lang w:val="en-GB"/>
        </w:rPr>
        <w:t>The Later Works,</w:t>
      </w:r>
      <w:r>
        <w:rPr>
          <w:rFonts w:ascii="Calibri Light" w:eastAsia="Batang" w:hAnsi="Calibri Light" w:cs="Calibri Light"/>
          <w:sz w:val="22"/>
          <w:szCs w:val="22"/>
          <w:lang w:val="en-GB"/>
        </w:rPr>
        <w:t xml:space="preserve"> vol.14</w:t>
      </w:r>
      <w:r>
        <w:rPr>
          <w:rFonts w:ascii="Calibri Light" w:eastAsia="Batang" w:hAnsi="Calibri Light" w:cs="Calibri Light"/>
          <w:color w:val="000080"/>
          <w:sz w:val="22"/>
          <w:szCs w:val="22"/>
          <w:lang w:val="en-GB"/>
        </w:rPr>
        <w:t>.</w:t>
      </w:r>
    </w:p>
  </w:footnote>
  <w:footnote w:id="24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p.33.</w:t>
      </w:r>
    </w:p>
  </w:footnote>
  <w:footnote w:id="247">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p>
  </w:footnote>
  <w:footnote w:id="248">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p.35.</w:t>
      </w:r>
    </w:p>
  </w:footnote>
  <w:footnote w:id="249">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WALZER,</w:t>
      </w:r>
      <w:r>
        <w:rPr>
          <w:rFonts w:ascii="Calibri Light" w:eastAsia="Batang" w:hAnsi="Calibri Light" w:cs="Calibri Light"/>
          <w:i/>
          <w:iCs/>
          <w:sz w:val="22"/>
          <w:szCs w:val="22"/>
        </w:rPr>
        <w:t xml:space="preserve"> Sphères de justice</w:t>
      </w:r>
      <w:r>
        <w:rPr>
          <w:rFonts w:ascii="Calibri Light" w:eastAsia="Batang" w:hAnsi="Calibri Light" w:cs="Calibri Light"/>
          <w:sz w:val="22"/>
          <w:szCs w:val="22"/>
        </w:rPr>
        <w:t xml:space="preserve">. </w:t>
      </w:r>
      <w:r>
        <w:rPr>
          <w:rFonts w:ascii="Calibri Light" w:eastAsia="Batang" w:hAnsi="Calibri Light" w:cs="Calibri Light"/>
          <w:i/>
          <w:iCs/>
          <w:sz w:val="22"/>
          <w:szCs w:val="22"/>
        </w:rPr>
        <w:t>Une défense du pluralisme et de l’égalité</w:t>
      </w:r>
      <w:r>
        <w:rPr>
          <w:rFonts w:ascii="Calibri Light" w:eastAsia="Batang" w:hAnsi="Calibri Light" w:cs="Calibri Light"/>
          <w:sz w:val="22"/>
          <w:szCs w:val="22"/>
        </w:rPr>
        <w:t>, Trad. P. Engel, Paris, éd. Esprit, 1997, p.34.</w:t>
      </w:r>
    </w:p>
  </w:footnote>
  <w:footnote w:id="25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pp.34-35.</w:t>
      </w:r>
    </w:p>
  </w:footnote>
  <w:footnote w:id="251">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p.35.</w:t>
      </w:r>
    </w:p>
  </w:footnote>
  <w:footnote w:id="25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p.36. Marx croit que les moyens de productions sont le bien prédominant, ce qui implique que ceux qui contrôlent les moyens de production dirigent légitimement. Ce qui est remis en question de manière générale, c’est le monopole et la prédominance.</w:t>
      </w:r>
    </w:p>
  </w:footnote>
  <w:footnote w:id="253">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M. WALZER</w:t>
      </w:r>
      <w:r>
        <w:rPr>
          <w:rFonts w:ascii="Calibri Light" w:eastAsia="Batang" w:hAnsi="Calibri Light" w:cs="Calibri Light"/>
          <w:i/>
          <w:iCs/>
          <w:sz w:val="22"/>
          <w:szCs w:val="22"/>
          <w:lang w:val="fr-BE"/>
        </w:rPr>
        <w:t>, Pluralisme et démocratie</w:t>
      </w:r>
      <w:r>
        <w:rPr>
          <w:rFonts w:ascii="Calibri Light" w:eastAsia="Batang" w:hAnsi="Calibri Light" w:cs="Calibri Light"/>
          <w:sz w:val="22"/>
          <w:szCs w:val="22"/>
          <w:lang w:val="fr-BE"/>
        </w:rPr>
        <w:t>, Paris, éd. Esprit, 1997, p.38.</w:t>
      </w:r>
    </w:p>
  </w:footnote>
  <w:footnote w:id="254">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p.39. </w:t>
      </w:r>
    </w:p>
  </w:footnote>
  <w:footnote w:id="25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256">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p.54.</w:t>
      </w:r>
    </w:p>
  </w:footnote>
  <w:footnote w:id="257">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25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J.-P. DUPUY, « L’individu libéral, cet inconnu : d’Adam Smith à Friedrich Hayek », dans C. AUDARD &amp; Alii, </w:t>
      </w:r>
      <w:r>
        <w:rPr>
          <w:rFonts w:ascii="Calibri Light" w:eastAsia="Batang" w:hAnsi="Calibri Light" w:cs="Calibri Light"/>
          <w:i/>
          <w:iCs/>
          <w:sz w:val="22"/>
          <w:szCs w:val="22"/>
        </w:rPr>
        <w:t>Individu et justice sociale. Autour de Rawls</w:t>
      </w:r>
      <w:r>
        <w:rPr>
          <w:rFonts w:ascii="Calibri Light" w:eastAsia="Batang" w:hAnsi="Calibri Light" w:cs="Calibri Light"/>
          <w:sz w:val="22"/>
          <w:szCs w:val="22"/>
        </w:rPr>
        <w:t>, p.73. Pour Dupuy, il est clair que même si on présente l’individu moderne tantôt comme une résurgence de l’individu bourgeois égoïste, tantôt comme l’individu de Tocqueville (indifférent aux autres et caractérisé par l’absence de désir de désengagement de l’univers concurrentiel) enclin à l’égalité des conditions, en tout cas une chose est certaine, nous sommes en plein narcissisme. En effet, Tocqueville partageait deux attitudes entre les Etats Unis et la France.  «  La première consiste à accepter la concurrence , à chercher à vaincre l’autre, à être le meilleur, c’est l’attitude des enfants qui, lorsqu’ils voient qu’ils ne peuvent pas avoir ce qu’ils désirent, préfèrent le détruire plutôt que de le laisser à leur rival » (</w:t>
      </w:r>
      <w:r>
        <w:rPr>
          <w:rFonts w:ascii="Calibri Light" w:eastAsia="Batang" w:hAnsi="Calibri Light" w:cs="Calibri Light"/>
          <w:i/>
          <w:iCs/>
          <w:sz w:val="22"/>
          <w:szCs w:val="22"/>
        </w:rPr>
        <w:t xml:space="preserve">Ibidem), </w:t>
      </w:r>
      <w:r>
        <w:rPr>
          <w:rFonts w:ascii="Calibri Light" w:eastAsia="Batang" w:hAnsi="Calibri Light" w:cs="Calibri Light"/>
          <w:sz w:val="22"/>
          <w:szCs w:val="22"/>
        </w:rPr>
        <w:t>telle serait la logique de Tocqueville lui-même, logique selon laquelle « le souverain, étant nécessairement sans contestation au- dessus de tous les citoyens, n’excite l’envie d’aucun d’eux, et chacun croit enlever à ses égaux toutes les prérogatives qu’il lui concède » (</w:t>
      </w:r>
      <w:r>
        <w:rPr>
          <w:rFonts w:ascii="Calibri Light" w:eastAsia="Batang" w:hAnsi="Calibri Light" w:cs="Calibri Light"/>
          <w:i/>
          <w:iCs/>
          <w:sz w:val="22"/>
          <w:szCs w:val="22"/>
        </w:rPr>
        <w:t>Ibidem</w:t>
      </w:r>
      <w:r>
        <w:rPr>
          <w:rFonts w:ascii="Calibri Light" w:eastAsia="Batang" w:hAnsi="Calibri Light" w:cs="Calibri Light"/>
          <w:sz w:val="22"/>
          <w:szCs w:val="22"/>
        </w:rPr>
        <w:t>).</w:t>
      </w:r>
    </w:p>
  </w:footnote>
  <w:footnote w:id="25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J.-P. DUPUY, </w:t>
      </w:r>
      <w:r>
        <w:rPr>
          <w:rFonts w:ascii="Calibri Light" w:eastAsia="Batang" w:hAnsi="Calibri Light" w:cs="Calibri Light"/>
          <w:i/>
          <w:iCs/>
          <w:sz w:val="22"/>
          <w:szCs w:val="22"/>
        </w:rPr>
        <w:t>o.c,</w:t>
      </w:r>
      <w:r>
        <w:rPr>
          <w:rFonts w:ascii="Calibri Light" w:eastAsia="Batang" w:hAnsi="Calibri Light" w:cs="Calibri Light"/>
          <w:sz w:val="22"/>
          <w:szCs w:val="22"/>
        </w:rPr>
        <w:t xml:space="preserve"> p.74. Cette vision de l’individu correspond à celle de Tocqueville.</w:t>
      </w:r>
    </w:p>
  </w:footnote>
  <w:footnote w:id="260">
    <w:p w:rsidR="000A31A8" w:rsidRDefault="0065345B">
      <w:pPr>
        <w:pStyle w:val="Notedebasdepage"/>
        <w:tabs>
          <w:tab w:val="left" w:pos="8080"/>
        </w:tabs>
        <w:ind w:right="-2" w:firstLine="709"/>
        <w:rPr>
          <w:lang w:val="en-US"/>
        </w:rPr>
      </w:pPr>
      <w:r>
        <w:rPr>
          <w:rStyle w:val="Appelnotedebasdep"/>
          <w:rFonts w:ascii="Calibri Light" w:hAnsi="Calibri Light" w:cs="Calibri Light"/>
          <w:sz w:val="22"/>
          <w:szCs w:val="22"/>
        </w:rPr>
        <w:footnoteRef/>
      </w:r>
      <w:r>
        <w:rPr>
          <w:rFonts w:ascii="Calibri Light" w:hAnsi="Calibri Light" w:cs="Calibri Light"/>
          <w:i/>
          <w:iCs/>
          <w:sz w:val="22"/>
          <w:szCs w:val="22"/>
          <w:lang w:val="en-GB"/>
        </w:rPr>
        <w:t xml:space="preserve"> Ibidem</w:t>
      </w:r>
      <w:r>
        <w:rPr>
          <w:rFonts w:ascii="Calibri Light" w:hAnsi="Calibri Light" w:cs="Calibri Light"/>
          <w:sz w:val="22"/>
          <w:szCs w:val="22"/>
          <w:lang w:val="en-GB"/>
        </w:rPr>
        <w:t>, p.75.</w:t>
      </w:r>
    </w:p>
  </w:footnote>
  <w:footnote w:id="261">
    <w:p w:rsidR="000A31A8" w:rsidRDefault="0065345B">
      <w:pPr>
        <w:pStyle w:val="Notedebasdepage"/>
        <w:tabs>
          <w:tab w:val="left" w:pos="8080"/>
        </w:tabs>
        <w:ind w:right="-2" w:firstLine="709"/>
        <w:jc w:val="both"/>
      </w:pPr>
      <w:r>
        <w:rPr>
          <w:rStyle w:val="Appelnotedebasdep"/>
          <w:rFonts w:ascii="Calibri Light" w:hAnsi="Calibri Light" w:cs="Calibri Light"/>
          <w:sz w:val="22"/>
          <w:szCs w:val="22"/>
        </w:rPr>
        <w:footnoteRef/>
      </w:r>
      <w:r>
        <w:rPr>
          <w:rFonts w:ascii="Calibri Light" w:hAnsi="Calibri Light" w:cs="Calibri Light"/>
          <w:sz w:val="22"/>
          <w:szCs w:val="22"/>
          <w:lang w:val="en-GB"/>
        </w:rPr>
        <w:t xml:space="preserve"> </w:t>
      </w:r>
      <w:r>
        <w:rPr>
          <w:rFonts w:ascii="Calibri Light" w:eastAsia="Batang" w:hAnsi="Calibri Light" w:cs="Calibri Light"/>
          <w:sz w:val="22"/>
          <w:szCs w:val="22"/>
          <w:lang w:val="en-GB"/>
        </w:rPr>
        <w:t xml:space="preserve">Cf.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p.76. </w:t>
      </w:r>
      <w:r>
        <w:rPr>
          <w:rFonts w:ascii="Calibri Light" w:eastAsia="Batang" w:hAnsi="Calibri Light" w:cs="Calibri Light"/>
          <w:sz w:val="22"/>
          <w:szCs w:val="22"/>
        </w:rPr>
        <w:t>La conception de l’individu qui intéresse Dupuy est celle de l’individu concurrentiel, animé par la passion de l’autre. Ce qui orientera sa recherche vers Smith et Hayek, vers l’économie politique.</w:t>
      </w:r>
      <w:r>
        <w:rPr>
          <w:rFonts w:ascii="Calibri Light" w:hAnsi="Calibri Light" w:cs="Calibri Light"/>
          <w:sz w:val="22"/>
          <w:szCs w:val="22"/>
        </w:rPr>
        <w:t xml:space="preserve"> </w:t>
      </w:r>
    </w:p>
  </w:footnote>
  <w:footnote w:id="262">
    <w:p w:rsidR="000A31A8" w:rsidRDefault="0065345B">
      <w:pPr>
        <w:pStyle w:val="Notedebasdepage"/>
        <w:tabs>
          <w:tab w:val="left" w:pos="8080"/>
        </w:tabs>
        <w:ind w:right="-2" w:firstLine="709"/>
      </w:pPr>
      <w:r>
        <w:rPr>
          <w:rStyle w:val="Appelnotedebasdep"/>
          <w:rFonts w:ascii="Calibri Light" w:hAnsi="Calibri Light" w:cs="Calibri Light"/>
          <w:sz w:val="22"/>
          <w:szCs w:val="22"/>
        </w:rPr>
        <w:footnoteRef/>
      </w:r>
      <w:r>
        <w:rPr>
          <w:rFonts w:ascii="Calibri Light" w:hAnsi="Calibri Light" w:cs="Calibri Light"/>
          <w:sz w:val="22"/>
          <w:szCs w:val="22"/>
        </w:rPr>
        <w:t xml:space="preserve"> </w:t>
      </w:r>
      <w:r>
        <w:rPr>
          <w:rFonts w:ascii="Calibri Light" w:hAnsi="Calibri Light" w:cs="Calibri Light"/>
          <w:i/>
          <w:iCs/>
          <w:sz w:val="22"/>
          <w:szCs w:val="22"/>
        </w:rPr>
        <w:t>Ibidem</w:t>
      </w:r>
      <w:r>
        <w:rPr>
          <w:rFonts w:ascii="Calibri Light" w:hAnsi="Calibri Light" w:cs="Calibri Light"/>
          <w:sz w:val="22"/>
          <w:szCs w:val="22"/>
        </w:rPr>
        <w:t>, p.81.</w:t>
      </w:r>
    </w:p>
  </w:footnote>
  <w:footnote w:id="263">
    <w:p w:rsidR="000A31A8" w:rsidRDefault="0065345B">
      <w:pPr>
        <w:pStyle w:val="Notedebasdepage"/>
        <w:tabs>
          <w:tab w:val="left" w:pos="8080"/>
        </w:tabs>
        <w:ind w:right="-2" w:firstLine="709"/>
      </w:pPr>
      <w:r>
        <w:rPr>
          <w:rStyle w:val="Appelnotedebasdep"/>
          <w:rFonts w:ascii="Calibri Light" w:hAnsi="Calibri Light" w:cs="Calibri Light"/>
          <w:sz w:val="22"/>
          <w:szCs w:val="22"/>
        </w:rPr>
        <w:footnoteRef/>
      </w:r>
      <w:r>
        <w:rPr>
          <w:rFonts w:ascii="Calibri Light" w:hAnsi="Calibri Light" w:cs="Calibri Light"/>
          <w:sz w:val="22"/>
          <w:szCs w:val="22"/>
        </w:rPr>
        <w:t xml:space="preserve"> </w:t>
      </w:r>
      <w:r>
        <w:rPr>
          <w:rFonts w:ascii="Calibri Light" w:hAnsi="Calibri Light" w:cs="Calibri Light"/>
          <w:i/>
          <w:iCs/>
          <w:sz w:val="22"/>
          <w:szCs w:val="22"/>
        </w:rPr>
        <w:t>Ibidem.</w:t>
      </w:r>
    </w:p>
  </w:footnote>
  <w:footnote w:id="26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Cf. C. TAYLOR, </w:t>
      </w:r>
      <w:r>
        <w:rPr>
          <w:rFonts w:ascii="Calibri Light" w:eastAsia="Batang" w:hAnsi="Calibri Light" w:cs="Calibri Light"/>
          <w:i/>
          <w:iCs/>
          <w:sz w:val="22"/>
          <w:szCs w:val="22"/>
        </w:rPr>
        <w:t>Le malaise de la modernité</w:t>
      </w:r>
      <w:r>
        <w:rPr>
          <w:rFonts w:ascii="Calibri Light" w:eastAsia="Batang" w:hAnsi="Calibri Light" w:cs="Calibri Light"/>
          <w:sz w:val="22"/>
          <w:szCs w:val="22"/>
        </w:rPr>
        <w:t>, Paris, Cerf, 1994, p.10.</w:t>
      </w:r>
    </w:p>
  </w:footnote>
  <w:footnote w:id="265">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p>
  </w:footnote>
  <w:footnote w:id="26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xml:space="preserve"> p.11.</w:t>
      </w:r>
    </w:p>
  </w:footnote>
  <w:footnote w:id="267">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p.22.</w:t>
      </w:r>
    </w:p>
  </w:footnote>
  <w:footnote w:id="268">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p.23.</w:t>
      </w:r>
    </w:p>
  </w:footnote>
  <w:footnote w:id="269">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 TAYLOR, </w:t>
      </w:r>
      <w:r>
        <w:rPr>
          <w:rFonts w:ascii="Calibri Light" w:eastAsia="Batang" w:hAnsi="Calibri Light" w:cs="Calibri Light"/>
          <w:i/>
          <w:iCs/>
          <w:sz w:val="22"/>
          <w:szCs w:val="22"/>
        </w:rPr>
        <w:t>La liberté des modernes</w:t>
      </w:r>
      <w:r>
        <w:rPr>
          <w:rFonts w:ascii="Calibri Light" w:eastAsia="Batang" w:hAnsi="Calibri Light" w:cs="Calibri Light"/>
          <w:sz w:val="22"/>
          <w:szCs w:val="22"/>
        </w:rPr>
        <w:t>, Paris, PUF, 1997, p.223.</w:t>
      </w:r>
    </w:p>
  </w:footnote>
  <w:footnote w:id="270">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p.224.</w:t>
      </w:r>
    </w:p>
  </w:footnote>
  <w:footnote w:id="271">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p226.</w:t>
      </w:r>
    </w:p>
  </w:footnote>
  <w:footnote w:id="272">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p>
  </w:footnote>
  <w:footnote w:id="273">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p.227.</w:t>
      </w:r>
    </w:p>
  </w:footnote>
  <w:footnote w:id="274">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p.229. </w:t>
      </w:r>
    </w:p>
  </w:footnote>
  <w:footnote w:id="275">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p>
  </w:footnote>
  <w:footnote w:id="27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p>
  </w:footnote>
  <w:footnote w:id="277">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p.231.</w:t>
      </w:r>
    </w:p>
  </w:footnote>
  <w:footnote w:id="278">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233.</w:t>
      </w:r>
    </w:p>
  </w:footnote>
  <w:footnote w:id="279">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p.237.</w:t>
      </w:r>
    </w:p>
  </w:footnote>
  <w:footnote w:id="28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 TAYLOR,</w:t>
      </w:r>
      <w:r>
        <w:rPr>
          <w:rFonts w:ascii="Calibri Light" w:eastAsia="Batang" w:hAnsi="Calibri Light" w:cs="Calibri Light"/>
          <w:i/>
          <w:iCs/>
          <w:sz w:val="22"/>
          <w:szCs w:val="22"/>
        </w:rPr>
        <w:t xml:space="preserve"> Le malaise de la modernité</w:t>
      </w:r>
      <w:r>
        <w:rPr>
          <w:rFonts w:ascii="Calibri Light" w:eastAsia="Batang" w:hAnsi="Calibri Light" w:cs="Calibri Light"/>
          <w:sz w:val="22"/>
          <w:szCs w:val="22"/>
        </w:rPr>
        <w:t>, Paris, Cerf, 1994, p.16.</w:t>
      </w:r>
    </w:p>
  </w:footnote>
  <w:footnote w:id="281">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p>
  </w:footnote>
  <w:footnote w:id="282">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M. SANDEL, </w:t>
      </w:r>
      <w:r>
        <w:rPr>
          <w:rFonts w:ascii="Calibri Light" w:eastAsia="Batang" w:hAnsi="Calibri Light" w:cs="Calibri Light"/>
          <w:i/>
          <w:iCs/>
          <w:sz w:val="22"/>
          <w:szCs w:val="22"/>
          <w:lang w:val="en-GB"/>
        </w:rPr>
        <w:t>Liberalism and the Limits of justice.</w:t>
      </w:r>
      <w:r>
        <w:rPr>
          <w:rFonts w:ascii="Calibri Light" w:eastAsia="Batang" w:hAnsi="Calibri Light" w:cs="Calibri Light"/>
          <w:sz w:val="22"/>
          <w:szCs w:val="22"/>
          <w:lang w:val="en-GB"/>
        </w:rPr>
        <w:t xml:space="preserve"> </w:t>
      </w:r>
      <w:r>
        <w:rPr>
          <w:rFonts w:ascii="Calibri Light" w:eastAsia="Batang" w:hAnsi="Calibri Light" w:cs="Calibri Light"/>
          <w:sz w:val="22"/>
          <w:szCs w:val="22"/>
        </w:rPr>
        <w:t>Cambridge, Cambridge University Press, 1982.</w:t>
      </w:r>
    </w:p>
  </w:footnote>
  <w:footnote w:id="283">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WALZER, </w:t>
      </w:r>
      <w:r>
        <w:rPr>
          <w:rFonts w:ascii="Calibri Light" w:eastAsia="Batang" w:hAnsi="Calibri Light" w:cs="Calibri Light"/>
          <w:i/>
          <w:iCs/>
          <w:sz w:val="22"/>
          <w:szCs w:val="22"/>
        </w:rPr>
        <w:t>Pluralisme et démocratie</w:t>
      </w:r>
      <w:r>
        <w:rPr>
          <w:rFonts w:ascii="Calibri Light" w:eastAsia="Batang" w:hAnsi="Calibri Light" w:cs="Calibri Light"/>
          <w:sz w:val="22"/>
          <w:szCs w:val="22"/>
        </w:rPr>
        <w:t>, Paris, éd. Esprit, 1997, p.59.</w:t>
      </w:r>
    </w:p>
  </w:footnote>
  <w:footnote w:id="284">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pp.59-60.</w:t>
      </w:r>
    </w:p>
  </w:footnote>
  <w:footnote w:id="28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M. WALZER, </w:t>
      </w:r>
      <w:r>
        <w:rPr>
          <w:rFonts w:ascii="Calibri Light" w:eastAsia="Batang" w:hAnsi="Calibri Light" w:cs="Calibri Light"/>
          <w:i/>
          <w:iCs/>
          <w:sz w:val="22"/>
          <w:szCs w:val="22"/>
        </w:rPr>
        <w:t>Sphères de justices</w:t>
      </w:r>
      <w:r>
        <w:rPr>
          <w:rFonts w:ascii="Calibri Light" w:eastAsia="Batang" w:hAnsi="Calibri Light" w:cs="Calibri Light"/>
          <w:sz w:val="22"/>
          <w:szCs w:val="22"/>
        </w:rPr>
        <w:t xml:space="preserve">. </w:t>
      </w:r>
      <w:r>
        <w:rPr>
          <w:rFonts w:ascii="Calibri Light" w:eastAsia="Batang" w:hAnsi="Calibri Light" w:cs="Calibri Light"/>
          <w:i/>
          <w:iCs/>
          <w:sz w:val="22"/>
          <w:szCs w:val="22"/>
        </w:rPr>
        <w:t>Une défense du pluralisme et de l’égalité</w:t>
      </w:r>
      <w:r>
        <w:rPr>
          <w:rFonts w:ascii="Calibri Light" w:eastAsia="Batang" w:hAnsi="Calibri Light" w:cs="Calibri Light"/>
          <w:sz w:val="22"/>
          <w:szCs w:val="22"/>
        </w:rPr>
        <w:t>, Trad. P. Engel, Paris, Seuil, 1997, p.61.</w:t>
      </w:r>
    </w:p>
  </w:footnote>
  <w:footnote w:id="28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p>
  </w:footnote>
  <w:footnote w:id="287">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Cf.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 xml:space="preserve"> p.62.</w:t>
      </w:r>
    </w:p>
  </w:footnote>
  <w:footnote w:id="288">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en-GB"/>
        </w:rPr>
        <w:t xml:space="preserve"> </w:t>
      </w:r>
      <w:r>
        <w:rPr>
          <w:rFonts w:ascii="Calibri Light" w:eastAsia="Batang" w:hAnsi="Calibri Light" w:cs="Calibri Light"/>
          <w:i/>
          <w:iCs/>
          <w:sz w:val="22"/>
          <w:szCs w:val="22"/>
          <w:lang w:val="en-GB"/>
        </w:rPr>
        <w:t>Ibidem</w:t>
      </w:r>
      <w:r>
        <w:rPr>
          <w:rFonts w:ascii="Calibri Light" w:eastAsia="Batang" w:hAnsi="Calibri Light" w:cs="Calibri Light"/>
          <w:sz w:val="22"/>
          <w:szCs w:val="22"/>
          <w:lang w:val="en-GB"/>
        </w:rPr>
        <w:t>.</w:t>
      </w:r>
    </w:p>
  </w:footnote>
  <w:footnote w:id="289">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p.65.</w:t>
      </w:r>
    </w:p>
  </w:footnote>
  <w:footnote w:id="29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L’expression est toujours de Walzer, Cf.</w:t>
      </w:r>
      <w:r>
        <w:rPr>
          <w:rFonts w:ascii="Calibri Light" w:eastAsia="Batang" w:hAnsi="Calibri Light" w:cs="Calibri Light"/>
          <w:i/>
          <w:iCs/>
          <w:sz w:val="22"/>
          <w:szCs w:val="22"/>
        </w:rPr>
        <w:t xml:space="preserve"> Ibidem</w:t>
      </w:r>
      <w:r>
        <w:rPr>
          <w:rFonts w:ascii="Calibri Light" w:eastAsia="Batang" w:hAnsi="Calibri Light" w:cs="Calibri Light"/>
          <w:sz w:val="22"/>
          <w:szCs w:val="22"/>
        </w:rPr>
        <w:t>.</w:t>
      </w:r>
    </w:p>
  </w:footnote>
  <w:footnote w:id="291">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p.65.</w:t>
      </w:r>
    </w:p>
  </w:footnote>
  <w:footnote w:id="29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Walzer s’est aussi intéressé aux politiques d’immigration et de naturalisation.</w:t>
      </w:r>
    </w:p>
  </w:footnote>
  <w:footnote w:id="293">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M.WALZER, </w:t>
      </w:r>
      <w:r>
        <w:rPr>
          <w:rFonts w:ascii="Calibri Light" w:eastAsia="Batang" w:hAnsi="Calibri Light" w:cs="Calibri Light"/>
          <w:i/>
          <w:iCs/>
          <w:sz w:val="22"/>
          <w:szCs w:val="22"/>
          <w:lang w:val="de-DE"/>
        </w:rPr>
        <w:t>o.c.</w:t>
      </w:r>
      <w:r>
        <w:rPr>
          <w:rFonts w:ascii="Calibri Light" w:eastAsia="Batang" w:hAnsi="Calibri Light" w:cs="Calibri Light"/>
          <w:sz w:val="22"/>
          <w:szCs w:val="22"/>
          <w:lang w:val="de-DE"/>
        </w:rPr>
        <w:t>, p.103.</w:t>
      </w:r>
    </w:p>
  </w:footnote>
  <w:footnote w:id="294">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295">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C. TAYLOR, </w:t>
      </w:r>
      <w:r>
        <w:rPr>
          <w:rFonts w:ascii="Calibri Light" w:eastAsia="Batang" w:hAnsi="Calibri Light" w:cs="Calibri Light"/>
          <w:i/>
          <w:iCs/>
          <w:sz w:val="22"/>
          <w:szCs w:val="22"/>
        </w:rPr>
        <w:t>Les sources du moi</w:t>
      </w:r>
      <w:r>
        <w:rPr>
          <w:rFonts w:ascii="Calibri Light" w:eastAsia="Batang" w:hAnsi="Calibri Light" w:cs="Calibri Light"/>
          <w:sz w:val="22"/>
          <w:szCs w:val="22"/>
        </w:rPr>
        <w:t>, Paris, Seuil, 1998, p.45.</w:t>
      </w:r>
    </w:p>
  </w:footnote>
  <w:footnote w:id="296">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w:t>
      </w:r>
      <w:r>
        <w:rPr>
          <w:rFonts w:ascii="Calibri Light" w:eastAsia="Batang" w:hAnsi="Calibri Light" w:cs="Calibri Light"/>
          <w:i/>
          <w:iCs/>
          <w:sz w:val="22"/>
          <w:szCs w:val="22"/>
        </w:rPr>
        <w:t>Ibidem</w:t>
      </w:r>
      <w:r>
        <w:rPr>
          <w:rFonts w:ascii="Calibri Light" w:eastAsia="Batang" w:hAnsi="Calibri Light" w:cs="Calibri Light"/>
          <w:sz w:val="22"/>
          <w:szCs w:val="22"/>
        </w:rPr>
        <w:t>.</w:t>
      </w:r>
    </w:p>
  </w:footnote>
  <w:footnote w:id="297">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pp.46.</w:t>
      </w:r>
    </w:p>
  </w:footnote>
  <w:footnote w:id="298">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299">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w:t>
      </w:r>
      <w:r>
        <w:rPr>
          <w:rFonts w:ascii="Calibri Light" w:eastAsia="Batang" w:hAnsi="Calibri Light" w:cs="Calibri Light"/>
          <w:i/>
          <w:iCs/>
          <w:sz w:val="22"/>
          <w:szCs w:val="22"/>
        </w:rPr>
        <w:t>Ibidem.</w:t>
      </w:r>
    </w:p>
  </w:footnote>
  <w:footnote w:id="300">
    <w:p w:rsidR="000A31A8" w:rsidRDefault="0065345B">
      <w:pPr>
        <w:pStyle w:val="Notedebasdepage"/>
        <w:tabs>
          <w:tab w:val="left" w:pos="8080"/>
        </w:tabs>
        <w:ind w:right="-2" w:firstLine="709"/>
      </w:pPr>
      <w:r>
        <w:rPr>
          <w:rStyle w:val="Appelnotedebasdep"/>
          <w:rFonts w:ascii="Calibri Light" w:hAnsi="Calibri Light" w:cs="Calibri Light"/>
          <w:sz w:val="22"/>
          <w:szCs w:val="22"/>
        </w:rPr>
        <w:footnoteRef/>
      </w:r>
      <w:r>
        <w:rPr>
          <w:rFonts w:ascii="Calibri Light" w:eastAsia="Batang" w:hAnsi="Calibri Light" w:cs="Calibri Light"/>
          <w:sz w:val="22"/>
          <w:szCs w:val="22"/>
        </w:rPr>
        <w:t xml:space="preserve"> C. TAYLOR,</w:t>
      </w:r>
      <w:r>
        <w:rPr>
          <w:rFonts w:ascii="Calibri Light" w:eastAsia="Batang" w:hAnsi="Calibri Light" w:cs="Calibri Light"/>
          <w:i/>
          <w:iCs/>
          <w:sz w:val="22"/>
          <w:szCs w:val="22"/>
        </w:rPr>
        <w:t xml:space="preserve"> La liberté des modernes</w:t>
      </w:r>
      <w:r>
        <w:rPr>
          <w:rFonts w:ascii="Calibri Light" w:eastAsia="Batang" w:hAnsi="Calibri Light" w:cs="Calibri Light"/>
          <w:sz w:val="22"/>
          <w:szCs w:val="22"/>
        </w:rPr>
        <w:t>, Paris, Seuil, 1998, p.166.</w:t>
      </w:r>
    </w:p>
  </w:footnote>
  <w:footnote w:id="301">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p.59.</w:t>
      </w:r>
    </w:p>
  </w:footnote>
  <w:footnote w:id="302">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WALZER,</w:t>
      </w:r>
      <w:r>
        <w:rPr>
          <w:rFonts w:ascii="Calibri Light" w:eastAsia="Batang" w:hAnsi="Calibri Light" w:cs="Calibri Light"/>
          <w:i/>
          <w:iCs/>
          <w:sz w:val="22"/>
          <w:szCs w:val="22"/>
        </w:rPr>
        <w:t xml:space="preserve"> Traité sur la tolérance</w:t>
      </w:r>
      <w:r>
        <w:rPr>
          <w:rFonts w:ascii="Calibri Light" w:eastAsia="Batang" w:hAnsi="Calibri Light" w:cs="Calibri Light"/>
          <w:sz w:val="22"/>
          <w:szCs w:val="22"/>
        </w:rPr>
        <w:t>, Trad. C. Hutner, Prais, Gallimard, 1997, p.30.</w:t>
      </w:r>
    </w:p>
  </w:footnote>
  <w:footnote w:id="303">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hAnsi="Calibri Light" w:cs="Calibri Light"/>
          <w:i/>
          <w:iCs/>
          <w:sz w:val="22"/>
          <w:szCs w:val="22"/>
        </w:rPr>
        <w:t>.</w:t>
      </w:r>
    </w:p>
  </w:footnote>
  <w:footnote w:id="30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Walzer cite l’exemple d’Alexandrie qui, composé d’un tiers de Grecs, d’un tiers de juifs et d’un tiers d’Egyptiens est selon lui, est un modèle impérial du multiculturalisme. L’histoire de l’Egypte fait mention d’une coexistence paisible sous le règne de Ptolémées.</w:t>
      </w:r>
    </w:p>
  </w:footnote>
  <w:footnote w:id="305">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p.41.</w:t>
      </w:r>
    </w:p>
  </w:footnote>
  <w:footnote w:id="306">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w:t>
      </w:r>
    </w:p>
  </w:footnote>
  <w:footnote w:id="307">
    <w:p w:rsidR="000A31A8" w:rsidRDefault="0065345B">
      <w:pPr>
        <w:pStyle w:val="Notedebasdepage"/>
        <w:tabs>
          <w:tab w:val="left" w:pos="8080"/>
        </w:tabs>
        <w:ind w:right="-2" w:firstLine="709"/>
        <w:rPr>
          <w:lang w:val="en-US"/>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p.53.</w:t>
      </w:r>
    </w:p>
  </w:footnote>
  <w:footnote w:id="30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MBOLOKALA Imbuli, </w:t>
      </w:r>
      <w:r>
        <w:rPr>
          <w:rFonts w:ascii="Calibri Light" w:eastAsia="Batang" w:hAnsi="Calibri Light" w:cs="Calibri Light"/>
          <w:i/>
          <w:iCs/>
          <w:sz w:val="22"/>
          <w:szCs w:val="22"/>
        </w:rPr>
        <w:t>La thérapeutique philosophique</w:t>
      </w:r>
      <w:r>
        <w:rPr>
          <w:rFonts w:ascii="Calibri Light" w:eastAsia="Batang" w:hAnsi="Calibri Light" w:cs="Calibri Light"/>
          <w:sz w:val="22"/>
          <w:szCs w:val="22"/>
        </w:rPr>
        <w:t>, Kinshasa, Facultés Catholiques de Kinshasa, 1996, p.23.</w:t>
      </w:r>
    </w:p>
  </w:footnote>
  <w:footnote w:id="30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p.63.</w:t>
      </w:r>
    </w:p>
  </w:footnote>
  <w:footnote w:id="31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G. MADINIER</w:t>
      </w:r>
      <w:r>
        <w:rPr>
          <w:rFonts w:ascii="Calibri Light" w:eastAsia="Batang" w:hAnsi="Calibri Light" w:cs="Calibri Light"/>
          <w:i/>
          <w:iCs/>
          <w:sz w:val="22"/>
          <w:szCs w:val="22"/>
        </w:rPr>
        <w:t>, Conscience et amour. Essai sur le « nous</w:t>
      </w:r>
      <w:r>
        <w:rPr>
          <w:rFonts w:ascii="Calibri Light" w:eastAsia="Batang" w:hAnsi="Calibri Light" w:cs="Calibri Light"/>
          <w:sz w:val="22"/>
          <w:szCs w:val="22"/>
        </w:rPr>
        <w:t xml:space="preserve"> », p.56. Cité par  NGIMBI Nseka, </w:t>
      </w:r>
      <w:r>
        <w:rPr>
          <w:rFonts w:ascii="Calibri Light" w:eastAsia="Batang" w:hAnsi="Calibri Light" w:cs="Calibri Light"/>
          <w:i/>
          <w:iCs/>
          <w:sz w:val="22"/>
          <w:szCs w:val="22"/>
        </w:rPr>
        <w:t>Ethique et intersubjectivité. Essai sur les fondements philosophiques de la vie en société</w:t>
      </w:r>
      <w:r>
        <w:rPr>
          <w:rFonts w:ascii="Calibri Light" w:eastAsia="Batang" w:hAnsi="Calibri Light" w:cs="Calibri Light"/>
          <w:sz w:val="22"/>
          <w:szCs w:val="22"/>
        </w:rPr>
        <w:t>, Kinshasa, Facultés Catholiques de Kinshasa, 2002,</w:t>
      </w:r>
      <w:r>
        <w:rPr>
          <w:rFonts w:ascii="Calibri Light" w:eastAsia="Batang" w:hAnsi="Calibri Light" w:cs="Calibri Light"/>
          <w:i/>
          <w:iCs/>
          <w:sz w:val="22"/>
          <w:szCs w:val="22"/>
        </w:rPr>
        <w:t xml:space="preserve"> </w:t>
      </w:r>
      <w:r>
        <w:rPr>
          <w:rFonts w:ascii="Calibri Light" w:eastAsia="Batang" w:hAnsi="Calibri Light" w:cs="Calibri Light"/>
          <w:sz w:val="22"/>
          <w:szCs w:val="22"/>
        </w:rPr>
        <w:t xml:space="preserve"> p.60.</w:t>
      </w:r>
    </w:p>
  </w:footnote>
  <w:footnote w:id="31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NGIMBI Nseka, </w:t>
      </w:r>
      <w:r>
        <w:rPr>
          <w:rFonts w:ascii="Calibri Light" w:eastAsia="Batang" w:hAnsi="Calibri Light" w:cs="Calibri Light"/>
          <w:i/>
          <w:iCs/>
          <w:sz w:val="22"/>
          <w:szCs w:val="22"/>
        </w:rPr>
        <w:t>o. c</w:t>
      </w:r>
      <w:r>
        <w:rPr>
          <w:rFonts w:ascii="Calibri Light" w:eastAsia="Batang" w:hAnsi="Calibri Light" w:cs="Calibri Light"/>
          <w:sz w:val="22"/>
          <w:szCs w:val="22"/>
        </w:rPr>
        <w:t>, p.61.</w:t>
      </w:r>
    </w:p>
  </w:footnote>
  <w:footnote w:id="31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NDUMBA Y’Oole Lifefo</w:t>
      </w:r>
      <w:r>
        <w:rPr>
          <w:rFonts w:ascii="Calibri Light" w:eastAsia="Batang" w:hAnsi="Calibri Light" w:cs="Calibri Light"/>
          <w:i/>
          <w:iCs/>
          <w:sz w:val="22"/>
          <w:szCs w:val="22"/>
        </w:rPr>
        <w:t xml:space="preserve">, </w:t>
      </w:r>
      <w:r>
        <w:rPr>
          <w:rFonts w:ascii="Calibri Light" w:eastAsia="Batang" w:hAnsi="Calibri Light" w:cs="Calibri Light"/>
          <w:sz w:val="22"/>
          <w:szCs w:val="22"/>
        </w:rPr>
        <w:t>« Philosophie africaine face aux discours politiques de démocratie »,</w:t>
      </w:r>
      <w:r>
        <w:rPr>
          <w:rFonts w:ascii="Calibri Light" w:eastAsia="Batang" w:hAnsi="Calibri Light" w:cs="Calibri Light"/>
          <w:i/>
          <w:iCs/>
          <w:sz w:val="22"/>
          <w:szCs w:val="22"/>
        </w:rPr>
        <w:t xml:space="preserve"> </w:t>
      </w:r>
      <w:r>
        <w:rPr>
          <w:rFonts w:ascii="Calibri Light" w:eastAsia="Batang" w:hAnsi="Calibri Light" w:cs="Calibri Light"/>
          <w:sz w:val="22"/>
          <w:szCs w:val="22"/>
        </w:rPr>
        <w:t>dans</w:t>
      </w:r>
      <w:r>
        <w:rPr>
          <w:rFonts w:ascii="Calibri Light" w:eastAsia="Batang" w:hAnsi="Calibri Light" w:cs="Calibri Light"/>
          <w:i/>
          <w:iCs/>
          <w:sz w:val="22"/>
          <w:szCs w:val="22"/>
        </w:rPr>
        <w:t xml:space="preserve"> Recherches philosophiques africaines</w:t>
      </w:r>
      <w:r>
        <w:rPr>
          <w:rFonts w:ascii="Calibri Light" w:eastAsia="Batang" w:hAnsi="Calibri Light" w:cs="Calibri Light"/>
          <w:sz w:val="22"/>
          <w:szCs w:val="22"/>
        </w:rPr>
        <w:t xml:space="preserve"> n°2, Actes du 9</w:t>
      </w:r>
      <w:r>
        <w:rPr>
          <w:rFonts w:ascii="Calibri Light" w:eastAsia="Batang" w:hAnsi="Calibri Light" w:cs="Calibri Light"/>
          <w:sz w:val="22"/>
          <w:szCs w:val="22"/>
          <w:vertAlign w:val="superscript"/>
        </w:rPr>
        <w:t>e</w:t>
      </w:r>
      <w:r>
        <w:rPr>
          <w:rFonts w:ascii="Calibri Light" w:eastAsia="Batang" w:hAnsi="Calibri Light" w:cs="Calibri Light"/>
          <w:sz w:val="22"/>
          <w:szCs w:val="22"/>
        </w:rPr>
        <w:t xml:space="preserve"> séminaire de philosophie, Kinshasa, Facultés Catholiques de Kinshasa, 1996, p.23.</w:t>
      </w:r>
    </w:p>
  </w:footnote>
  <w:footnote w:id="31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p.27.</w:t>
      </w:r>
    </w:p>
  </w:footnote>
  <w:footnote w:id="314">
    <w:p w:rsidR="000A31A8" w:rsidRDefault="0065345B">
      <w:pPr>
        <w:pStyle w:val="Notedebasdepage"/>
        <w:ind w:right="-2" w:firstLine="708"/>
      </w:pPr>
      <w:r>
        <w:rPr>
          <w:rStyle w:val="Appelnotedebasdep"/>
          <w:rFonts w:ascii="Calibri Light" w:hAnsi="Calibri Light" w:cs="Calibri Light"/>
          <w:sz w:val="22"/>
          <w:szCs w:val="22"/>
        </w:rPr>
        <w:footnoteRef/>
      </w:r>
      <w:r>
        <w:rPr>
          <w:rFonts w:ascii="Calibri Light" w:hAnsi="Calibri Light" w:cs="Calibri Light"/>
          <w:sz w:val="22"/>
          <w:szCs w:val="22"/>
        </w:rPr>
        <w:t xml:space="preserve"> NGIMBI Nseka, </w:t>
      </w:r>
      <w:r>
        <w:rPr>
          <w:rFonts w:ascii="Calibri Light" w:hAnsi="Calibri Light" w:cs="Calibri Light"/>
          <w:i/>
          <w:iCs/>
          <w:sz w:val="22"/>
          <w:szCs w:val="22"/>
        </w:rPr>
        <w:t>o.c.,</w:t>
      </w:r>
      <w:r>
        <w:rPr>
          <w:rFonts w:ascii="Calibri Light" w:hAnsi="Calibri Light" w:cs="Calibri Light"/>
          <w:sz w:val="22"/>
          <w:szCs w:val="22"/>
        </w:rPr>
        <w:t xml:space="preserve"> pp.112-113.</w:t>
      </w:r>
    </w:p>
  </w:footnote>
  <w:footnote w:id="31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NGOMA BINDA, « Philosophie et pouvoir politique », dans</w:t>
      </w:r>
      <w:r>
        <w:rPr>
          <w:rFonts w:ascii="Calibri Light" w:eastAsia="Batang" w:hAnsi="Calibri Light" w:cs="Calibri Light"/>
          <w:i/>
          <w:iCs/>
          <w:sz w:val="22"/>
          <w:szCs w:val="22"/>
        </w:rPr>
        <w:t xml:space="preserve"> Recherches philosophiques africaines</w:t>
      </w:r>
      <w:r>
        <w:rPr>
          <w:rFonts w:ascii="Calibri Light" w:eastAsia="Batang" w:hAnsi="Calibri Light" w:cs="Calibri Light"/>
          <w:sz w:val="22"/>
          <w:szCs w:val="22"/>
        </w:rPr>
        <w:t xml:space="preserve"> n°2</w:t>
      </w:r>
      <w:r>
        <w:rPr>
          <w:rFonts w:ascii="Calibri Light" w:eastAsia="Batang" w:hAnsi="Calibri Light" w:cs="Calibri Light"/>
          <w:i/>
          <w:iCs/>
          <w:sz w:val="22"/>
          <w:szCs w:val="22"/>
        </w:rPr>
        <w:t>,</w:t>
      </w:r>
      <w:r>
        <w:rPr>
          <w:rFonts w:ascii="Calibri Light" w:eastAsia="Batang" w:hAnsi="Calibri Light" w:cs="Calibri Light"/>
          <w:sz w:val="22"/>
          <w:szCs w:val="22"/>
        </w:rPr>
        <w:t xml:space="preserve"> Actes du 9</w:t>
      </w:r>
      <w:r>
        <w:rPr>
          <w:rFonts w:ascii="Calibri Light" w:eastAsia="Batang" w:hAnsi="Calibri Light" w:cs="Calibri Light"/>
          <w:sz w:val="22"/>
          <w:szCs w:val="22"/>
          <w:vertAlign w:val="superscript"/>
        </w:rPr>
        <w:t>e</w:t>
      </w:r>
      <w:r>
        <w:rPr>
          <w:rFonts w:ascii="Calibri Light" w:eastAsia="Batang" w:hAnsi="Calibri Light" w:cs="Calibri Light"/>
          <w:sz w:val="22"/>
          <w:szCs w:val="22"/>
        </w:rPr>
        <w:t xml:space="preserve"> séminaire de philosophie, Kinshasa, Facultés Catholiques de Kinshasa, 1996, p.176.</w:t>
      </w:r>
    </w:p>
  </w:footnote>
  <w:footnote w:id="31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Par philosophie </w:t>
      </w:r>
      <w:r>
        <w:rPr>
          <w:rFonts w:ascii="Calibri Light" w:eastAsia="Batang" w:hAnsi="Calibri Light" w:cs="Calibri Light"/>
          <w:i/>
          <w:iCs/>
          <w:sz w:val="22"/>
          <w:szCs w:val="22"/>
        </w:rPr>
        <w:t>inflexionnelle,</w:t>
      </w:r>
      <w:r>
        <w:rPr>
          <w:rFonts w:ascii="Calibri Light" w:eastAsia="Batang" w:hAnsi="Calibri Light" w:cs="Calibri Light"/>
          <w:sz w:val="22"/>
          <w:szCs w:val="22"/>
        </w:rPr>
        <w:t xml:space="preserve"> Ngoma Binda désigne toute philosophie qui s’organise de manière à pouvoir infléchir le gouvernement de la vie sociale et politique vers de meilleures options et modalités d’effectuation de sorte qu’il produise les effets sociaux les meilleurs pour chacun des membres de la communauté.</w:t>
      </w:r>
    </w:p>
  </w:footnote>
  <w:footnote w:id="317">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 RICOEUR, </w:t>
      </w:r>
      <w:r>
        <w:rPr>
          <w:rFonts w:ascii="Calibri Light" w:eastAsia="Batang" w:hAnsi="Calibri Light" w:cs="Calibri Light"/>
          <w:i/>
          <w:iCs/>
          <w:sz w:val="22"/>
          <w:szCs w:val="22"/>
        </w:rPr>
        <w:t>Le juste 2,</w:t>
      </w:r>
      <w:r>
        <w:rPr>
          <w:rFonts w:ascii="Calibri Light" w:eastAsia="Batang" w:hAnsi="Calibri Light" w:cs="Calibri Light"/>
          <w:sz w:val="22"/>
          <w:szCs w:val="22"/>
        </w:rPr>
        <w:t xml:space="preserve"> Paris, Seuil, 1999, </w:t>
      </w:r>
      <w:r>
        <w:rPr>
          <w:rFonts w:ascii="Calibri Light" w:eastAsia="Batang" w:hAnsi="Calibri Light" w:cs="Calibri Light"/>
          <w:i/>
          <w:iCs/>
          <w:sz w:val="22"/>
          <w:szCs w:val="22"/>
        </w:rPr>
        <w:t>p.268.</w:t>
      </w:r>
    </w:p>
  </w:footnote>
  <w:footnote w:id="318">
    <w:p w:rsidR="000A31A8" w:rsidRDefault="0065345B">
      <w:pPr>
        <w:pStyle w:val="Notedebasdepage"/>
        <w:tabs>
          <w:tab w:val="left" w:pos="8080"/>
        </w:tabs>
        <w:ind w:right="-2" w:firstLine="709"/>
        <w:jc w:val="both"/>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Ibidem.</w:t>
      </w:r>
    </w:p>
  </w:footnote>
  <w:footnote w:id="31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E. KANT,</w:t>
      </w:r>
      <w:r>
        <w:rPr>
          <w:rFonts w:ascii="Calibri Light" w:eastAsia="Batang" w:hAnsi="Calibri Light" w:cs="Calibri Light"/>
          <w:i/>
          <w:iCs/>
          <w:sz w:val="22"/>
          <w:szCs w:val="22"/>
        </w:rPr>
        <w:t xml:space="preserve"> Fondements de la métaphysique des mœurs</w:t>
      </w:r>
      <w:r>
        <w:rPr>
          <w:rFonts w:ascii="Calibri Light" w:eastAsia="Batang" w:hAnsi="Calibri Light" w:cs="Calibri Light"/>
          <w:sz w:val="22"/>
          <w:szCs w:val="22"/>
        </w:rPr>
        <w:t>, Paris, J. Vrin, 1980, p.52. Le principe formel de ces maximes est donc celui-ci : « Agis de telle sorte que ta maxime puisse servir en même temps de loi universelle (à tous les êtres raisonnables) ». Un règne des fins n’est possible que par analogie avec un règne de la nature ; mais la possibilité de celui-là est toute entière fondée sur des maximes, c’est-à-dire sur des règles qu’on impose à soi-même, tandis que la possibilité de celui-ci ne l’est que sur des lois qui soumettent les causes efficientes à l’empire d’une nécessité extérieure (</w:t>
      </w:r>
      <w:r>
        <w:rPr>
          <w:rFonts w:ascii="Calibri Light" w:eastAsia="Batang" w:hAnsi="Calibri Light" w:cs="Calibri Light"/>
          <w:i/>
          <w:iCs/>
          <w:sz w:val="22"/>
          <w:szCs w:val="22"/>
        </w:rPr>
        <w:t>Ibidem.</w:t>
      </w:r>
      <w:r>
        <w:rPr>
          <w:rFonts w:ascii="Calibri Light" w:eastAsia="Batang" w:hAnsi="Calibri Light" w:cs="Calibri Light"/>
          <w:sz w:val="22"/>
          <w:szCs w:val="22"/>
        </w:rPr>
        <w:t>, p.75).</w:t>
      </w:r>
    </w:p>
  </w:footnote>
  <w:footnote w:id="32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 RICOEUR, </w:t>
      </w:r>
      <w:r>
        <w:rPr>
          <w:rFonts w:ascii="Calibri Light" w:eastAsia="Batang" w:hAnsi="Calibri Light" w:cs="Calibri Light"/>
          <w:i/>
          <w:iCs/>
          <w:sz w:val="22"/>
          <w:szCs w:val="22"/>
        </w:rPr>
        <w:t>o. c.</w:t>
      </w:r>
    </w:p>
  </w:footnote>
  <w:footnote w:id="32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Il y a, selon Ricœur, un mélange entre dimension communautaire et dimension universelle dans la définition   de la visée éthique comme vouloir vivre bien avec et pour les autres. (P. RICOEUR, </w:t>
      </w:r>
      <w:r>
        <w:rPr>
          <w:rFonts w:ascii="Calibri Light" w:eastAsia="Batang" w:hAnsi="Calibri Light" w:cs="Calibri Light"/>
          <w:i/>
          <w:iCs/>
          <w:sz w:val="22"/>
          <w:szCs w:val="22"/>
        </w:rPr>
        <w:t>o. c</w:t>
      </w:r>
      <w:r>
        <w:rPr>
          <w:rFonts w:ascii="Calibri Light" w:eastAsia="Batang" w:hAnsi="Calibri Light" w:cs="Calibri Light"/>
          <w:sz w:val="22"/>
          <w:szCs w:val="22"/>
        </w:rPr>
        <w:t>. p.269).</w:t>
      </w:r>
    </w:p>
  </w:footnote>
  <w:footnote w:id="322">
    <w:p w:rsidR="000A31A8" w:rsidRDefault="0065345B">
      <w:pPr>
        <w:pStyle w:val="Notedebasdepage"/>
        <w:tabs>
          <w:tab w:val="left" w:pos="8080"/>
        </w:tabs>
        <w:ind w:right="-2" w:firstLine="709"/>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rPr>
        <w:t xml:space="preserve"> Ibidem.</w:t>
      </w:r>
    </w:p>
  </w:footnote>
  <w:footnote w:id="32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Mobutu, par exemple, a carrément opté pour une Constitution unitariste, un seul parti national de rassemblement et d’intégration, un seul syndicat, affirmant que c’était le système le mieux adapté aux réalités de l’Afrique, à la mentalité et à la culture africaine. La plupart des dirigeants africains ont choisi cette voie. </w:t>
      </w:r>
    </w:p>
  </w:footnote>
  <w:footnote w:id="32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MBOLOKALA Imbuli, « Démocratie, culture et développement : cas de l’Afrique», dans </w:t>
      </w:r>
      <w:r>
        <w:rPr>
          <w:rFonts w:ascii="Calibri Light" w:eastAsia="Batang" w:hAnsi="Calibri Light" w:cs="Calibri Light"/>
          <w:i/>
          <w:iCs/>
          <w:sz w:val="22"/>
          <w:szCs w:val="22"/>
        </w:rPr>
        <w:t>Revue philosophique</w:t>
      </w:r>
      <w:r>
        <w:rPr>
          <w:rFonts w:ascii="Calibri Light" w:eastAsia="Batang" w:hAnsi="Calibri Light" w:cs="Calibri Light"/>
          <w:sz w:val="22"/>
          <w:szCs w:val="22"/>
        </w:rPr>
        <w:t xml:space="preserve"> </w:t>
      </w:r>
      <w:r>
        <w:rPr>
          <w:rFonts w:ascii="Calibri Light" w:eastAsia="Batang" w:hAnsi="Calibri Light" w:cs="Calibri Light"/>
          <w:i/>
          <w:iCs/>
          <w:sz w:val="22"/>
          <w:szCs w:val="22"/>
        </w:rPr>
        <w:t>de Kinshasa</w:t>
      </w:r>
      <w:r>
        <w:rPr>
          <w:rFonts w:ascii="Calibri Light" w:eastAsia="Batang" w:hAnsi="Calibri Light" w:cs="Calibri Light"/>
          <w:sz w:val="22"/>
          <w:szCs w:val="22"/>
        </w:rPr>
        <w:t>, vol VIII, n°14, Kinshasa, Facultés Catholiques de Kinshasa, 1994, p.84.</w:t>
      </w:r>
    </w:p>
  </w:footnote>
  <w:footnote w:id="325">
    <w:p w:rsidR="000A31A8" w:rsidRDefault="0065345B">
      <w:pPr>
        <w:pStyle w:val="Notedebasdepage"/>
        <w:ind w:right="-2" w:firstLine="708"/>
        <w:jc w:val="both"/>
      </w:pPr>
      <w:r>
        <w:rPr>
          <w:rStyle w:val="Appelnotedebasdep"/>
          <w:rFonts w:ascii="Calibri Light" w:hAnsi="Calibri Light" w:cs="Calibri Light"/>
          <w:sz w:val="22"/>
          <w:szCs w:val="22"/>
        </w:rPr>
        <w:footnoteRef/>
      </w:r>
      <w:r>
        <w:rPr>
          <w:rFonts w:ascii="Calibri Light" w:hAnsi="Calibri Light" w:cs="Calibri Light"/>
          <w:sz w:val="22"/>
          <w:szCs w:val="22"/>
        </w:rPr>
        <w:t xml:space="preserve"> Les partis politiques ne se développent au Congo Belge qu’en 1957 (sauf l’ABACO qui existait depuis 1950). C’est 1957 que le colonisateur organise pour la première fois des élections à Kinshasa, Lubumbashi et Likasi. Ce vote a été orienté tout simplement par des appartenances ethniques. </w:t>
      </w:r>
    </w:p>
  </w:footnote>
  <w:footnote w:id="326">
    <w:p w:rsidR="000A31A8" w:rsidRDefault="0065345B">
      <w:pPr>
        <w:pStyle w:val="Notedebasdepage"/>
        <w:ind w:firstLine="708"/>
        <w:jc w:val="both"/>
      </w:pPr>
      <w:r>
        <w:rPr>
          <w:rStyle w:val="Appelnotedebasdep"/>
          <w:rFonts w:ascii="Calibri Light" w:hAnsi="Calibri Light" w:cs="Calibri Light"/>
          <w:sz w:val="22"/>
          <w:szCs w:val="22"/>
        </w:rPr>
        <w:footnoteRef/>
      </w:r>
      <w:r>
        <w:rPr>
          <w:rFonts w:ascii="Calibri Light" w:hAnsi="Calibri Light" w:cs="Calibri Light"/>
          <w:sz w:val="22"/>
          <w:szCs w:val="22"/>
        </w:rPr>
        <w:t xml:space="preserve"> En voulant créer des partis politiques, on a  transformé les associations ethniques en partis politiques. En 1958, on a fusionné la multitude des partis en quatorze seulement qui devaient participer le 20 février 1960 à la Table Ronde de Bruxelles. Mulumbati Ngasha énumère ces quatorze partis. Il s’agissait notamment des partis suivants : le MNC (Mouvement National Congolais), le PNP (le Parti National du Progrès), Le CEREA (le Centre de Regroupement National Africain), le PSA (le Parti Solidaire Africain), la CONAKAT (la Confédération des Associations du Katanga), BALUBAKAT (l’Association des Baluba du Katanga), ABAKO (l’Alliance des Bakongo), UC (l’Union congolaise), ASSORECO ( l’association des ressortissants du Haut Congo), ABAZI (l’alliance des Bayanzi-Est de Baningville), ARP (l’alliance rurale progressiste), PP (le parti du peuple), FGC (la fédération générale du Congo) et le Cartel ( Cf. MULUMBATI Ngasha, </w:t>
      </w:r>
      <w:r>
        <w:rPr>
          <w:rFonts w:ascii="Calibri Light" w:hAnsi="Calibri Light" w:cs="Calibri Light"/>
          <w:i/>
          <w:iCs/>
          <w:sz w:val="22"/>
          <w:szCs w:val="22"/>
        </w:rPr>
        <w:t>Introduction à la science politique</w:t>
      </w:r>
      <w:r>
        <w:rPr>
          <w:rFonts w:ascii="Calibri Light" w:hAnsi="Calibri Light" w:cs="Calibri Light"/>
          <w:sz w:val="22"/>
          <w:szCs w:val="22"/>
        </w:rPr>
        <w:t>, Lubumbashi, 1977, pp.103-121.</w:t>
      </w:r>
    </w:p>
  </w:footnote>
  <w:footnote w:id="32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 WALZER, </w:t>
      </w:r>
      <w:r>
        <w:rPr>
          <w:rFonts w:ascii="Calibri Light" w:eastAsia="Batang" w:hAnsi="Calibri Light" w:cs="Calibri Light"/>
          <w:i/>
          <w:iCs/>
          <w:sz w:val="22"/>
          <w:szCs w:val="22"/>
        </w:rPr>
        <w:t>Pluralisme et démocratie,</w:t>
      </w:r>
      <w:r>
        <w:rPr>
          <w:rFonts w:ascii="Calibri Light" w:eastAsia="Batang" w:hAnsi="Calibri Light" w:cs="Calibri Light"/>
          <w:sz w:val="22"/>
          <w:szCs w:val="22"/>
        </w:rPr>
        <w:t xml:space="preserve"> Paris, éd. Esprit, 1997, p.84.</w:t>
      </w:r>
    </w:p>
  </w:footnote>
  <w:footnote w:id="32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C’est ce que Walzer appelle la version de la « loi surplombante » de l’universalisme. Ainsi l’assertion « le Christ est mort pour vos péchés » peut être adressée à tout le monde. « Des peuples nombreux se mettront en marche et diront : « venez, montons à la montagne du Seigneur » (Isaïe, 2,3). Le Seigneur est unique…</w:t>
      </w:r>
    </w:p>
  </w:footnote>
  <w:footnote w:id="329">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330">
    <w:p w:rsidR="000A31A8" w:rsidRDefault="0065345B">
      <w:pPr>
        <w:pStyle w:val="Notedebasdepage"/>
        <w:tabs>
          <w:tab w:val="left" w:pos="8080"/>
        </w:tabs>
        <w:ind w:right="-2" w:firstLine="709"/>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Amos, 9,7. Cité par M. WALZER, </w:t>
      </w:r>
      <w:r>
        <w:rPr>
          <w:rFonts w:ascii="Calibri Light" w:eastAsia="Batang" w:hAnsi="Calibri Light" w:cs="Calibri Light"/>
          <w:i/>
          <w:iCs/>
          <w:sz w:val="22"/>
          <w:szCs w:val="22"/>
        </w:rPr>
        <w:t>o. c.</w:t>
      </w:r>
    </w:p>
  </w:footnote>
  <w:footnote w:id="33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MATUNGULU Otene, </w:t>
      </w:r>
      <w:r>
        <w:rPr>
          <w:rFonts w:ascii="Calibri Light" w:eastAsia="Batang" w:hAnsi="Calibri Light" w:cs="Calibri Light"/>
          <w:i/>
          <w:iCs/>
          <w:sz w:val="22"/>
          <w:szCs w:val="22"/>
        </w:rPr>
        <w:t>Etre avec : heurts et lueurs d’une communication</w:t>
      </w:r>
      <w:r>
        <w:rPr>
          <w:rFonts w:ascii="Calibri Light" w:eastAsia="Batang" w:hAnsi="Calibri Light" w:cs="Calibri Light"/>
          <w:sz w:val="22"/>
          <w:szCs w:val="22"/>
        </w:rPr>
        <w:t>, Lubumbashi, éd. Saint Paul Afrique, 1981, p.45.</w:t>
      </w:r>
    </w:p>
  </w:footnote>
  <w:footnote w:id="33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it-IT"/>
        </w:rPr>
        <w:t xml:space="preserve"> MUDIJI Malamba  Gilombe, </w:t>
      </w:r>
      <w:r>
        <w:rPr>
          <w:rFonts w:ascii="Calibri Light" w:eastAsia="Batang" w:hAnsi="Calibri Light" w:cs="Calibri Light"/>
          <w:i/>
          <w:iCs/>
          <w:sz w:val="22"/>
          <w:szCs w:val="22"/>
          <w:lang w:val="it-IT"/>
        </w:rPr>
        <w:t>o.c</w:t>
      </w:r>
      <w:r>
        <w:rPr>
          <w:rFonts w:ascii="Calibri Light" w:eastAsia="Batang" w:hAnsi="Calibri Light" w:cs="Calibri Light"/>
          <w:sz w:val="22"/>
          <w:szCs w:val="22"/>
          <w:lang w:val="it-IT"/>
        </w:rPr>
        <w:t> , p.162.</w:t>
      </w:r>
    </w:p>
  </w:footnote>
  <w:footnote w:id="33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ELONGO Lukulunga &amp; NKONGOLO Mpata, « Fondements communicationnels d’une démocratie authentique », dans </w:t>
      </w:r>
      <w:r>
        <w:rPr>
          <w:rFonts w:ascii="Calibri Light" w:eastAsia="Batang" w:hAnsi="Calibri Light" w:cs="Calibri Light"/>
          <w:i/>
          <w:iCs/>
          <w:sz w:val="22"/>
          <w:szCs w:val="22"/>
        </w:rPr>
        <w:t>Revue philosophique de Kinshasa</w:t>
      </w:r>
      <w:r>
        <w:rPr>
          <w:rFonts w:ascii="Calibri Light" w:eastAsia="Batang" w:hAnsi="Calibri Light" w:cs="Calibri Light"/>
          <w:sz w:val="22"/>
          <w:szCs w:val="22"/>
        </w:rPr>
        <w:t>, vol VIII, n°14, Kinshasa, Facultés Catholiques de Kinshasa, 1994, p.73.</w:t>
      </w:r>
    </w:p>
  </w:footnote>
  <w:footnote w:id="33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Ibidem,</w:t>
      </w:r>
      <w:r>
        <w:rPr>
          <w:rFonts w:ascii="Calibri Light" w:eastAsia="Batang" w:hAnsi="Calibri Light" w:cs="Calibri Light"/>
          <w:sz w:val="22"/>
          <w:szCs w:val="22"/>
          <w:lang w:val="de-DE"/>
        </w:rPr>
        <w:t xml:space="preserve"> p.10.</w:t>
      </w:r>
    </w:p>
  </w:footnote>
  <w:footnote w:id="33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BE"/>
        </w:rPr>
        <w:t xml:space="preserve"> </w:t>
      </w:r>
      <w:r>
        <w:rPr>
          <w:rFonts w:ascii="Calibri Light" w:eastAsia="Batang" w:hAnsi="Calibri Light" w:cs="Calibri Light"/>
          <w:i/>
          <w:iCs/>
          <w:sz w:val="22"/>
          <w:szCs w:val="22"/>
          <w:lang w:val="fr-BE"/>
        </w:rPr>
        <w:t>Ibidem</w:t>
      </w:r>
      <w:r>
        <w:rPr>
          <w:rFonts w:ascii="Calibri Light" w:eastAsia="Batang" w:hAnsi="Calibri Light" w:cs="Calibri Light"/>
          <w:sz w:val="22"/>
          <w:szCs w:val="22"/>
          <w:lang w:val="fr-BE"/>
        </w:rPr>
        <w:t>, p.38.</w:t>
      </w:r>
    </w:p>
  </w:footnote>
  <w:footnote w:id="33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L’idée de tolérance que Rawls exploite dans le cadre de la question pluraliste se retrouve aussi dans la culture africaine. Bidima donne une importance capitale à la tolérance.</w:t>
      </w:r>
    </w:p>
  </w:footnote>
  <w:footnote w:id="33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TSHOKOJI Mbumba, « Les libertés politiques : enjeux dialogiques du pouvoir en Afrique du 21è siècle », dans </w:t>
      </w:r>
      <w:r>
        <w:rPr>
          <w:rFonts w:ascii="Calibri Light" w:eastAsia="Batang" w:hAnsi="Calibri Light" w:cs="Calibri Light"/>
          <w:i/>
          <w:iCs/>
          <w:sz w:val="22"/>
          <w:szCs w:val="22"/>
        </w:rPr>
        <w:t>Pensée agissante</w:t>
      </w:r>
      <w:r>
        <w:rPr>
          <w:rFonts w:ascii="Calibri Light" w:eastAsia="Batang" w:hAnsi="Calibri Light" w:cs="Calibri Light"/>
          <w:sz w:val="22"/>
          <w:szCs w:val="22"/>
        </w:rPr>
        <w:t xml:space="preserve"> n°8, p.121.</w:t>
      </w:r>
    </w:p>
  </w:footnote>
  <w:footnote w:id="33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p>
  </w:footnote>
  <w:footnote w:id="33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R. DUMONT, </w:t>
      </w:r>
      <w:r>
        <w:rPr>
          <w:rFonts w:ascii="Calibri Light" w:eastAsia="Batang" w:hAnsi="Calibri Light" w:cs="Calibri Light"/>
          <w:i/>
          <w:iCs/>
          <w:sz w:val="22"/>
          <w:szCs w:val="22"/>
        </w:rPr>
        <w:t>Un monde intolérable</w:t>
      </w:r>
      <w:r>
        <w:rPr>
          <w:rFonts w:ascii="Calibri Light" w:eastAsia="Batang" w:hAnsi="Calibri Light" w:cs="Calibri Light"/>
          <w:sz w:val="22"/>
          <w:szCs w:val="22"/>
        </w:rPr>
        <w:t xml:space="preserve">. </w:t>
      </w:r>
      <w:r>
        <w:rPr>
          <w:rFonts w:ascii="Calibri Light" w:eastAsia="Batang" w:hAnsi="Calibri Light" w:cs="Calibri Light"/>
          <w:i/>
          <w:iCs/>
          <w:sz w:val="22"/>
          <w:szCs w:val="22"/>
        </w:rPr>
        <w:t>Le libéralisme en question</w:t>
      </w:r>
      <w:r>
        <w:rPr>
          <w:rFonts w:ascii="Calibri Light" w:eastAsia="Batang" w:hAnsi="Calibri Light" w:cs="Calibri Light"/>
          <w:sz w:val="22"/>
          <w:szCs w:val="22"/>
        </w:rPr>
        <w:t>, Paris, Seuil,  p.263.</w:t>
      </w:r>
    </w:p>
  </w:footnote>
  <w:footnote w:id="340">
    <w:p w:rsidR="000A31A8" w:rsidRDefault="0065345B">
      <w:pPr>
        <w:pStyle w:val="Notedebasdepage"/>
        <w:jc w:val="both"/>
      </w:pPr>
      <w:r>
        <w:rPr>
          <w:rStyle w:val="Appelnotedebasdep"/>
          <w:rFonts w:ascii="Calibri Light" w:hAnsi="Calibri Light" w:cs="Calibri Light"/>
          <w:sz w:val="22"/>
          <w:szCs w:val="22"/>
        </w:rPr>
        <w:footnoteRef/>
      </w:r>
      <w:r>
        <w:rPr>
          <w:rFonts w:ascii="Calibri Light" w:hAnsi="Calibri Light" w:cs="Calibri Light"/>
          <w:sz w:val="22"/>
          <w:szCs w:val="22"/>
        </w:rPr>
        <w:t xml:space="preserve"> Ces révolutions ont abouti d’ailleurs pour la plupart aux élections et à une accalmie relative.</w:t>
      </w:r>
    </w:p>
  </w:footnote>
  <w:footnote w:id="341">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it-IT"/>
        </w:rPr>
        <w:t xml:space="preserve"> MUDIJI Malamba Gilombe,</w:t>
      </w:r>
      <w:r>
        <w:rPr>
          <w:rFonts w:ascii="Calibri Light" w:eastAsia="Batang" w:hAnsi="Calibri Light" w:cs="Calibri Light"/>
          <w:i/>
          <w:iCs/>
          <w:sz w:val="22"/>
          <w:szCs w:val="22"/>
          <w:lang w:val="it-IT"/>
        </w:rPr>
        <w:t>o.c.,</w:t>
      </w:r>
      <w:r>
        <w:rPr>
          <w:rFonts w:ascii="Calibri Light" w:eastAsia="Batang" w:hAnsi="Calibri Light" w:cs="Calibri Light"/>
          <w:sz w:val="22"/>
          <w:szCs w:val="22"/>
          <w:lang w:val="it-IT"/>
        </w:rPr>
        <w:t xml:space="preserve"> p.157.</w:t>
      </w:r>
    </w:p>
  </w:footnote>
  <w:footnote w:id="342">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w:t>
      </w:r>
      <w:r>
        <w:rPr>
          <w:rFonts w:ascii="Calibri Light" w:eastAsia="Batang" w:hAnsi="Calibri Light" w:cs="Calibri Light"/>
          <w:i/>
          <w:iCs/>
          <w:sz w:val="22"/>
          <w:szCs w:val="22"/>
        </w:rPr>
        <w:t>Ibidem.</w:t>
      </w:r>
      <w:r>
        <w:rPr>
          <w:rFonts w:ascii="Calibri Light" w:eastAsia="Batang" w:hAnsi="Calibri Light" w:cs="Calibri Light"/>
          <w:sz w:val="22"/>
          <w:szCs w:val="22"/>
        </w:rPr>
        <w:t xml:space="preserve"> </w:t>
      </w:r>
    </w:p>
  </w:footnote>
  <w:footnote w:id="343">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E. WEIL, </w:t>
      </w:r>
      <w:r>
        <w:rPr>
          <w:rFonts w:ascii="Calibri Light" w:eastAsia="Batang" w:hAnsi="Calibri Light" w:cs="Calibri Light"/>
          <w:i/>
          <w:iCs/>
          <w:sz w:val="22"/>
          <w:szCs w:val="22"/>
        </w:rPr>
        <w:t>Philosophie politique</w:t>
      </w:r>
      <w:r>
        <w:rPr>
          <w:rFonts w:ascii="Calibri Light" w:eastAsia="Batang" w:hAnsi="Calibri Light" w:cs="Calibri Light"/>
          <w:sz w:val="22"/>
          <w:szCs w:val="22"/>
        </w:rPr>
        <w:t>, Paris, J. Vrin, 1994, p.8.</w:t>
      </w:r>
    </w:p>
  </w:footnote>
  <w:footnote w:id="344">
    <w:p w:rsidR="000A31A8" w:rsidRDefault="0065345B">
      <w:pPr>
        <w:pStyle w:val="Notedebasdepage"/>
        <w:tabs>
          <w:tab w:val="left" w:pos="8080"/>
        </w:tabs>
        <w:ind w:right="-2" w:firstLine="709"/>
        <w:jc w:val="both"/>
      </w:pPr>
      <w:r>
        <w:rPr>
          <w:rStyle w:val="Appelnotedebasdep"/>
          <w:rFonts w:ascii="Calibri Light" w:eastAsia="Batang" w:hAnsi="Calibri Light" w:cs="Calibri Light"/>
          <w:i/>
          <w:iCs/>
          <w:sz w:val="22"/>
          <w:szCs w:val="22"/>
        </w:rPr>
        <w:footnoteRef/>
      </w:r>
      <w:r>
        <w:rPr>
          <w:rFonts w:ascii="Calibri Light" w:eastAsia="Batang" w:hAnsi="Calibri Light" w:cs="Calibri Light"/>
          <w:i/>
          <w:iCs/>
          <w:sz w:val="22"/>
          <w:szCs w:val="22"/>
          <w:lang w:val="de-DE"/>
        </w:rPr>
        <w:t xml:space="preserve"> Ibidem</w:t>
      </w:r>
      <w:r>
        <w:rPr>
          <w:rFonts w:ascii="Calibri Light" w:eastAsia="Batang" w:hAnsi="Calibri Light" w:cs="Calibri Light"/>
          <w:sz w:val="22"/>
          <w:szCs w:val="22"/>
          <w:lang w:val="de-DE"/>
        </w:rPr>
        <w:t>, p. 11.</w:t>
      </w:r>
    </w:p>
  </w:footnote>
  <w:footnote w:id="345">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de-DE"/>
        </w:rPr>
        <w:t xml:space="preserve"> </w:t>
      </w:r>
      <w:r>
        <w:rPr>
          <w:rFonts w:ascii="Calibri Light" w:eastAsia="Batang" w:hAnsi="Calibri Light" w:cs="Calibri Light"/>
          <w:i/>
          <w:iCs/>
          <w:sz w:val="22"/>
          <w:szCs w:val="22"/>
          <w:lang w:val="de-DE"/>
        </w:rPr>
        <w:t xml:space="preserve"> Ibidem.</w:t>
      </w:r>
    </w:p>
  </w:footnote>
  <w:footnote w:id="346">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Pour Derrida lu par Mfouakouet, en parlant de témoignage et d’écriture, le témoin aura beau être intérieur, son témoignage impliquera toujours un « nous » dont la signification est d’être d’intelligence avec l’autre (Cf. L. MFOUAKOUET, </w:t>
      </w:r>
      <w:r>
        <w:rPr>
          <w:rFonts w:ascii="Calibri Light" w:eastAsia="Batang" w:hAnsi="Calibri Light" w:cs="Calibri Light"/>
          <w:i/>
          <w:iCs/>
          <w:sz w:val="22"/>
          <w:szCs w:val="22"/>
        </w:rPr>
        <w:t>Jacques Derrida, entre la question de l’écriture et l’appel de la voix</w:t>
      </w:r>
      <w:r>
        <w:rPr>
          <w:rFonts w:ascii="Calibri Light" w:eastAsia="Batang" w:hAnsi="Calibri Light" w:cs="Calibri Light"/>
          <w:sz w:val="22"/>
          <w:szCs w:val="22"/>
        </w:rPr>
        <w:t>, Rome, Pontificia Universitas Gregoriana, 2002, p.107). L’Autre ici, c’est Dieu ou n’importe qui, une singularité quelconque puisque tout autre est tout autre (</w:t>
      </w:r>
      <w:r>
        <w:rPr>
          <w:rFonts w:ascii="Calibri Light" w:eastAsia="Batang" w:hAnsi="Calibri Light" w:cs="Calibri Light"/>
          <w:i/>
          <w:iCs/>
          <w:sz w:val="22"/>
          <w:szCs w:val="22"/>
        </w:rPr>
        <w:t>Ibidem</w:t>
      </w:r>
      <w:r>
        <w:rPr>
          <w:rFonts w:ascii="Calibri Light" w:eastAsia="Batang" w:hAnsi="Calibri Light" w:cs="Calibri Light"/>
          <w:sz w:val="22"/>
          <w:szCs w:val="22"/>
        </w:rPr>
        <w:t>, p.108).</w:t>
      </w:r>
    </w:p>
  </w:footnote>
  <w:footnote w:id="347">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La </w:t>
      </w:r>
      <w:r>
        <w:rPr>
          <w:rFonts w:ascii="Calibri Light" w:eastAsia="Batang" w:hAnsi="Calibri Light" w:cs="Calibri Light"/>
          <w:i/>
          <w:iCs/>
          <w:sz w:val="22"/>
          <w:szCs w:val="22"/>
        </w:rPr>
        <w:t>bisoïté</w:t>
      </w:r>
      <w:r>
        <w:rPr>
          <w:rFonts w:ascii="Calibri Light" w:eastAsia="Batang" w:hAnsi="Calibri Light" w:cs="Calibri Light"/>
          <w:sz w:val="22"/>
          <w:szCs w:val="22"/>
        </w:rPr>
        <w:t xml:space="preserve"> (Tshiamalenga Ntumba) est formée de « biso », du lingala, « nous » en français, et la désinence française « ité » marque le degré d’abstraction. </w:t>
      </w:r>
    </w:p>
  </w:footnote>
  <w:footnote w:id="348">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TSHIAMALENGA Ntumba, « La complémentarité radicale du politique et du religieux, approche bisoïste</w:t>
      </w:r>
      <w:r>
        <w:rPr>
          <w:rFonts w:ascii="Calibri Light" w:eastAsia="Batang" w:hAnsi="Calibri Light" w:cs="Calibri Light"/>
          <w:i/>
          <w:iCs/>
          <w:sz w:val="22"/>
          <w:szCs w:val="22"/>
        </w:rPr>
        <w:t>»</w:t>
      </w:r>
      <w:r>
        <w:rPr>
          <w:rFonts w:ascii="Calibri Light" w:eastAsia="Batang" w:hAnsi="Calibri Light" w:cs="Calibri Light"/>
          <w:sz w:val="22"/>
          <w:szCs w:val="22"/>
        </w:rPr>
        <w:t xml:space="preserve">, dans </w:t>
      </w:r>
      <w:r>
        <w:rPr>
          <w:rFonts w:ascii="Calibri Light" w:eastAsia="Batang" w:hAnsi="Calibri Light" w:cs="Calibri Light"/>
          <w:i/>
          <w:iCs/>
          <w:sz w:val="22"/>
          <w:szCs w:val="22"/>
        </w:rPr>
        <w:t>Cahiers des religions africaines</w:t>
      </w:r>
      <w:r>
        <w:rPr>
          <w:rFonts w:ascii="Calibri Light" w:eastAsia="Batang" w:hAnsi="Calibri Light" w:cs="Calibri Light"/>
          <w:sz w:val="22"/>
          <w:szCs w:val="22"/>
        </w:rPr>
        <w:t>, vol.31, n°61-62, 1997, p.49.</w:t>
      </w:r>
    </w:p>
  </w:footnote>
  <w:footnote w:id="349">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Cf. TSHIAMALENGA Ntumba, « Langage et socialité, primat de la bisoïté sur l’intersubjectivité », dans </w:t>
      </w:r>
      <w:r>
        <w:rPr>
          <w:rFonts w:ascii="Calibri Light" w:eastAsia="Batang" w:hAnsi="Calibri Light" w:cs="Calibri Light"/>
          <w:i/>
          <w:iCs/>
          <w:sz w:val="22"/>
          <w:szCs w:val="22"/>
        </w:rPr>
        <w:t>Philosophie africaine et ordre social</w:t>
      </w:r>
      <w:r>
        <w:rPr>
          <w:rFonts w:ascii="Calibri Light" w:eastAsia="Batang" w:hAnsi="Calibri Light" w:cs="Calibri Light"/>
          <w:sz w:val="22"/>
          <w:szCs w:val="22"/>
        </w:rPr>
        <w:t>, 1985, p.74.</w:t>
      </w:r>
    </w:p>
  </w:footnote>
  <w:footnote w:id="350">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Nous avons préféré « restriction » à « réduction » utilisée par Levinas dans sa critique de Heidegger. Levinas estime que Heidegger ne s’est pas montré bon élève de Husserl ; il a même trahi la leçon phénoménologique pour tomber dans l’abstraction, dans la neutralité ontologique. Levinas, quant à lui,  revendique avec insistance sa fidélité à la philosophie de Husserl (Cf. S. PETROSINO, </w:t>
      </w:r>
      <w:r>
        <w:rPr>
          <w:rFonts w:ascii="Calibri Light" w:eastAsia="Batang" w:hAnsi="Calibri Light" w:cs="Calibri Light"/>
          <w:i/>
          <w:iCs/>
          <w:sz w:val="22"/>
          <w:szCs w:val="22"/>
        </w:rPr>
        <w:t>L’idée de vérité</w:t>
      </w:r>
      <w:r>
        <w:rPr>
          <w:rFonts w:ascii="Calibri Light" w:eastAsia="Batang" w:hAnsi="Calibri Light" w:cs="Calibri Light"/>
          <w:sz w:val="22"/>
          <w:szCs w:val="22"/>
        </w:rPr>
        <w:t xml:space="preserve">, dans  J. GREISCH &amp; Jacques ROLLAND(Dir.), </w:t>
      </w:r>
      <w:r>
        <w:rPr>
          <w:rFonts w:ascii="Calibri Light" w:eastAsia="Batang" w:hAnsi="Calibri Light" w:cs="Calibri Light"/>
          <w:i/>
          <w:iCs/>
          <w:sz w:val="22"/>
          <w:szCs w:val="22"/>
        </w:rPr>
        <w:t>Emmanuel Levinas</w:t>
      </w:r>
      <w:r>
        <w:rPr>
          <w:rFonts w:ascii="Calibri Light" w:eastAsia="Batang" w:hAnsi="Calibri Light" w:cs="Calibri Light"/>
          <w:sz w:val="22"/>
          <w:szCs w:val="22"/>
        </w:rPr>
        <w:t>, Colloque de Cerisy-la-Salle, Paris, Les éditions du Cerf, 1993, p.117.)</w:t>
      </w:r>
    </w:p>
  </w:footnote>
  <w:footnote w:id="351">
    <w:p w:rsidR="000A31A8" w:rsidRDefault="0065345B">
      <w:pPr>
        <w:pStyle w:val="Notedebasdepage"/>
        <w:ind w:firstLine="708"/>
      </w:pPr>
      <w:r>
        <w:rPr>
          <w:rStyle w:val="Appelnotedebasdep"/>
          <w:rFonts w:ascii="Calibri Light" w:hAnsi="Calibri Light" w:cs="Calibri Light"/>
          <w:sz w:val="22"/>
          <w:szCs w:val="22"/>
        </w:rPr>
        <w:footnoteRef/>
      </w:r>
      <w:r>
        <w:rPr>
          <w:rFonts w:ascii="Calibri Light" w:hAnsi="Calibri Light" w:cs="Calibri Light"/>
          <w:sz w:val="22"/>
          <w:szCs w:val="22"/>
        </w:rPr>
        <w:t xml:space="preserve"> J.-B. GRIZE, « Historique, logique des classes et des propositions », dans J. PIAGET (Dir.), Logique et connaissance scientifique (collection Encyclopédie de la Pléiade) pp.154-155.</w:t>
      </w:r>
    </w:p>
  </w:footnote>
  <w:footnote w:id="352">
    <w:p w:rsidR="000A31A8" w:rsidRDefault="0065345B">
      <w:pPr>
        <w:pStyle w:val="Notedebasdepage"/>
        <w:ind w:right="-2" w:firstLine="708"/>
        <w:jc w:val="both"/>
      </w:pPr>
      <w:r>
        <w:rPr>
          <w:rStyle w:val="Appelnotedebasdep"/>
          <w:rFonts w:ascii="Calibri Light" w:hAnsi="Calibri Light" w:cs="Calibri Light"/>
          <w:sz w:val="22"/>
          <w:szCs w:val="22"/>
        </w:rPr>
        <w:footnoteRef/>
      </w:r>
      <w:r>
        <w:rPr>
          <w:rFonts w:ascii="Calibri Light" w:hAnsi="Calibri Light" w:cs="Calibri Light"/>
          <w:sz w:val="22"/>
          <w:szCs w:val="22"/>
        </w:rPr>
        <w:t xml:space="preserve"> NGIMBI Nseka, </w:t>
      </w:r>
      <w:r>
        <w:rPr>
          <w:rFonts w:ascii="Calibri Light" w:hAnsi="Calibri Light" w:cs="Calibri Light"/>
          <w:i/>
          <w:iCs/>
          <w:sz w:val="22"/>
          <w:szCs w:val="22"/>
        </w:rPr>
        <w:t>Ethique et intersubjectivité. Essai sur les fondements philosophiques de la vie en société</w:t>
      </w:r>
      <w:r>
        <w:rPr>
          <w:rFonts w:ascii="Calibri Light" w:hAnsi="Calibri Light" w:cs="Calibri Light"/>
          <w:sz w:val="22"/>
          <w:szCs w:val="22"/>
        </w:rPr>
        <w:t>, Kinshasa, Facultés Catholiques de Kinshasa, 2002, p.65.</w:t>
      </w:r>
    </w:p>
  </w:footnote>
  <w:footnote w:id="353">
    <w:p w:rsidR="000A31A8" w:rsidRDefault="0065345B">
      <w:pPr>
        <w:pStyle w:val="Notedebasdepage"/>
        <w:ind w:right="-2" w:firstLine="708"/>
        <w:jc w:val="both"/>
      </w:pPr>
      <w:r>
        <w:rPr>
          <w:rStyle w:val="Appelnotedebasdep"/>
          <w:rFonts w:ascii="Calibri Light" w:hAnsi="Calibri Light" w:cs="Calibri Light"/>
          <w:sz w:val="22"/>
          <w:szCs w:val="22"/>
        </w:rPr>
        <w:footnoteRef/>
      </w:r>
      <w:r>
        <w:rPr>
          <w:rFonts w:ascii="Calibri Light" w:hAnsi="Calibri Light" w:cs="Calibri Light"/>
          <w:sz w:val="22"/>
          <w:szCs w:val="22"/>
        </w:rPr>
        <w:t xml:space="preserve"> NGOMA-Binda P., La participation politique. </w:t>
      </w:r>
      <w:r>
        <w:rPr>
          <w:rFonts w:ascii="Calibri Light" w:hAnsi="Calibri Light" w:cs="Calibri Light"/>
          <w:i/>
          <w:iCs/>
          <w:sz w:val="22"/>
          <w:szCs w:val="22"/>
        </w:rPr>
        <w:t>Eléments de formation civique et politique</w:t>
      </w:r>
      <w:r>
        <w:rPr>
          <w:rFonts w:ascii="Calibri Light" w:hAnsi="Calibri Light" w:cs="Calibri Light"/>
          <w:sz w:val="22"/>
          <w:szCs w:val="22"/>
        </w:rPr>
        <w:t>, Kinshasa, IFEP et FKA, 1995, p.21.</w:t>
      </w:r>
    </w:p>
  </w:footnote>
  <w:footnote w:id="354">
    <w:p w:rsidR="000A31A8" w:rsidRDefault="0065345B">
      <w:pPr>
        <w:pStyle w:val="Notedebasdepage"/>
        <w:tabs>
          <w:tab w:val="left" w:pos="8080"/>
        </w:tabs>
        <w:ind w:right="-2" w:firstLine="709"/>
        <w:jc w:val="both"/>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rPr>
        <w:t xml:space="preserve"> La tendance de revenir au langage ordinaire qui est un effort caractéristique d’un des courants de la philosophie analytique (la philosophie du langage ordinaire). Sa tâche est d’une part d’évacuer du langage le non-sens et d’autre part, de prévenir et de guérir le langage de certaines imperfections dans son usage naturel. Cette idée fondamentale de l’</w:t>
      </w:r>
      <w:r>
        <w:rPr>
          <w:rFonts w:ascii="Calibri Light" w:eastAsia="Batang" w:hAnsi="Calibri Light" w:cs="Calibri Light"/>
          <w:i/>
          <w:iCs/>
          <w:sz w:val="22"/>
          <w:szCs w:val="22"/>
        </w:rPr>
        <w:t>Aufklärung</w:t>
      </w:r>
      <w:r>
        <w:rPr>
          <w:rFonts w:ascii="Calibri Light" w:eastAsia="Batang" w:hAnsi="Calibri Light" w:cs="Calibri Light"/>
          <w:sz w:val="22"/>
          <w:szCs w:val="22"/>
        </w:rPr>
        <w:t>, de considérer comme entièrement vraie dans les grandes lignes la conception du monde qu’offre le sens commun, c’est avant tout à Moore qu’on doit (</w:t>
      </w:r>
      <w:r>
        <w:rPr>
          <w:rFonts w:ascii="Calibri Light" w:eastAsia="Batang" w:hAnsi="Calibri Light" w:cs="Calibri Light"/>
          <w:i/>
          <w:iCs/>
          <w:sz w:val="22"/>
          <w:szCs w:val="22"/>
        </w:rPr>
        <w:t>Defense of common Sense</w:t>
      </w:r>
      <w:r>
        <w:rPr>
          <w:rFonts w:ascii="Calibri Light" w:eastAsia="Batang" w:hAnsi="Calibri Light" w:cs="Calibri Light"/>
          <w:sz w:val="22"/>
          <w:szCs w:val="22"/>
        </w:rPr>
        <w:t xml:space="preserve">). Le retour au sens commun fait également surface dans l’épistémologie de Husserl que celui-ci pose en termes de sens à insérer dans l’histoire des sciences particulières et dans l’histoire en général. Il s’agit de la question de l’unité même au sein de la science à partir d’une configuration sémantique. D’où l’insistance de Husserl sur l’inséparabilité des évidences scientifiques d’avec les connaissances culturelles, traditionnelles (du sens commun). C’est le rôle essentiel reconnu à la </w:t>
      </w:r>
      <w:r>
        <w:rPr>
          <w:rFonts w:ascii="Calibri Light" w:eastAsia="Batang" w:hAnsi="Calibri Light" w:cs="Calibri Light"/>
          <w:i/>
          <w:iCs/>
          <w:sz w:val="22"/>
          <w:szCs w:val="22"/>
        </w:rPr>
        <w:t>lebenswelt</w:t>
      </w:r>
      <w:r>
        <w:rPr>
          <w:rFonts w:ascii="Calibri Light" w:eastAsia="Batang" w:hAnsi="Calibri Light" w:cs="Calibri Light"/>
          <w:sz w:val="22"/>
          <w:szCs w:val="22"/>
        </w:rPr>
        <w:t xml:space="preserve">, aussi bien dans </w:t>
      </w:r>
      <w:r>
        <w:rPr>
          <w:rFonts w:ascii="Calibri Light" w:eastAsia="Batang" w:hAnsi="Calibri Light" w:cs="Calibri Light"/>
          <w:i/>
          <w:iCs/>
          <w:sz w:val="22"/>
          <w:szCs w:val="22"/>
        </w:rPr>
        <w:t>Krisis</w:t>
      </w:r>
      <w:r>
        <w:rPr>
          <w:rFonts w:ascii="Calibri Light" w:eastAsia="Batang" w:hAnsi="Calibri Light" w:cs="Calibri Light"/>
          <w:sz w:val="22"/>
          <w:szCs w:val="22"/>
        </w:rPr>
        <w:t xml:space="preserve"> que dans </w:t>
      </w:r>
      <w:r>
        <w:rPr>
          <w:rFonts w:ascii="Calibri Light" w:eastAsia="Batang" w:hAnsi="Calibri Light" w:cs="Calibri Light"/>
          <w:i/>
          <w:iCs/>
          <w:sz w:val="22"/>
          <w:szCs w:val="22"/>
        </w:rPr>
        <w:t xml:space="preserve">l’Origine de la géométrie </w:t>
      </w:r>
      <w:r>
        <w:rPr>
          <w:rFonts w:ascii="Calibri Light" w:eastAsia="Batang" w:hAnsi="Calibri Light" w:cs="Calibri Light"/>
          <w:sz w:val="22"/>
          <w:szCs w:val="22"/>
        </w:rPr>
        <w:t xml:space="preserve">et dans </w:t>
      </w:r>
      <w:r>
        <w:rPr>
          <w:rFonts w:ascii="Calibri Light" w:eastAsia="Batang" w:hAnsi="Calibri Light" w:cs="Calibri Light"/>
          <w:i/>
          <w:iCs/>
          <w:sz w:val="22"/>
          <w:szCs w:val="22"/>
        </w:rPr>
        <w:t>Expérience et jugement</w:t>
      </w:r>
      <w:r>
        <w:rPr>
          <w:rFonts w:ascii="Calibri Light" w:eastAsia="Batang" w:hAnsi="Calibri Light" w:cs="Calibri Light"/>
          <w:sz w:val="22"/>
          <w:szCs w:val="22"/>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1A8" w:rsidRDefault="0065345B">
    <w:pPr>
      <w:pStyle w:val="En-tte"/>
      <w:jc w:val="center"/>
      <w:rPr>
        <w:rFonts w:ascii="Calibri" w:hAnsi="Calibri" w:cs="Calibri"/>
        <w:sz w:val="24"/>
        <w:szCs w:val="24"/>
      </w:rPr>
    </w:pPr>
    <w:r>
      <w:rPr>
        <w:rFonts w:ascii="Calibri" w:hAnsi="Calibri" w:cs="Calibri"/>
        <w:sz w:val="24"/>
        <w:szCs w:val="24"/>
      </w:rPr>
      <w:fldChar w:fldCharType="begin"/>
    </w:r>
    <w:r>
      <w:rPr>
        <w:rFonts w:ascii="Calibri" w:hAnsi="Calibri" w:cs="Calibri"/>
        <w:sz w:val="24"/>
        <w:szCs w:val="24"/>
      </w:rPr>
      <w:instrText>PAGE   \* MERGEFORMAT</w:instrText>
    </w:r>
    <w:r>
      <w:rPr>
        <w:rFonts w:ascii="Calibri" w:hAnsi="Calibri" w:cs="Calibri"/>
        <w:sz w:val="24"/>
        <w:szCs w:val="24"/>
      </w:rPr>
      <w:fldChar w:fldCharType="separate"/>
    </w:r>
    <w:r w:rsidR="00C727A7">
      <w:rPr>
        <w:rFonts w:ascii="Calibri" w:hAnsi="Calibri" w:cs="Calibri"/>
        <w:noProof/>
        <w:sz w:val="24"/>
        <w:szCs w:val="24"/>
      </w:rPr>
      <w:t>1</w:t>
    </w:r>
    <w:r>
      <w:rPr>
        <w:rFonts w:ascii="Calibri" w:hAnsi="Calibri" w:cs="Calibri"/>
        <w:sz w:val="24"/>
        <w:szCs w:val="24"/>
      </w:rPr>
      <w:fldChar w:fldCharType="end"/>
    </w:r>
  </w:p>
  <w:p w:rsidR="000A31A8" w:rsidRDefault="000A31A8">
    <w:pPr>
      <w:pStyle w:val="En-tte"/>
      <w:ind w:right="36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6E4E5D2"/>
    <w:lvl w:ilvl="0">
      <w:start w:val="1"/>
      <w:numFmt w:val="upperRoman"/>
      <w:lvlText w:val="%1."/>
      <w:lvlJc w:val="right"/>
      <w:pPr>
        <w:tabs>
          <w:tab w:val="left" w:pos="910"/>
        </w:tabs>
        <w:ind w:left="910" w:hanging="180"/>
      </w:pPr>
      <w:rPr>
        <w:rFonts w:cs="Times New Roman"/>
      </w:rPr>
    </w:lvl>
    <w:lvl w:ilvl="1">
      <w:start w:val="1"/>
      <w:numFmt w:val="lowerLetter"/>
      <w:lvlText w:val="%2."/>
      <w:lvlJc w:val="left"/>
      <w:pPr>
        <w:tabs>
          <w:tab w:val="left" w:pos="1630"/>
        </w:tabs>
        <w:ind w:left="1630" w:hanging="360"/>
      </w:pPr>
      <w:rPr>
        <w:rFonts w:cs="Times New Roman"/>
      </w:rPr>
    </w:lvl>
    <w:lvl w:ilvl="2">
      <w:start w:val="1"/>
      <w:numFmt w:val="lowerRoman"/>
      <w:lvlText w:val="%3."/>
      <w:lvlJc w:val="right"/>
      <w:pPr>
        <w:tabs>
          <w:tab w:val="left" w:pos="2350"/>
        </w:tabs>
        <w:ind w:left="2350" w:hanging="180"/>
      </w:pPr>
      <w:rPr>
        <w:rFonts w:cs="Times New Roman"/>
      </w:rPr>
    </w:lvl>
    <w:lvl w:ilvl="3">
      <w:start w:val="1"/>
      <w:numFmt w:val="decimal"/>
      <w:lvlText w:val="%4."/>
      <w:lvlJc w:val="left"/>
      <w:pPr>
        <w:tabs>
          <w:tab w:val="left" w:pos="3070"/>
        </w:tabs>
        <w:ind w:left="3070" w:hanging="360"/>
      </w:pPr>
      <w:rPr>
        <w:rFonts w:cs="Times New Roman"/>
      </w:rPr>
    </w:lvl>
    <w:lvl w:ilvl="4">
      <w:start w:val="1"/>
      <w:numFmt w:val="lowerLetter"/>
      <w:lvlText w:val="%5."/>
      <w:lvlJc w:val="left"/>
      <w:pPr>
        <w:tabs>
          <w:tab w:val="left" w:pos="3790"/>
        </w:tabs>
        <w:ind w:left="3790" w:hanging="360"/>
      </w:pPr>
      <w:rPr>
        <w:rFonts w:cs="Times New Roman"/>
      </w:rPr>
    </w:lvl>
    <w:lvl w:ilvl="5">
      <w:start w:val="1"/>
      <w:numFmt w:val="lowerRoman"/>
      <w:lvlText w:val="%6."/>
      <w:lvlJc w:val="right"/>
      <w:pPr>
        <w:tabs>
          <w:tab w:val="left" w:pos="4510"/>
        </w:tabs>
        <w:ind w:left="4510" w:hanging="180"/>
      </w:pPr>
      <w:rPr>
        <w:rFonts w:cs="Times New Roman"/>
      </w:rPr>
    </w:lvl>
    <w:lvl w:ilvl="6">
      <w:start w:val="1"/>
      <w:numFmt w:val="decimal"/>
      <w:lvlText w:val="%7."/>
      <w:lvlJc w:val="left"/>
      <w:pPr>
        <w:tabs>
          <w:tab w:val="left" w:pos="5230"/>
        </w:tabs>
        <w:ind w:left="5230" w:hanging="360"/>
      </w:pPr>
      <w:rPr>
        <w:rFonts w:cs="Times New Roman"/>
      </w:rPr>
    </w:lvl>
    <w:lvl w:ilvl="7">
      <w:start w:val="1"/>
      <w:numFmt w:val="lowerLetter"/>
      <w:lvlText w:val="%8."/>
      <w:lvlJc w:val="left"/>
      <w:pPr>
        <w:tabs>
          <w:tab w:val="left" w:pos="5950"/>
        </w:tabs>
        <w:ind w:left="5950" w:hanging="360"/>
      </w:pPr>
      <w:rPr>
        <w:rFonts w:cs="Times New Roman"/>
      </w:rPr>
    </w:lvl>
    <w:lvl w:ilvl="8">
      <w:start w:val="1"/>
      <w:numFmt w:val="lowerRoman"/>
      <w:lvlText w:val="%9."/>
      <w:lvlJc w:val="right"/>
      <w:pPr>
        <w:tabs>
          <w:tab w:val="left" w:pos="6670"/>
        </w:tabs>
        <w:ind w:left="6670" w:hanging="180"/>
      </w:pPr>
      <w:rPr>
        <w:rFonts w:cs="Times New Roman"/>
      </w:rPr>
    </w:lvl>
  </w:abstractNum>
  <w:abstractNum w:abstractNumId="1" w15:restartNumberingAfterBreak="0">
    <w:nsid w:val="00000002"/>
    <w:multiLevelType w:val="singleLevel"/>
    <w:tmpl w:val="F2FEA4D2"/>
    <w:lvl w:ilvl="0">
      <w:start w:val="1"/>
      <w:numFmt w:val="upperLetter"/>
      <w:pStyle w:val="Titre7"/>
      <w:lvlText w:val="%1."/>
      <w:lvlJc w:val="left"/>
      <w:pPr>
        <w:tabs>
          <w:tab w:val="left" w:pos="360"/>
        </w:tabs>
        <w:ind w:left="360" w:hanging="360"/>
      </w:pPr>
      <w:rPr>
        <w:rFonts w:cs="Times New Roman" w:hint="default"/>
      </w:rPr>
    </w:lvl>
  </w:abstractNum>
  <w:abstractNum w:abstractNumId="2" w15:restartNumberingAfterBreak="0">
    <w:nsid w:val="00000003"/>
    <w:multiLevelType w:val="multilevel"/>
    <w:tmpl w:val="F9ACC2E6"/>
    <w:lvl w:ilvl="0">
      <w:start w:val="1"/>
      <w:numFmt w:val="decimal"/>
      <w:lvlText w:val="%1."/>
      <w:lvlJc w:val="left"/>
      <w:pPr>
        <w:tabs>
          <w:tab w:val="left" w:pos="555"/>
        </w:tabs>
        <w:ind w:left="555" w:hanging="555"/>
      </w:pPr>
      <w:rPr>
        <w:rFonts w:cs="Times New Roman" w:hint="default"/>
      </w:rPr>
    </w:lvl>
    <w:lvl w:ilvl="1">
      <w:start w:val="1"/>
      <w:numFmt w:val="decimal"/>
      <w:lvlText w:val="%1.%2."/>
      <w:lvlJc w:val="left"/>
      <w:pPr>
        <w:tabs>
          <w:tab w:val="left" w:pos="1080"/>
        </w:tabs>
        <w:ind w:left="1080" w:hanging="720"/>
      </w:pPr>
      <w:rPr>
        <w:rFonts w:cs="Times New Roman" w:hint="default"/>
      </w:rPr>
    </w:lvl>
    <w:lvl w:ilvl="2">
      <w:start w:val="1"/>
      <w:numFmt w:val="decimal"/>
      <w:lvlText w:val="%1.%2.%3."/>
      <w:lvlJc w:val="left"/>
      <w:pPr>
        <w:tabs>
          <w:tab w:val="left" w:pos="1440"/>
        </w:tabs>
        <w:ind w:left="1440" w:hanging="720"/>
      </w:pPr>
      <w:rPr>
        <w:rFonts w:cs="Times New Roman" w:hint="default"/>
      </w:rPr>
    </w:lvl>
    <w:lvl w:ilvl="3">
      <w:start w:val="1"/>
      <w:numFmt w:val="decimal"/>
      <w:lvlText w:val="%1.%2.%3.%4."/>
      <w:lvlJc w:val="left"/>
      <w:pPr>
        <w:tabs>
          <w:tab w:val="left" w:pos="2160"/>
        </w:tabs>
        <w:ind w:left="2160" w:hanging="1080"/>
      </w:pPr>
      <w:rPr>
        <w:rFonts w:cs="Times New Roman" w:hint="default"/>
      </w:rPr>
    </w:lvl>
    <w:lvl w:ilvl="4">
      <w:start w:val="1"/>
      <w:numFmt w:val="decimal"/>
      <w:lvlText w:val="%1.%2.%3.%4.%5."/>
      <w:lvlJc w:val="left"/>
      <w:pPr>
        <w:tabs>
          <w:tab w:val="left" w:pos="2880"/>
        </w:tabs>
        <w:ind w:left="2880" w:hanging="1440"/>
      </w:pPr>
      <w:rPr>
        <w:rFonts w:cs="Times New Roman" w:hint="default"/>
      </w:rPr>
    </w:lvl>
    <w:lvl w:ilvl="5">
      <w:start w:val="1"/>
      <w:numFmt w:val="decimal"/>
      <w:lvlText w:val="%1.%2.%3.%4.%5.%6."/>
      <w:lvlJc w:val="left"/>
      <w:pPr>
        <w:tabs>
          <w:tab w:val="left" w:pos="3240"/>
        </w:tabs>
        <w:ind w:left="3240" w:hanging="1440"/>
      </w:pPr>
      <w:rPr>
        <w:rFonts w:cs="Times New Roman" w:hint="default"/>
      </w:rPr>
    </w:lvl>
    <w:lvl w:ilvl="6">
      <w:start w:val="1"/>
      <w:numFmt w:val="decimal"/>
      <w:lvlText w:val="%1.%2.%3.%4.%5.%6.%7."/>
      <w:lvlJc w:val="left"/>
      <w:pPr>
        <w:tabs>
          <w:tab w:val="left" w:pos="3960"/>
        </w:tabs>
        <w:ind w:left="3960" w:hanging="1800"/>
      </w:pPr>
      <w:rPr>
        <w:rFonts w:cs="Times New Roman" w:hint="default"/>
      </w:rPr>
    </w:lvl>
    <w:lvl w:ilvl="7">
      <w:start w:val="1"/>
      <w:numFmt w:val="decimal"/>
      <w:lvlText w:val="%1.%2.%3.%4.%5.%6.%7.%8."/>
      <w:lvlJc w:val="left"/>
      <w:pPr>
        <w:tabs>
          <w:tab w:val="left" w:pos="4680"/>
        </w:tabs>
        <w:ind w:left="4680" w:hanging="2160"/>
      </w:pPr>
      <w:rPr>
        <w:rFonts w:cs="Times New Roman" w:hint="default"/>
      </w:rPr>
    </w:lvl>
    <w:lvl w:ilvl="8">
      <w:start w:val="1"/>
      <w:numFmt w:val="decimal"/>
      <w:lvlText w:val="%1.%2.%3.%4.%5.%6.%7.%8.%9."/>
      <w:lvlJc w:val="left"/>
      <w:pPr>
        <w:tabs>
          <w:tab w:val="left" w:pos="5040"/>
        </w:tabs>
        <w:ind w:left="5040" w:hanging="2160"/>
      </w:pPr>
      <w:rPr>
        <w:rFonts w:cs="Times New Roman" w:hint="default"/>
      </w:rPr>
    </w:lvl>
  </w:abstractNum>
  <w:abstractNum w:abstractNumId="3" w15:restartNumberingAfterBreak="0">
    <w:nsid w:val="00000004"/>
    <w:multiLevelType w:val="multilevel"/>
    <w:tmpl w:val="6FEC1A5A"/>
    <w:lvl w:ilvl="0">
      <w:start w:val="1"/>
      <w:numFmt w:val="decimal"/>
      <w:lvlText w:val="%1."/>
      <w:lvlJc w:val="left"/>
      <w:pPr>
        <w:tabs>
          <w:tab w:val="left" w:pos="492"/>
        </w:tabs>
        <w:ind w:left="492" w:hanging="492"/>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1800"/>
        </w:tabs>
        <w:ind w:left="1800" w:hanging="180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00000005"/>
    <w:multiLevelType w:val="multilevel"/>
    <w:tmpl w:val="1C369B3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 w15:restartNumberingAfterBreak="0">
    <w:nsid w:val="00000006"/>
    <w:multiLevelType w:val="multilevel"/>
    <w:tmpl w:val="043CD732"/>
    <w:lvl w:ilvl="0">
      <w:start w:val="1"/>
      <w:numFmt w:val="decimal"/>
      <w:lvlText w:val="%1."/>
      <w:lvlJc w:val="left"/>
      <w:pPr>
        <w:tabs>
          <w:tab w:val="left" w:pos="720"/>
        </w:tabs>
        <w:ind w:left="720" w:hanging="360"/>
      </w:pPr>
      <w:rPr>
        <w:rFonts w:cs="Times New Roman" w:hint="default"/>
        <w:sz w:val="20"/>
        <w:szCs w:val="20"/>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15:restartNumberingAfterBreak="0">
    <w:nsid w:val="00000007"/>
    <w:multiLevelType w:val="multilevel"/>
    <w:tmpl w:val="17BE278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 w15:restartNumberingAfterBreak="0">
    <w:nsid w:val="00000008"/>
    <w:multiLevelType w:val="multilevel"/>
    <w:tmpl w:val="D28AB6F2"/>
    <w:lvl w:ilvl="0">
      <w:start w:val="1"/>
      <w:numFmt w:val="bullet"/>
      <w:lvlText w:val="-"/>
      <w:lvlJc w:val="left"/>
      <w:pPr>
        <w:tabs>
          <w:tab w:val="left" w:pos="1352"/>
        </w:tabs>
        <w:ind w:left="1352" w:hanging="360"/>
      </w:pPr>
      <w:rPr>
        <w:rFonts w:ascii="Times New Roman" w:eastAsia="Times New Roman" w:hAnsi="Times New Roman" w:hint="default"/>
      </w:rPr>
    </w:lvl>
    <w:lvl w:ilvl="1">
      <w:start w:val="1"/>
      <w:numFmt w:val="bullet"/>
      <w:lvlText w:val="o"/>
      <w:lvlJc w:val="left"/>
      <w:pPr>
        <w:tabs>
          <w:tab w:val="left" w:pos="2072"/>
        </w:tabs>
        <w:ind w:left="2072" w:hanging="360"/>
      </w:pPr>
      <w:rPr>
        <w:rFonts w:ascii="Courier New" w:hAnsi="Courier New" w:hint="default"/>
      </w:rPr>
    </w:lvl>
    <w:lvl w:ilvl="2">
      <w:start w:val="1"/>
      <w:numFmt w:val="bullet"/>
      <w:lvlText w:val=""/>
      <w:lvlJc w:val="left"/>
      <w:pPr>
        <w:tabs>
          <w:tab w:val="left" w:pos="2792"/>
        </w:tabs>
        <w:ind w:left="2792" w:hanging="360"/>
      </w:pPr>
      <w:rPr>
        <w:rFonts w:ascii="Wingdings" w:hAnsi="Wingdings" w:hint="default"/>
      </w:rPr>
    </w:lvl>
    <w:lvl w:ilvl="3">
      <w:start w:val="1"/>
      <w:numFmt w:val="bullet"/>
      <w:lvlText w:val=""/>
      <w:lvlJc w:val="left"/>
      <w:pPr>
        <w:tabs>
          <w:tab w:val="left" w:pos="3512"/>
        </w:tabs>
        <w:ind w:left="3512" w:hanging="360"/>
      </w:pPr>
      <w:rPr>
        <w:rFonts w:ascii="Symbol" w:hAnsi="Symbol" w:hint="default"/>
      </w:rPr>
    </w:lvl>
    <w:lvl w:ilvl="4">
      <w:start w:val="1"/>
      <w:numFmt w:val="bullet"/>
      <w:lvlText w:val="o"/>
      <w:lvlJc w:val="left"/>
      <w:pPr>
        <w:tabs>
          <w:tab w:val="left" w:pos="4232"/>
        </w:tabs>
        <w:ind w:left="4232" w:hanging="360"/>
      </w:pPr>
      <w:rPr>
        <w:rFonts w:ascii="Courier New" w:hAnsi="Courier New" w:hint="default"/>
      </w:rPr>
    </w:lvl>
    <w:lvl w:ilvl="5">
      <w:start w:val="1"/>
      <w:numFmt w:val="bullet"/>
      <w:lvlText w:val=""/>
      <w:lvlJc w:val="left"/>
      <w:pPr>
        <w:tabs>
          <w:tab w:val="left" w:pos="4952"/>
        </w:tabs>
        <w:ind w:left="4952" w:hanging="360"/>
      </w:pPr>
      <w:rPr>
        <w:rFonts w:ascii="Wingdings" w:hAnsi="Wingdings" w:hint="default"/>
      </w:rPr>
    </w:lvl>
    <w:lvl w:ilvl="6">
      <w:start w:val="1"/>
      <w:numFmt w:val="bullet"/>
      <w:lvlText w:val=""/>
      <w:lvlJc w:val="left"/>
      <w:pPr>
        <w:tabs>
          <w:tab w:val="left" w:pos="5672"/>
        </w:tabs>
        <w:ind w:left="5672" w:hanging="360"/>
      </w:pPr>
      <w:rPr>
        <w:rFonts w:ascii="Symbol" w:hAnsi="Symbol" w:hint="default"/>
      </w:rPr>
    </w:lvl>
    <w:lvl w:ilvl="7">
      <w:start w:val="1"/>
      <w:numFmt w:val="bullet"/>
      <w:lvlText w:val="o"/>
      <w:lvlJc w:val="left"/>
      <w:pPr>
        <w:tabs>
          <w:tab w:val="left" w:pos="6392"/>
        </w:tabs>
        <w:ind w:left="6392" w:hanging="360"/>
      </w:pPr>
      <w:rPr>
        <w:rFonts w:ascii="Courier New" w:hAnsi="Courier New" w:hint="default"/>
      </w:rPr>
    </w:lvl>
    <w:lvl w:ilvl="8">
      <w:start w:val="1"/>
      <w:numFmt w:val="bullet"/>
      <w:lvlText w:val=""/>
      <w:lvlJc w:val="left"/>
      <w:pPr>
        <w:tabs>
          <w:tab w:val="left" w:pos="7112"/>
        </w:tabs>
        <w:ind w:left="7112" w:hanging="360"/>
      </w:pPr>
      <w:rPr>
        <w:rFonts w:ascii="Wingdings" w:hAnsi="Wingdings" w:hint="default"/>
      </w:rPr>
    </w:lvl>
  </w:abstractNum>
  <w:abstractNum w:abstractNumId="8" w15:restartNumberingAfterBreak="0">
    <w:nsid w:val="00000009"/>
    <w:multiLevelType w:val="multilevel"/>
    <w:tmpl w:val="B4A49DC2"/>
    <w:lvl w:ilvl="0">
      <w:start w:val="1"/>
      <w:numFmt w:val="decimal"/>
      <w:lvlText w:val="%1."/>
      <w:lvlJc w:val="left"/>
      <w:pPr>
        <w:tabs>
          <w:tab w:val="left" w:pos="360"/>
        </w:tabs>
        <w:ind w:left="360" w:hanging="360"/>
      </w:pPr>
      <w:rPr>
        <w:rFonts w:cs="Times New Roman" w:hint="default"/>
      </w:rPr>
    </w:lvl>
    <w:lvl w:ilvl="1">
      <w:start w:val="1"/>
      <w:numFmt w:val="decimal"/>
      <w:isLgl/>
      <w:lvlText w:val="%1.%2."/>
      <w:lvlJc w:val="left"/>
      <w:pPr>
        <w:tabs>
          <w:tab w:val="left" w:pos="1855"/>
        </w:tabs>
        <w:ind w:left="1855" w:hanging="720"/>
      </w:pPr>
      <w:rPr>
        <w:rFonts w:cs="Times New Roman" w:hint="default"/>
      </w:rPr>
    </w:lvl>
    <w:lvl w:ilvl="2">
      <w:start w:val="1"/>
      <w:numFmt w:val="decimal"/>
      <w:isLgl/>
      <w:lvlText w:val="%1.%2.%3."/>
      <w:lvlJc w:val="left"/>
      <w:pPr>
        <w:tabs>
          <w:tab w:val="left" w:pos="3350"/>
        </w:tabs>
        <w:ind w:left="3350" w:hanging="1080"/>
      </w:pPr>
      <w:rPr>
        <w:rFonts w:cs="Times New Roman" w:hint="default"/>
      </w:rPr>
    </w:lvl>
    <w:lvl w:ilvl="3">
      <w:start w:val="1"/>
      <w:numFmt w:val="decimal"/>
      <w:isLgl/>
      <w:lvlText w:val="%1.%2.%3.%4."/>
      <w:lvlJc w:val="left"/>
      <w:pPr>
        <w:tabs>
          <w:tab w:val="left" w:pos="4485"/>
        </w:tabs>
        <w:ind w:left="4485" w:hanging="1080"/>
      </w:pPr>
      <w:rPr>
        <w:rFonts w:cs="Times New Roman" w:hint="default"/>
      </w:rPr>
    </w:lvl>
    <w:lvl w:ilvl="4">
      <w:start w:val="1"/>
      <w:numFmt w:val="decimal"/>
      <w:isLgl/>
      <w:lvlText w:val="%1.%2.%3.%4.%5."/>
      <w:lvlJc w:val="left"/>
      <w:pPr>
        <w:tabs>
          <w:tab w:val="left" w:pos="5980"/>
        </w:tabs>
        <w:ind w:left="5980" w:hanging="1440"/>
      </w:pPr>
      <w:rPr>
        <w:rFonts w:cs="Times New Roman" w:hint="default"/>
      </w:rPr>
    </w:lvl>
    <w:lvl w:ilvl="5">
      <w:start w:val="1"/>
      <w:numFmt w:val="decimal"/>
      <w:isLgl/>
      <w:lvlText w:val="%1.%2.%3.%4.%5.%6."/>
      <w:lvlJc w:val="left"/>
      <w:pPr>
        <w:tabs>
          <w:tab w:val="left" w:pos="7475"/>
        </w:tabs>
        <w:ind w:left="7475" w:hanging="1800"/>
      </w:pPr>
      <w:rPr>
        <w:rFonts w:cs="Times New Roman" w:hint="default"/>
      </w:rPr>
    </w:lvl>
    <w:lvl w:ilvl="6">
      <w:start w:val="1"/>
      <w:numFmt w:val="decimal"/>
      <w:isLgl/>
      <w:lvlText w:val="%1.%2.%3.%4.%5.%6.%7."/>
      <w:lvlJc w:val="left"/>
      <w:pPr>
        <w:tabs>
          <w:tab w:val="left" w:pos="8610"/>
        </w:tabs>
        <w:ind w:left="8610" w:hanging="1800"/>
      </w:pPr>
      <w:rPr>
        <w:rFonts w:cs="Times New Roman" w:hint="default"/>
      </w:rPr>
    </w:lvl>
    <w:lvl w:ilvl="7">
      <w:start w:val="1"/>
      <w:numFmt w:val="decimal"/>
      <w:isLgl/>
      <w:lvlText w:val="%1.%2.%3.%4.%5.%6.%7.%8."/>
      <w:lvlJc w:val="left"/>
      <w:pPr>
        <w:tabs>
          <w:tab w:val="left" w:pos="10105"/>
        </w:tabs>
        <w:ind w:left="10105" w:hanging="2160"/>
      </w:pPr>
      <w:rPr>
        <w:rFonts w:cs="Times New Roman" w:hint="default"/>
      </w:rPr>
    </w:lvl>
    <w:lvl w:ilvl="8">
      <w:start w:val="1"/>
      <w:numFmt w:val="decimal"/>
      <w:isLgl/>
      <w:lvlText w:val="%1.%2.%3.%4.%5.%6.%7.%8.%9."/>
      <w:lvlJc w:val="left"/>
      <w:pPr>
        <w:tabs>
          <w:tab w:val="left" w:pos="11600"/>
        </w:tabs>
        <w:ind w:left="11600" w:hanging="2520"/>
      </w:pPr>
      <w:rPr>
        <w:rFonts w:cs="Times New Roman" w:hint="default"/>
      </w:rPr>
    </w:lvl>
  </w:abstractNum>
  <w:abstractNum w:abstractNumId="9" w15:restartNumberingAfterBreak="0">
    <w:nsid w:val="0000000A"/>
    <w:multiLevelType w:val="singleLevel"/>
    <w:tmpl w:val="040C000F"/>
    <w:lvl w:ilvl="0">
      <w:start w:val="1"/>
      <w:numFmt w:val="decimal"/>
      <w:lvlText w:val="%1."/>
      <w:lvlJc w:val="left"/>
      <w:pPr>
        <w:tabs>
          <w:tab w:val="left" w:pos="360"/>
        </w:tabs>
        <w:ind w:left="360" w:hanging="360"/>
      </w:pPr>
      <w:rPr>
        <w:rFonts w:cs="Times New Roman" w:hint="default"/>
      </w:rPr>
    </w:lvl>
  </w:abstractNum>
  <w:abstractNum w:abstractNumId="10" w15:restartNumberingAfterBreak="0">
    <w:nsid w:val="0000000B"/>
    <w:multiLevelType w:val="multilevel"/>
    <w:tmpl w:val="5694DB50"/>
    <w:lvl w:ilvl="0">
      <w:start w:val="1"/>
      <w:numFmt w:val="lowerLetter"/>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1" w15:restartNumberingAfterBreak="0">
    <w:nsid w:val="0000000C"/>
    <w:multiLevelType w:val="multilevel"/>
    <w:tmpl w:val="EDC672F2"/>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2" w15:restartNumberingAfterBreak="0">
    <w:nsid w:val="0000000D"/>
    <w:multiLevelType w:val="singleLevel"/>
    <w:tmpl w:val="040C000F"/>
    <w:lvl w:ilvl="0">
      <w:start w:val="1"/>
      <w:numFmt w:val="decimal"/>
      <w:lvlText w:val="%1."/>
      <w:lvlJc w:val="left"/>
      <w:pPr>
        <w:tabs>
          <w:tab w:val="left" w:pos="360"/>
        </w:tabs>
        <w:ind w:left="360" w:hanging="360"/>
      </w:pPr>
      <w:rPr>
        <w:rFonts w:cs="Times New Roman" w:hint="default"/>
      </w:rPr>
    </w:lvl>
  </w:abstractNum>
  <w:abstractNum w:abstractNumId="13" w15:restartNumberingAfterBreak="0">
    <w:nsid w:val="0000000E"/>
    <w:multiLevelType w:val="multilevel"/>
    <w:tmpl w:val="6756E492"/>
    <w:lvl w:ilvl="0">
      <w:start w:val="1"/>
      <w:numFmt w:val="lowerLetter"/>
      <w:lvlText w:val="%1)"/>
      <w:lvlJc w:val="left"/>
      <w:pPr>
        <w:tabs>
          <w:tab w:val="left" w:pos="1143"/>
        </w:tabs>
        <w:ind w:left="1143" w:hanging="360"/>
      </w:pPr>
      <w:rPr>
        <w:rFonts w:cs="Times New Roman"/>
      </w:rPr>
    </w:lvl>
    <w:lvl w:ilvl="1">
      <w:start w:val="1"/>
      <w:numFmt w:val="lowerLetter"/>
      <w:lvlText w:val="%2."/>
      <w:lvlJc w:val="left"/>
      <w:pPr>
        <w:tabs>
          <w:tab w:val="left" w:pos="1863"/>
        </w:tabs>
        <w:ind w:left="1863" w:hanging="360"/>
      </w:pPr>
      <w:rPr>
        <w:rFonts w:cs="Times New Roman" w:hint="default"/>
      </w:rPr>
    </w:lvl>
    <w:lvl w:ilvl="2">
      <w:start w:val="1"/>
      <w:numFmt w:val="lowerRoman"/>
      <w:lvlText w:val="%3."/>
      <w:lvlJc w:val="right"/>
      <w:pPr>
        <w:tabs>
          <w:tab w:val="left" w:pos="2583"/>
        </w:tabs>
        <w:ind w:left="2583" w:hanging="180"/>
      </w:pPr>
      <w:rPr>
        <w:rFonts w:cs="Times New Roman"/>
      </w:rPr>
    </w:lvl>
    <w:lvl w:ilvl="3">
      <w:start w:val="1"/>
      <w:numFmt w:val="decimal"/>
      <w:lvlText w:val="%4."/>
      <w:lvlJc w:val="left"/>
      <w:pPr>
        <w:tabs>
          <w:tab w:val="left" w:pos="3303"/>
        </w:tabs>
        <w:ind w:left="3303" w:hanging="360"/>
      </w:pPr>
      <w:rPr>
        <w:rFonts w:cs="Times New Roman"/>
      </w:rPr>
    </w:lvl>
    <w:lvl w:ilvl="4">
      <w:start w:val="1"/>
      <w:numFmt w:val="lowerLetter"/>
      <w:lvlText w:val="%5."/>
      <w:lvlJc w:val="left"/>
      <w:pPr>
        <w:tabs>
          <w:tab w:val="left" w:pos="4023"/>
        </w:tabs>
        <w:ind w:left="4023" w:hanging="360"/>
      </w:pPr>
      <w:rPr>
        <w:rFonts w:cs="Times New Roman"/>
      </w:rPr>
    </w:lvl>
    <w:lvl w:ilvl="5">
      <w:start w:val="1"/>
      <w:numFmt w:val="lowerRoman"/>
      <w:lvlText w:val="%6."/>
      <w:lvlJc w:val="right"/>
      <w:pPr>
        <w:tabs>
          <w:tab w:val="left" w:pos="4743"/>
        </w:tabs>
        <w:ind w:left="4743" w:hanging="180"/>
      </w:pPr>
      <w:rPr>
        <w:rFonts w:cs="Times New Roman"/>
      </w:rPr>
    </w:lvl>
    <w:lvl w:ilvl="6">
      <w:start w:val="1"/>
      <w:numFmt w:val="decimal"/>
      <w:lvlText w:val="%7."/>
      <w:lvlJc w:val="left"/>
      <w:pPr>
        <w:tabs>
          <w:tab w:val="left" w:pos="5463"/>
        </w:tabs>
        <w:ind w:left="5463" w:hanging="360"/>
      </w:pPr>
      <w:rPr>
        <w:rFonts w:cs="Times New Roman"/>
      </w:rPr>
    </w:lvl>
    <w:lvl w:ilvl="7">
      <w:start w:val="1"/>
      <w:numFmt w:val="lowerLetter"/>
      <w:lvlText w:val="%8."/>
      <w:lvlJc w:val="left"/>
      <w:pPr>
        <w:tabs>
          <w:tab w:val="left" w:pos="6183"/>
        </w:tabs>
        <w:ind w:left="6183" w:hanging="360"/>
      </w:pPr>
      <w:rPr>
        <w:rFonts w:cs="Times New Roman"/>
      </w:rPr>
    </w:lvl>
    <w:lvl w:ilvl="8">
      <w:start w:val="1"/>
      <w:numFmt w:val="lowerRoman"/>
      <w:lvlText w:val="%9."/>
      <w:lvlJc w:val="right"/>
      <w:pPr>
        <w:tabs>
          <w:tab w:val="left" w:pos="6903"/>
        </w:tabs>
        <w:ind w:left="6903" w:hanging="180"/>
      </w:pPr>
      <w:rPr>
        <w:rFonts w:cs="Times New Roman"/>
      </w:rPr>
    </w:lvl>
  </w:abstractNum>
  <w:abstractNum w:abstractNumId="14" w15:restartNumberingAfterBreak="0">
    <w:nsid w:val="0000000F"/>
    <w:multiLevelType w:val="multilevel"/>
    <w:tmpl w:val="BF7CAB00"/>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5" w15:restartNumberingAfterBreak="0">
    <w:nsid w:val="00000010"/>
    <w:multiLevelType w:val="multilevel"/>
    <w:tmpl w:val="D81AE352"/>
    <w:lvl w:ilvl="0">
      <w:start w:val="1"/>
      <w:numFmt w:val="decimal"/>
      <w:lvlText w:val="%1."/>
      <w:lvlJc w:val="left"/>
      <w:pPr>
        <w:tabs>
          <w:tab w:val="left" w:pos="1353"/>
        </w:tabs>
        <w:ind w:left="1353" w:hanging="360"/>
      </w:pPr>
      <w:rPr>
        <w:rFonts w:cs="Times New Roman" w:hint="default"/>
      </w:rPr>
    </w:lvl>
    <w:lvl w:ilvl="1">
      <w:start w:val="1"/>
      <w:numFmt w:val="lowerLetter"/>
      <w:lvlText w:val="%2."/>
      <w:lvlJc w:val="left"/>
      <w:pPr>
        <w:tabs>
          <w:tab w:val="left" w:pos="2073"/>
        </w:tabs>
        <w:ind w:left="2073" w:hanging="360"/>
      </w:pPr>
      <w:rPr>
        <w:rFonts w:cs="Times New Roman"/>
      </w:rPr>
    </w:lvl>
    <w:lvl w:ilvl="2">
      <w:start w:val="1"/>
      <w:numFmt w:val="lowerRoman"/>
      <w:lvlText w:val="%3."/>
      <w:lvlJc w:val="right"/>
      <w:pPr>
        <w:tabs>
          <w:tab w:val="left" w:pos="2793"/>
        </w:tabs>
        <w:ind w:left="2793" w:hanging="180"/>
      </w:pPr>
      <w:rPr>
        <w:rFonts w:cs="Times New Roman"/>
      </w:rPr>
    </w:lvl>
    <w:lvl w:ilvl="3">
      <w:start w:val="1"/>
      <w:numFmt w:val="decimal"/>
      <w:lvlText w:val="%4."/>
      <w:lvlJc w:val="left"/>
      <w:pPr>
        <w:tabs>
          <w:tab w:val="left" w:pos="3513"/>
        </w:tabs>
        <w:ind w:left="3513" w:hanging="360"/>
      </w:pPr>
      <w:rPr>
        <w:rFonts w:cs="Times New Roman"/>
      </w:rPr>
    </w:lvl>
    <w:lvl w:ilvl="4">
      <w:start w:val="1"/>
      <w:numFmt w:val="lowerLetter"/>
      <w:lvlText w:val="%5."/>
      <w:lvlJc w:val="left"/>
      <w:pPr>
        <w:tabs>
          <w:tab w:val="left" w:pos="4233"/>
        </w:tabs>
        <w:ind w:left="4233" w:hanging="360"/>
      </w:pPr>
      <w:rPr>
        <w:rFonts w:cs="Times New Roman"/>
      </w:rPr>
    </w:lvl>
    <w:lvl w:ilvl="5">
      <w:start w:val="1"/>
      <w:numFmt w:val="lowerRoman"/>
      <w:lvlText w:val="%6."/>
      <w:lvlJc w:val="right"/>
      <w:pPr>
        <w:tabs>
          <w:tab w:val="left" w:pos="4953"/>
        </w:tabs>
        <w:ind w:left="4953" w:hanging="180"/>
      </w:pPr>
      <w:rPr>
        <w:rFonts w:cs="Times New Roman"/>
      </w:rPr>
    </w:lvl>
    <w:lvl w:ilvl="6">
      <w:start w:val="1"/>
      <w:numFmt w:val="decimal"/>
      <w:lvlText w:val="%7."/>
      <w:lvlJc w:val="left"/>
      <w:pPr>
        <w:tabs>
          <w:tab w:val="left" w:pos="5673"/>
        </w:tabs>
        <w:ind w:left="5673" w:hanging="360"/>
      </w:pPr>
      <w:rPr>
        <w:rFonts w:cs="Times New Roman"/>
      </w:rPr>
    </w:lvl>
    <w:lvl w:ilvl="7">
      <w:start w:val="1"/>
      <w:numFmt w:val="lowerLetter"/>
      <w:lvlText w:val="%8."/>
      <w:lvlJc w:val="left"/>
      <w:pPr>
        <w:tabs>
          <w:tab w:val="left" w:pos="6393"/>
        </w:tabs>
        <w:ind w:left="6393" w:hanging="360"/>
      </w:pPr>
      <w:rPr>
        <w:rFonts w:cs="Times New Roman"/>
      </w:rPr>
    </w:lvl>
    <w:lvl w:ilvl="8">
      <w:start w:val="1"/>
      <w:numFmt w:val="lowerRoman"/>
      <w:lvlText w:val="%9."/>
      <w:lvlJc w:val="right"/>
      <w:pPr>
        <w:tabs>
          <w:tab w:val="left" w:pos="7113"/>
        </w:tabs>
        <w:ind w:left="7113" w:hanging="180"/>
      </w:pPr>
      <w:rPr>
        <w:rFonts w:cs="Times New Roman"/>
      </w:rPr>
    </w:lvl>
  </w:abstractNum>
  <w:abstractNum w:abstractNumId="16" w15:restartNumberingAfterBreak="0">
    <w:nsid w:val="00000011"/>
    <w:multiLevelType w:val="multilevel"/>
    <w:tmpl w:val="09984E72"/>
    <w:lvl w:ilvl="0">
      <w:start w:val="1"/>
      <w:numFmt w:val="upperRoman"/>
      <w:lvlText w:val="%1."/>
      <w:lvlJc w:val="right"/>
      <w:pPr>
        <w:tabs>
          <w:tab w:val="left" w:pos="2840"/>
        </w:tabs>
        <w:ind w:left="2840" w:hanging="180"/>
      </w:pPr>
      <w:rPr>
        <w:rFonts w:cs="Times New Roman"/>
      </w:rPr>
    </w:lvl>
    <w:lvl w:ilvl="1">
      <w:start w:val="1"/>
      <w:numFmt w:val="lowerLetter"/>
      <w:lvlText w:val="%2."/>
      <w:lvlJc w:val="left"/>
      <w:pPr>
        <w:tabs>
          <w:tab w:val="left" w:pos="3560"/>
        </w:tabs>
        <w:ind w:left="3560" w:hanging="360"/>
      </w:pPr>
      <w:rPr>
        <w:rFonts w:cs="Times New Roman"/>
      </w:rPr>
    </w:lvl>
    <w:lvl w:ilvl="2">
      <w:start w:val="1"/>
      <w:numFmt w:val="lowerRoman"/>
      <w:lvlText w:val="%3."/>
      <w:lvlJc w:val="right"/>
      <w:pPr>
        <w:tabs>
          <w:tab w:val="left" w:pos="4280"/>
        </w:tabs>
        <w:ind w:left="4280" w:hanging="180"/>
      </w:pPr>
      <w:rPr>
        <w:rFonts w:cs="Times New Roman"/>
      </w:rPr>
    </w:lvl>
    <w:lvl w:ilvl="3">
      <w:start w:val="1"/>
      <w:numFmt w:val="decimal"/>
      <w:lvlText w:val="%4."/>
      <w:lvlJc w:val="left"/>
      <w:pPr>
        <w:tabs>
          <w:tab w:val="left" w:pos="5000"/>
        </w:tabs>
        <w:ind w:left="5000" w:hanging="360"/>
      </w:pPr>
      <w:rPr>
        <w:rFonts w:cs="Times New Roman"/>
      </w:rPr>
    </w:lvl>
    <w:lvl w:ilvl="4">
      <w:start w:val="1"/>
      <w:numFmt w:val="lowerLetter"/>
      <w:lvlText w:val="%5."/>
      <w:lvlJc w:val="left"/>
      <w:pPr>
        <w:tabs>
          <w:tab w:val="left" w:pos="5720"/>
        </w:tabs>
        <w:ind w:left="5720" w:hanging="360"/>
      </w:pPr>
      <w:rPr>
        <w:rFonts w:cs="Times New Roman"/>
      </w:rPr>
    </w:lvl>
    <w:lvl w:ilvl="5">
      <w:start w:val="1"/>
      <w:numFmt w:val="lowerRoman"/>
      <w:lvlText w:val="%6."/>
      <w:lvlJc w:val="right"/>
      <w:pPr>
        <w:tabs>
          <w:tab w:val="left" w:pos="6440"/>
        </w:tabs>
        <w:ind w:left="6440" w:hanging="180"/>
      </w:pPr>
      <w:rPr>
        <w:rFonts w:cs="Times New Roman"/>
      </w:rPr>
    </w:lvl>
    <w:lvl w:ilvl="6">
      <w:start w:val="1"/>
      <w:numFmt w:val="decimal"/>
      <w:lvlText w:val="%7."/>
      <w:lvlJc w:val="left"/>
      <w:pPr>
        <w:tabs>
          <w:tab w:val="left" w:pos="7160"/>
        </w:tabs>
        <w:ind w:left="7160" w:hanging="360"/>
      </w:pPr>
      <w:rPr>
        <w:rFonts w:cs="Times New Roman"/>
      </w:rPr>
    </w:lvl>
    <w:lvl w:ilvl="7">
      <w:start w:val="1"/>
      <w:numFmt w:val="lowerLetter"/>
      <w:lvlText w:val="%8."/>
      <w:lvlJc w:val="left"/>
      <w:pPr>
        <w:tabs>
          <w:tab w:val="left" w:pos="7880"/>
        </w:tabs>
        <w:ind w:left="7880" w:hanging="360"/>
      </w:pPr>
      <w:rPr>
        <w:rFonts w:cs="Times New Roman"/>
      </w:rPr>
    </w:lvl>
    <w:lvl w:ilvl="8">
      <w:start w:val="1"/>
      <w:numFmt w:val="lowerRoman"/>
      <w:lvlText w:val="%9."/>
      <w:lvlJc w:val="right"/>
      <w:pPr>
        <w:tabs>
          <w:tab w:val="left" w:pos="8600"/>
        </w:tabs>
        <w:ind w:left="8600" w:hanging="180"/>
      </w:pPr>
      <w:rPr>
        <w:rFonts w:cs="Times New Roman"/>
      </w:rPr>
    </w:lvl>
  </w:abstractNum>
  <w:abstractNum w:abstractNumId="17" w15:restartNumberingAfterBreak="0">
    <w:nsid w:val="00000012"/>
    <w:multiLevelType w:val="hybridMultilevel"/>
    <w:tmpl w:val="4A90EDF6"/>
    <w:lvl w:ilvl="0" w:tplc="9348E006">
      <w:start w:val="1"/>
      <w:numFmt w:val="bullet"/>
      <w:lvlText w:val="•"/>
      <w:lvlJc w:val="left"/>
      <w:pPr>
        <w:tabs>
          <w:tab w:val="left" w:pos="720"/>
        </w:tabs>
        <w:ind w:left="720" w:hanging="360"/>
      </w:pPr>
      <w:rPr>
        <w:rFonts w:ascii="Arial" w:hAnsi="Arial" w:hint="default"/>
      </w:rPr>
    </w:lvl>
    <w:lvl w:ilvl="1" w:tplc="DFDC78EA" w:tentative="1">
      <w:start w:val="1"/>
      <w:numFmt w:val="bullet"/>
      <w:lvlText w:val="•"/>
      <w:lvlJc w:val="left"/>
      <w:pPr>
        <w:tabs>
          <w:tab w:val="left" w:pos="1440"/>
        </w:tabs>
        <w:ind w:left="1440" w:hanging="360"/>
      </w:pPr>
      <w:rPr>
        <w:rFonts w:ascii="Arial" w:hAnsi="Arial" w:hint="default"/>
      </w:rPr>
    </w:lvl>
    <w:lvl w:ilvl="2" w:tplc="325673D4" w:tentative="1">
      <w:start w:val="1"/>
      <w:numFmt w:val="bullet"/>
      <w:lvlText w:val="•"/>
      <w:lvlJc w:val="left"/>
      <w:pPr>
        <w:tabs>
          <w:tab w:val="left" w:pos="2160"/>
        </w:tabs>
        <w:ind w:left="2160" w:hanging="360"/>
      </w:pPr>
      <w:rPr>
        <w:rFonts w:ascii="Arial" w:hAnsi="Arial" w:hint="default"/>
      </w:rPr>
    </w:lvl>
    <w:lvl w:ilvl="3" w:tplc="E8025966" w:tentative="1">
      <w:start w:val="1"/>
      <w:numFmt w:val="bullet"/>
      <w:lvlText w:val="•"/>
      <w:lvlJc w:val="left"/>
      <w:pPr>
        <w:tabs>
          <w:tab w:val="left" w:pos="2880"/>
        </w:tabs>
        <w:ind w:left="2880" w:hanging="360"/>
      </w:pPr>
      <w:rPr>
        <w:rFonts w:ascii="Arial" w:hAnsi="Arial" w:hint="default"/>
      </w:rPr>
    </w:lvl>
    <w:lvl w:ilvl="4" w:tplc="26E203D4" w:tentative="1">
      <w:start w:val="1"/>
      <w:numFmt w:val="bullet"/>
      <w:lvlText w:val="•"/>
      <w:lvlJc w:val="left"/>
      <w:pPr>
        <w:tabs>
          <w:tab w:val="left" w:pos="3600"/>
        </w:tabs>
        <w:ind w:left="3600" w:hanging="360"/>
      </w:pPr>
      <w:rPr>
        <w:rFonts w:ascii="Arial" w:hAnsi="Arial" w:hint="default"/>
      </w:rPr>
    </w:lvl>
    <w:lvl w:ilvl="5" w:tplc="4EE05232" w:tentative="1">
      <w:start w:val="1"/>
      <w:numFmt w:val="bullet"/>
      <w:lvlText w:val="•"/>
      <w:lvlJc w:val="left"/>
      <w:pPr>
        <w:tabs>
          <w:tab w:val="left" w:pos="4320"/>
        </w:tabs>
        <w:ind w:left="4320" w:hanging="360"/>
      </w:pPr>
      <w:rPr>
        <w:rFonts w:ascii="Arial" w:hAnsi="Arial" w:hint="default"/>
      </w:rPr>
    </w:lvl>
    <w:lvl w:ilvl="6" w:tplc="AD288132" w:tentative="1">
      <w:start w:val="1"/>
      <w:numFmt w:val="bullet"/>
      <w:lvlText w:val="•"/>
      <w:lvlJc w:val="left"/>
      <w:pPr>
        <w:tabs>
          <w:tab w:val="left" w:pos="5040"/>
        </w:tabs>
        <w:ind w:left="5040" w:hanging="360"/>
      </w:pPr>
      <w:rPr>
        <w:rFonts w:ascii="Arial" w:hAnsi="Arial" w:hint="default"/>
      </w:rPr>
    </w:lvl>
    <w:lvl w:ilvl="7" w:tplc="EE6AF5C2" w:tentative="1">
      <w:start w:val="1"/>
      <w:numFmt w:val="bullet"/>
      <w:lvlText w:val="•"/>
      <w:lvlJc w:val="left"/>
      <w:pPr>
        <w:tabs>
          <w:tab w:val="left" w:pos="5760"/>
        </w:tabs>
        <w:ind w:left="5760" w:hanging="360"/>
      </w:pPr>
      <w:rPr>
        <w:rFonts w:ascii="Arial" w:hAnsi="Arial" w:hint="default"/>
      </w:rPr>
    </w:lvl>
    <w:lvl w:ilvl="8" w:tplc="C6425432" w:tentative="1">
      <w:start w:val="1"/>
      <w:numFmt w:val="bullet"/>
      <w:lvlText w:val="•"/>
      <w:lvlJc w:val="left"/>
      <w:pPr>
        <w:tabs>
          <w:tab w:val="left" w:pos="6480"/>
        </w:tabs>
        <w:ind w:left="6480" w:hanging="360"/>
      </w:pPr>
      <w:rPr>
        <w:rFonts w:ascii="Arial" w:hAnsi="Arial" w:hint="default"/>
      </w:rPr>
    </w:lvl>
  </w:abstractNum>
  <w:abstractNum w:abstractNumId="18" w15:restartNumberingAfterBreak="0">
    <w:nsid w:val="00000013"/>
    <w:multiLevelType w:val="multilevel"/>
    <w:tmpl w:val="67F6DA1E"/>
    <w:lvl w:ilvl="0">
      <w:start w:val="1"/>
      <w:numFmt w:val="decimal"/>
      <w:lvlText w:val="%1."/>
      <w:lvlJc w:val="left"/>
      <w:pPr>
        <w:tabs>
          <w:tab w:val="left" w:pos="360"/>
        </w:tabs>
        <w:ind w:left="360" w:hanging="360"/>
      </w:pPr>
      <w:rPr>
        <w:rFonts w:cs="Times New Roman" w:hint="default"/>
      </w:rPr>
    </w:lvl>
    <w:lvl w:ilvl="1">
      <w:start w:val="2"/>
      <w:numFmt w:val="decimal"/>
      <w:isLgl/>
      <w:lvlText w:val="%1.%2."/>
      <w:lvlJc w:val="left"/>
      <w:pPr>
        <w:tabs>
          <w:tab w:val="left" w:pos="420"/>
        </w:tabs>
        <w:ind w:left="420" w:hanging="420"/>
      </w:pPr>
      <w:rPr>
        <w:rFonts w:cs="Times New Roman" w:hint="default"/>
      </w:rPr>
    </w:lvl>
    <w:lvl w:ilvl="2">
      <w:start w:val="1"/>
      <w:numFmt w:val="decimal"/>
      <w:isLgl/>
      <w:lvlText w:val="%1.%2.%3."/>
      <w:lvlJc w:val="left"/>
      <w:pPr>
        <w:tabs>
          <w:tab w:val="left" w:pos="720"/>
        </w:tabs>
        <w:ind w:left="720" w:hanging="720"/>
      </w:pPr>
      <w:rPr>
        <w:rFonts w:cs="Times New Roman" w:hint="default"/>
      </w:rPr>
    </w:lvl>
    <w:lvl w:ilvl="3">
      <w:start w:val="1"/>
      <w:numFmt w:val="decimal"/>
      <w:isLgl/>
      <w:lvlText w:val="%1.%2.%3.%4."/>
      <w:lvlJc w:val="left"/>
      <w:pPr>
        <w:tabs>
          <w:tab w:val="left" w:pos="720"/>
        </w:tabs>
        <w:ind w:left="720" w:hanging="720"/>
      </w:pPr>
      <w:rPr>
        <w:rFonts w:cs="Times New Roman" w:hint="default"/>
      </w:rPr>
    </w:lvl>
    <w:lvl w:ilvl="4">
      <w:start w:val="1"/>
      <w:numFmt w:val="decimal"/>
      <w:isLgl/>
      <w:lvlText w:val="%1.%2.%3.%4.%5."/>
      <w:lvlJc w:val="left"/>
      <w:pPr>
        <w:tabs>
          <w:tab w:val="left" w:pos="1080"/>
        </w:tabs>
        <w:ind w:left="1080" w:hanging="1080"/>
      </w:pPr>
      <w:rPr>
        <w:rFonts w:cs="Times New Roman" w:hint="default"/>
      </w:rPr>
    </w:lvl>
    <w:lvl w:ilvl="5">
      <w:start w:val="1"/>
      <w:numFmt w:val="decimal"/>
      <w:isLgl/>
      <w:lvlText w:val="%1.%2.%3.%4.%5.%6."/>
      <w:lvlJc w:val="left"/>
      <w:pPr>
        <w:tabs>
          <w:tab w:val="left" w:pos="1080"/>
        </w:tabs>
        <w:ind w:left="1080" w:hanging="1080"/>
      </w:pPr>
      <w:rPr>
        <w:rFonts w:cs="Times New Roman" w:hint="default"/>
      </w:rPr>
    </w:lvl>
    <w:lvl w:ilvl="6">
      <w:start w:val="1"/>
      <w:numFmt w:val="decimal"/>
      <w:isLgl/>
      <w:lvlText w:val="%1.%2.%3.%4.%5.%6.%7."/>
      <w:lvlJc w:val="left"/>
      <w:pPr>
        <w:tabs>
          <w:tab w:val="left" w:pos="1440"/>
        </w:tabs>
        <w:ind w:left="1440" w:hanging="1440"/>
      </w:pPr>
      <w:rPr>
        <w:rFonts w:cs="Times New Roman" w:hint="default"/>
      </w:rPr>
    </w:lvl>
    <w:lvl w:ilvl="7">
      <w:start w:val="1"/>
      <w:numFmt w:val="decimal"/>
      <w:isLgl/>
      <w:lvlText w:val="%1.%2.%3.%4.%5.%6.%7.%8."/>
      <w:lvlJc w:val="left"/>
      <w:pPr>
        <w:tabs>
          <w:tab w:val="left" w:pos="1440"/>
        </w:tabs>
        <w:ind w:left="1440" w:hanging="1440"/>
      </w:pPr>
      <w:rPr>
        <w:rFonts w:cs="Times New Roman" w:hint="default"/>
      </w:rPr>
    </w:lvl>
    <w:lvl w:ilvl="8">
      <w:start w:val="1"/>
      <w:numFmt w:val="decimal"/>
      <w:isLgl/>
      <w:lvlText w:val="%1.%2.%3.%4.%5.%6.%7.%8.%9."/>
      <w:lvlJc w:val="left"/>
      <w:pPr>
        <w:tabs>
          <w:tab w:val="left" w:pos="1800"/>
        </w:tabs>
        <w:ind w:left="1800" w:hanging="1800"/>
      </w:pPr>
      <w:rPr>
        <w:rFonts w:cs="Times New Roman" w:hint="default"/>
      </w:rPr>
    </w:lvl>
  </w:abstractNum>
  <w:abstractNum w:abstractNumId="19" w15:restartNumberingAfterBreak="0">
    <w:nsid w:val="00000014"/>
    <w:multiLevelType w:val="hybridMultilevel"/>
    <w:tmpl w:val="910CE866"/>
    <w:lvl w:ilvl="0" w:tplc="2F120CA0">
      <w:start w:val="1"/>
      <w:numFmt w:val="bullet"/>
      <w:lvlText w:val="•"/>
      <w:lvlJc w:val="left"/>
      <w:pPr>
        <w:tabs>
          <w:tab w:val="left" w:pos="720"/>
        </w:tabs>
        <w:ind w:left="720" w:hanging="360"/>
      </w:pPr>
      <w:rPr>
        <w:rFonts w:ascii="Arial" w:hAnsi="Arial" w:hint="default"/>
      </w:rPr>
    </w:lvl>
    <w:lvl w:ilvl="1" w:tplc="AA587E1A" w:tentative="1">
      <w:start w:val="1"/>
      <w:numFmt w:val="bullet"/>
      <w:lvlText w:val="•"/>
      <w:lvlJc w:val="left"/>
      <w:pPr>
        <w:tabs>
          <w:tab w:val="left" w:pos="1440"/>
        </w:tabs>
        <w:ind w:left="1440" w:hanging="360"/>
      </w:pPr>
      <w:rPr>
        <w:rFonts w:ascii="Arial" w:hAnsi="Arial" w:hint="default"/>
      </w:rPr>
    </w:lvl>
    <w:lvl w:ilvl="2" w:tplc="3536A74A" w:tentative="1">
      <w:start w:val="1"/>
      <w:numFmt w:val="bullet"/>
      <w:lvlText w:val="•"/>
      <w:lvlJc w:val="left"/>
      <w:pPr>
        <w:tabs>
          <w:tab w:val="left" w:pos="2160"/>
        </w:tabs>
        <w:ind w:left="2160" w:hanging="360"/>
      </w:pPr>
      <w:rPr>
        <w:rFonts w:ascii="Arial" w:hAnsi="Arial" w:hint="default"/>
      </w:rPr>
    </w:lvl>
    <w:lvl w:ilvl="3" w:tplc="57F85720" w:tentative="1">
      <w:start w:val="1"/>
      <w:numFmt w:val="bullet"/>
      <w:lvlText w:val="•"/>
      <w:lvlJc w:val="left"/>
      <w:pPr>
        <w:tabs>
          <w:tab w:val="left" w:pos="2880"/>
        </w:tabs>
        <w:ind w:left="2880" w:hanging="360"/>
      </w:pPr>
      <w:rPr>
        <w:rFonts w:ascii="Arial" w:hAnsi="Arial" w:hint="default"/>
      </w:rPr>
    </w:lvl>
    <w:lvl w:ilvl="4" w:tplc="CA165B6C" w:tentative="1">
      <w:start w:val="1"/>
      <w:numFmt w:val="bullet"/>
      <w:lvlText w:val="•"/>
      <w:lvlJc w:val="left"/>
      <w:pPr>
        <w:tabs>
          <w:tab w:val="left" w:pos="3600"/>
        </w:tabs>
        <w:ind w:left="3600" w:hanging="360"/>
      </w:pPr>
      <w:rPr>
        <w:rFonts w:ascii="Arial" w:hAnsi="Arial" w:hint="default"/>
      </w:rPr>
    </w:lvl>
    <w:lvl w:ilvl="5" w:tplc="CE728020" w:tentative="1">
      <w:start w:val="1"/>
      <w:numFmt w:val="bullet"/>
      <w:lvlText w:val="•"/>
      <w:lvlJc w:val="left"/>
      <w:pPr>
        <w:tabs>
          <w:tab w:val="left" w:pos="4320"/>
        </w:tabs>
        <w:ind w:left="4320" w:hanging="360"/>
      </w:pPr>
      <w:rPr>
        <w:rFonts w:ascii="Arial" w:hAnsi="Arial" w:hint="default"/>
      </w:rPr>
    </w:lvl>
    <w:lvl w:ilvl="6" w:tplc="CCDEFFC8" w:tentative="1">
      <w:start w:val="1"/>
      <w:numFmt w:val="bullet"/>
      <w:lvlText w:val="•"/>
      <w:lvlJc w:val="left"/>
      <w:pPr>
        <w:tabs>
          <w:tab w:val="left" w:pos="5040"/>
        </w:tabs>
        <w:ind w:left="5040" w:hanging="360"/>
      </w:pPr>
      <w:rPr>
        <w:rFonts w:ascii="Arial" w:hAnsi="Arial" w:hint="default"/>
      </w:rPr>
    </w:lvl>
    <w:lvl w:ilvl="7" w:tplc="44FE331C" w:tentative="1">
      <w:start w:val="1"/>
      <w:numFmt w:val="bullet"/>
      <w:lvlText w:val="•"/>
      <w:lvlJc w:val="left"/>
      <w:pPr>
        <w:tabs>
          <w:tab w:val="left" w:pos="5760"/>
        </w:tabs>
        <w:ind w:left="5760" w:hanging="360"/>
      </w:pPr>
      <w:rPr>
        <w:rFonts w:ascii="Arial" w:hAnsi="Arial" w:hint="default"/>
      </w:rPr>
    </w:lvl>
    <w:lvl w:ilvl="8" w:tplc="18062264" w:tentative="1">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0000015"/>
    <w:multiLevelType w:val="singleLevel"/>
    <w:tmpl w:val="F910A2F8"/>
    <w:lvl w:ilvl="0">
      <w:start w:val="56"/>
      <w:numFmt w:val="bullet"/>
      <w:lvlText w:val="-"/>
      <w:lvlJc w:val="left"/>
      <w:pPr>
        <w:tabs>
          <w:tab w:val="left" w:pos="1068"/>
        </w:tabs>
        <w:ind w:left="1068" w:hanging="360"/>
      </w:pPr>
      <w:rPr>
        <w:rFonts w:ascii="Times New Roman" w:hAnsi="Times New Roman" w:hint="default"/>
      </w:rPr>
    </w:lvl>
  </w:abstractNum>
  <w:abstractNum w:abstractNumId="21" w15:restartNumberingAfterBreak="0">
    <w:nsid w:val="00000016"/>
    <w:multiLevelType w:val="singleLevel"/>
    <w:tmpl w:val="040C000F"/>
    <w:lvl w:ilvl="0">
      <w:start w:val="1"/>
      <w:numFmt w:val="decimal"/>
      <w:lvlText w:val="%1."/>
      <w:lvlJc w:val="left"/>
      <w:pPr>
        <w:tabs>
          <w:tab w:val="left" w:pos="360"/>
        </w:tabs>
        <w:ind w:left="360" w:hanging="360"/>
      </w:pPr>
      <w:rPr>
        <w:rFonts w:cs="Times New Roman" w:hint="default"/>
      </w:rPr>
    </w:lvl>
  </w:abstractNum>
  <w:abstractNum w:abstractNumId="22" w15:restartNumberingAfterBreak="0">
    <w:nsid w:val="00000017"/>
    <w:multiLevelType w:val="multilevel"/>
    <w:tmpl w:val="EFEA7EE0"/>
    <w:lvl w:ilvl="0">
      <w:start w:val="1"/>
      <w:numFmt w:val="lowerRoman"/>
      <w:lvlText w:val="%1."/>
      <w:lvlJc w:val="righ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3" w15:restartNumberingAfterBreak="0">
    <w:nsid w:val="00000018"/>
    <w:multiLevelType w:val="multilevel"/>
    <w:tmpl w:val="81A62EF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4" w15:restartNumberingAfterBreak="0">
    <w:nsid w:val="00000019"/>
    <w:multiLevelType w:val="multilevel"/>
    <w:tmpl w:val="5C967460"/>
    <w:lvl w:ilvl="0">
      <w:start w:val="1"/>
      <w:numFmt w:val="upperRoman"/>
      <w:lvlText w:val="%1."/>
      <w:lvlJc w:val="right"/>
      <w:pPr>
        <w:tabs>
          <w:tab w:val="left" w:pos="2136"/>
        </w:tabs>
        <w:ind w:left="2136" w:hanging="180"/>
      </w:pPr>
      <w:rPr>
        <w:rFonts w:cs="Times New Roman"/>
      </w:rPr>
    </w:lvl>
    <w:lvl w:ilvl="1">
      <w:start w:val="1"/>
      <w:numFmt w:val="lowerLetter"/>
      <w:lvlText w:val="%2."/>
      <w:lvlJc w:val="left"/>
      <w:pPr>
        <w:tabs>
          <w:tab w:val="left" w:pos="2856"/>
        </w:tabs>
        <w:ind w:left="2856" w:hanging="360"/>
      </w:pPr>
      <w:rPr>
        <w:rFonts w:cs="Times New Roman"/>
      </w:rPr>
    </w:lvl>
    <w:lvl w:ilvl="2">
      <w:start w:val="1"/>
      <w:numFmt w:val="lowerRoman"/>
      <w:lvlText w:val="%3."/>
      <w:lvlJc w:val="right"/>
      <w:pPr>
        <w:tabs>
          <w:tab w:val="left" w:pos="3576"/>
        </w:tabs>
        <w:ind w:left="3576" w:hanging="180"/>
      </w:pPr>
      <w:rPr>
        <w:rFonts w:cs="Times New Roman"/>
      </w:rPr>
    </w:lvl>
    <w:lvl w:ilvl="3">
      <w:start w:val="1"/>
      <w:numFmt w:val="decimal"/>
      <w:lvlText w:val="%4."/>
      <w:lvlJc w:val="left"/>
      <w:pPr>
        <w:tabs>
          <w:tab w:val="left" w:pos="4296"/>
        </w:tabs>
        <w:ind w:left="4296" w:hanging="360"/>
      </w:pPr>
      <w:rPr>
        <w:rFonts w:cs="Times New Roman"/>
      </w:rPr>
    </w:lvl>
    <w:lvl w:ilvl="4">
      <w:start w:val="1"/>
      <w:numFmt w:val="lowerLetter"/>
      <w:lvlText w:val="%5."/>
      <w:lvlJc w:val="left"/>
      <w:pPr>
        <w:tabs>
          <w:tab w:val="left" w:pos="5016"/>
        </w:tabs>
        <w:ind w:left="5016" w:hanging="360"/>
      </w:pPr>
      <w:rPr>
        <w:rFonts w:cs="Times New Roman"/>
      </w:rPr>
    </w:lvl>
    <w:lvl w:ilvl="5">
      <w:start w:val="1"/>
      <w:numFmt w:val="lowerRoman"/>
      <w:lvlText w:val="%6."/>
      <w:lvlJc w:val="right"/>
      <w:pPr>
        <w:tabs>
          <w:tab w:val="left" w:pos="5736"/>
        </w:tabs>
        <w:ind w:left="5736" w:hanging="180"/>
      </w:pPr>
      <w:rPr>
        <w:rFonts w:cs="Times New Roman"/>
      </w:rPr>
    </w:lvl>
    <w:lvl w:ilvl="6">
      <w:start w:val="1"/>
      <w:numFmt w:val="decimal"/>
      <w:lvlText w:val="%7."/>
      <w:lvlJc w:val="left"/>
      <w:pPr>
        <w:tabs>
          <w:tab w:val="left" w:pos="6456"/>
        </w:tabs>
        <w:ind w:left="6456" w:hanging="360"/>
      </w:pPr>
      <w:rPr>
        <w:rFonts w:cs="Times New Roman"/>
      </w:rPr>
    </w:lvl>
    <w:lvl w:ilvl="7">
      <w:start w:val="1"/>
      <w:numFmt w:val="lowerLetter"/>
      <w:lvlText w:val="%8."/>
      <w:lvlJc w:val="left"/>
      <w:pPr>
        <w:tabs>
          <w:tab w:val="left" w:pos="7176"/>
        </w:tabs>
        <w:ind w:left="7176" w:hanging="360"/>
      </w:pPr>
      <w:rPr>
        <w:rFonts w:cs="Times New Roman"/>
      </w:rPr>
    </w:lvl>
    <w:lvl w:ilvl="8">
      <w:start w:val="1"/>
      <w:numFmt w:val="lowerRoman"/>
      <w:lvlText w:val="%9."/>
      <w:lvlJc w:val="right"/>
      <w:pPr>
        <w:tabs>
          <w:tab w:val="left" w:pos="7896"/>
        </w:tabs>
        <w:ind w:left="7896" w:hanging="180"/>
      </w:pPr>
      <w:rPr>
        <w:rFonts w:cs="Times New Roman"/>
      </w:rPr>
    </w:lvl>
  </w:abstractNum>
  <w:abstractNum w:abstractNumId="25" w15:restartNumberingAfterBreak="0">
    <w:nsid w:val="0000001A"/>
    <w:multiLevelType w:val="multilevel"/>
    <w:tmpl w:val="B65A2186"/>
    <w:lvl w:ilvl="0">
      <w:start w:val="1"/>
      <w:numFmt w:val="lowerLetter"/>
      <w:lvlText w:val="%1)"/>
      <w:lvlJc w:val="left"/>
      <w:pPr>
        <w:tabs>
          <w:tab w:val="left" w:pos="783"/>
        </w:tabs>
        <w:ind w:left="783" w:hanging="360"/>
      </w:pPr>
      <w:rPr>
        <w:rFonts w:cs="Times New Roman"/>
      </w:rPr>
    </w:lvl>
    <w:lvl w:ilvl="1">
      <w:start w:val="1"/>
      <w:numFmt w:val="lowerLetter"/>
      <w:lvlText w:val="%2."/>
      <w:lvlJc w:val="left"/>
      <w:pPr>
        <w:tabs>
          <w:tab w:val="left" w:pos="1503"/>
        </w:tabs>
        <w:ind w:left="1503" w:hanging="360"/>
      </w:pPr>
      <w:rPr>
        <w:rFonts w:cs="Times New Roman"/>
      </w:rPr>
    </w:lvl>
    <w:lvl w:ilvl="2">
      <w:start w:val="1"/>
      <w:numFmt w:val="lowerRoman"/>
      <w:lvlText w:val="%3."/>
      <w:lvlJc w:val="right"/>
      <w:pPr>
        <w:tabs>
          <w:tab w:val="left" w:pos="2223"/>
        </w:tabs>
        <w:ind w:left="2223" w:hanging="180"/>
      </w:pPr>
      <w:rPr>
        <w:rFonts w:cs="Times New Roman"/>
      </w:rPr>
    </w:lvl>
    <w:lvl w:ilvl="3">
      <w:start w:val="1"/>
      <w:numFmt w:val="decimal"/>
      <w:lvlText w:val="%4."/>
      <w:lvlJc w:val="left"/>
      <w:pPr>
        <w:tabs>
          <w:tab w:val="left" w:pos="2943"/>
        </w:tabs>
        <w:ind w:left="2943" w:hanging="360"/>
      </w:pPr>
      <w:rPr>
        <w:rFonts w:cs="Times New Roman"/>
      </w:rPr>
    </w:lvl>
    <w:lvl w:ilvl="4">
      <w:start w:val="1"/>
      <w:numFmt w:val="lowerLetter"/>
      <w:lvlText w:val="%5."/>
      <w:lvlJc w:val="left"/>
      <w:pPr>
        <w:tabs>
          <w:tab w:val="left" w:pos="3663"/>
        </w:tabs>
        <w:ind w:left="3663" w:hanging="360"/>
      </w:pPr>
      <w:rPr>
        <w:rFonts w:cs="Times New Roman"/>
      </w:rPr>
    </w:lvl>
    <w:lvl w:ilvl="5">
      <w:start w:val="1"/>
      <w:numFmt w:val="lowerRoman"/>
      <w:lvlText w:val="%6."/>
      <w:lvlJc w:val="right"/>
      <w:pPr>
        <w:tabs>
          <w:tab w:val="left" w:pos="4383"/>
        </w:tabs>
        <w:ind w:left="4383" w:hanging="180"/>
      </w:pPr>
      <w:rPr>
        <w:rFonts w:cs="Times New Roman"/>
      </w:rPr>
    </w:lvl>
    <w:lvl w:ilvl="6">
      <w:start w:val="1"/>
      <w:numFmt w:val="decimal"/>
      <w:lvlText w:val="%7."/>
      <w:lvlJc w:val="left"/>
      <w:pPr>
        <w:tabs>
          <w:tab w:val="left" w:pos="5103"/>
        </w:tabs>
        <w:ind w:left="5103" w:hanging="360"/>
      </w:pPr>
      <w:rPr>
        <w:rFonts w:cs="Times New Roman"/>
      </w:rPr>
    </w:lvl>
    <w:lvl w:ilvl="7">
      <w:start w:val="1"/>
      <w:numFmt w:val="lowerLetter"/>
      <w:lvlText w:val="%8."/>
      <w:lvlJc w:val="left"/>
      <w:pPr>
        <w:tabs>
          <w:tab w:val="left" w:pos="5823"/>
        </w:tabs>
        <w:ind w:left="5823" w:hanging="360"/>
      </w:pPr>
      <w:rPr>
        <w:rFonts w:cs="Times New Roman"/>
      </w:rPr>
    </w:lvl>
    <w:lvl w:ilvl="8">
      <w:start w:val="1"/>
      <w:numFmt w:val="lowerRoman"/>
      <w:lvlText w:val="%9."/>
      <w:lvlJc w:val="right"/>
      <w:pPr>
        <w:tabs>
          <w:tab w:val="left" w:pos="6543"/>
        </w:tabs>
        <w:ind w:left="6543" w:hanging="180"/>
      </w:pPr>
      <w:rPr>
        <w:rFonts w:cs="Times New Roman"/>
      </w:rPr>
    </w:lvl>
  </w:abstractNum>
  <w:abstractNum w:abstractNumId="26" w15:restartNumberingAfterBreak="0">
    <w:nsid w:val="0000001B"/>
    <w:multiLevelType w:val="multilevel"/>
    <w:tmpl w:val="9FF609F0"/>
    <w:lvl w:ilvl="0">
      <w:start w:val="1"/>
      <w:numFmt w:val="decimal"/>
      <w:lvlText w:val="%1."/>
      <w:lvlJc w:val="left"/>
      <w:pPr>
        <w:tabs>
          <w:tab w:val="left" w:pos="1743"/>
        </w:tabs>
        <w:ind w:left="1743" w:hanging="1035"/>
      </w:pPr>
      <w:rPr>
        <w:rFonts w:cs="Times New Roman" w:hint="default"/>
      </w:rPr>
    </w:lvl>
    <w:lvl w:ilvl="1">
      <w:start w:val="1"/>
      <w:numFmt w:val="lowerLetter"/>
      <w:lvlText w:val="%2."/>
      <w:lvlJc w:val="left"/>
      <w:pPr>
        <w:tabs>
          <w:tab w:val="left" w:pos="1788"/>
        </w:tabs>
        <w:ind w:left="1788" w:hanging="360"/>
      </w:pPr>
      <w:rPr>
        <w:rFonts w:cs="Times New Roman"/>
      </w:rPr>
    </w:lvl>
    <w:lvl w:ilvl="2">
      <w:start w:val="1"/>
      <w:numFmt w:val="lowerRoman"/>
      <w:lvlText w:val="%3."/>
      <w:lvlJc w:val="right"/>
      <w:pPr>
        <w:tabs>
          <w:tab w:val="left" w:pos="2508"/>
        </w:tabs>
        <w:ind w:left="2508" w:hanging="180"/>
      </w:pPr>
      <w:rPr>
        <w:rFonts w:cs="Times New Roman"/>
      </w:rPr>
    </w:lvl>
    <w:lvl w:ilvl="3">
      <w:start w:val="1"/>
      <w:numFmt w:val="decimal"/>
      <w:lvlText w:val="%4."/>
      <w:lvlJc w:val="left"/>
      <w:pPr>
        <w:tabs>
          <w:tab w:val="left" w:pos="3228"/>
        </w:tabs>
        <w:ind w:left="3228" w:hanging="360"/>
      </w:pPr>
      <w:rPr>
        <w:rFonts w:cs="Times New Roman"/>
      </w:rPr>
    </w:lvl>
    <w:lvl w:ilvl="4">
      <w:start w:val="1"/>
      <w:numFmt w:val="lowerLetter"/>
      <w:lvlText w:val="%5."/>
      <w:lvlJc w:val="left"/>
      <w:pPr>
        <w:tabs>
          <w:tab w:val="left" w:pos="3948"/>
        </w:tabs>
        <w:ind w:left="3948" w:hanging="360"/>
      </w:pPr>
      <w:rPr>
        <w:rFonts w:cs="Times New Roman"/>
      </w:rPr>
    </w:lvl>
    <w:lvl w:ilvl="5">
      <w:start w:val="1"/>
      <w:numFmt w:val="lowerRoman"/>
      <w:lvlText w:val="%6."/>
      <w:lvlJc w:val="right"/>
      <w:pPr>
        <w:tabs>
          <w:tab w:val="left" w:pos="4668"/>
        </w:tabs>
        <w:ind w:left="4668" w:hanging="180"/>
      </w:pPr>
      <w:rPr>
        <w:rFonts w:cs="Times New Roman"/>
      </w:rPr>
    </w:lvl>
    <w:lvl w:ilvl="6">
      <w:start w:val="1"/>
      <w:numFmt w:val="decimal"/>
      <w:lvlText w:val="%7."/>
      <w:lvlJc w:val="left"/>
      <w:pPr>
        <w:tabs>
          <w:tab w:val="left" w:pos="5388"/>
        </w:tabs>
        <w:ind w:left="5388" w:hanging="360"/>
      </w:pPr>
      <w:rPr>
        <w:rFonts w:cs="Times New Roman"/>
      </w:rPr>
    </w:lvl>
    <w:lvl w:ilvl="7">
      <w:start w:val="1"/>
      <w:numFmt w:val="lowerLetter"/>
      <w:lvlText w:val="%8."/>
      <w:lvlJc w:val="left"/>
      <w:pPr>
        <w:tabs>
          <w:tab w:val="left" w:pos="6108"/>
        </w:tabs>
        <w:ind w:left="6108" w:hanging="360"/>
      </w:pPr>
      <w:rPr>
        <w:rFonts w:cs="Times New Roman"/>
      </w:rPr>
    </w:lvl>
    <w:lvl w:ilvl="8">
      <w:start w:val="1"/>
      <w:numFmt w:val="lowerRoman"/>
      <w:lvlText w:val="%9."/>
      <w:lvlJc w:val="right"/>
      <w:pPr>
        <w:tabs>
          <w:tab w:val="left" w:pos="6828"/>
        </w:tabs>
        <w:ind w:left="6828" w:hanging="180"/>
      </w:pPr>
      <w:rPr>
        <w:rFonts w:cs="Times New Roman"/>
      </w:rPr>
    </w:lvl>
  </w:abstractNum>
  <w:abstractNum w:abstractNumId="27" w15:restartNumberingAfterBreak="0">
    <w:nsid w:val="0000001C"/>
    <w:multiLevelType w:val="singleLevel"/>
    <w:tmpl w:val="0B82E562"/>
    <w:lvl w:ilvl="0">
      <w:start w:val="1"/>
      <w:numFmt w:val="upperLetter"/>
      <w:lvlText w:val="%1."/>
      <w:lvlJc w:val="left"/>
      <w:pPr>
        <w:tabs>
          <w:tab w:val="left" w:pos="644"/>
        </w:tabs>
        <w:ind w:left="644" w:hanging="360"/>
      </w:pPr>
      <w:rPr>
        <w:rFonts w:cs="Times New Roman" w:hint="default"/>
      </w:rPr>
    </w:lvl>
  </w:abstractNum>
  <w:abstractNum w:abstractNumId="28" w15:restartNumberingAfterBreak="0">
    <w:nsid w:val="0000001D"/>
    <w:multiLevelType w:val="multilevel"/>
    <w:tmpl w:val="56CADCF4"/>
    <w:lvl w:ilvl="0">
      <w:start w:val="1"/>
      <w:numFmt w:val="upperRoman"/>
      <w:lvlText w:val="%1."/>
      <w:lvlJc w:val="left"/>
      <w:pPr>
        <w:tabs>
          <w:tab w:val="left" w:pos="1080"/>
        </w:tabs>
        <w:ind w:left="1080" w:hanging="72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9" w15:restartNumberingAfterBreak="0">
    <w:nsid w:val="0000001E"/>
    <w:multiLevelType w:val="multilevel"/>
    <w:tmpl w:val="C5E689B8"/>
    <w:lvl w:ilvl="0">
      <w:start w:val="2"/>
      <w:numFmt w:val="upperLetter"/>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0" w15:restartNumberingAfterBreak="0">
    <w:nsid w:val="0000001F"/>
    <w:multiLevelType w:val="multilevel"/>
    <w:tmpl w:val="BBDA2DC2"/>
    <w:lvl w:ilvl="0">
      <w:start w:val="1"/>
      <w:numFmt w:val="upperRoman"/>
      <w:lvlText w:val="%1."/>
      <w:lvlJc w:val="left"/>
      <w:pPr>
        <w:tabs>
          <w:tab w:val="left" w:pos="1080"/>
        </w:tabs>
        <w:ind w:left="1080" w:hanging="720"/>
      </w:pPr>
      <w:rPr>
        <w:rFonts w:cs="Times New Roman" w:hint="default"/>
      </w:rPr>
    </w:lvl>
    <w:lvl w:ilvl="1">
      <w:start w:val="1"/>
      <w:numFmt w:val="decimal"/>
      <w:isLgl/>
      <w:lvlText w:val="%1.%2."/>
      <w:lvlJc w:val="left"/>
      <w:pPr>
        <w:tabs>
          <w:tab w:val="left" w:pos="1080"/>
        </w:tabs>
        <w:ind w:left="1080" w:hanging="720"/>
      </w:pPr>
      <w:rPr>
        <w:rFonts w:cs="Times New Roman" w:hint="default"/>
      </w:rPr>
    </w:lvl>
    <w:lvl w:ilvl="2">
      <w:start w:val="1"/>
      <w:numFmt w:val="decimal"/>
      <w:isLgl/>
      <w:lvlText w:val="%1.%2.%3."/>
      <w:lvlJc w:val="left"/>
      <w:pPr>
        <w:tabs>
          <w:tab w:val="left" w:pos="1080"/>
        </w:tabs>
        <w:ind w:left="1080" w:hanging="720"/>
      </w:pPr>
      <w:rPr>
        <w:rFonts w:cs="Times New Roman" w:hint="default"/>
      </w:rPr>
    </w:lvl>
    <w:lvl w:ilvl="3">
      <w:start w:val="1"/>
      <w:numFmt w:val="decimal"/>
      <w:isLgl/>
      <w:lvlText w:val="%1.%2.%3.%4."/>
      <w:lvlJc w:val="left"/>
      <w:pPr>
        <w:tabs>
          <w:tab w:val="left" w:pos="1440"/>
        </w:tabs>
        <w:ind w:left="1440" w:hanging="1080"/>
      </w:pPr>
      <w:rPr>
        <w:rFonts w:cs="Times New Roman" w:hint="default"/>
      </w:rPr>
    </w:lvl>
    <w:lvl w:ilvl="4">
      <w:start w:val="1"/>
      <w:numFmt w:val="decimal"/>
      <w:isLgl/>
      <w:lvlText w:val="%1.%2.%3.%4.%5."/>
      <w:lvlJc w:val="left"/>
      <w:pPr>
        <w:tabs>
          <w:tab w:val="left" w:pos="1800"/>
        </w:tabs>
        <w:ind w:left="1800" w:hanging="1440"/>
      </w:pPr>
      <w:rPr>
        <w:rFonts w:cs="Times New Roman" w:hint="default"/>
      </w:rPr>
    </w:lvl>
    <w:lvl w:ilvl="5">
      <w:start w:val="1"/>
      <w:numFmt w:val="decimal"/>
      <w:isLgl/>
      <w:lvlText w:val="%1.%2.%3.%4.%5.%6."/>
      <w:lvlJc w:val="left"/>
      <w:pPr>
        <w:tabs>
          <w:tab w:val="left" w:pos="1800"/>
        </w:tabs>
        <w:ind w:left="1800" w:hanging="1440"/>
      </w:pPr>
      <w:rPr>
        <w:rFonts w:cs="Times New Roman" w:hint="default"/>
      </w:rPr>
    </w:lvl>
    <w:lvl w:ilvl="6">
      <w:start w:val="1"/>
      <w:numFmt w:val="decimal"/>
      <w:isLgl/>
      <w:lvlText w:val="%1.%2.%3.%4.%5.%6.%7."/>
      <w:lvlJc w:val="left"/>
      <w:pPr>
        <w:tabs>
          <w:tab w:val="left" w:pos="2160"/>
        </w:tabs>
        <w:ind w:left="2160" w:hanging="1800"/>
      </w:pPr>
      <w:rPr>
        <w:rFonts w:cs="Times New Roman" w:hint="default"/>
      </w:rPr>
    </w:lvl>
    <w:lvl w:ilvl="7">
      <w:start w:val="1"/>
      <w:numFmt w:val="decimal"/>
      <w:isLgl/>
      <w:lvlText w:val="%1.%2.%3.%4.%5.%6.%7.%8."/>
      <w:lvlJc w:val="left"/>
      <w:pPr>
        <w:tabs>
          <w:tab w:val="left" w:pos="2520"/>
        </w:tabs>
        <w:ind w:left="2520" w:hanging="2160"/>
      </w:pPr>
      <w:rPr>
        <w:rFonts w:cs="Times New Roman" w:hint="default"/>
      </w:rPr>
    </w:lvl>
    <w:lvl w:ilvl="8">
      <w:start w:val="1"/>
      <w:numFmt w:val="decimal"/>
      <w:isLgl/>
      <w:lvlText w:val="%1.%2.%3.%4.%5.%6.%7.%8.%9."/>
      <w:lvlJc w:val="left"/>
      <w:pPr>
        <w:tabs>
          <w:tab w:val="left" w:pos="2520"/>
        </w:tabs>
        <w:ind w:left="2520" w:hanging="2160"/>
      </w:pPr>
      <w:rPr>
        <w:rFonts w:cs="Times New Roman" w:hint="default"/>
      </w:rPr>
    </w:lvl>
  </w:abstractNum>
  <w:abstractNum w:abstractNumId="31" w15:restartNumberingAfterBreak="0">
    <w:nsid w:val="00000020"/>
    <w:multiLevelType w:val="multilevel"/>
    <w:tmpl w:val="1056F8C0"/>
    <w:lvl w:ilvl="0">
      <w:start w:val="1"/>
      <w:numFmt w:val="lowerLetter"/>
      <w:lvlText w:val="%1)"/>
      <w:lvlJc w:val="left"/>
      <w:pPr>
        <w:tabs>
          <w:tab w:val="left" w:pos="1495"/>
        </w:tabs>
        <w:ind w:left="1495" w:hanging="360"/>
      </w:pPr>
      <w:rPr>
        <w:rFonts w:cs="Times New Roman"/>
      </w:rPr>
    </w:lvl>
    <w:lvl w:ilvl="1">
      <w:start w:val="1"/>
      <w:numFmt w:val="lowerLetter"/>
      <w:lvlText w:val="%2."/>
      <w:lvlJc w:val="left"/>
      <w:pPr>
        <w:tabs>
          <w:tab w:val="left" w:pos="2215"/>
        </w:tabs>
        <w:ind w:left="2215" w:hanging="360"/>
      </w:pPr>
      <w:rPr>
        <w:rFonts w:cs="Times New Roman"/>
      </w:rPr>
    </w:lvl>
    <w:lvl w:ilvl="2">
      <w:start w:val="1"/>
      <w:numFmt w:val="lowerRoman"/>
      <w:lvlText w:val="%3."/>
      <w:lvlJc w:val="right"/>
      <w:pPr>
        <w:tabs>
          <w:tab w:val="left" w:pos="2935"/>
        </w:tabs>
        <w:ind w:left="2935" w:hanging="180"/>
      </w:pPr>
      <w:rPr>
        <w:rFonts w:cs="Times New Roman"/>
      </w:rPr>
    </w:lvl>
    <w:lvl w:ilvl="3">
      <w:start w:val="1"/>
      <w:numFmt w:val="decimal"/>
      <w:lvlText w:val="%4."/>
      <w:lvlJc w:val="left"/>
      <w:pPr>
        <w:tabs>
          <w:tab w:val="left" w:pos="3655"/>
        </w:tabs>
        <w:ind w:left="3655" w:hanging="360"/>
      </w:pPr>
      <w:rPr>
        <w:rFonts w:cs="Times New Roman"/>
      </w:rPr>
    </w:lvl>
    <w:lvl w:ilvl="4">
      <w:start w:val="1"/>
      <w:numFmt w:val="lowerLetter"/>
      <w:lvlText w:val="%5."/>
      <w:lvlJc w:val="left"/>
      <w:pPr>
        <w:tabs>
          <w:tab w:val="left" w:pos="4375"/>
        </w:tabs>
        <w:ind w:left="4375" w:hanging="360"/>
      </w:pPr>
      <w:rPr>
        <w:rFonts w:cs="Times New Roman"/>
      </w:rPr>
    </w:lvl>
    <w:lvl w:ilvl="5">
      <w:start w:val="1"/>
      <w:numFmt w:val="lowerRoman"/>
      <w:lvlText w:val="%6."/>
      <w:lvlJc w:val="right"/>
      <w:pPr>
        <w:tabs>
          <w:tab w:val="left" w:pos="5095"/>
        </w:tabs>
        <w:ind w:left="5095" w:hanging="180"/>
      </w:pPr>
      <w:rPr>
        <w:rFonts w:cs="Times New Roman"/>
      </w:rPr>
    </w:lvl>
    <w:lvl w:ilvl="6">
      <w:start w:val="1"/>
      <w:numFmt w:val="decimal"/>
      <w:lvlText w:val="%7."/>
      <w:lvlJc w:val="left"/>
      <w:pPr>
        <w:tabs>
          <w:tab w:val="left" w:pos="5815"/>
        </w:tabs>
        <w:ind w:left="5815" w:hanging="360"/>
      </w:pPr>
      <w:rPr>
        <w:rFonts w:cs="Times New Roman"/>
      </w:rPr>
    </w:lvl>
    <w:lvl w:ilvl="7">
      <w:start w:val="1"/>
      <w:numFmt w:val="lowerLetter"/>
      <w:lvlText w:val="%8."/>
      <w:lvlJc w:val="left"/>
      <w:pPr>
        <w:tabs>
          <w:tab w:val="left" w:pos="6535"/>
        </w:tabs>
        <w:ind w:left="6535" w:hanging="360"/>
      </w:pPr>
      <w:rPr>
        <w:rFonts w:cs="Times New Roman"/>
      </w:rPr>
    </w:lvl>
    <w:lvl w:ilvl="8">
      <w:start w:val="1"/>
      <w:numFmt w:val="lowerRoman"/>
      <w:lvlText w:val="%9."/>
      <w:lvlJc w:val="right"/>
      <w:pPr>
        <w:tabs>
          <w:tab w:val="left" w:pos="7255"/>
        </w:tabs>
        <w:ind w:left="7255" w:hanging="180"/>
      </w:pPr>
      <w:rPr>
        <w:rFonts w:cs="Times New Roman"/>
      </w:rPr>
    </w:lvl>
  </w:abstractNum>
  <w:abstractNum w:abstractNumId="32" w15:restartNumberingAfterBreak="0">
    <w:nsid w:val="00000021"/>
    <w:multiLevelType w:val="multilevel"/>
    <w:tmpl w:val="0E20629C"/>
    <w:lvl w:ilvl="0">
      <w:start w:val="1"/>
      <w:numFmt w:val="decimal"/>
      <w:lvlText w:val="%1."/>
      <w:lvlJc w:val="left"/>
      <w:pPr>
        <w:tabs>
          <w:tab w:val="left" w:pos="644"/>
        </w:tabs>
        <w:ind w:left="644" w:hanging="360"/>
      </w:pPr>
      <w:rPr>
        <w:rFonts w:cs="Times New Roman" w:hint="default"/>
      </w:rPr>
    </w:lvl>
    <w:lvl w:ilvl="1">
      <w:start w:val="1"/>
      <w:numFmt w:val="lowerLetter"/>
      <w:lvlText w:val="%2."/>
      <w:lvlJc w:val="left"/>
      <w:pPr>
        <w:tabs>
          <w:tab w:val="left" w:pos="1364"/>
        </w:tabs>
        <w:ind w:left="1364" w:hanging="360"/>
      </w:pPr>
      <w:rPr>
        <w:rFonts w:cs="Times New Roman"/>
      </w:rPr>
    </w:lvl>
    <w:lvl w:ilvl="2">
      <w:start w:val="1"/>
      <w:numFmt w:val="lowerRoman"/>
      <w:lvlText w:val="%3."/>
      <w:lvlJc w:val="right"/>
      <w:pPr>
        <w:tabs>
          <w:tab w:val="left" w:pos="2084"/>
        </w:tabs>
        <w:ind w:left="2084" w:hanging="180"/>
      </w:pPr>
      <w:rPr>
        <w:rFonts w:cs="Times New Roman"/>
      </w:rPr>
    </w:lvl>
    <w:lvl w:ilvl="3">
      <w:start w:val="1"/>
      <w:numFmt w:val="decimal"/>
      <w:lvlText w:val="%4."/>
      <w:lvlJc w:val="left"/>
      <w:pPr>
        <w:tabs>
          <w:tab w:val="left" w:pos="2804"/>
        </w:tabs>
        <w:ind w:left="2804" w:hanging="360"/>
      </w:pPr>
      <w:rPr>
        <w:rFonts w:cs="Times New Roman"/>
      </w:rPr>
    </w:lvl>
    <w:lvl w:ilvl="4">
      <w:start w:val="1"/>
      <w:numFmt w:val="lowerLetter"/>
      <w:lvlText w:val="%5."/>
      <w:lvlJc w:val="left"/>
      <w:pPr>
        <w:tabs>
          <w:tab w:val="left" w:pos="3524"/>
        </w:tabs>
        <w:ind w:left="3524" w:hanging="360"/>
      </w:pPr>
      <w:rPr>
        <w:rFonts w:cs="Times New Roman"/>
      </w:rPr>
    </w:lvl>
    <w:lvl w:ilvl="5">
      <w:start w:val="1"/>
      <w:numFmt w:val="lowerRoman"/>
      <w:lvlText w:val="%6."/>
      <w:lvlJc w:val="right"/>
      <w:pPr>
        <w:tabs>
          <w:tab w:val="left" w:pos="4244"/>
        </w:tabs>
        <w:ind w:left="4244" w:hanging="180"/>
      </w:pPr>
      <w:rPr>
        <w:rFonts w:cs="Times New Roman"/>
      </w:rPr>
    </w:lvl>
    <w:lvl w:ilvl="6">
      <w:start w:val="1"/>
      <w:numFmt w:val="decimal"/>
      <w:lvlText w:val="%7."/>
      <w:lvlJc w:val="left"/>
      <w:pPr>
        <w:tabs>
          <w:tab w:val="left" w:pos="4964"/>
        </w:tabs>
        <w:ind w:left="4964" w:hanging="360"/>
      </w:pPr>
      <w:rPr>
        <w:rFonts w:cs="Times New Roman"/>
      </w:rPr>
    </w:lvl>
    <w:lvl w:ilvl="7">
      <w:start w:val="1"/>
      <w:numFmt w:val="lowerLetter"/>
      <w:lvlText w:val="%8."/>
      <w:lvlJc w:val="left"/>
      <w:pPr>
        <w:tabs>
          <w:tab w:val="left" w:pos="5684"/>
        </w:tabs>
        <w:ind w:left="5684" w:hanging="360"/>
      </w:pPr>
      <w:rPr>
        <w:rFonts w:cs="Times New Roman"/>
      </w:rPr>
    </w:lvl>
    <w:lvl w:ilvl="8">
      <w:start w:val="1"/>
      <w:numFmt w:val="lowerRoman"/>
      <w:lvlText w:val="%9."/>
      <w:lvlJc w:val="right"/>
      <w:pPr>
        <w:tabs>
          <w:tab w:val="left" w:pos="6404"/>
        </w:tabs>
        <w:ind w:left="6404" w:hanging="180"/>
      </w:pPr>
      <w:rPr>
        <w:rFonts w:cs="Times New Roman"/>
      </w:rPr>
    </w:lvl>
  </w:abstractNum>
  <w:abstractNum w:abstractNumId="33" w15:restartNumberingAfterBreak="0">
    <w:nsid w:val="00000022"/>
    <w:multiLevelType w:val="multilevel"/>
    <w:tmpl w:val="8AC08C40"/>
    <w:lvl w:ilvl="0">
      <w:start w:val="1"/>
      <w:numFmt w:val="upperRoman"/>
      <w:lvlText w:val="%1."/>
      <w:lvlJc w:val="left"/>
      <w:pPr>
        <w:tabs>
          <w:tab w:val="left" w:pos="1080"/>
        </w:tabs>
        <w:ind w:left="1080" w:hanging="72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4" w15:restartNumberingAfterBreak="0">
    <w:nsid w:val="2F905B3B"/>
    <w:multiLevelType w:val="multilevel"/>
    <w:tmpl w:val="B06C9986"/>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num w:numId="1">
    <w:abstractNumId w:val="1"/>
  </w:num>
  <w:num w:numId="2">
    <w:abstractNumId w:val="10"/>
  </w:num>
  <w:num w:numId="3">
    <w:abstractNumId w:val="14"/>
  </w:num>
  <w:num w:numId="4">
    <w:abstractNumId w:val="22"/>
  </w:num>
  <w:num w:numId="5">
    <w:abstractNumId w:val="25"/>
  </w:num>
  <w:num w:numId="6">
    <w:abstractNumId w:val="13"/>
  </w:num>
  <w:num w:numId="7">
    <w:abstractNumId w:val="31"/>
  </w:num>
  <w:num w:numId="8">
    <w:abstractNumId w:val="16"/>
  </w:num>
  <w:num w:numId="9">
    <w:abstractNumId w:val="24"/>
  </w:num>
  <w:num w:numId="10">
    <w:abstractNumId w:val="0"/>
  </w:num>
  <w:num w:numId="11">
    <w:abstractNumId w:val="5"/>
  </w:num>
  <w:num w:numId="12">
    <w:abstractNumId w:val="28"/>
  </w:num>
  <w:num w:numId="13">
    <w:abstractNumId w:val="18"/>
  </w:num>
  <w:num w:numId="14">
    <w:abstractNumId w:val="9"/>
  </w:num>
  <w:num w:numId="15">
    <w:abstractNumId w:val="20"/>
  </w:num>
  <w:num w:numId="16">
    <w:abstractNumId w:val="21"/>
  </w:num>
  <w:num w:numId="17">
    <w:abstractNumId w:val="12"/>
  </w:num>
  <w:num w:numId="18">
    <w:abstractNumId w:val="8"/>
  </w:num>
  <w:num w:numId="19">
    <w:abstractNumId w:val="27"/>
  </w:num>
  <w:num w:numId="20">
    <w:abstractNumId w:val="1"/>
    <w:lvlOverride w:ilvl="0">
      <w:startOverride w:val="1"/>
    </w:lvlOverride>
  </w:num>
  <w:num w:numId="21">
    <w:abstractNumId w:val="12"/>
    <w:lvlOverride w:ilvl="0">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3"/>
  </w:num>
  <w:num w:numId="25">
    <w:abstractNumId w:val="34"/>
  </w:num>
  <w:num w:numId="26">
    <w:abstractNumId w:val="6"/>
  </w:num>
  <w:num w:numId="27">
    <w:abstractNumId w:val="3"/>
  </w:num>
  <w:num w:numId="28">
    <w:abstractNumId w:val="30"/>
  </w:num>
  <w:num w:numId="29">
    <w:abstractNumId w:val="26"/>
  </w:num>
  <w:num w:numId="30">
    <w:abstractNumId w:val="33"/>
  </w:num>
  <w:num w:numId="31">
    <w:abstractNumId w:val="7"/>
  </w:num>
  <w:num w:numId="32">
    <w:abstractNumId w:val="32"/>
  </w:num>
  <w:num w:numId="33">
    <w:abstractNumId w:val="11"/>
  </w:num>
  <w:num w:numId="34">
    <w:abstractNumId w:val="4"/>
  </w:num>
  <w:num w:numId="35">
    <w:abstractNumId w:val="2"/>
  </w:num>
  <w:num w:numId="36">
    <w:abstractNumId w:val="15"/>
  </w:num>
  <w:num w:numId="37">
    <w:abstractNumId w:val="29"/>
  </w:num>
  <w:num w:numId="38">
    <w:abstractNumId w:val="1"/>
    <w:lvlOverride w:ilvl="0">
      <w:startOverride w:val="1"/>
    </w:lvlOverride>
  </w:num>
  <w:num w:numId="39">
    <w:abstractNumId w:val="12"/>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17"/>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mirrorMargi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A8"/>
    <w:rsid w:val="000A31A8"/>
    <w:rsid w:val="00146B38"/>
    <w:rsid w:val="004F6FFA"/>
    <w:rsid w:val="0060563F"/>
    <w:rsid w:val="0065345B"/>
    <w:rsid w:val="00757588"/>
    <w:rsid w:val="00C727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0030EC6-B0FA-4A15-A628-5DBF7E95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hAnsi="Times New Roman" w:cs="Times New Roman"/>
      <w:sz w:val="20"/>
      <w:szCs w:val="20"/>
      <w:lang w:eastAsia="fr-FR"/>
    </w:rPr>
  </w:style>
  <w:style w:type="paragraph" w:styleId="Titre1">
    <w:name w:val="heading 1"/>
    <w:basedOn w:val="Normal"/>
    <w:next w:val="Normal"/>
    <w:link w:val="Titre1Car"/>
    <w:uiPriority w:val="99"/>
    <w:qFormat/>
    <w:pPr>
      <w:keepNext/>
      <w:tabs>
        <w:tab w:val="left" w:pos="1185"/>
        <w:tab w:val="left" w:pos="2520"/>
        <w:tab w:val="left" w:pos="7275"/>
      </w:tabs>
      <w:spacing w:after="120" w:line="360" w:lineRule="auto"/>
      <w:ind w:left="284" w:right="227" w:firstLine="709"/>
      <w:jc w:val="center"/>
      <w:outlineLvl w:val="0"/>
    </w:pPr>
    <w:rPr>
      <w:rFonts w:ascii="Batang" w:eastAsia="Batang" w:hAnsi="Batang" w:cs="Batang"/>
      <w:b/>
      <w:bCs/>
      <w:kern w:val="32"/>
      <w:sz w:val="26"/>
      <w:szCs w:val="26"/>
      <w:lang w:val="fr-BE"/>
    </w:rPr>
  </w:style>
  <w:style w:type="paragraph" w:styleId="Titre2">
    <w:name w:val="heading 2"/>
    <w:basedOn w:val="Normal"/>
    <w:next w:val="Normal"/>
    <w:link w:val="Titre2Car"/>
    <w:uiPriority w:val="99"/>
    <w:qFormat/>
    <w:pPr>
      <w:keepNext/>
      <w:tabs>
        <w:tab w:val="left" w:pos="1185"/>
        <w:tab w:val="left" w:pos="2520"/>
      </w:tabs>
      <w:spacing w:after="120" w:line="360" w:lineRule="auto"/>
      <w:ind w:left="284" w:hanging="11"/>
      <w:jc w:val="both"/>
      <w:outlineLvl w:val="1"/>
    </w:pPr>
    <w:rPr>
      <w:rFonts w:ascii="Batang" w:eastAsia="Batang" w:hAnsi="Batang" w:cs="Batang"/>
      <w:b/>
      <w:bCs/>
      <w:caps/>
      <w:sz w:val="26"/>
      <w:szCs w:val="26"/>
      <w:lang w:val="fr-BE"/>
    </w:rPr>
  </w:style>
  <w:style w:type="paragraph" w:styleId="Titre3">
    <w:name w:val="heading 3"/>
    <w:basedOn w:val="Normal"/>
    <w:next w:val="Normal"/>
    <w:link w:val="Titre3Car"/>
    <w:uiPriority w:val="99"/>
    <w:qFormat/>
    <w:pPr>
      <w:keepNext/>
      <w:tabs>
        <w:tab w:val="left" w:pos="1185"/>
        <w:tab w:val="left" w:pos="2520"/>
      </w:tabs>
      <w:spacing w:after="120" w:line="360" w:lineRule="auto"/>
      <w:ind w:left="284" w:firstLine="709"/>
      <w:jc w:val="both"/>
      <w:outlineLvl w:val="2"/>
    </w:pPr>
    <w:rPr>
      <w:rFonts w:ascii="Batang" w:eastAsia="Batang" w:hAnsi="Batang" w:cs="Batang"/>
      <w:b/>
      <w:bCs/>
      <w:sz w:val="26"/>
      <w:szCs w:val="26"/>
      <w:lang w:val="fr-BE"/>
    </w:rPr>
  </w:style>
  <w:style w:type="paragraph" w:styleId="Titre4">
    <w:name w:val="heading 4"/>
    <w:basedOn w:val="Normal"/>
    <w:next w:val="Normal"/>
    <w:link w:val="Titre4Car"/>
    <w:uiPriority w:val="99"/>
    <w:qFormat/>
    <w:pPr>
      <w:keepNext/>
      <w:tabs>
        <w:tab w:val="left" w:pos="1185"/>
        <w:tab w:val="left" w:pos="2520"/>
      </w:tabs>
      <w:spacing w:after="120" w:line="360" w:lineRule="auto"/>
      <w:ind w:left="284" w:firstLine="709"/>
      <w:jc w:val="both"/>
      <w:outlineLvl w:val="3"/>
    </w:pPr>
    <w:rPr>
      <w:rFonts w:ascii="Batang" w:eastAsia="Batang" w:hAnsi="Batang" w:cs="Batang"/>
      <w:b/>
      <w:bCs/>
      <w:sz w:val="26"/>
      <w:szCs w:val="26"/>
      <w:lang w:val="fr-BE"/>
    </w:rPr>
  </w:style>
  <w:style w:type="paragraph" w:styleId="Titre5">
    <w:name w:val="heading 5"/>
    <w:basedOn w:val="Normal"/>
    <w:next w:val="Normal"/>
    <w:link w:val="Titre5Car"/>
    <w:uiPriority w:val="99"/>
    <w:qFormat/>
    <w:pPr>
      <w:keepNext/>
      <w:spacing w:line="360" w:lineRule="auto"/>
      <w:ind w:firstLine="709"/>
      <w:jc w:val="both"/>
      <w:outlineLvl w:val="4"/>
    </w:pPr>
    <w:rPr>
      <w:b/>
      <w:bCs/>
      <w:sz w:val="28"/>
      <w:szCs w:val="28"/>
      <w:lang w:val="fr-BE"/>
    </w:rPr>
  </w:style>
  <w:style w:type="paragraph" w:styleId="Titre6">
    <w:name w:val="heading 6"/>
    <w:basedOn w:val="Normal"/>
    <w:next w:val="Normal"/>
    <w:link w:val="Titre6Car"/>
    <w:uiPriority w:val="99"/>
    <w:qFormat/>
    <w:pPr>
      <w:keepNext/>
      <w:spacing w:line="240" w:lineRule="atLeast"/>
      <w:ind w:left="284" w:firstLine="424"/>
      <w:jc w:val="center"/>
      <w:outlineLvl w:val="5"/>
    </w:pPr>
    <w:rPr>
      <w:rFonts w:ascii="Bookman Old Style" w:eastAsia="Batang" w:hAnsi="Bookman Old Style" w:cs="Bookman Old Style"/>
      <w:b/>
      <w:bCs/>
      <w:sz w:val="22"/>
      <w:szCs w:val="22"/>
    </w:rPr>
  </w:style>
  <w:style w:type="paragraph" w:styleId="Titre7">
    <w:name w:val="heading 7"/>
    <w:basedOn w:val="Normal"/>
    <w:next w:val="Normal"/>
    <w:link w:val="Titre7Car"/>
    <w:uiPriority w:val="99"/>
    <w:qFormat/>
    <w:pPr>
      <w:keepNext/>
      <w:numPr>
        <w:numId w:val="1"/>
      </w:numPr>
      <w:outlineLvl w:val="6"/>
    </w:pPr>
    <w:rPr>
      <w:rFonts w:ascii="Bookman Old Style" w:hAnsi="Bookman Old Style" w:cs="Bookman Old Style"/>
      <w:b/>
      <w:bCs/>
      <w:sz w:val="24"/>
      <w:szCs w:val="24"/>
    </w:rPr>
  </w:style>
  <w:style w:type="paragraph" w:styleId="Titre8">
    <w:name w:val="heading 8"/>
    <w:basedOn w:val="Normal"/>
    <w:next w:val="Normal"/>
    <w:link w:val="Titre8Car"/>
    <w:uiPriority w:val="99"/>
    <w:qFormat/>
    <w:pPr>
      <w:keepNext/>
      <w:tabs>
        <w:tab w:val="left" w:pos="1185"/>
        <w:tab w:val="left" w:pos="2520"/>
      </w:tabs>
      <w:spacing w:line="240" w:lineRule="atLeast"/>
      <w:ind w:left="284" w:right="227" w:firstLine="709"/>
      <w:jc w:val="center"/>
      <w:outlineLvl w:val="7"/>
    </w:pPr>
    <w:rPr>
      <w:rFonts w:ascii="Bookman Old Style" w:eastAsia="Batang" w:hAnsi="Bookman Old Style" w:cs="Bookman Old Style"/>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Pr>
      <w:rFonts w:ascii="Batang" w:eastAsia="Batang" w:hAnsi="Batang" w:cs="Batang"/>
      <w:b/>
      <w:bCs/>
      <w:kern w:val="32"/>
      <w:sz w:val="26"/>
      <w:szCs w:val="26"/>
      <w:lang w:val="fr-BE" w:eastAsia="fr-FR"/>
    </w:rPr>
  </w:style>
  <w:style w:type="character" w:customStyle="1" w:styleId="Titre2Car">
    <w:name w:val="Titre 2 Car"/>
    <w:basedOn w:val="Policepardfaut"/>
    <w:link w:val="Titre2"/>
    <w:uiPriority w:val="99"/>
    <w:rPr>
      <w:rFonts w:ascii="Batang" w:eastAsia="Batang" w:hAnsi="Batang" w:cs="Batang"/>
      <w:b/>
      <w:bCs/>
      <w:caps/>
      <w:sz w:val="26"/>
      <w:szCs w:val="26"/>
      <w:lang w:val="fr-BE" w:eastAsia="fr-FR"/>
    </w:rPr>
  </w:style>
  <w:style w:type="character" w:customStyle="1" w:styleId="Titre3Car">
    <w:name w:val="Titre 3 Car"/>
    <w:basedOn w:val="Policepardfaut"/>
    <w:link w:val="Titre3"/>
    <w:uiPriority w:val="99"/>
    <w:rPr>
      <w:rFonts w:ascii="Batang" w:eastAsia="Batang" w:hAnsi="Batang" w:cs="Batang"/>
      <w:b/>
      <w:bCs/>
      <w:sz w:val="26"/>
      <w:szCs w:val="26"/>
      <w:lang w:val="fr-BE" w:eastAsia="fr-FR"/>
    </w:rPr>
  </w:style>
  <w:style w:type="character" w:customStyle="1" w:styleId="Titre4Car">
    <w:name w:val="Titre 4 Car"/>
    <w:basedOn w:val="Policepardfaut"/>
    <w:link w:val="Titre4"/>
    <w:uiPriority w:val="99"/>
    <w:rPr>
      <w:rFonts w:ascii="Batang" w:eastAsia="Batang" w:hAnsi="Batang" w:cs="Batang"/>
      <w:b/>
      <w:bCs/>
      <w:sz w:val="26"/>
      <w:szCs w:val="26"/>
      <w:lang w:val="fr-BE" w:eastAsia="fr-FR"/>
    </w:rPr>
  </w:style>
  <w:style w:type="character" w:customStyle="1" w:styleId="Titre5Car">
    <w:name w:val="Titre 5 Car"/>
    <w:basedOn w:val="Policepardfaut"/>
    <w:link w:val="Titre5"/>
    <w:uiPriority w:val="99"/>
    <w:rPr>
      <w:rFonts w:ascii="Times New Roman" w:hAnsi="Times New Roman" w:cs="Times New Roman"/>
      <w:b/>
      <w:bCs/>
      <w:sz w:val="28"/>
      <w:szCs w:val="28"/>
      <w:lang w:val="fr-BE" w:eastAsia="fr-FR"/>
    </w:rPr>
  </w:style>
  <w:style w:type="character" w:customStyle="1" w:styleId="Titre6Car">
    <w:name w:val="Titre 6 Car"/>
    <w:basedOn w:val="Policepardfaut"/>
    <w:link w:val="Titre6"/>
    <w:uiPriority w:val="99"/>
    <w:rPr>
      <w:rFonts w:ascii="Bookman Old Style" w:eastAsia="Batang" w:hAnsi="Bookman Old Style" w:cs="Bookman Old Style"/>
      <w:b/>
      <w:bCs/>
      <w:lang w:eastAsia="fr-FR"/>
    </w:rPr>
  </w:style>
  <w:style w:type="character" w:customStyle="1" w:styleId="Titre7Car">
    <w:name w:val="Titre 7 Car"/>
    <w:basedOn w:val="Policepardfaut"/>
    <w:link w:val="Titre7"/>
    <w:uiPriority w:val="99"/>
    <w:rPr>
      <w:rFonts w:ascii="Bookman Old Style" w:hAnsi="Bookman Old Style" w:cs="Bookman Old Style"/>
      <w:b/>
      <w:bCs/>
      <w:sz w:val="24"/>
      <w:szCs w:val="24"/>
      <w:lang w:eastAsia="fr-FR"/>
    </w:rPr>
  </w:style>
  <w:style w:type="character" w:customStyle="1" w:styleId="Titre8Car">
    <w:name w:val="Titre 8 Car"/>
    <w:basedOn w:val="Policepardfaut"/>
    <w:link w:val="Titre8"/>
    <w:uiPriority w:val="99"/>
    <w:rPr>
      <w:rFonts w:ascii="Bookman Old Style" w:eastAsia="Batang" w:hAnsi="Bookman Old Style" w:cs="Bookman Old Style"/>
      <w:b/>
      <w:bCs/>
      <w:lang w:eastAsia="fr-FR"/>
    </w:rPr>
  </w:style>
  <w:style w:type="paragraph" w:styleId="Retraitcorpsdetexte2">
    <w:name w:val="Body Text Indent 2"/>
    <w:basedOn w:val="Normal"/>
    <w:link w:val="Retraitcorpsdetexte2Car"/>
    <w:uiPriority w:val="99"/>
    <w:pPr>
      <w:spacing w:line="360" w:lineRule="auto"/>
      <w:ind w:firstLine="708"/>
      <w:jc w:val="both"/>
    </w:pPr>
    <w:rPr>
      <w:rFonts w:ascii="Arial" w:hAnsi="Arial" w:cs="Arial"/>
      <w:sz w:val="28"/>
      <w:szCs w:val="28"/>
      <w:lang w:val="fr-BE"/>
    </w:rPr>
  </w:style>
  <w:style w:type="character" w:customStyle="1" w:styleId="Retraitcorpsdetexte2Car">
    <w:name w:val="Retrait corps de texte 2 Car"/>
    <w:basedOn w:val="Policepardfaut"/>
    <w:link w:val="Retraitcorpsdetexte2"/>
    <w:uiPriority w:val="99"/>
    <w:rPr>
      <w:rFonts w:ascii="Arial" w:hAnsi="Arial" w:cs="Arial"/>
      <w:sz w:val="28"/>
      <w:szCs w:val="28"/>
      <w:lang w:val="fr-BE" w:eastAsia="fr-FR"/>
    </w:rPr>
  </w:style>
  <w:style w:type="paragraph" w:styleId="NormalWeb">
    <w:name w:val="Normal (Web)"/>
    <w:basedOn w:val="Normal"/>
    <w:uiPriority w:val="99"/>
    <w:pPr>
      <w:spacing w:before="100" w:after="100" w:line="288" w:lineRule="auto"/>
    </w:pPr>
    <w:rPr>
      <w:sz w:val="22"/>
      <w:szCs w:val="22"/>
    </w:rPr>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rPr>
      <w:rFonts w:ascii="Times New Roman" w:hAnsi="Times New Roman" w:cs="Times New Roman"/>
      <w:sz w:val="20"/>
      <w:szCs w:val="20"/>
      <w:lang w:eastAsia="fr-FR"/>
    </w:rPr>
  </w:style>
  <w:style w:type="character" w:styleId="Numrodepage">
    <w:name w:val="page number"/>
    <w:basedOn w:val="Policepardfaut"/>
    <w:uiPriority w:val="99"/>
    <w:rPr>
      <w:rFonts w:cs="Times New Roman"/>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rPr>
      <w:rFonts w:ascii="Times New Roman" w:hAnsi="Times New Roman" w:cs="Times New Roman"/>
      <w:sz w:val="20"/>
      <w:szCs w:val="20"/>
      <w:lang w:eastAsia="fr-FR"/>
    </w:rPr>
  </w:style>
  <w:style w:type="paragraph" w:styleId="Retraitcorpsdetexte">
    <w:name w:val="Body Text Indent"/>
    <w:basedOn w:val="Normal"/>
    <w:link w:val="RetraitcorpsdetexteCar"/>
    <w:uiPriority w:val="99"/>
    <w:pPr>
      <w:tabs>
        <w:tab w:val="left" w:pos="1185"/>
        <w:tab w:val="left" w:pos="2520"/>
      </w:tabs>
      <w:spacing w:line="240" w:lineRule="atLeast"/>
      <w:ind w:left="284" w:firstLine="709"/>
      <w:jc w:val="both"/>
    </w:pPr>
    <w:rPr>
      <w:rFonts w:eastAsia="Batang"/>
      <w:sz w:val="22"/>
      <w:szCs w:val="22"/>
      <w:lang w:val="fr-BE"/>
    </w:rPr>
  </w:style>
  <w:style w:type="character" w:customStyle="1" w:styleId="RetraitcorpsdetexteCar">
    <w:name w:val="Retrait corps de texte Car"/>
    <w:basedOn w:val="Policepardfaut"/>
    <w:link w:val="Retraitcorpsdetexte"/>
    <w:uiPriority w:val="99"/>
    <w:rPr>
      <w:rFonts w:ascii="Times New Roman" w:eastAsia="Batang" w:hAnsi="Times New Roman" w:cs="Times New Roman"/>
      <w:lang w:val="fr-BE" w:eastAsia="fr-FR"/>
    </w:rPr>
  </w:style>
  <w:style w:type="character" w:styleId="Appelnotedebasdep">
    <w:name w:val="footnote reference"/>
    <w:basedOn w:val="Policepardfaut"/>
    <w:uiPriority w:val="99"/>
    <w:rPr>
      <w:rFonts w:cs="Times New Roman"/>
      <w:vertAlign w:val="superscript"/>
    </w:rPr>
  </w:style>
  <w:style w:type="paragraph" w:styleId="Notedebasdepage">
    <w:name w:val="footnote text"/>
    <w:basedOn w:val="Normal"/>
    <w:link w:val="NotedebasdepageCar"/>
    <w:uiPriority w:val="99"/>
  </w:style>
  <w:style w:type="character" w:customStyle="1" w:styleId="NotedebasdepageCar">
    <w:name w:val="Note de bas de page Car"/>
    <w:basedOn w:val="Policepardfaut"/>
    <w:link w:val="Notedebasdepage"/>
    <w:uiPriority w:val="99"/>
    <w:rPr>
      <w:rFonts w:ascii="Times New Roman" w:hAnsi="Times New Roman" w:cs="Times New Roman"/>
      <w:sz w:val="20"/>
      <w:szCs w:val="20"/>
      <w:lang w:eastAsia="fr-FR"/>
    </w:rPr>
  </w:style>
  <w:style w:type="paragraph" w:styleId="Corpsdetexte">
    <w:name w:val="Body Text"/>
    <w:basedOn w:val="Normal"/>
    <w:link w:val="CorpsdetexteCar"/>
    <w:uiPriority w:val="99"/>
    <w:pPr>
      <w:spacing w:line="360" w:lineRule="auto"/>
      <w:jc w:val="both"/>
    </w:pPr>
    <w:rPr>
      <w:rFonts w:ascii="Arial" w:hAnsi="Arial" w:cs="Arial"/>
      <w:sz w:val="28"/>
      <w:szCs w:val="28"/>
      <w:lang w:val="fr-BE"/>
    </w:rPr>
  </w:style>
  <w:style w:type="character" w:customStyle="1" w:styleId="CorpsdetexteCar">
    <w:name w:val="Corps de texte Car"/>
    <w:basedOn w:val="Policepardfaut"/>
    <w:link w:val="Corpsdetexte"/>
    <w:uiPriority w:val="99"/>
    <w:rPr>
      <w:rFonts w:ascii="Arial" w:hAnsi="Arial" w:cs="Arial"/>
      <w:sz w:val="28"/>
      <w:szCs w:val="28"/>
      <w:lang w:val="fr-BE" w:eastAsia="fr-FR"/>
    </w:rPr>
  </w:style>
  <w:style w:type="paragraph" w:styleId="Textebrut">
    <w:name w:val="Plain Text"/>
    <w:basedOn w:val="Normal"/>
    <w:link w:val="TextebrutCar"/>
    <w:uiPriority w:val="99"/>
    <w:rPr>
      <w:rFonts w:ascii="Courier New" w:hAnsi="Courier New" w:cs="Courier New"/>
    </w:rPr>
  </w:style>
  <w:style w:type="character" w:customStyle="1" w:styleId="TextebrutCar">
    <w:name w:val="Texte brut Car"/>
    <w:basedOn w:val="Policepardfaut"/>
    <w:link w:val="Textebrut"/>
    <w:uiPriority w:val="99"/>
    <w:rPr>
      <w:rFonts w:ascii="Courier New" w:hAnsi="Courier New" w:cs="Courier New"/>
      <w:sz w:val="20"/>
      <w:szCs w:val="20"/>
      <w:lang w:eastAsia="fr-FR"/>
    </w:rPr>
  </w:style>
  <w:style w:type="paragraph" w:styleId="Retraitcorpsdetexte3">
    <w:name w:val="Body Text Indent 3"/>
    <w:basedOn w:val="Normal"/>
    <w:link w:val="Retraitcorpsdetexte3Car"/>
    <w:uiPriority w:val="99"/>
    <w:pPr>
      <w:tabs>
        <w:tab w:val="left" w:pos="1185"/>
        <w:tab w:val="left" w:pos="2520"/>
      </w:tabs>
      <w:spacing w:line="240" w:lineRule="atLeast"/>
      <w:ind w:right="-2" w:firstLine="709"/>
      <w:jc w:val="both"/>
    </w:pPr>
    <w:rPr>
      <w:rFonts w:eastAsia="Batang"/>
      <w:sz w:val="22"/>
      <w:szCs w:val="22"/>
      <w:lang w:val="fr-BE"/>
    </w:rPr>
  </w:style>
  <w:style w:type="character" w:customStyle="1" w:styleId="Retraitcorpsdetexte3Car">
    <w:name w:val="Retrait corps de texte 3 Car"/>
    <w:basedOn w:val="Policepardfaut"/>
    <w:link w:val="Retraitcorpsdetexte3"/>
    <w:uiPriority w:val="99"/>
    <w:rPr>
      <w:rFonts w:ascii="Times New Roman" w:eastAsia="Batang" w:hAnsi="Times New Roman" w:cs="Times New Roman"/>
      <w:lang w:val="fr-BE" w:eastAsia="fr-FR"/>
    </w:rPr>
  </w:style>
  <w:style w:type="paragraph" w:styleId="Normalcentr">
    <w:name w:val="Block Text"/>
    <w:basedOn w:val="Normal"/>
    <w:uiPriority w:val="99"/>
    <w:pPr>
      <w:tabs>
        <w:tab w:val="left" w:pos="1185"/>
        <w:tab w:val="left" w:pos="2520"/>
      </w:tabs>
      <w:spacing w:line="240" w:lineRule="atLeast"/>
      <w:ind w:left="284" w:right="227" w:firstLine="708"/>
      <w:jc w:val="both"/>
    </w:pPr>
    <w:rPr>
      <w:rFonts w:eastAsia="Batang"/>
      <w:sz w:val="22"/>
      <w:szCs w:val="22"/>
    </w:rPr>
  </w:style>
  <w:style w:type="paragraph" w:styleId="Corpsdetexte3">
    <w:name w:val="Body Text 3"/>
    <w:basedOn w:val="Normal"/>
    <w:link w:val="Corpsdetexte3Car"/>
    <w:uiPriority w:val="99"/>
    <w:pPr>
      <w:jc w:val="both"/>
    </w:pPr>
    <w:rPr>
      <w:sz w:val="28"/>
      <w:szCs w:val="28"/>
    </w:rPr>
  </w:style>
  <w:style w:type="character" w:customStyle="1" w:styleId="Corpsdetexte3Car">
    <w:name w:val="Corps de texte 3 Car"/>
    <w:basedOn w:val="Policepardfaut"/>
    <w:link w:val="Corpsdetexte3"/>
    <w:uiPriority w:val="99"/>
    <w:rPr>
      <w:rFonts w:ascii="Times New Roman" w:hAnsi="Times New Roman" w:cs="Times New Roman"/>
      <w:sz w:val="28"/>
      <w:szCs w:val="28"/>
      <w:lang w:eastAsia="fr-FR"/>
    </w:rPr>
  </w:style>
  <w:style w:type="character" w:styleId="Lienhypertexte">
    <w:name w:val="Hyperlink"/>
    <w:basedOn w:val="Policepardfaut"/>
    <w:uiPriority w:val="99"/>
    <w:rPr>
      <w:rFonts w:cs="Times New Roman"/>
      <w:color w:val="0000FF"/>
      <w:u w:val="single"/>
    </w:rPr>
  </w:style>
  <w:style w:type="paragraph" w:styleId="Sansinterligne">
    <w:name w:val="No Spacing"/>
    <w:link w:val="SansinterligneCar"/>
    <w:uiPriority w:val="1"/>
    <w:qFormat/>
    <w:pPr>
      <w:spacing w:after="0" w:line="240" w:lineRule="auto"/>
    </w:pPr>
    <w:rPr>
      <w:rFonts w:eastAsia="SimSun" w:cs="Times New Roman"/>
      <w:lang w:eastAsia="fr-FR"/>
    </w:rPr>
  </w:style>
  <w:style w:type="character" w:customStyle="1" w:styleId="SansinterligneCar">
    <w:name w:val="Sans interligne Car"/>
    <w:basedOn w:val="Policepardfaut"/>
    <w:link w:val="Sansinterligne"/>
    <w:uiPriority w:val="1"/>
    <w:rPr>
      <w:rFonts w:eastAsia="SimSun" w:cs="Times New Roman"/>
      <w:lang w:eastAsia="fr-FR"/>
    </w:rPr>
  </w:style>
  <w:style w:type="paragraph" w:styleId="En-ttedetabledesmatires">
    <w:name w:val="TOC Heading"/>
    <w:basedOn w:val="Titre1"/>
    <w:next w:val="Normal"/>
    <w:uiPriority w:val="39"/>
    <w:qFormat/>
    <w:pPr>
      <w:keepLines/>
      <w:tabs>
        <w:tab w:val="clear" w:pos="1185"/>
        <w:tab w:val="clear" w:pos="2520"/>
        <w:tab w:val="clear" w:pos="7275"/>
      </w:tabs>
      <w:spacing w:before="240" w:after="0" w:line="259" w:lineRule="auto"/>
      <w:ind w:left="0" w:right="0" w:firstLine="0"/>
      <w:jc w:val="left"/>
      <w:outlineLvl w:val="9"/>
    </w:pPr>
    <w:rPr>
      <w:rFonts w:ascii="Calibri Light" w:eastAsia="SimSun" w:hAnsi="Calibri Light" w:cs="Times New Roman"/>
      <w:b w:val="0"/>
      <w:bCs w:val="0"/>
      <w:color w:val="2E74B5"/>
      <w:kern w:val="0"/>
      <w:sz w:val="32"/>
      <w:szCs w:val="32"/>
      <w:lang w:val="fr-FR"/>
    </w:rPr>
  </w:style>
  <w:style w:type="paragraph" w:styleId="TM1">
    <w:name w:val="toc 1"/>
    <w:basedOn w:val="Normal"/>
    <w:next w:val="Normal"/>
    <w:uiPriority w:val="39"/>
    <w:pPr>
      <w:spacing w:after="100"/>
    </w:pPr>
  </w:style>
  <w:style w:type="paragraph" w:styleId="Textedebulles">
    <w:name w:val="Balloon Text"/>
    <w:basedOn w:val="Normal"/>
    <w:link w:val="TextedebullesCar"/>
    <w:uiPriority w:val="99"/>
    <w:semiHidden/>
    <w:unhideWhenUsed/>
    <w:rsid w:val="00757588"/>
    <w:rPr>
      <w:rFonts w:ascii="Tahoma" w:hAnsi="Tahoma" w:cs="Tahoma"/>
      <w:sz w:val="16"/>
      <w:szCs w:val="16"/>
    </w:rPr>
  </w:style>
  <w:style w:type="character" w:customStyle="1" w:styleId="TextedebullesCar">
    <w:name w:val="Texte de bulles Car"/>
    <w:basedOn w:val="Policepardfaut"/>
    <w:link w:val="Textedebulles"/>
    <w:uiPriority w:val="99"/>
    <w:semiHidden/>
    <w:rsid w:val="00757588"/>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10A21-AE79-4764-BE0B-F3642125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39558</Words>
  <Characters>217575</Characters>
  <Application>Microsoft Office Word</Application>
  <DocSecurity>0</DocSecurity>
  <Lines>1813</Lines>
  <Paragraphs>513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 HP</dc:creator>
  <cp:lastModifiedBy>Alaïs Lorenzo</cp:lastModifiedBy>
  <cp:revision>3</cp:revision>
  <dcterms:created xsi:type="dcterms:W3CDTF">2024-02-26T15:54:00Z</dcterms:created>
  <dcterms:modified xsi:type="dcterms:W3CDTF">2025-05-05T09:44:00Z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80dbc869b4a641a0a633126964cda10c</vt:lpwstr>
  </property>
</Properties>
</file>