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405D" w:rsidRDefault="0089405D">
      <w:pPr>
        <w:spacing w:after="0" w:line="312" w:lineRule="auto"/>
        <w:jc w:val="both"/>
        <w:rPr>
          <w:rFonts w:cs="Calibri"/>
          <w:sz w:val="24"/>
          <w:szCs w:val="24"/>
          <w:lang w:val="fr-FR"/>
        </w:rPr>
      </w:pPr>
    </w:p>
    <w:p w:rsidR="0089405D" w:rsidRDefault="003468E2">
      <w:pPr>
        <w:spacing w:after="0" w:line="312" w:lineRule="auto"/>
        <w:jc w:val="center"/>
        <w:rPr>
          <w:rFonts w:cs="Calibri"/>
          <w:b/>
          <w:sz w:val="24"/>
          <w:szCs w:val="24"/>
          <w:lang w:val="fr-FR"/>
        </w:rPr>
      </w:pPr>
      <w:r>
        <w:rPr>
          <w:rFonts w:cs="Calibri"/>
          <w:b/>
          <w:noProof/>
          <w:sz w:val="24"/>
          <w:szCs w:val="24"/>
          <w:lang w:val="fr-FR" w:eastAsia="fr-FR"/>
        </w:rPr>
        <w:drawing>
          <wp:inline distT="0" distB="0" distL="0" distR="0">
            <wp:extent cx="4629150" cy="3502916"/>
            <wp:effectExtent l="19050" t="19050" r="19050" b="21590"/>
            <wp:docPr id="1026"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8" cstate="print"/>
                    <a:srcRect/>
                    <a:stretch/>
                  </pic:blipFill>
                  <pic:spPr>
                    <a:xfrm>
                      <a:off x="0" y="0"/>
                      <a:ext cx="4629150" cy="3502916"/>
                    </a:xfrm>
                    <a:prstGeom prst="rect">
                      <a:avLst/>
                    </a:prstGeom>
                    <a:ln w="9525" cap="flat" cmpd="sng">
                      <a:solidFill>
                        <a:srgbClr val="C00000"/>
                      </a:solidFill>
                      <a:prstDash val="solid"/>
                      <a:round/>
                      <a:headEnd/>
                      <a:tailEnd/>
                    </a:ln>
                  </pic:spPr>
                </pic:pic>
              </a:graphicData>
            </a:graphic>
          </wp:inline>
        </w:drawing>
      </w:r>
    </w:p>
    <w:p w:rsidR="0089405D" w:rsidRDefault="0089405D">
      <w:pPr>
        <w:spacing w:after="0" w:line="312" w:lineRule="auto"/>
        <w:jc w:val="center"/>
        <w:rPr>
          <w:rFonts w:cs="Calibri"/>
          <w:b/>
          <w:sz w:val="28"/>
          <w:szCs w:val="28"/>
          <w:lang w:val="fr-FR"/>
        </w:rPr>
      </w:pPr>
    </w:p>
    <w:p w:rsidR="0089405D" w:rsidRDefault="0089405D">
      <w:pPr>
        <w:spacing w:after="0" w:line="312" w:lineRule="auto"/>
        <w:jc w:val="center"/>
        <w:rPr>
          <w:rFonts w:cs="Calibri"/>
          <w:b/>
          <w:sz w:val="28"/>
          <w:szCs w:val="28"/>
          <w:lang w:val="fr-FR"/>
        </w:rPr>
      </w:pPr>
    </w:p>
    <w:p w:rsidR="0089405D" w:rsidRDefault="003468E2">
      <w:pPr>
        <w:spacing w:after="0" w:line="312" w:lineRule="auto"/>
        <w:rPr>
          <w:rFonts w:cs="Calibri"/>
          <w:b/>
          <w:sz w:val="28"/>
          <w:szCs w:val="28"/>
          <w:lang w:val="fr-FR"/>
        </w:rPr>
      </w:pPr>
      <w:r>
        <w:rPr>
          <w:rFonts w:cs="Calibri"/>
          <w:b/>
          <w:sz w:val="28"/>
          <w:szCs w:val="28"/>
          <w:lang w:val="fr-FR"/>
        </w:rPr>
        <w:t xml:space="preserve">Jean De Dieu MANGAMBU MOKOSO </w:t>
      </w:r>
    </w:p>
    <w:p w:rsidR="0089405D" w:rsidRDefault="0089405D">
      <w:pPr>
        <w:spacing w:after="0" w:line="312" w:lineRule="auto"/>
        <w:jc w:val="center"/>
        <w:rPr>
          <w:rFonts w:cs="Calibri"/>
          <w:b/>
          <w:sz w:val="24"/>
          <w:szCs w:val="24"/>
          <w:lang w:val="fr-FR"/>
        </w:rPr>
      </w:pPr>
    </w:p>
    <w:p w:rsidR="0089405D" w:rsidRDefault="0089405D">
      <w:pPr>
        <w:spacing w:after="0" w:line="312" w:lineRule="auto"/>
        <w:jc w:val="center"/>
        <w:rPr>
          <w:rFonts w:cs="Calibri"/>
          <w:b/>
          <w:sz w:val="32"/>
          <w:szCs w:val="32"/>
          <w:lang w:val="fr-FR"/>
        </w:rPr>
      </w:pPr>
    </w:p>
    <w:p w:rsidR="0089405D" w:rsidRDefault="0089405D">
      <w:pPr>
        <w:spacing w:after="0" w:line="312" w:lineRule="auto"/>
        <w:jc w:val="center"/>
        <w:rPr>
          <w:rFonts w:cs="Calibri"/>
          <w:b/>
          <w:sz w:val="32"/>
          <w:szCs w:val="32"/>
          <w:lang w:val="fr-FR"/>
        </w:rPr>
      </w:pPr>
    </w:p>
    <w:p w:rsidR="0089405D" w:rsidRDefault="003468E2">
      <w:pPr>
        <w:spacing w:after="0" w:line="312" w:lineRule="auto"/>
        <w:jc w:val="center"/>
        <w:rPr>
          <w:rFonts w:cs="Calibri"/>
          <w:sz w:val="32"/>
          <w:szCs w:val="32"/>
          <w:lang w:val="fr-FR"/>
        </w:rPr>
      </w:pPr>
      <w:r>
        <w:rPr>
          <w:rFonts w:cs="Calibri"/>
          <w:b/>
          <w:sz w:val="32"/>
          <w:szCs w:val="32"/>
          <w:lang w:val="fr-FR"/>
        </w:rPr>
        <w:t>L’EXPLOITATION MINIERE SEMI - INDUSTRIELLE DANS LA RIVIERE ARUWIMI FACE AUX IMPERATIFS SOCIO-ENVIRONNEMENTAUX, BASSIN DU CONGO (RDC).</w:t>
      </w:r>
    </w:p>
    <w:p w:rsidR="0089405D" w:rsidRDefault="0089405D">
      <w:pPr>
        <w:spacing w:after="0" w:line="312" w:lineRule="auto"/>
        <w:jc w:val="center"/>
        <w:rPr>
          <w:rFonts w:cs="Calibri"/>
          <w:b/>
          <w:sz w:val="24"/>
          <w:szCs w:val="24"/>
          <w:lang w:val="fr-FR"/>
        </w:rPr>
      </w:pPr>
    </w:p>
    <w:p w:rsidR="0089405D" w:rsidRDefault="003468E2">
      <w:pPr>
        <w:spacing w:after="0" w:line="312" w:lineRule="auto"/>
        <w:jc w:val="center"/>
        <w:rPr>
          <w:rFonts w:cs="Calibri"/>
          <w:sz w:val="28"/>
          <w:szCs w:val="28"/>
          <w:lang w:val="fr-FR"/>
        </w:rPr>
      </w:pPr>
      <w:r>
        <w:rPr>
          <w:rFonts w:cs="Calibri"/>
          <w:b/>
          <w:sz w:val="28"/>
          <w:szCs w:val="28"/>
          <w:lang w:val="fr-FR"/>
        </w:rPr>
        <w:t>Regard sur les exigences du développement durable des communautés locales</w:t>
      </w:r>
    </w:p>
    <w:p w:rsidR="0089405D" w:rsidRDefault="0089405D">
      <w:pPr>
        <w:spacing w:after="0" w:line="312" w:lineRule="auto"/>
        <w:jc w:val="both"/>
        <w:rPr>
          <w:rFonts w:cs="Calibri"/>
          <w:sz w:val="24"/>
          <w:szCs w:val="24"/>
          <w:lang w:val="fr-FR"/>
        </w:rPr>
      </w:pP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b/>
          <w:sz w:val="24"/>
          <w:szCs w:val="24"/>
          <w:lang w:val="fr-FR"/>
        </w:rPr>
      </w:pPr>
      <w:r>
        <w:rPr>
          <w:rFonts w:cs="Calibri"/>
          <w:b/>
          <w:sz w:val="24"/>
          <w:szCs w:val="24"/>
          <w:lang w:val="fr-FR"/>
        </w:rPr>
        <w:t xml:space="preserve">         </w:t>
      </w:r>
    </w:p>
    <w:p w:rsidR="0089405D" w:rsidRDefault="003468E2">
      <w:pPr>
        <w:spacing w:after="0" w:line="312" w:lineRule="auto"/>
        <w:rPr>
          <w:rFonts w:cs="Calibri"/>
          <w:b/>
          <w:sz w:val="24"/>
          <w:szCs w:val="24"/>
          <w:lang w:val="fr-FR"/>
        </w:rPr>
      </w:pPr>
      <w:r>
        <w:rPr>
          <w:rFonts w:cs="Calibri"/>
          <w:b/>
          <w:sz w:val="24"/>
          <w:szCs w:val="24"/>
          <w:lang w:val="fr-FR"/>
        </w:rPr>
        <w:br w:type="page"/>
      </w:r>
    </w:p>
    <w:p w:rsidR="0089405D" w:rsidRDefault="003468E2">
      <w:pPr>
        <w:spacing w:after="0" w:line="312" w:lineRule="auto"/>
        <w:jc w:val="both"/>
        <w:rPr>
          <w:rFonts w:cs="Calibri"/>
          <w:b/>
          <w:sz w:val="32"/>
          <w:szCs w:val="32"/>
          <w:lang w:val="fr-FR"/>
        </w:rPr>
      </w:pPr>
      <w:r>
        <w:rPr>
          <w:rFonts w:cs="Calibri"/>
          <w:b/>
          <w:noProof/>
          <w:sz w:val="24"/>
          <w:szCs w:val="24"/>
          <w:lang w:val="fr-FR" w:eastAsia="fr-FR"/>
        </w:rPr>
        <w:lastRenderedPageBreak/>
        <mc:AlternateContent>
          <mc:Choice Requires="wps">
            <w:drawing>
              <wp:anchor distT="0" distB="0" distL="0" distR="0" simplePos="0" relativeHeight="3" behindDoc="0" locked="0" layoutInCell="1" allowOverlap="1">
                <wp:simplePos x="0" y="0"/>
                <wp:positionH relativeFrom="column">
                  <wp:posOffset>2362200</wp:posOffset>
                </wp:positionH>
                <wp:positionV relativeFrom="paragraph">
                  <wp:posOffset>-428625</wp:posOffset>
                </wp:positionV>
                <wp:extent cx="742950" cy="428625"/>
                <wp:effectExtent l="0" t="0" r="19050" b="28575"/>
                <wp:wrapNone/>
                <wp:docPr id="102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2950" cy="428625"/>
                        </a:xfrm>
                        <a:prstGeom prst="rect">
                          <a:avLst/>
                        </a:prstGeom>
                        <a:solidFill>
                          <a:srgbClr val="FFFFFF"/>
                        </a:solidFill>
                        <a:ln w="12700" cap="flat" cmpd="sng">
                          <a:solidFill>
                            <a:srgbClr val="FFFFFF"/>
                          </a:solidFill>
                          <a:prstDash val="solid"/>
                          <a:miter/>
                          <a:headEnd/>
                          <a:tailEnd/>
                        </a:ln>
                      </wps:spPr>
                      <wps:bodyPr>
                        <a:prstTxWarp prst="textNoShape">
                          <a:avLst/>
                        </a:prstTxWarp>
                      </wps:bodyPr>
                    </wps:wsp>
                  </a:graphicData>
                </a:graphic>
              </wp:anchor>
            </w:drawing>
          </mc:Choice>
          <mc:Fallback xmlns:cx1="http://schemas.microsoft.com/office/drawing/2015/9/8/chartex">
            <w:pict>
              <v:rect w14:anchorId="73154B68" id="Rectangle 5" o:spid="_x0000_s1026" style="position:absolute;margin-left:186pt;margin-top:-33.75pt;width:58.5pt;height:33.7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" strokecolor="white" strokeweight="1pt">
                <v:path arrowok="t"/>
              </v:rect>
            </w:pict>
          </mc:Fallback>
        </mc:AlternateContent>
      </w:r>
    </w:p>
    <w:p w:rsidR="0089405D" w:rsidRDefault="0089405D">
      <w:pPr>
        <w:spacing w:after="0" w:line="312" w:lineRule="auto"/>
        <w:rPr>
          <w:rFonts w:cs="Calibri"/>
          <w:b/>
          <w:sz w:val="32"/>
          <w:szCs w:val="32"/>
          <w:lang w:val="fr-FR"/>
        </w:rPr>
        <w:sectPr w:rsidR="0089405D">
          <w:headerReference w:type="default" r:id="rId9"/>
          <w:headerReference w:type="first" r:id="rId10"/>
          <w:footerReference w:type="first" r:id="rId11"/>
          <w:type w:val="continuous"/>
          <w:pgSz w:w="11906" w:h="16838"/>
          <w:pgMar w:top="1440" w:right="1440" w:bottom="1440" w:left="1800" w:header="851" w:footer="851" w:gutter="0"/>
          <w:pgNumType w:fmt="lowerRoman"/>
          <w:cols w:space="720"/>
          <w:titlePg/>
        </w:sectPr>
      </w:pPr>
    </w:p>
    <w:p w:rsidR="0089405D" w:rsidRDefault="003468E2">
      <w:pPr>
        <w:spacing w:after="0" w:line="312" w:lineRule="auto"/>
        <w:jc w:val="both"/>
        <w:rPr>
          <w:rFonts w:cs="Calibri"/>
          <w:b/>
          <w:sz w:val="32"/>
          <w:szCs w:val="32"/>
          <w:lang w:val="fr-FR"/>
        </w:rPr>
      </w:pPr>
      <w:r>
        <w:rPr>
          <w:rFonts w:cs="Calibri"/>
          <w:b/>
          <w:sz w:val="32"/>
          <w:szCs w:val="32"/>
          <w:lang w:val="fr-FR"/>
        </w:rPr>
        <w:lastRenderedPageBreak/>
        <w:t>DU MEME AUTEUR</w:t>
      </w:r>
    </w:p>
    <w:p w:rsidR="0089405D" w:rsidRDefault="0089405D">
      <w:pPr>
        <w:spacing w:after="0" w:line="312" w:lineRule="auto"/>
        <w:rPr>
          <w:rFonts w:cs="Calibri"/>
          <w:b/>
          <w:sz w:val="24"/>
          <w:szCs w:val="24"/>
          <w:lang w:val="fr-FR"/>
        </w:rPr>
      </w:pPr>
    </w:p>
    <w:p w:rsidR="0089405D" w:rsidRDefault="003468E2">
      <w:pPr>
        <w:spacing w:after="0" w:line="312" w:lineRule="auto"/>
        <w:jc w:val="both"/>
        <w:rPr>
          <w:rFonts w:cs="Calibri"/>
          <w:sz w:val="24"/>
          <w:szCs w:val="24"/>
          <w:lang w:val="fr-FR"/>
        </w:rPr>
      </w:pPr>
      <w:r>
        <w:rPr>
          <w:rFonts w:cs="Calibri"/>
          <w:sz w:val="24"/>
          <w:szCs w:val="24"/>
          <w:lang w:val="fr-FR"/>
        </w:rPr>
        <w:t xml:space="preserve">Eléments de la taxonomie végétale, Edition la Vie, collection Cours, (2019).  317 p. ISBN-13 : 978-3330721340 ; ISBN-10 : 3330721340 </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b/>
          <w:sz w:val="24"/>
          <w:szCs w:val="24"/>
          <w:lang w:val="fr-FR"/>
        </w:rPr>
      </w:pPr>
      <w:r>
        <w:rPr>
          <w:rFonts w:cs="Calibri"/>
          <w:sz w:val="24"/>
          <w:szCs w:val="24"/>
          <w:lang w:val="fr-FR"/>
        </w:rPr>
        <w:t>Diversité, Biogéographie et Ecologie des Ptéridophytes : Cas de massif montagneux du Parc National de Kahuzi - Biega à l’Est de la RD. Congo. Editions universitaires européennes, (2016) 354 p. ISBN : 978-3-639-50712-6.</w:t>
      </w:r>
    </w:p>
    <w:p w:rsidR="0089405D" w:rsidRDefault="0089405D">
      <w:pPr>
        <w:pStyle w:val="Titre1"/>
        <w:spacing w:before="0" w:line="312" w:lineRule="auto"/>
        <w:jc w:val="both"/>
        <w:rPr>
          <w:rFonts w:cs="Calibri"/>
          <w:b/>
          <w:sz w:val="24"/>
          <w:szCs w:val="24"/>
          <w:lang w:val="fr-FR"/>
        </w:rPr>
      </w:pPr>
    </w:p>
    <w:p w:rsidR="0089405D" w:rsidRDefault="0089405D">
      <w:pPr>
        <w:pStyle w:val="Titre1"/>
        <w:spacing w:before="0" w:line="312" w:lineRule="auto"/>
        <w:jc w:val="both"/>
        <w:rPr>
          <w:rFonts w:cs="Calibri"/>
          <w:b/>
          <w:sz w:val="24"/>
          <w:szCs w:val="24"/>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lang w:val="fr-FR"/>
        </w:rPr>
      </w:pPr>
    </w:p>
    <w:p w:rsidR="0089405D" w:rsidRDefault="0089405D" w:rsidP="00A142F8">
      <w:pPr>
        <w:rPr>
          <w:rFonts w:eastAsia="Times New Roman"/>
          <w:lang w:val="fr-FR" w:eastAsia="fr-FR"/>
        </w:rPr>
      </w:pPr>
      <w:bookmarkStart w:id="0" w:name="_Toc127181668"/>
      <w:bookmarkStart w:id="1" w:name="_Toc127182063"/>
    </w:p>
    <w:p w:rsidR="0089405D" w:rsidRDefault="0089405D" w:rsidP="00A142F8">
      <w:pPr>
        <w:rPr>
          <w:rFonts w:eastAsia="Times New Roman"/>
          <w:lang w:val="fr-FR" w:eastAsia="fr-FR"/>
        </w:rPr>
      </w:pPr>
    </w:p>
    <w:p w:rsidR="0089405D" w:rsidRDefault="0089405D" w:rsidP="00A142F8">
      <w:pPr>
        <w:rPr>
          <w:rFonts w:eastAsia="Times New Roman"/>
          <w:lang w:val="fr-FR" w:eastAsia="fr-FR"/>
        </w:rPr>
      </w:pPr>
    </w:p>
    <w:p w:rsidR="0089405D" w:rsidRDefault="0089405D" w:rsidP="00A142F8">
      <w:pPr>
        <w:rPr>
          <w:rFonts w:eastAsia="Times New Roman"/>
          <w:lang w:val="fr-FR" w:eastAsia="fr-FR"/>
        </w:rPr>
      </w:pPr>
    </w:p>
    <w:p w:rsidR="0089405D" w:rsidRDefault="0089405D">
      <w:pPr>
        <w:spacing w:after="0" w:line="312" w:lineRule="auto"/>
        <w:rPr>
          <w:rFonts w:eastAsia="Times New Roman" w:cs="Calibri"/>
          <w:sz w:val="24"/>
          <w:szCs w:val="24"/>
          <w:lang w:val="fr-FR" w:eastAsia="fr-FR"/>
        </w:rPr>
      </w:pPr>
    </w:p>
    <w:p w:rsidR="0089405D" w:rsidRDefault="003468E2">
      <w:pPr>
        <w:spacing w:after="0" w:line="312" w:lineRule="auto"/>
        <w:rPr>
          <w:rFonts w:cs="Calibri"/>
          <w:sz w:val="24"/>
          <w:szCs w:val="24"/>
          <w:lang w:val="fr-FR"/>
        </w:rPr>
      </w:pPr>
      <w:r>
        <w:rPr>
          <w:rFonts w:eastAsia="Times New Roman" w:cs="Calibri"/>
          <w:b/>
          <w:sz w:val="24"/>
          <w:szCs w:val="24"/>
          <w:lang w:val="fr-FR" w:eastAsia="fr-FR"/>
        </w:rPr>
        <w:t>Photo de couverture</w:t>
      </w:r>
      <w:r>
        <w:rPr>
          <w:rFonts w:eastAsia="Times New Roman" w:cs="Calibri"/>
          <w:sz w:val="24"/>
          <w:szCs w:val="24"/>
          <w:lang w:val="fr-FR" w:eastAsia="fr-FR"/>
        </w:rPr>
        <w:t> : Le drague robot de la société « Xiang Jiang Mining SARL » à face de</w:t>
      </w:r>
      <w:bookmarkEnd w:id="0"/>
      <w:bookmarkEnd w:id="1"/>
      <w:r>
        <w:rPr>
          <w:rFonts w:eastAsia="Times New Roman" w:cs="Calibri"/>
          <w:sz w:val="24"/>
          <w:szCs w:val="24"/>
          <w:lang w:val="fr-FR" w:eastAsia="fr-FR"/>
        </w:rPr>
        <w:t xml:space="preserve"> </w:t>
      </w:r>
      <w:bookmarkStart w:id="2" w:name="_Toc127181669"/>
      <w:bookmarkStart w:id="3" w:name="_Toc127182064"/>
      <w:r>
        <w:rPr>
          <w:rFonts w:eastAsia="Times New Roman" w:cs="Calibri"/>
          <w:sz w:val="24"/>
          <w:szCs w:val="24"/>
          <w:lang w:val="fr-FR" w:eastAsia="fr-FR"/>
        </w:rPr>
        <w:t>la ville de Basoko pour l’exploration sur la rivière Aruwimi, territoire</w:t>
      </w:r>
      <w:bookmarkEnd w:id="2"/>
      <w:bookmarkEnd w:id="3"/>
      <w:r>
        <w:rPr>
          <w:rFonts w:eastAsia="Times New Roman" w:cs="Calibri"/>
          <w:sz w:val="24"/>
          <w:szCs w:val="24"/>
          <w:lang w:val="fr-FR" w:eastAsia="fr-FR"/>
        </w:rPr>
        <w:t xml:space="preserve"> </w:t>
      </w:r>
      <w:bookmarkStart w:id="4" w:name="_Toc127181670"/>
      <w:bookmarkStart w:id="5" w:name="_Toc127182065"/>
      <w:r>
        <w:rPr>
          <w:rFonts w:eastAsia="Times New Roman" w:cs="Calibri"/>
          <w:sz w:val="24"/>
          <w:szCs w:val="24"/>
          <w:lang w:val="fr-FR" w:eastAsia="fr-FR"/>
        </w:rPr>
        <w:t>de Basoko (©Photo M. Silencieuse, 2019).</w:t>
      </w:r>
      <w:bookmarkEnd w:id="4"/>
      <w:bookmarkEnd w:id="5"/>
    </w:p>
    <w:p w:rsidR="0089405D" w:rsidRDefault="003468E2">
      <w:pPr>
        <w:spacing w:after="0" w:line="312" w:lineRule="auto"/>
        <w:rPr>
          <w:rFonts w:cs="Calibri"/>
          <w:b/>
          <w:sz w:val="24"/>
          <w:szCs w:val="24"/>
          <w:lang w:val="fr-FR"/>
        </w:rPr>
      </w:pPr>
      <w:r>
        <w:rPr>
          <w:rFonts w:cs="Calibri"/>
          <w:b/>
          <w:sz w:val="24"/>
          <w:szCs w:val="24"/>
          <w:lang w:val="fr-FR"/>
        </w:rPr>
        <w:br w:type="page"/>
      </w:r>
    </w:p>
    <w:p w:rsidR="0089405D" w:rsidRDefault="003468E2">
      <w:pPr>
        <w:spacing w:after="0" w:line="312" w:lineRule="auto"/>
        <w:jc w:val="both"/>
        <w:rPr>
          <w:rFonts w:cs="Calibri"/>
          <w:b/>
          <w:sz w:val="24"/>
          <w:szCs w:val="24"/>
          <w:lang w:val="fr-FR"/>
        </w:rPr>
      </w:pPr>
      <w:bookmarkStart w:id="6" w:name="_Toc59458280"/>
      <w:r>
        <w:rPr>
          <w:rFonts w:cs="Calibri"/>
          <w:b/>
          <w:sz w:val="24"/>
          <w:szCs w:val="24"/>
          <w:lang w:val="fr-FR"/>
        </w:rPr>
        <w:lastRenderedPageBreak/>
        <w:t>Les Collaborateurs - contributeurs</w:t>
      </w:r>
    </w:p>
    <w:p w:rsidR="0089405D" w:rsidRDefault="0089405D">
      <w:pPr>
        <w:spacing w:after="0" w:line="312" w:lineRule="auto"/>
        <w:jc w:val="both"/>
        <w:rPr>
          <w:rFonts w:cs="Calibri"/>
          <w:sz w:val="24"/>
          <w:szCs w:val="24"/>
          <w:lang w:val="fr-FR"/>
        </w:rPr>
      </w:pPr>
    </w:p>
    <w:p w:rsidR="0089405D" w:rsidRDefault="003468E2">
      <w:pPr>
        <w:spacing w:after="0" w:line="312" w:lineRule="auto"/>
        <w:ind w:left="3119" w:hanging="3119"/>
        <w:jc w:val="both"/>
        <w:rPr>
          <w:rFonts w:cs="Calibri"/>
          <w:sz w:val="24"/>
          <w:szCs w:val="24"/>
          <w:lang w:val="fr-FR"/>
        </w:rPr>
      </w:pPr>
      <w:r>
        <w:rPr>
          <w:rFonts w:cs="Calibri"/>
          <w:b/>
          <w:sz w:val="24"/>
          <w:szCs w:val="24"/>
          <w:lang w:val="fr-FR"/>
        </w:rPr>
        <w:t>Mokili Kanda Etikola José-Zobel</w:t>
      </w:r>
      <w:r>
        <w:rPr>
          <w:rFonts w:cs="Calibri"/>
          <w:sz w:val="24"/>
          <w:szCs w:val="24"/>
          <w:lang w:val="fr-FR"/>
        </w:rPr>
        <w:t xml:space="preserve"> : </w:t>
      </w:r>
      <w:r>
        <w:rPr>
          <w:rFonts w:cs="Calibri"/>
          <w:sz w:val="24"/>
          <w:szCs w:val="24"/>
          <w:lang w:val="fr-FR"/>
        </w:rPr>
        <w:tab/>
        <w:t xml:space="preserve">Docteur en Sciences, Spécialisation en Microbiologie </w:t>
      </w:r>
    </w:p>
    <w:p w:rsidR="0089405D" w:rsidRDefault="003468E2">
      <w:pPr>
        <w:spacing w:after="0" w:line="312" w:lineRule="auto"/>
        <w:ind w:left="3119" w:hanging="3119"/>
        <w:jc w:val="both"/>
        <w:rPr>
          <w:rFonts w:cs="Calibri"/>
          <w:sz w:val="24"/>
          <w:szCs w:val="24"/>
          <w:lang w:val="fr-FR"/>
        </w:rPr>
      </w:pPr>
      <w:r>
        <w:rPr>
          <w:rFonts w:cs="Calibri"/>
          <w:sz w:val="24"/>
          <w:szCs w:val="24"/>
          <w:lang w:val="fr-FR"/>
        </w:rPr>
        <w:tab/>
      </w:r>
      <w:r>
        <w:rPr>
          <w:rFonts w:cs="Calibri"/>
          <w:sz w:val="24"/>
          <w:szCs w:val="24"/>
          <w:lang w:val="fr-FR"/>
        </w:rPr>
        <w:tab/>
        <w:t xml:space="preserve">de l’eau et des aliments </w:t>
      </w:r>
    </w:p>
    <w:p w:rsidR="0089405D" w:rsidRDefault="003468E2">
      <w:pPr>
        <w:spacing w:after="0" w:line="312" w:lineRule="auto"/>
        <w:ind w:left="3119" w:hanging="3120"/>
        <w:jc w:val="both"/>
        <w:rPr>
          <w:rFonts w:cs="Calibri"/>
          <w:sz w:val="24"/>
          <w:szCs w:val="24"/>
          <w:lang w:val="fr-FR"/>
        </w:rPr>
      </w:pPr>
      <w:r>
        <w:rPr>
          <w:rFonts w:cs="Calibri"/>
          <w:b/>
          <w:sz w:val="24"/>
          <w:szCs w:val="24"/>
          <w:lang w:val="fr-FR"/>
        </w:rPr>
        <w:t>Asimbo Bondoo Norbert</w:t>
      </w:r>
      <w:r>
        <w:rPr>
          <w:rFonts w:cs="Calibri"/>
          <w:sz w:val="24"/>
          <w:szCs w:val="24"/>
          <w:lang w:val="fr-FR"/>
        </w:rPr>
        <w:t> </w:t>
      </w:r>
      <w:r>
        <w:rPr>
          <w:rFonts w:cs="Calibri"/>
          <w:sz w:val="24"/>
          <w:szCs w:val="24"/>
          <w:lang w:val="fr-FR"/>
        </w:rPr>
        <w:tab/>
        <w:t xml:space="preserve">: </w:t>
      </w:r>
      <w:r>
        <w:rPr>
          <w:rFonts w:cs="Calibri"/>
          <w:sz w:val="24"/>
          <w:szCs w:val="24"/>
          <w:lang w:val="fr-FR"/>
        </w:rPr>
        <w:tab/>
        <w:t xml:space="preserve">MSc avec Spécialisation en Développement,   </w:t>
      </w:r>
    </w:p>
    <w:p w:rsidR="0089405D" w:rsidRDefault="003468E2">
      <w:pPr>
        <w:spacing w:after="0" w:line="312" w:lineRule="auto"/>
        <w:ind w:left="3119"/>
        <w:jc w:val="both"/>
        <w:rPr>
          <w:rFonts w:cs="Calibri"/>
          <w:sz w:val="24"/>
          <w:szCs w:val="24"/>
          <w:lang w:val="fr-FR"/>
        </w:rPr>
      </w:pPr>
      <w:r>
        <w:rPr>
          <w:rFonts w:cs="Calibri"/>
          <w:sz w:val="24"/>
          <w:szCs w:val="24"/>
          <w:lang w:val="fr-FR"/>
        </w:rPr>
        <w:t xml:space="preserve">        Environnement et Sociétés </w:t>
      </w:r>
    </w:p>
    <w:p w:rsidR="0089405D" w:rsidRDefault="003468E2">
      <w:pPr>
        <w:spacing w:after="0" w:line="312" w:lineRule="auto"/>
        <w:ind w:left="3119" w:hanging="3119"/>
        <w:jc w:val="both"/>
        <w:rPr>
          <w:rFonts w:cs="Calibri"/>
          <w:sz w:val="24"/>
          <w:szCs w:val="24"/>
          <w:lang w:val="fr-FR"/>
        </w:rPr>
      </w:pPr>
      <w:r>
        <w:rPr>
          <w:rFonts w:cs="Calibri"/>
          <w:b/>
          <w:sz w:val="24"/>
          <w:szCs w:val="24"/>
          <w:lang w:val="fr-FR"/>
        </w:rPr>
        <w:t>Afundi, N.detshala Didi</w:t>
      </w:r>
      <w:r>
        <w:rPr>
          <w:rFonts w:cs="Calibri"/>
          <w:sz w:val="24"/>
          <w:szCs w:val="24"/>
          <w:lang w:val="fr-FR"/>
        </w:rPr>
        <w:tab/>
        <w:t>:</w:t>
      </w:r>
      <w:r>
        <w:rPr>
          <w:rFonts w:cs="Calibri"/>
          <w:sz w:val="24"/>
          <w:szCs w:val="24"/>
          <w:lang w:val="fr-FR"/>
        </w:rPr>
        <w:tab/>
        <w:t xml:space="preserve">Juriste, orientation : Droit économique et Social  </w:t>
      </w:r>
    </w:p>
    <w:p w:rsidR="0089405D" w:rsidRDefault="003468E2">
      <w:pPr>
        <w:spacing w:after="0" w:line="312" w:lineRule="auto"/>
        <w:ind w:left="3119" w:hanging="3119"/>
        <w:jc w:val="both"/>
        <w:rPr>
          <w:rFonts w:cs="Calibri"/>
          <w:sz w:val="24"/>
          <w:szCs w:val="24"/>
          <w:lang w:val="fr-FR"/>
        </w:rPr>
      </w:pPr>
      <w:r>
        <w:rPr>
          <w:rFonts w:cs="Calibri"/>
          <w:b/>
          <w:sz w:val="24"/>
          <w:szCs w:val="24"/>
          <w:lang w:val="fr-FR"/>
        </w:rPr>
        <w:t>Balombo Tsheza Nestor</w:t>
      </w:r>
      <w:r>
        <w:rPr>
          <w:rFonts w:cs="Calibri"/>
          <w:sz w:val="24"/>
          <w:szCs w:val="24"/>
          <w:lang w:val="fr-FR"/>
        </w:rPr>
        <w:t> </w:t>
      </w:r>
      <w:r>
        <w:rPr>
          <w:rFonts w:cs="Calibri"/>
          <w:sz w:val="24"/>
          <w:szCs w:val="24"/>
          <w:lang w:val="fr-FR"/>
        </w:rPr>
        <w:tab/>
        <w:t>:</w:t>
      </w:r>
      <w:r>
        <w:rPr>
          <w:rFonts w:cs="Calibri"/>
          <w:sz w:val="24"/>
          <w:szCs w:val="24"/>
          <w:lang w:val="fr-FR"/>
        </w:rPr>
        <w:tab/>
        <w:t>Economiste environnementaliste</w:t>
      </w:r>
    </w:p>
    <w:p w:rsidR="0089405D" w:rsidRDefault="003468E2">
      <w:pPr>
        <w:spacing w:after="0" w:line="312" w:lineRule="auto"/>
        <w:ind w:left="3119" w:hanging="3119"/>
        <w:jc w:val="both"/>
        <w:rPr>
          <w:rFonts w:cs="Calibri"/>
          <w:sz w:val="24"/>
          <w:szCs w:val="24"/>
          <w:lang w:val="fr-FR"/>
        </w:rPr>
      </w:pPr>
      <w:r>
        <w:rPr>
          <w:rFonts w:cs="Calibri"/>
          <w:b/>
          <w:sz w:val="24"/>
          <w:szCs w:val="24"/>
          <w:lang w:val="fr-FR"/>
        </w:rPr>
        <w:t>Makumi Motosia Willy</w:t>
      </w:r>
      <w:r>
        <w:rPr>
          <w:rFonts w:cs="Calibri"/>
          <w:sz w:val="24"/>
          <w:szCs w:val="24"/>
          <w:lang w:val="fr-FR"/>
        </w:rPr>
        <w:tab/>
        <w:t>:</w:t>
      </w:r>
      <w:r>
        <w:rPr>
          <w:rFonts w:cs="Calibri"/>
          <w:sz w:val="24"/>
          <w:szCs w:val="24"/>
          <w:lang w:val="fr-FR"/>
        </w:rPr>
        <w:tab/>
        <w:t>Géologue environnementaliste</w:t>
      </w:r>
    </w:p>
    <w:p w:rsidR="0089405D" w:rsidRDefault="003468E2">
      <w:pPr>
        <w:spacing w:after="0" w:line="312" w:lineRule="auto"/>
        <w:ind w:left="3119" w:hanging="3119"/>
        <w:jc w:val="both"/>
        <w:rPr>
          <w:rFonts w:ascii="Calisto MT" w:eastAsia="Calibri" w:hAnsi="Calisto MT"/>
          <w:b/>
          <w:sz w:val="28"/>
          <w:szCs w:val="28"/>
          <w:lang w:val="fr-FR" w:eastAsia="fr-FR"/>
        </w:rPr>
      </w:pPr>
      <w:r>
        <w:rPr>
          <w:rFonts w:ascii="Calisto MT" w:eastAsia="Calibri" w:hAnsi="Calisto MT"/>
          <w:b/>
          <w:sz w:val="28"/>
          <w:szCs w:val="28"/>
          <w:lang w:val="fr-FR" w:eastAsia="fr-FR"/>
        </w:rPr>
        <w:t xml:space="preserve"> </w:t>
      </w:r>
    </w:p>
    <w:p w:rsidR="0089405D" w:rsidRDefault="003468E2">
      <w:pPr>
        <w:spacing w:after="0" w:line="312" w:lineRule="auto"/>
        <w:rPr>
          <w:rFonts w:cs="Calibri"/>
          <w:b/>
          <w:sz w:val="24"/>
          <w:szCs w:val="24"/>
          <w:lang w:val="fr-FR"/>
        </w:rPr>
        <w:sectPr w:rsidR="0089405D">
          <w:pgSz w:w="11906" w:h="16838"/>
          <w:pgMar w:top="1440" w:right="1440" w:bottom="1440" w:left="1800" w:header="709" w:footer="709" w:gutter="0"/>
          <w:pgNumType w:fmt="lowerRoman" w:start="1"/>
          <w:cols w:space="720"/>
          <w:docGrid w:linePitch="299"/>
        </w:sectPr>
      </w:pPr>
      <w:r>
        <w:rPr>
          <w:rFonts w:cs="Calibri"/>
          <w:b/>
          <w:sz w:val="24"/>
          <w:szCs w:val="24"/>
          <w:lang w:val="fr-FR"/>
        </w:rPr>
        <w:br w:type="page"/>
      </w:r>
    </w:p>
    <w:p w:rsidR="0089405D" w:rsidRDefault="003468E2">
      <w:pPr>
        <w:pStyle w:val="Titre1"/>
        <w:spacing w:before="0" w:line="312" w:lineRule="auto"/>
        <w:jc w:val="center"/>
        <w:rPr>
          <w:rFonts w:cs="Calibri"/>
          <w:b/>
          <w:color w:val="auto"/>
          <w:lang w:val="fr-FR"/>
        </w:rPr>
      </w:pPr>
      <w:bookmarkStart w:id="7" w:name="_Toc79392927"/>
      <w:bookmarkStart w:id="8" w:name="_Toc111888562"/>
      <w:bookmarkStart w:id="9" w:name="_Toc127187149"/>
      <w:bookmarkStart w:id="10" w:name="_Toc127187426"/>
      <w:bookmarkStart w:id="11" w:name="_Toc127432183"/>
      <w:r>
        <w:rPr>
          <w:rFonts w:cs="Calibri"/>
          <w:b/>
          <w:color w:val="auto"/>
          <w:lang w:val="fr-FR"/>
        </w:rPr>
        <w:lastRenderedPageBreak/>
        <w:t>DEDICACE</w:t>
      </w:r>
      <w:bookmarkEnd w:id="6"/>
      <w:bookmarkEnd w:id="7"/>
      <w:bookmarkEnd w:id="8"/>
      <w:bookmarkEnd w:id="9"/>
      <w:bookmarkEnd w:id="10"/>
      <w:bookmarkEnd w:id="11"/>
    </w:p>
    <w:p w:rsidR="0089405D" w:rsidRDefault="0089405D">
      <w:pPr>
        <w:spacing w:after="0" w:line="312" w:lineRule="auto"/>
        <w:jc w:val="center"/>
        <w:rPr>
          <w:rFonts w:cs="Calibri"/>
          <w:sz w:val="24"/>
          <w:szCs w:val="24"/>
          <w:lang w:val="fr-FR"/>
        </w:rPr>
      </w:pPr>
    </w:p>
    <w:p w:rsidR="0089405D" w:rsidRDefault="003468E2">
      <w:pPr>
        <w:spacing w:after="0" w:line="312" w:lineRule="auto"/>
        <w:jc w:val="both"/>
        <w:rPr>
          <w:rFonts w:cs="Calibri"/>
          <w:sz w:val="24"/>
          <w:szCs w:val="24"/>
          <w:lang w:val="fr-FR"/>
        </w:rPr>
      </w:pPr>
      <w:r>
        <w:rPr>
          <w:rFonts w:cs="Calibri"/>
          <w:sz w:val="24"/>
          <w:szCs w:val="24"/>
          <w:lang w:val="fr-FR"/>
        </w:rPr>
        <w:t xml:space="preserve">Je dédie ce livre au feu Professeur Dr. </w:t>
      </w:r>
      <w:r>
        <w:rPr>
          <w:rFonts w:cs="Calibri"/>
          <w:b/>
          <w:sz w:val="24"/>
          <w:szCs w:val="24"/>
          <w:lang w:val="fr-FR"/>
        </w:rPr>
        <w:t xml:space="preserve">Ekele M’Benga Robert </w:t>
      </w:r>
      <w:r>
        <w:rPr>
          <w:rFonts w:cs="Calibri"/>
          <w:sz w:val="24"/>
          <w:szCs w:val="24"/>
          <w:lang w:val="fr-FR"/>
        </w:rPr>
        <w:t>décédé inopinément avant de préfacer cette œuvre. Je me souviens avec respect de l’homme, du maître d’éveilleur du peuple Mosoko.</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sz w:val="24"/>
          <w:szCs w:val="24"/>
          <w:lang w:val="fr-FR"/>
        </w:rPr>
        <w:sectPr w:rsidR="0089405D">
          <w:pgSz w:w="11906" w:h="16838"/>
          <w:pgMar w:top="1440" w:right="1440" w:bottom="1440" w:left="1800" w:header="709" w:footer="709" w:gutter="0"/>
          <w:pgNumType w:fmt="lowerRoman" w:start="3"/>
          <w:cols w:space="720"/>
          <w:docGrid w:linePitch="299"/>
        </w:sectPr>
      </w:pPr>
      <w:r>
        <w:rPr>
          <w:rFonts w:cs="Calibri"/>
          <w:sz w:val="24"/>
          <w:szCs w:val="24"/>
          <w:lang w:val="fr-FR"/>
        </w:rPr>
        <w:t>La quête humaine de l’émancipation de la société locale est sans doute plus ancienne que n’importe quelle énonciation ou déclaration des droits de l’homme, pour cet entendement que je dédie cet ouvrage aux différents victimes des conflits environnementaux,  ceux qui sont persécutés pour la justice sociale et  ceux qui ont soif de la justice pour la protection de leur environnement qui est leur patrimoine commun.</w:t>
      </w:r>
    </w:p>
    <w:p w:rsidR="0089405D" w:rsidRDefault="0089405D">
      <w:pPr>
        <w:spacing w:after="0" w:line="312" w:lineRule="auto"/>
        <w:jc w:val="center"/>
        <w:rPr>
          <w:rFonts w:cs="Calibri"/>
          <w:sz w:val="24"/>
          <w:szCs w:val="24"/>
          <w:lang w:val="fr-FR"/>
        </w:rPr>
      </w:pPr>
    </w:p>
    <w:p w:rsidR="0089405D" w:rsidRDefault="0089405D">
      <w:pPr>
        <w:spacing w:after="0" w:line="312" w:lineRule="auto"/>
        <w:jc w:val="center"/>
        <w:rPr>
          <w:rFonts w:cs="Calibri"/>
          <w:sz w:val="24"/>
          <w:szCs w:val="24"/>
          <w:lang w:val="fr-FR"/>
        </w:rPr>
      </w:pPr>
    </w:p>
    <w:p w:rsidR="0089405D" w:rsidRDefault="003468E2">
      <w:pPr>
        <w:spacing w:after="0" w:line="312" w:lineRule="auto"/>
        <w:jc w:val="both"/>
        <w:rPr>
          <w:rFonts w:cs="Calibri"/>
          <w:sz w:val="24"/>
          <w:szCs w:val="24"/>
          <w:lang w:val="fr-FR"/>
        </w:rPr>
        <w:sectPr w:rsidR="0089405D">
          <w:pgSz w:w="11906" w:h="16838"/>
          <w:pgMar w:top="1440" w:right="1440" w:bottom="1440" w:left="1800" w:header="709" w:footer="709" w:gutter="0"/>
          <w:pgNumType w:fmt="lowerRoman" w:start="1"/>
          <w:cols w:space="720"/>
          <w:titlePg/>
          <w:docGrid w:linePitch="299"/>
        </w:sectPr>
      </w:pPr>
      <w:r>
        <w:rPr>
          <w:rFonts w:cs="Calibri"/>
          <w:sz w:val="24"/>
          <w:szCs w:val="24"/>
          <w:lang w:val="fr-FR"/>
        </w:rPr>
        <w:br w:type="page"/>
      </w:r>
    </w:p>
    <w:p w:rsidR="0089405D" w:rsidRDefault="003468E2">
      <w:pPr>
        <w:pStyle w:val="Titre1"/>
        <w:spacing w:before="0" w:line="312" w:lineRule="auto"/>
        <w:jc w:val="both"/>
        <w:rPr>
          <w:rFonts w:cs="Calibri"/>
          <w:color w:val="auto"/>
          <w:lang w:val="fr-FR"/>
        </w:rPr>
      </w:pPr>
      <w:bookmarkStart w:id="12" w:name="_Toc59458281"/>
      <w:bookmarkStart w:id="13" w:name="_Toc79392928"/>
      <w:bookmarkStart w:id="14" w:name="_Toc111888563"/>
      <w:bookmarkStart w:id="15" w:name="_Toc127187150"/>
      <w:bookmarkStart w:id="16" w:name="_Toc127187427"/>
      <w:bookmarkStart w:id="17" w:name="_Toc127432184"/>
      <w:r>
        <w:rPr>
          <w:rFonts w:cs="Calibri"/>
          <w:b/>
          <w:color w:val="auto"/>
          <w:lang w:val="fr-FR"/>
        </w:rPr>
        <w:lastRenderedPageBreak/>
        <w:t>PREFACE</w:t>
      </w:r>
      <w:bookmarkEnd w:id="12"/>
      <w:bookmarkEnd w:id="13"/>
      <w:bookmarkEnd w:id="14"/>
      <w:bookmarkEnd w:id="15"/>
      <w:bookmarkEnd w:id="16"/>
      <w:bookmarkEnd w:id="17"/>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C’est un grand honneur pour moi de préfacer ce livre sur le projet d’exploitation minière semi - industrielle des minerais par les firmes étrangères en République Démocratique du Congo (RDC) tel que conçu et produit par le Professeur Mangambu Mokoso et son équipe dans un contexte d’une analyse d’impact socio-environnemental au regard des exigences du développement durable des communautés locales. </w:t>
      </w:r>
    </w:p>
    <w:p w:rsidR="0089405D" w:rsidRDefault="003468E2">
      <w:pPr>
        <w:spacing w:after="0" w:line="312" w:lineRule="auto"/>
        <w:ind w:firstLine="708"/>
        <w:jc w:val="both"/>
        <w:rPr>
          <w:rFonts w:cs="Calibri"/>
          <w:sz w:val="24"/>
          <w:szCs w:val="24"/>
          <w:lang w:val="fr-FR"/>
        </w:rPr>
      </w:pPr>
      <w:r>
        <w:rPr>
          <w:rFonts w:cs="Calibri"/>
          <w:sz w:val="24"/>
          <w:szCs w:val="24"/>
          <w:lang w:val="fr-FR"/>
        </w:rPr>
        <w:t>L’exploitation des ressources minérales peut avoir des implications très différentes pour les communautés, le pouvoir public, les compagnies d’exploitation elles-mêmes, voire le pays et les régions où les activités extractives ont lieu. Plusieurs études comparatives ont mis en évidence non seulement des divergences d’intérêts entre les différentes parties prenantes mais aussi la grande diversité des conditions dans lesquelles l’exploitation minière se déroule, particulièrement dans le bassin du Congo.</w:t>
      </w:r>
    </w:p>
    <w:p w:rsidR="0089405D" w:rsidRDefault="003468E2">
      <w:pPr>
        <w:spacing w:after="0" w:line="312" w:lineRule="auto"/>
        <w:ind w:firstLine="708"/>
        <w:jc w:val="both"/>
        <w:rPr>
          <w:sz w:val="24"/>
          <w:szCs w:val="24"/>
          <w:lang w:val="fr-FR"/>
        </w:rPr>
      </w:pPr>
      <w:r>
        <w:rPr>
          <w:sz w:val="24"/>
          <w:szCs w:val="24"/>
          <w:lang w:val="fr-FR"/>
        </w:rPr>
        <w:t>Le secteur minier en RDC en général et dans la province de la Tshopo en particulier alimente toujours les débats tant au niveau international qu’au niveau national.</w:t>
      </w:r>
      <w:r>
        <w:rPr>
          <w:rFonts w:cs="Calibri"/>
          <w:sz w:val="24"/>
          <w:szCs w:val="24"/>
          <w:lang w:val="fr-FR"/>
        </w:rPr>
        <w:t xml:space="preserve"> </w:t>
      </w:r>
      <w:r>
        <w:rPr>
          <w:sz w:val="24"/>
          <w:szCs w:val="24"/>
          <w:lang w:val="fr-FR"/>
        </w:rPr>
        <w:t>Les deux modes d’exploitation minière dans la province de la Tshopo, à savoir l’exploitation artisanale et l’exploitation semi industrielle sous toutes les formes, semblent être en compétition avec les intérêts majeurs des communautés locales détentrices traditionnelles des sites d’exploitation.</w:t>
      </w:r>
    </w:p>
    <w:p w:rsidR="0089405D" w:rsidRDefault="003468E2">
      <w:pPr>
        <w:spacing w:after="0" w:line="312" w:lineRule="auto"/>
        <w:ind w:firstLine="708"/>
        <w:jc w:val="both"/>
        <w:rPr>
          <w:sz w:val="24"/>
          <w:szCs w:val="24"/>
          <w:lang w:val="fr-FR"/>
        </w:rPr>
      </w:pPr>
      <w:r>
        <w:rPr>
          <w:sz w:val="24"/>
          <w:szCs w:val="24"/>
          <w:lang w:val="fr-FR"/>
        </w:rPr>
        <w:t>Ces divergence d’intérêts et de décisions soulignent la pertinence de l’objectif partagé de créer volontairement et par anticipation, un espace politique garantissant les intérêts de toutes les parties prenantes. Dans le territoire de la Tshopo, on a pendant trop longtemps considéré comme allant de soi qu’il y ait toujours des gagnants et des perdants dans l’exploitation minière. Il est vrai que certaines parties concernées, notamment les communautés locales, et peut-être même les services étatiques, soient loin d’y trouver leur compte, comme le montrent amplement l’étendue de la pauvreté et le grave déficit infrastructurel du terroir minier, ainsi que la faible voix de la société dans les négociations sur les contrats miniers.</w:t>
      </w:r>
    </w:p>
    <w:p w:rsidR="0089405D" w:rsidRDefault="003468E2">
      <w:pPr>
        <w:spacing w:after="0" w:line="312" w:lineRule="auto"/>
        <w:ind w:firstLine="708"/>
        <w:jc w:val="both"/>
        <w:rPr>
          <w:rFonts w:cs="Calibri"/>
          <w:sz w:val="24"/>
          <w:szCs w:val="24"/>
          <w:lang w:val="fr-FR"/>
        </w:rPr>
      </w:pPr>
      <w:r>
        <w:rPr>
          <w:sz w:val="24"/>
          <w:szCs w:val="24"/>
          <w:lang w:val="fr-FR"/>
        </w:rPr>
        <w:t xml:space="preserve"> D’où le questionnement du Professeur Mangambu Mokoso et son équipe de contributeurs sur les conditions qui permettraient à ces deux formes d’exploitation de coexister en toute quiétude en développant une </w:t>
      </w:r>
      <w:r>
        <w:rPr>
          <w:rFonts w:cs="Calibri"/>
          <w:sz w:val="24"/>
          <w:szCs w:val="24"/>
          <w:lang w:val="fr-FR"/>
        </w:rPr>
        <w:t xml:space="preserve">réflexion pertinente sur les potentialités d’exploitation des ressources minérales, cas du Territoire de Basoko en province de la Tshopo. </w:t>
      </w:r>
    </w:p>
    <w:p w:rsidR="0089405D" w:rsidRDefault="003468E2">
      <w:pPr>
        <w:spacing w:after="0" w:line="312" w:lineRule="auto"/>
        <w:jc w:val="both"/>
        <w:rPr>
          <w:rFonts w:cs="Calibri"/>
          <w:sz w:val="24"/>
          <w:szCs w:val="24"/>
          <w:lang w:val="fr-FR"/>
        </w:rPr>
      </w:pPr>
      <w:r>
        <w:rPr>
          <w:rFonts w:cs="Calibri"/>
          <w:sz w:val="24"/>
          <w:szCs w:val="24"/>
          <w:lang w:val="fr-FR"/>
        </w:rPr>
        <w:tab/>
        <w:t xml:space="preserve">Outre les divergences d’intérêts, les activités minières contribuent à la contamination en éléments de traces métalliques, des eaux de surfaces comme souterraines, alors que cette dernière constitue un élément clef de la vie terrestre, nécessaire à la vie des végétaux, des animaux ainsi que des activités humaines. La </w:t>
      </w:r>
      <w:r>
        <w:rPr>
          <w:rFonts w:cs="Calibri"/>
          <w:sz w:val="24"/>
          <w:szCs w:val="24"/>
          <w:lang w:val="fr-FR"/>
        </w:rPr>
        <w:lastRenderedPageBreak/>
        <w:t xml:space="preserve">circulation des eaux acides ou polluées et contaminées ont conduit à bien des désastres économiques, écologiques et sociaux. Les zones d’exploitation et celles des habitats en aval du long de la rivière Aruwimi ne peuvent guère faire exception à ces remue-ménages environnementaux.  </w:t>
      </w:r>
    </w:p>
    <w:p w:rsidR="0089405D" w:rsidRDefault="003468E2">
      <w:pPr>
        <w:spacing w:after="0" w:line="312" w:lineRule="auto"/>
        <w:ind w:firstLine="708"/>
        <w:jc w:val="both"/>
        <w:rPr>
          <w:rFonts w:cs="Calibri"/>
          <w:sz w:val="24"/>
          <w:szCs w:val="24"/>
          <w:lang w:val="fr-FR"/>
        </w:rPr>
      </w:pPr>
      <w:r>
        <w:rPr>
          <w:rFonts w:cs="Calibri"/>
          <w:sz w:val="24"/>
          <w:szCs w:val="24"/>
          <w:lang w:val="fr-FR"/>
        </w:rPr>
        <w:t>En lisant bien le Professeur Mangambu Mokoso et son panel de contributeurs, il sied de noter que toute exploitation industrielle ou semi-industrielle non contrôlée des minerais sur la rivière Aruwimi mettra en péril les écosystèmes aquatique et terrestre, ainsi que l’équilibre de la faune et de la flore, avec des conséquences socio-économiques et sanitaires très inquiétantes pour les populations riveraines.  Par ailleurs,</w:t>
      </w:r>
      <w:r>
        <w:rPr>
          <w:rFonts w:eastAsia="Verdana" w:cs="Calibri"/>
          <w:kern w:val="24"/>
          <w:sz w:val="24"/>
          <w:szCs w:val="24"/>
          <w:lang w:val="fr-FR" w:eastAsia="fr-FR"/>
        </w:rPr>
        <w:t xml:space="preserve"> la </w:t>
      </w:r>
      <w:r>
        <w:rPr>
          <w:rFonts w:cs="Calibri"/>
          <w:sz w:val="24"/>
          <w:szCs w:val="24"/>
          <w:lang w:val="fr-FR"/>
        </w:rPr>
        <w:t>vie de toute espèce vivante dépend du soleil, de l’air et de l’eau. On peut se passer du pétrole, vivre sans un travail rémunéré, sans argent en banque, voire même sans voiture, mais jamais du soleil, de l’air et de l’eau ; car ils sont la vie. L’eau est devenue « l’or bleu », avec le statut d’un métal précieux de la planète.</w:t>
      </w:r>
    </w:p>
    <w:p w:rsidR="0089405D" w:rsidRDefault="003468E2">
      <w:pPr>
        <w:spacing w:after="0" w:line="312" w:lineRule="auto"/>
        <w:ind w:firstLine="708"/>
        <w:jc w:val="both"/>
        <w:rPr>
          <w:rFonts w:cs="Calibri"/>
          <w:sz w:val="24"/>
          <w:szCs w:val="24"/>
          <w:lang w:val="fr-FR"/>
        </w:rPr>
      </w:pPr>
      <w:r>
        <w:rPr>
          <w:sz w:val="24"/>
          <w:szCs w:val="24"/>
          <w:lang w:val="fr-FR"/>
        </w:rPr>
        <w:t>L’aire d’exploitation du bassin de la rivière Aruwimi a atteint un point de bascule. Notre fenêtre de tir pour réagir aux urgences interdépendantes dictées par les désastres socioéconomiques et environnementaux et en même temps partager équitablement les ressources du périmètre minier de la province de la Tshopo se réduit très vite. Les systèmes existants ne fonctionnent plus comme il se doit. La « réussite » économique ne saurait plus se faire aux dépens de la nature. Nous avons de toute urgence besoin des réformes ecosystémiques.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Ayant compris tous ces problèmes environnementaux et les dégâts causés par les activités économiques sur l’environnement, le professeur Mangambu Mokoso et les contributeurs de cet ouvrage avertissent l’homme vivant dans le terroir d’exploitation semi-industrielle de la Tshopo de l’ampleur des catastrophes naturelles en cours et les perspectives s’alignant dans la mise en œuvre des actions correctives, c’est-à-dire les actions préventives à toute éventuelle destruction de son environnement écologique, qui doivent commencer par la sensibilisation de ce dernier sur l’environnement et des actions socio-économiques, dites de développement durable.  Pour terminer cette étude d’éveille de conscience, les auteurs ont analysé l’impact de l’exploitation minière sur la vie des êtres vivants et leur environnement, et montrent les différents effets qui découleront de l’exploitation des minerais dans cette contrée du pays et ses environs, sur les 50 carres miniers octroyés par la République.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Les lecteurs prendront connaissance de l’originalité de plusieurs parties de ce manuel, notamment les impacts environnementaux et sanitaires, mais aussi des analyses socio - économiques, qui leur permettront de se faire une idée générale sur la situation d’exploitation des minerais en milieu rural en RDC, plus particulièrement dans le territoire </w:t>
      </w:r>
      <w:r>
        <w:rPr>
          <w:rFonts w:cs="Calibri"/>
          <w:sz w:val="24"/>
          <w:szCs w:val="24"/>
          <w:lang w:val="fr-FR"/>
        </w:rPr>
        <w:lastRenderedPageBreak/>
        <w:t xml:space="preserve">de Basoko en province de la Tshopo. Certes, les auteurs ont contribué à dire NON à la manière perverse de l’exploitation semi-industrielle ou industrielle des gisements dans Tshopo et à la politique de traitement et de la destruction environnementale par les acteurs de l’exploitation minière dans les différents sites étudiés et où les mines sont à la base de plusieurs conflits armés et concessionnels.  </w:t>
      </w:r>
    </w:p>
    <w:p w:rsidR="0089405D" w:rsidRDefault="003468E2">
      <w:pPr>
        <w:spacing w:after="0" w:line="312" w:lineRule="auto"/>
        <w:ind w:firstLine="708"/>
        <w:jc w:val="both"/>
        <w:rPr>
          <w:rFonts w:cs="Calibri"/>
          <w:sz w:val="24"/>
          <w:szCs w:val="24"/>
          <w:lang w:val="fr-FR"/>
        </w:rPr>
      </w:pPr>
      <w:r>
        <w:rPr>
          <w:rFonts w:cs="Calibri"/>
          <w:sz w:val="24"/>
          <w:szCs w:val="24"/>
          <w:lang w:val="fr-FR"/>
        </w:rPr>
        <w:t>Et pourtant il y a lieu d’être optimistes. Nous sommes parfaitement capables d’opérer des changements transformateurs, et vite. Pendant la pandémie, nous avons changé nos comportements afin de protéger notre propre santé et celle de ceux qui nous entourent. Des changements radicaux sont une fois de plus nécessaires si nous voulons construire les habitats détruits et dégradés du bassin de la rivière Aruwimi qui valorisent la nature, la protègent et investissent en elle. Investir dans la nature à travers l’approche ‘’Solutions basées sur la nature’’, c’est investir dans notre avenir collectif.</w:t>
      </w:r>
    </w:p>
    <w:p w:rsidR="0089405D" w:rsidRDefault="003468E2">
      <w:pPr>
        <w:spacing w:after="0" w:line="312" w:lineRule="auto"/>
        <w:ind w:firstLine="708"/>
        <w:jc w:val="both"/>
        <w:rPr>
          <w:rFonts w:cs="Calibri"/>
          <w:sz w:val="24"/>
          <w:szCs w:val="24"/>
          <w:lang w:val="fr-FR"/>
        </w:rPr>
      </w:pPr>
      <w:r>
        <w:rPr>
          <w:rFonts w:cs="Calibri"/>
          <w:sz w:val="24"/>
          <w:szCs w:val="24"/>
          <w:lang w:val="fr-FR"/>
        </w:rPr>
        <w:t>Voilà pourquoi je ne peux m’empêcher de féliciter le Professeur Mangambu et son équipe pour avoir mis à la disposition de la RDC ce document d’éveil de conscience qui est aussi un outil de travail indispensable et parfaitement à jour au moment où le débat sur l’exploitation et la gouvernance des ressources naturelles en générale est sur le feu d'actualité.</w:t>
      </w:r>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9"/>
        <w:jc w:val="center"/>
        <w:rPr>
          <w:rFonts w:cs="Calibri"/>
          <w:sz w:val="24"/>
          <w:szCs w:val="24"/>
          <w:lang w:val="fr-FR"/>
        </w:rPr>
      </w:pPr>
      <w:r>
        <w:rPr>
          <w:rFonts w:cs="Calibri"/>
          <w:sz w:val="24"/>
          <w:szCs w:val="24"/>
          <w:lang w:val="fr-FR"/>
        </w:rPr>
        <w:t xml:space="preserve">= : </w:t>
      </w:r>
      <w:r>
        <w:rPr>
          <w:rFonts w:cs="Calibri"/>
          <w:sz w:val="24"/>
          <w:szCs w:val="24"/>
          <w:u w:val="single"/>
          <w:lang w:val="fr-FR"/>
        </w:rPr>
        <w:t>MUBALAMA KAKIRA Léonard, PhD</w:t>
      </w:r>
      <w:r>
        <w:rPr>
          <w:rFonts w:cs="Calibri"/>
          <w:sz w:val="24"/>
          <w:szCs w:val="24"/>
          <w:lang w:val="fr-FR"/>
        </w:rPr>
        <w:t> : =</w:t>
      </w:r>
    </w:p>
    <w:p w:rsidR="0089405D" w:rsidRDefault="003468E2">
      <w:pPr>
        <w:spacing w:after="0" w:line="312" w:lineRule="auto"/>
        <w:ind w:firstLine="709"/>
        <w:jc w:val="center"/>
        <w:rPr>
          <w:rFonts w:cs="Calibri"/>
          <w:color w:val="000000"/>
          <w:sz w:val="24"/>
          <w:szCs w:val="24"/>
          <w:shd w:val="clear" w:color="auto" w:fill="FFFFFF"/>
          <w:lang w:val="fr-FR"/>
        </w:rPr>
      </w:pPr>
      <w:r>
        <w:rPr>
          <w:rFonts w:cs="Calibri"/>
          <w:sz w:val="24"/>
          <w:szCs w:val="24"/>
          <w:lang w:val="fr-FR"/>
        </w:rPr>
        <w:t xml:space="preserve">                              Professeur   </w:t>
      </w:r>
      <w:r>
        <w:rPr>
          <w:rFonts w:cs="Calibri"/>
          <w:color w:val="000000"/>
          <w:sz w:val="24"/>
          <w:szCs w:val="24"/>
          <w:shd w:val="clear" w:color="auto" w:fill="FFFFFF"/>
          <w:lang w:val="fr-FR"/>
        </w:rPr>
        <w:t>Membre correspondant de l’Académie Royale des Sciences d’Outre-mer (ARSOM/KAOW)</w:t>
      </w:r>
    </w:p>
    <w:p w:rsidR="0089405D" w:rsidRDefault="003468E2">
      <w:pPr>
        <w:spacing w:after="0" w:line="312" w:lineRule="auto"/>
        <w:ind w:firstLine="709"/>
        <w:jc w:val="center"/>
        <w:rPr>
          <w:rFonts w:cs="Calibri"/>
          <w:sz w:val="24"/>
          <w:szCs w:val="24"/>
          <w:lang w:val="fr-FR"/>
        </w:rPr>
      </w:pPr>
      <w:r>
        <w:rPr>
          <w:rFonts w:cs="Calibri"/>
          <w:sz w:val="24"/>
          <w:szCs w:val="24"/>
          <w:lang w:val="fr-FR"/>
        </w:rPr>
        <w:t>Membre de la Commission Mondiale des Aires Protégées de l’UICN</w:t>
      </w:r>
    </w:p>
    <w:p w:rsidR="0089405D" w:rsidRDefault="0089405D">
      <w:pPr>
        <w:spacing w:after="0" w:line="312" w:lineRule="auto"/>
        <w:ind w:left="4963"/>
        <w:jc w:val="center"/>
        <w:rPr>
          <w:rFonts w:cs="Calibri"/>
          <w:b/>
          <w:sz w:val="24"/>
          <w:szCs w:val="24"/>
          <w:lang w:val="fr-FR"/>
        </w:rPr>
      </w:pPr>
    </w:p>
    <w:p w:rsidR="0089405D" w:rsidRDefault="0089405D">
      <w:pPr>
        <w:spacing w:after="0" w:line="312" w:lineRule="auto"/>
        <w:jc w:val="both"/>
        <w:rPr>
          <w:rFonts w:cs="Calibri"/>
          <w:b/>
          <w:sz w:val="24"/>
          <w:szCs w:val="24"/>
          <w:lang w:val="fr-FR"/>
        </w:rPr>
        <w:sectPr w:rsidR="0089405D">
          <w:pgSz w:w="11906" w:h="16838"/>
          <w:pgMar w:top="1440" w:right="1440" w:bottom="1440" w:left="1800" w:header="709" w:footer="709" w:gutter="0"/>
          <w:pgNumType w:fmt="lowerRoman" w:start="7"/>
          <w:cols w:space="720"/>
          <w:docGrid w:linePitch="299"/>
        </w:sectPr>
      </w:pPr>
    </w:p>
    <w:p w:rsidR="0089405D" w:rsidRDefault="003468E2">
      <w:pPr>
        <w:spacing w:after="0" w:line="312" w:lineRule="auto"/>
        <w:jc w:val="both"/>
        <w:rPr>
          <w:rFonts w:cs="Calibri"/>
          <w:sz w:val="32"/>
          <w:szCs w:val="32"/>
          <w:lang w:val="fr-FR"/>
        </w:rPr>
      </w:pPr>
      <w:r>
        <w:rPr>
          <w:rFonts w:cs="Calibri"/>
          <w:b/>
          <w:sz w:val="24"/>
          <w:szCs w:val="24"/>
          <w:lang w:val="fr-FR"/>
        </w:rPr>
        <w:lastRenderedPageBreak/>
        <w:br w:type="page"/>
      </w:r>
      <w:bookmarkStart w:id="18" w:name="_Toc59458282"/>
      <w:bookmarkStart w:id="19" w:name="_Toc79392929"/>
      <w:r>
        <w:rPr>
          <w:rFonts w:cs="Calibri"/>
          <w:b/>
          <w:sz w:val="32"/>
          <w:szCs w:val="32"/>
          <w:lang w:val="fr-FR"/>
        </w:rPr>
        <w:lastRenderedPageBreak/>
        <w:t>PREAMBULE</w:t>
      </w:r>
      <w:bookmarkEnd w:id="18"/>
      <w:bookmarkEnd w:id="19"/>
    </w:p>
    <w:p w:rsidR="0089405D" w:rsidRDefault="003468E2">
      <w:pPr>
        <w:spacing w:after="0" w:line="312" w:lineRule="auto"/>
        <w:ind w:firstLine="708"/>
        <w:jc w:val="both"/>
        <w:rPr>
          <w:rFonts w:eastAsia="ArialMT" w:cs="Calibri"/>
          <w:i/>
          <w:sz w:val="24"/>
          <w:szCs w:val="24"/>
          <w:lang w:val="fr-FR"/>
        </w:rPr>
      </w:pPr>
      <w:r>
        <w:rPr>
          <w:rFonts w:eastAsia="ArialMT" w:cs="Calibri"/>
          <w:i/>
          <w:sz w:val="24"/>
          <w:szCs w:val="24"/>
          <w:lang w:val="fr-FR"/>
        </w:rPr>
        <w:t>La maîtrise et la possession de la nature se présentent depuis comme un feu de paille. En effet, l'Homme est fragile, tellement vulnérable qu'il faudrait plutôt prendre soin de lui et que lui-même prenne soin des autres et du reste de la nature et de son environnement physique…. Les détours par la République Démocratique du Congo ne sont qu'un prétexte pour rendre vivante cette finitude de l'Homme, à travers l'incurie de gouvernance chez les politiciens, Rigobert Kabamba &amp; Jean-Claude Kakule, Plis de la vulnérabilité, 2018.</w:t>
      </w:r>
    </w:p>
    <w:p w:rsidR="0089405D" w:rsidRDefault="003468E2">
      <w:pPr>
        <w:spacing w:after="0" w:line="312" w:lineRule="auto"/>
        <w:jc w:val="both"/>
        <w:rPr>
          <w:rFonts w:eastAsia="ArialMT" w:cs="Calibri"/>
          <w:i/>
          <w:sz w:val="24"/>
          <w:szCs w:val="24"/>
          <w:lang w:val="fr-FR"/>
        </w:rPr>
      </w:pPr>
      <w:r>
        <w:rPr>
          <w:rFonts w:eastAsia="ArialMT" w:cs="Calibri"/>
          <w:i/>
          <w:sz w:val="24"/>
          <w:szCs w:val="24"/>
          <w:lang w:val="fr-FR"/>
        </w:rPr>
        <w:tab/>
        <w:t xml:space="preserve">La crise écologique actuelle en misant sur un changement de paradigme qui permettra à tous les êtres humains de vivre de manière durable et dans la dignité….on a besoin d’une conversion qui nous unie tous, parce que le défi environnemental que nous vivons, et ses racines humaines, nous concernent et nous touchent tous ! Sauvegardons notre maison commune ; Pape François, Laudato Si’, 14 </w:t>
      </w:r>
    </w:p>
    <w:p w:rsidR="0089405D" w:rsidRDefault="003468E2">
      <w:pPr>
        <w:spacing w:after="0" w:line="312" w:lineRule="auto"/>
        <w:jc w:val="both"/>
        <w:rPr>
          <w:rFonts w:cs="Calibri"/>
          <w:i/>
          <w:sz w:val="24"/>
          <w:szCs w:val="24"/>
          <w:lang w:val="fr-FR"/>
        </w:rPr>
      </w:pPr>
      <w:r>
        <w:rPr>
          <w:rFonts w:eastAsia="ArialMT" w:cs="Calibri"/>
          <w:i/>
          <w:sz w:val="24"/>
          <w:szCs w:val="24"/>
          <w:lang w:val="fr-FR"/>
        </w:rPr>
        <w:tab/>
      </w:r>
      <w:r>
        <w:rPr>
          <w:rFonts w:cs="Calibri"/>
          <w:i/>
          <w:sz w:val="24"/>
          <w:szCs w:val="24"/>
          <w:lang w:val="fr-FR"/>
        </w:rPr>
        <w:t>Durant plus de dix dernières décennies, les êtres humains ont modifié les écosystèmes plus rapidement et de manière plus importante que dans n’importe quelle autre période comparable de l’histoire humaine. Ce constat rappelle les conséquences de nos modes de gestion dégradant des milieux et ressources naturelles, parmi lesquelles l’eau figure en bonne place dans le lourd palmarès des ressources appauvries.</w:t>
      </w:r>
      <w:r>
        <w:rPr>
          <w:rFonts w:cs="Calibri"/>
          <w:sz w:val="24"/>
          <w:szCs w:val="24"/>
          <w:lang w:val="fr-FR"/>
        </w:rPr>
        <w:t xml:space="preserve"> </w:t>
      </w:r>
      <w:r>
        <w:rPr>
          <w:rFonts w:eastAsia="ArialMT" w:cs="Calibri"/>
          <w:i/>
          <w:sz w:val="24"/>
          <w:szCs w:val="24"/>
          <w:lang w:val="fr-FR"/>
        </w:rPr>
        <w:t xml:space="preserve">S'il faut penser à un projet permettant le développement économique, est-ce que cela nous rendra plus heureux ? Il faudra que nous nous posions la bonne question, pour que l'homme se sente responsable de la destruction de la nature et qu’il rendra compte un jour </w:t>
      </w:r>
      <w:r>
        <w:rPr>
          <w:rFonts w:eastAsia="ArialMT" w:cs="Calibri"/>
          <w:b/>
          <w:i/>
          <w:sz w:val="24"/>
          <w:szCs w:val="24"/>
          <w:lang w:val="fr-FR"/>
        </w:rPr>
        <w:t xml:space="preserve">; </w:t>
      </w:r>
      <w:r>
        <w:rPr>
          <w:rFonts w:eastAsia="ArialMT" w:cs="Calibri"/>
          <w:i/>
          <w:sz w:val="24"/>
          <w:szCs w:val="24"/>
          <w:lang w:val="fr-FR"/>
        </w:rPr>
        <w:t>Mangambu M et al. (2121).</w:t>
      </w:r>
    </w:p>
    <w:p w:rsidR="0089405D" w:rsidRDefault="0089405D">
      <w:pPr>
        <w:spacing w:after="0" w:line="312" w:lineRule="auto"/>
        <w:jc w:val="both"/>
        <w:rPr>
          <w:rFonts w:eastAsia="ArialMT" w:cs="Calibri"/>
          <w:sz w:val="24"/>
          <w:szCs w:val="24"/>
          <w:lang w:val="fr-FR"/>
        </w:rPr>
      </w:pP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 xml:space="preserve">La question de l’environnement et celle de la gestion durable des ressources naturelles sont devenues capitales et sont d’une importance fondamentale dans notre 21 </w:t>
      </w:r>
      <w:r>
        <w:rPr>
          <w:rFonts w:eastAsia="ArialMT" w:cs="Calibri"/>
          <w:sz w:val="24"/>
          <w:szCs w:val="24"/>
          <w:vertAlign w:val="superscript"/>
          <w:lang w:val="fr-FR"/>
        </w:rPr>
        <w:t>nième</w:t>
      </w:r>
      <w:r>
        <w:rPr>
          <w:rFonts w:eastAsia="ArialMT" w:cs="Calibri"/>
          <w:sz w:val="24"/>
          <w:szCs w:val="24"/>
          <w:lang w:val="fr-FR"/>
        </w:rPr>
        <w:t xml:space="preserve"> Siècle. Nul n’est besoin de rappeler l’importance de l’eau pour la survie de l’Humanité. </w:t>
      </w:r>
      <w:r>
        <w:rPr>
          <w:rFonts w:eastAsia="ArialMT" w:cs="Calibri"/>
          <w:i/>
          <w:sz w:val="24"/>
          <w:szCs w:val="24"/>
          <w:lang w:val="fr-FR"/>
        </w:rPr>
        <w:t>Ne dit-on pas que l’eau c’est la vie ?</w:t>
      </w:r>
      <w:r>
        <w:rPr>
          <w:rFonts w:eastAsia="ArialMT" w:cs="Calibri"/>
          <w:sz w:val="24"/>
          <w:szCs w:val="24"/>
          <w:lang w:val="fr-FR"/>
        </w:rPr>
        <w:t xml:space="preserve"> Bien que constituant 70% de la planète, l’eau se fait de plus en plus rare, au point que certains scientifiques rassurent que </w:t>
      </w:r>
      <w:r>
        <w:rPr>
          <w:rFonts w:cs="Calibri"/>
          <w:sz w:val="24"/>
          <w:szCs w:val="24"/>
          <w:lang w:val="fr-FR"/>
        </w:rPr>
        <w:t>dans les jours à venir, l’humanité se battra pour le contrôle de l’eau, surtout de l’eau douce ; ce qui occasionnera</w:t>
      </w:r>
      <w:r>
        <w:rPr>
          <w:rFonts w:eastAsia="ArialMT" w:cs="Calibri"/>
          <w:sz w:val="24"/>
          <w:szCs w:val="24"/>
          <w:lang w:val="fr-FR"/>
        </w:rPr>
        <w:t xml:space="preserve"> la prochaine guerre mondiale. Donc, nous tous, sommes appelés à la préserver jalousement, si nous aspirons à être parmi les grands du monde dans le futur.  </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 xml:space="preserve">Cependant, l’analyse des divergents projets d’exploitations aurifères et diamantifères en cours dans le territoire de Basoko qui se trouve dans le bassin du Congo, par des contrats désavantageux pour les populations locales et destructeurs de l’environnement, mérite une attention soutenue et doit être orientée vers les stratégies </w:t>
      </w:r>
      <w:r>
        <w:rPr>
          <w:rFonts w:eastAsia="ArialMT" w:cs="Calibri"/>
          <w:sz w:val="24"/>
          <w:szCs w:val="24"/>
          <w:lang w:val="fr-FR"/>
        </w:rPr>
        <w:lastRenderedPageBreak/>
        <w:t xml:space="preserve">pouvant les rendre acceptables. Cette étude permet aussi de discuter de l’impact de ces projets à plus ou moins long terme dans la perspective du développement durable. </w:t>
      </w:r>
    </w:p>
    <w:p w:rsidR="0089405D" w:rsidRDefault="003468E2">
      <w:pPr>
        <w:spacing w:after="0" w:line="312" w:lineRule="auto"/>
        <w:jc w:val="both"/>
        <w:rPr>
          <w:rFonts w:eastAsia="ArialMT" w:cs="Calibri"/>
          <w:sz w:val="24"/>
          <w:szCs w:val="24"/>
          <w:lang w:val="fr-FR"/>
        </w:rPr>
      </w:pPr>
      <w:r>
        <w:rPr>
          <w:rFonts w:eastAsia="ArialMT" w:cs="Calibri"/>
          <w:sz w:val="24"/>
          <w:szCs w:val="24"/>
          <w:lang w:val="fr-FR"/>
        </w:rPr>
        <w:tab/>
        <w:t xml:space="preserve">Cet ouvrage s’inscrit dans le cadre des problématiques actuelles traitant des interactions environnement - population - santé - minerais, en contexte minier dans le territoire de Basoko, Province de la Tshopo, en République démocratique du Congo (RDC). Son objectif est d’examiner l’impact socio-environnemental et économique au regard des exigences du développement durable des communautés locales, mais aussi de décrire les pollutions, les conséquences socio-économiques liées aux activités d’extraction minière. </w:t>
      </w:r>
    </w:p>
    <w:p w:rsidR="0089405D" w:rsidRDefault="003468E2">
      <w:pPr>
        <w:spacing w:after="0" w:line="312" w:lineRule="auto"/>
        <w:jc w:val="both"/>
        <w:rPr>
          <w:rFonts w:cs="Calibri"/>
          <w:sz w:val="24"/>
          <w:szCs w:val="24"/>
          <w:lang w:val="fr-FR"/>
        </w:rPr>
      </w:pPr>
      <w:r>
        <w:rPr>
          <w:rFonts w:eastAsia="ArialMT" w:cs="Calibri"/>
          <w:sz w:val="24"/>
          <w:szCs w:val="24"/>
          <w:lang w:val="fr-FR"/>
        </w:rPr>
        <w:tab/>
        <w:t>Pour des commodités de présentation, les éléments d'analyse de ce point ont été regroupés en sept catégories, mais il est évident qu’ils sont pris en compte implicitement dans les liens complexes entre les aspects retenus dans le corps principal du texte. Le nouveau Code minier a le mérite théorique de réaffirmer le principe de droit découlant de la concession minière d’être distinct de celui de la concession foncière, de sorte qu’un concessionnaire foncier ne peut se prévaloir de son titre pour revendiquer un droit de propriété quelconque sur les substances minérales contenues dans le sous-sol. Par contre, il procède à un classement des gîtes minéraux en mines et carrières.</w:t>
      </w:r>
    </w:p>
    <w:p w:rsidR="0089405D" w:rsidRDefault="0089405D">
      <w:pPr>
        <w:spacing w:after="0" w:line="312" w:lineRule="auto"/>
        <w:jc w:val="both"/>
        <w:rPr>
          <w:rFonts w:eastAsia="ArialMT" w:cs="Calibri"/>
          <w:b/>
          <w:i/>
          <w:sz w:val="24"/>
          <w:szCs w:val="24"/>
          <w:lang w:val="fr-FR"/>
        </w:rPr>
      </w:pPr>
    </w:p>
    <w:p w:rsidR="0089405D" w:rsidRDefault="003468E2">
      <w:pPr>
        <w:spacing w:after="0" w:line="312" w:lineRule="auto"/>
        <w:jc w:val="both"/>
        <w:rPr>
          <w:rFonts w:cs="Calibri"/>
          <w:sz w:val="24"/>
          <w:szCs w:val="24"/>
          <w:lang w:val="fr-FR"/>
        </w:rPr>
      </w:pPr>
      <w:r>
        <w:rPr>
          <w:rFonts w:eastAsia="ArialMT" w:cs="Calibri"/>
          <w:b/>
          <w:i/>
          <w:sz w:val="24"/>
          <w:szCs w:val="24"/>
          <w:lang w:val="fr-FR"/>
        </w:rPr>
        <w:t>Notre devoir sacré : Préserver notre santé et notre environnement</w:t>
      </w:r>
    </w:p>
    <w:p w:rsidR="0089405D" w:rsidRDefault="003468E2">
      <w:pPr>
        <w:spacing w:after="0" w:line="312" w:lineRule="auto"/>
        <w:ind w:firstLine="709"/>
        <w:jc w:val="both"/>
        <w:rPr>
          <w:rFonts w:cs="Calibri"/>
          <w:sz w:val="24"/>
          <w:szCs w:val="24"/>
          <w:lang w:val="fr-FR"/>
        </w:rPr>
      </w:pPr>
      <w:r>
        <w:rPr>
          <w:rFonts w:eastAsia="ArialMT" w:cs="Calibri"/>
          <w:sz w:val="24"/>
          <w:szCs w:val="24"/>
          <w:lang w:val="fr-FR"/>
        </w:rPr>
        <w:t>Quant aux richesses géologiques, la RDC fait un scandale dans ses ressources hydrologiques : le bassin du fleuve Congo, deuxième bassin hydrographique au monde après l’Amazonie, deuxième réserve mondiale d’eau douce et abritant, outre la source du Nil en Ituri, plusieurs rivières dignes des fleuves dont Lualaba, Ubangi, Kasaï, Uélé, Lomami, Itimbiri et, bien entendu Lohale ‘‘</w:t>
      </w:r>
      <w:r>
        <w:rPr>
          <w:rFonts w:eastAsia="ArialMT" w:cs="Calibri"/>
          <w:b/>
          <w:sz w:val="24"/>
          <w:szCs w:val="24"/>
          <w:lang w:val="fr-FR"/>
        </w:rPr>
        <w:t>Aruwimi</w:t>
      </w:r>
      <w:r>
        <w:rPr>
          <w:rFonts w:eastAsia="ArialMT" w:cs="Calibri"/>
          <w:sz w:val="24"/>
          <w:szCs w:val="24"/>
          <w:lang w:val="fr-FR"/>
        </w:rPr>
        <w:t>’’, sièges des minerais de</w:t>
      </w:r>
      <w:r>
        <w:rPr>
          <w:rFonts w:cs="Calibri"/>
          <w:sz w:val="24"/>
          <w:szCs w:val="24"/>
          <w:lang w:val="fr-FR"/>
        </w:rPr>
        <w:t xml:space="preserve"> la convoitise</w:t>
      </w:r>
      <w:r>
        <w:rPr>
          <w:rFonts w:eastAsia="ArialMT" w:cs="Calibri"/>
          <w:sz w:val="24"/>
          <w:szCs w:val="24"/>
          <w:lang w:val="fr-FR"/>
        </w:rPr>
        <w:t xml:space="preserve">. Les Congolais ont un devoir sacré et tout intérêt de protéger ces cours d’eaux comme le font les ressortissants de Basoko avec Aruwimi. Pour rappel, cette majestueuse rivière se jette au fleuve Congo à la hauteur de la cité de Basoko (chef-lieu du territoire de Basoko). </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sz w:val="24"/>
          <w:szCs w:val="24"/>
          <w:lang w:val="fr-FR"/>
        </w:rPr>
      </w:pPr>
      <w:r>
        <w:rPr>
          <w:rFonts w:eastAsia="ArialMT" w:cs="Calibri"/>
          <w:b/>
          <w:i/>
          <w:sz w:val="24"/>
          <w:szCs w:val="24"/>
          <w:lang w:val="fr-FR"/>
        </w:rPr>
        <w:t>De l’incompatibilité au développement durable de Basoko</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 xml:space="preserve">Très regardants et soucieux du développement durable de leur Territoire, les originaires de Basoko ne ferment pas les yeux face aux impacts dramatiques sur les plans culturel, sanitaire et environnemental de l’exploitation minière de la rivière Aruwimi. Ils optent maintenant pour un développement durable et harmonieux, au respect des normes en la matière. </w:t>
      </w:r>
    </w:p>
    <w:p w:rsidR="0089405D" w:rsidRDefault="003468E2">
      <w:pPr>
        <w:spacing w:after="0" w:line="312" w:lineRule="auto"/>
        <w:jc w:val="both"/>
        <w:rPr>
          <w:rFonts w:eastAsia="ArialMT" w:cs="Calibri"/>
          <w:sz w:val="24"/>
          <w:szCs w:val="24"/>
          <w:lang w:val="fr-FR"/>
        </w:rPr>
      </w:pPr>
      <w:r>
        <w:rPr>
          <w:rFonts w:eastAsia="ArialMT" w:cs="Calibri"/>
          <w:sz w:val="24"/>
          <w:szCs w:val="24"/>
          <w:lang w:val="fr-FR"/>
        </w:rPr>
        <w:tab/>
        <w:t xml:space="preserve">Très concerné dans l’évolution de ce dossier, les ressortissants de Basoko par le monde ne cessent de tirer la sonnette d’alarme sur les manières ‘barbares’ d’exploiter  </w:t>
      </w:r>
      <w:r>
        <w:rPr>
          <w:rFonts w:eastAsia="ArialMT" w:cs="Calibri"/>
          <w:i/>
          <w:sz w:val="24"/>
          <w:szCs w:val="24"/>
          <w:lang w:val="fr-FR"/>
        </w:rPr>
        <w:t>Xiang Jiang Mining</w:t>
      </w:r>
      <w:r>
        <w:rPr>
          <w:rFonts w:eastAsia="ArialMT" w:cs="Calibri"/>
          <w:b/>
          <w:i/>
          <w:sz w:val="24"/>
          <w:szCs w:val="24"/>
          <w:lang w:val="fr-FR"/>
        </w:rPr>
        <w:t xml:space="preserve"> </w:t>
      </w:r>
      <w:r>
        <w:rPr>
          <w:rFonts w:eastAsia="ArialMT" w:cs="Calibri"/>
          <w:sz w:val="24"/>
          <w:szCs w:val="24"/>
          <w:lang w:val="fr-FR"/>
        </w:rPr>
        <w:t xml:space="preserve">SARL le lit de la rivière Aruwimi. en complicité avec certains fils et filles </w:t>
      </w:r>
      <w:r>
        <w:rPr>
          <w:rFonts w:eastAsia="ArialMT" w:cs="Calibri"/>
          <w:sz w:val="24"/>
          <w:szCs w:val="24"/>
          <w:lang w:val="fr-FR"/>
        </w:rPr>
        <w:lastRenderedPageBreak/>
        <w:t xml:space="preserve">de terroir débauchés la société </w:t>
      </w:r>
      <w:r>
        <w:rPr>
          <w:rFonts w:eastAsia="ArialMT" w:cs="Calibri"/>
          <w:i/>
          <w:sz w:val="24"/>
          <w:szCs w:val="24"/>
          <w:lang w:val="fr-FR"/>
        </w:rPr>
        <w:t>Xiang Jiang Mining</w:t>
      </w:r>
      <w:r>
        <w:rPr>
          <w:rFonts w:eastAsia="ArialMT" w:cs="Calibri"/>
          <w:b/>
          <w:i/>
          <w:sz w:val="24"/>
          <w:szCs w:val="24"/>
          <w:lang w:val="fr-FR"/>
        </w:rPr>
        <w:t xml:space="preserve"> </w:t>
      </w:r>
      <w:r>
        <w:rPr>
          <w:rFonts w:eastAsia="ArialMT" w:cs="Calibri"/>
          <w:sz w:val="24"/>
          <w:szCs w:val="24"/>
          <w:lang w:val="fr-FR"/>
        </w:rPr>
        <w:t xml:space="preserve">SARL exploite sauvagement le lit de la rivière Aruwimi. Devant l’entêtement des exploitants, Les notables et la jeunesse élite de Basoko disent non à ce drame écologique et environnemental, voire sanitaire. L’exploitation minière consomme une grande quantité d’eau et beaucoup d’énergie. Elle détruit l’habitat local et l’écosystème naturel, terrain naturel de plusieurs espèces animales et végétales.  </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 xml:space="preserve">Du début des prospections minérales à la période de l’après-clôture de la mine, chaque phase d’exploitation minière est associée à différents groupes d’impacts environnementaux. C’est pourquoi plusieurs pays requièrent une Etude d’Impacts Environnementaux et sociales (EIES) séparée, avec la participation de la population locale, dès la phase exploratoire. </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 xml:space="preserve">Pour le cas de Basoko, la population locale n’est pas associée à cette phase fondamentale et décisionnelle, et ce, selon le contrat et la lettre d’octroi de la concession par les gouvernements national et provincial. En outre, s’inspirant de l’exploitation minière exécutée par la société </w:t>
      </w:r>
      <w:r>
        <w:rPr>
          <w:rFonts w:eastAsia="ArialMT" w:cs="Calibri"/>
          <w:i/>
          <w:sz w:val="24"/>
          <w:szCs w:val="24"/>
          <w:lang w:val="fr-FR"/>
        </w:rPr>
        <w:t>Xiang Jiang Mining</w:t>
      </w:r>
      <w:r>
        <w:rPr>
          <w:rFonts w:eastAsia="ArialMT" w:cs="Calibri"/>
          <w:b/>
          <w:i/>
          <w:sz w:val="24"/>
          <w:szCs w:val="24"/>
          <w:lang w:val="fr-FR"/>
        </w:rPr>
        <w:t xml:space="preserve"> </w:t>
      </w:r>
      <w:r>
        <w:rPr>
          <w:rFonts w:eastAsia="ArialMT" w:cs="Calibri"/>
          <w:sz w:val="24"/>
          <w:szCs w:val="24"/>
          <w:lang w:val="fr-FR"/>
        </w:rPr>
        <w:t xml:space="preserve">SARL,  l’expérience vécue dans d’autres coins de la province de la Tshopo et du pays, un constat amère révèle que la population locale ne bénéficie en rien de la dite exploitation en contrepartie des gisements exploités dans leurs milieux, de la part des exploitants telle que convenue dans le cahier de charge alors que l’impact environnemental occasionné par l’usage des dragues Robot est tellement grande. </w:t>
      </w:r>
    </w:p>
    <w:p w:rsidR="0089405D" w:rsidRDefault="0089405D">
      <w:pPr>
        <w:spacing w:after="0" w:line="312" w:lineRule="auto"/>
        <w:jc w:val="both"/>
        <w:rPr>
          <w:rFonts w:eastAsia="ArialMT" w:cs="Calibri"/>
          <w:b/>
          <w:i/>
          <w:sz w:val="24"/>
          <w:szCs w:val="24"/>
          <w:lang w:val="fr-FR"/>
        </w:rPr>
      </w:pPr>
    </w:p>
    <w:p w:rsidR="0089405D" w:rsidRDefault="003468E2">
      <w:pPr>
        <w:spacing w:after="0" w:line="312" w:lineRule="auto"/>
        <w:jc w:val="both"/>
        <w:rPr>
          <w:rFonts w:eastAsia="ArialMT" w:cs="Calibri"/>
          <w:b/>
          <w:i/>
          <w:sz w:val="24"/>
          <w:szCs w:val="24"/>
          <w:lang w:val="fr-FR"/>
        </w:rPr>
      </w:pPr>
      <w:r>
        <w:rPr>
          <w:rFonts w:eastAsia="ArialMT" w:cs="Calibri"/>
          <w:b/>
          <w:i/>
          <w:sz w:val="24"/>
          <w:szCs w:val="24"/>
          <w:lang w:val="fr-FR"/>
        </w:rPr>
        <w:t>Impacts environnementaux</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Les sites d’exploitation minières (</w:t>
      </w:r>
      <w:r>
        <w:rPr>
          <w:rFonts w:eastAsia="ArialMT" w:cs="Calibri"/>
          <w:i/>
          <w:sz w:val="24"/>
          <w:szCs w:val="24"/>
          <w:lang w:val="fr-FR"/>
        </w:rPr>
        <w:t>de Liambe, Likombe, Ilongo-Mbutu, Ilongo-Koki, Yangonde-Lioto, Yakoyo, Bomane, Baonde,…)</w:t>
      </w:r>
      <w:r>
        <w:rPr>
          <w:rFonts w:eastAsia="ArialMT" w:cs="Calibri"/>
          <w:sz w:val="24"/>
          <w:szCs w:val="24"/>
          <w:lang w:val="fr-FR"/>
        </w:rPr>
        <w:t xml:space="preserve"> ciblés par la société  </w:t>
      </w:r>
      <w:r>
        <w:rPr>
          <w:rFonts w:eastAsia="ArialMT" w:cs="Calibri"/>
          <w:i/>
          <w:sz w:val="24"/>
          <w:szCs w:val="24"/>
          <w:lang w:val="fr-FR"/>
        </w:rPr>
        <w:t>Xiang Jiang Mining</w:t>
      </w:r>
      <w:r>
        <w:rPr>
          <w:rFonts w:eastAsia="ArialMT" w:cs="Calibri"/>
          <w:b/>
          <w:i/>
          <w:sz w:val="24"/>
          <w:szCs w:val="24"/>
          <w:lang w:val="fr-FR"/>
        </w:rPr>
        <w:t xml:space="preserve"> </w:t>
      </w:r>
      <w:r>
        <w:rPr>
          <w:rFonts w:eastAsia="ArialMT" w:cs="Calibri"/>
          <w:sz w:val="24"/>
          <w:szCs w:val="24"/>
          <w:lang w:val="fr-FR"/>
        </w:rPr>
        <w:t xml:space="preserve">SARL   se situent à bord de la rivière Aruwimi, dans la zone sous-développée de Basoko, avec une accessibilité difficile, mais aussi très menacée par des érosions et inondations (une zone écologiquement sensible). Leur déblaiement aura forcément des impacts environnementaux fâcheux très significatifs. Même en phase d’exploitation active, les deux méthodes d’exploitations prévues dans le contrat de l’exploitation de la rivière Aruwimi par </w:t>
      </w:r>
      <w:r>
        <w:rPr>
          <w:rFonts w:eastAsia="ArialMT" w:cs="Calibri"/>
          <w:i/>
          <w:sz w:val="24"/>
          <w:szCs w:val="24"/>
          <w:lang w:val="fr-FR"/>
        </w:rPr>
        <w:t xml:space="preserve">Xiang Jiang Mining </w:t>
      </w:r>
      <w:r>
        <w:rPr>
          <w:rFonts w:eastAsia="ArialMT" w:cs="Calibri"/>
          <w:sz w:val="24"/>
          <w:szCs w:val="24"/>
          <w:lang w:val="fr-FR"/>
        </w:rPr>
        <w:t xml:space="preserve">SARL, sont toutes destructrices de l’environnement. </w:t>
      </w:r>
    </w:p>
    <w:p w:rsidR="0089405D" w:rsidRDefault="003468E2">
      <w:pPr>
        <w:spacing w:after="0" w:line="312" w:lineRule="auto"/>
        <w:jc w:val="both"/>
        <w:rPr>
          <w:rFonts w:cs="Calibri"/>
          <w:bCs/>
          <w:sz w:val="24"/>
          <w:szCs w:val="24"/>
          <w:shd w:val="clear" w:color="auto" w:fill="E0F5FA"/>
          <w:lang w:val="fr-FR"/>
        </w:rPr>
      </w:pPr>
      <w:r>
        <w:rPr>
          <w:rFonts w:eastAsia="ArialMT" w:cs="Calibri"/>
          <w:sz w:val="24"/>
          <w:szCs w:val="24"/>
          <w:lang w:val="fr-FR"/>
        </w:rPr>
        <w:tab/>
        <w:t>Qu'il s'agisse de l’exploitation à ciel ouvert ou de l'exploitation des placers, toutes ont des effets néfastes à aspect commun : extraction et concentration du métal en provenance du sol, dont l’arsenic, le cobalt, le cuivre, le cadmium, le plomb, l’argent et le zinc contenu dans la roche exposée dans des mines souterraines lorsqu’elles sont en contact avec l’eau ; procédé de traitement faisant usage des acides sulfurique(H</w:t>
      </w:r>
      <w:r>
        <w:rPr>
          <w:rFonts w:eastAsia="ArialMT" w:cs="Calibri"/>
          <w:sz w:val="24"/>
          <w:szCs w:val="24"/>
          <w:vertAlign w:val="subscript"/>
          <w:lang w:val="fr-FR"/>
        </w:rPr>
        <w:t>2</w:t>
      </w:r>
      <w:r>
        <w:rPr>
          <w:rFonts w:eastAsia="ArialMT" w:cs="Calibri"/>
          <w:sz w:val="24"/>
          <w:szCs w:val="24"/>
          <w:lang w:val="fr-FR"/>
        </w:rPr>
        <w:t>S0</w:t>
      </w:r>
      <w:r>
        <w:rPr>
          <w:rFonts w:eastAsia="ArialMT" w:cs="Calibri"/>
          <w:sz w:val="24"/>
          <w:szCs w:val="24"/>
          <w:vertAlign w:val="subscript"/>
          <w:lang w:val="fr-FR"/>
        </w:rPr>
        <w:t>4</w:t>
      </w:r>
      <w:r>
        <w:rPr>
          <w:rFonts w:eastAsia="ArialMT" w:cs="Calibri"/>
          <w:sz w:val="24"/>
          <w:szCs w:val="24"/>
          <w:lang w:val="fr-FR"/>
        </w:rPr>
        <w:t xml:space="preserve">) et cyanhydrique(HCN). Lorsque l’eau atteint le niveau d’acidité élevé, un type naturel de </w:t>
      </w:r>
      <w:r>
        <w:rPr>
          <w:rFonts w:eastAsia="ArialMT" w:cs="Calibri"/>
          <w:sz w:val="24"/>
          <w:szCs w:val="24"/>
          <w:lang w:val="fr-FR"/>
        </w:rPr>
        <w:lastRenderedPageBreak/>
        <w:t xml:space="preserve">bactérie nommée </w:t>
      </w:r>
      <w:r>
        <w:rPr>
          <w:rFonts w:eastAsia="ArialMT" w:cs="Calibri"/>
          <w:i/>
          <w:sz w:val="24"/>
          <w:szCs w:val="24"/>
          <w:lang w:val="fr-FR"/>
        </w:rPr>
        <w:t>Thiobacillus ferroxidans</w:t>
      </w:r>
      <w:r>
        <w:rPr>
          <w:rFonts w:eastAsia="ArialMT" w:cs="Calibri"/>
          <w:sz w:val="24"/>
          <w:szCs w:val="24"/>
          <w:lang w:val="fr-FR"/>
        </w:rPr>
        <w:t xml:space="preserve"> réapparait pour accélérer le processus d’oxydation et d’acidification, tout en filtrant plus les métaux indésirables dans les déchets. Ce processus peut laisser des traces des centaines même des milliers d’années. L’acide se déplace hors des sites des mines grâce à l’eau de pluie ou le drainage et s’infiltre dans les cours d’eaux comme les rivières, les lacs et eau souterraine. Le Drainage minier dégrade sérieusement la qualité de l’eau, détruit la vie aquatique et rend l’eau pratiquement inutilisable.</w:t>
      </w:r>
    </w:p>
    <w:p w:rsidR="0089405D" w:rsidRDefault="003468E2">
      <w:pPr>
        <w:spacing w:after="0" w:line="312" w:lineRule="auto"/>
        <w:jc w:val="both"/>
        <w:rPr>
          <w:rFonts w:eastAsia="ArialMT" w:cs="Calibri"/>
          <w:sz w:val="24"/>
          <w:szCs w:val="24"/>
          <w:lang w:val="fr-FR"/>
        </w:rPr>
      </w:pPr>
      <w:r>
        <w:rPr>
          <w:rFonts w:cs="Calibri"/>
          <w:bCs/>
          <w:sz w:val="24"/>
          <w:szCs w:val="24"/>
          <w:lang w:val="fr-FR"/>
        </w:rPr>
        <w:tab/>
      </w:r>
      <w:r>
        <w:rPr>
          <w:rFonts w:eastAsia="ArialMT" w:cs="Calibri"/>
          <w:sz w:val="24"/>
          <w:szCs w:val="24"/>
          <w:lang w:val="fr-FR"/>
        </w:rPr>
        <w:t>En outre, le développement minéral dérange la roche et le sol au cours de la construction et le maintien des routes, des fosses ouvertes et dans les déchets miniers. Sans prévention adéquate et stratégie de contrôle, l’érosion de la terre peut entrainer un déversement dans les cours d’eau et les rivières. Le déversement excessif de sédiment peut bloquer des rivières, étouffer la végétation, détruire la faune, la flore et la vie aquatique.</w:t>
      </w:r>
    </w:p>
    <w:p w:rsidR="0089405D" w:rsidRDefault="003468E2">
      <w:pPr>
        <w:spacing w:after="0" w:line="312" w:lineRule="auto"/>
        <w:jc w:val="both"/>
        <w:rPr>
          <w:rFonts w:cs="Calibri"/>
          <w:sz w:val="24"/>
          <w:szCs w:val="24"/>
          <w:lang w:val="fr-FR"/>
        </w:rPr>
      </w:pPr>
      <w:r>
        <w:rPr>
          <w:rFonts w:eastAsia="ArialMT" w:cs="Calibri"/>
          <w:sz w:val="24"/>
          <w:szCs w:val="24"/>
          <w:lang w:val="fr-FR"/>
        </w:rPr>
        <w:tab/>
        <w:t xml:space="preserve">Ceci implique non seulement un impact sanitaire potentiel sur la population habitant les sites d’exploitation </w:t>
      </w:r>
      <w:r>
        <w:rPr>
          <w:rFonts w:eastAsia="ArialMT" w:cs="Calibri"/>
          <w:i/>
          <w:sz w:val="24"/>
          <w:szCs w:val="24"/>
          <w:lang w:val="fr-FR"/>
        </w:rPr>
        <w:t>(de Liambe, Likombe, Ilongo-Mbutu, Ilongo-Koki, Yangonde-Lioto, Yakoyo, Bomane, Baonde,…)</w:t>
      </w:r>
      <w:r>
        <w:rPr>
          <w:rFonts w:eastAsia="ArialMT" w:cs="Calibri"/>
          <w:sz w:val="24"/>
          <w:szCs w:val="24"/>
          <w:lang w:val="fr-FR"/>
        </w:rPr>
        <w:t xml:space="preserve"> qui consomme et ne vit que de cette eau de la rivière Aruwimi, mais aussi l’ajout des contaminations d’origines minières sur les pollutions «classiques» des localités et villes voisines (trafic, industries, ordures ménagères, eaux usées, etc...).</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sz w:val="24"/>
          <w:szCs w:val="24"/>
          <w:lang w:val="fr-FR"/>
        </w:rPr>
      </w:pPr>
      <w:r>
        <w:rPr>
          <w:rFonts w:eastAsia="ArialMT" w:cs="Calibri"/>
          <w:b/>
          <w:i/>
          <w:sz w:val="24"/>
          <w:szCs w:val="24"/>
          <w:lang w:val="fr-FR"/>
        </w:rPr>
        <w:t xml:space="preserve">Impacts Social et Economique </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Les valeurs sociales revêtent un caractère dynamique et permettent ainsi à l’individu de vivre en équilibre harmonieux aussi bien avec lui-même qu’avec les autres et son environnement. «</w:t>
      </w:r>
      <w:r>
        <w:rPr>
          <w:rFonts w:eastAsia="ArialMT" w:cs="Calibri"/>
          <w:i/>
          <w:sz w:val="24"/>
          <w:szCs w:val="24"/>
          <w:lang w:val="fr-FR"/>
        </w:rPr>
        <w:t xml:space="preserve"> Quitter brutalement son milieu familier, laisser derrière soi les cimetières où reposent ses parents et ses aïeux</w:t>
      </w:r>
      <w:r>
        <w:rPr>
          <w:rFonts w:eastAsia="ArialMT" w:cs="Calibri"/>
          <w:sz w:val="24"/>
          <w:szCs w:val="24"/>
          <w:lang w:val="fr-FR"/>
        </w:rPr>
        <w:t xml:space="preserve"> », « </w:t>
      </w:r>
      <w:r>
        <w:rPr>
          <w:rFonts w:eastAsia="ArialMT" w:cs="Calibri"/>
          <w:i/>
          <w:sz w:val="24"/>
          <w:szCs w:val="24"/>
          <w:lang w:val="fr-FR"/>
        </w:rPr>
        <w:t>Changer brusquement son mode de vie et ses habitudes spirituelles</w:t>
      </w:r>
      <w:r>
        <w:rPr>
          <w:rFonts w:eastAsia="ArialMT" w:cs="Calibri"/>
          <w:sz w:val="24"/>
          <w:szCs w:val="24"/>
          <w:lang w:val="fr-FR"/>
        </w:rPr>
        <w:t xml:space="preserve"> » pour satisfaire les désirs des autres, perturbent l’équilibre ontologique d’un peuple. Si cela se fait de force ou par imposition, il suscite une opposition farouche et crée des frustrations dangereuses qui déstabilisent l’harmonie, la paix et la cohésion sociale. Les impacts sociaux des grands projets miniers sont controverses et complexes.  L’exploitation des minerais crée parfois des richesses pour une catégorie des personnes, mais il peut également provoquer des perturbations considérables. Les avantages et conséquences peuvent être inégalement partagés. </w:t>
      </w:r>
    </w:p>
    <w:p w:rsidR="0089405D" w:rsidRDefault="003468E2">
      <w:pPr>
        <w:spacing w:after="0" w:line="312" w:lineRule="auto"/>
        <w:jc w:val="both"/>
        <w:rPr>
          <w:rFonts w:eastAsia="ArialMT" w:cs="Calibri"/>
          <w:sz w:val="24"/>
          <w:szCs w:val="24"/>
          <w:lang w:val="fr-FR"/>
        </w:rPr>
      </w:pPr>
      <w:r>
        <w:rPr>
          <w:rFonts w:eastAsia="ArialMT" w:cs="Calibri"/>
          <w:sz w:val="24"/>
          <w:szCs w:val="24"/>
          <w:lang w:val="fr-FR"/>
        </w:rPr>
        <w:tab/>
        <w:t xml:space="preserve">Ces peuples autochtones se sentent particulièrement vulnérables, lorsque les liens avec les autorités et d’autres secteurs de l’économie sont faibles, ou lorsque les impacts environnementaux des mines (pollution du sol, de l’air et de l’eau) affectent la subsistance </w:t>
      </w:r>
      <w:r>
        <w:rPr>
          <w:rFonts w:eastAsia="ArialMT" w:cs="Calibri"/>
          <w:sz w:val="24"/>
          <w:szCs w:val="24"/>
          <w:lang w:val="fr-FR"/>
        </w:rPr>
        <w:lastRenderedPageBreak/>
        <w:t xml:space="preserve">et les moyens de leur existence. Dans ces conditions, les autochtones se prennent en charge avec tous les effets collatéraux possibles et même inimaginables. </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sz w:val="24"/>
          <w:szCs w:val="24"/>
          <w:lang w:val="fr-FR"/>
        </w:rPr>
      </w:pPr>
      <w:r>
        <w:rPr>
          <w:rFonts w:eastAsia="ArialMT" w:cs="Calibri"/>
          <w:b/>
          <w:i/>
          <w:sz w:val="24"/>
          <w:szCs w:val="24"/>
          <w:lang w:val="fr-FR"/>
        </w:rPr>
        <w:t xml:space="preserve">Notre sonnette d’alarme face à cette exploitation  </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 xml:space="preserve">De nos jours, parler du développement d’une population, d’un milieu, renvoi nécessairement à la notion du développement durable qui repose sur trois piliers principaux à savoir : pylônes économique, social et environnemental. Le pilastre économique implique la croissance économique dans une longue durée, la cariatide sociale implique la lutte contre l’exclusion sociale, les conflits sociaux, les injustices et les inégalités. Enfin, le pilier environnemental implique le rejet des actes nuisibles à l’environnement afin que l’écosystème, la biodiversité, la faune et la flore puissent être préservés. Commencer le développement d’une entité par l’exploitation minière sans tenir compte des aspects socioculturels de la population, ressemblerait à commencer la construction d’une maison par la toiture. D’où notre interpellation à tous les acteurs actifs et passifs pour voir plus loin que le bout de leur nez. </w:t>
      </w:r>
    </w:p>
    <w:p w:rsidR="0089405D" w:rsidRDefault="0089405D">
      <w:pPr>
        <w:spacing w:after="0" w:line="312" w:lineRule="auto"/>
        <w:jc w:val="both"/>
        <w:rPr>
          <w:rFonts w:eastAsia="ArialMT" w:cs="Calibri"/>
          <w:b/>
          <w:i/>
          <w:sz w:val="24"/>
          <w:szCs w:val="24"/>
          <w:lang w:val="fr-FR"/>
        </w:rPr>
      </w:pPr>
    </w:p>
    <w:p w:rsidR="0089405D" w:rsidRDefault="003468E2">
      <w:pPr>
        <w:spacing w:after="0" w:line="312" w:lineRule="auto"/>
        <w:jc w:val="both"/>
        <w:rPr>
          <w:rFonts w:eastAsia="ArialMT" w:cs="Calibri"/>
          <w:b/>
          <w:i/>
          <w:sz w:val="24"/>
          <w:szCs w:val="24"/>
          <w:lang w:val="fr-FR"/>
        </w:rPr>
      </w:pPr>
      <w:r>
        <w:rPr>
          <w:rFonts w:eastAsia="ArialMT" w:cs="Calibri"/>
          <w:b/>
          <w:i/>
          <w:sz w:val="24"/>
          <w:szCs w:val="24"/>
          <w:lang w:val="fr-FR"/>
        </w:rPr>
        <w:t>LE DESTIN COMMUN PEUT-IL FAVORISER L’APPLICATION DES POLITIQUES DE DEVELOPPEMENT DURABLE ?</w:t>
      </w:r>
    </w:p>
    <w:p w:rsidR="0089405D" w:rsidRDefault="0089405D">
      <w:pPr>
        <w:spacing w:after="0" w:line="312" w:lineRule="auto"/>
        <w:jc w:val="both"/>
        <w:rPr>
          <w:rFonts w:eastAsia="ArialMT" w:cs="Calibri"/>
          <w:b/>
          <w:i/>
          <w:sz w:val="24"/>
          <w:szCs w:val="24"/>
          <w:lang w:val="fr-FR"/>
        </w:rPr>
      </w:pPr>
    </w:p>
    <w:p w:rsidR="0089405D" w:rsidRDefault="003468E2">
      <w:pPr>
        <w:spacing w:after="0" w:line="312" w:lineRule="auto"/>
        <w:ind w:firstLine="709"/>
        <w:jc w:val="both"/>
        <w:rPr>
          <w:rFonts w:eastAsia="ArialMT" w:cs="Calibri"/>
          <w:sz w:val="24"/>
          <w:szCs w:val="24"/>
          <w:lang w:val="fr-FR"/>
        </w:rPr>
      </w:pPr>
      <w:r>
        <w:rPr>
          <w:rFonts w:eastAsia="ArialMT" w:cs="Calibri"/>
          <w:sz w:val="24"/>
          <w:szCs w:val="24"/>
          <w:lang w:val="fr-FR"/>
        </w:rPr>
        <w:t>L’exploitation minière est l’action de l’homme qui est à la genèse des crises politiques, sociales, environnementales, et économiques qui entravent l’épanouissement des peuples et hypothèquent la postérité de la rivière Aruwimi. Plusieurs indicateurs illustrent l’impact des exploitants et la gravité de la responsabilité du peuple Mosoko sur la dégradation de son environnement. Une démographie galopante et exponentielle de la population riveraine mais inadéquate à la disponibilité des ressources ; des crises économiques et financières ; une région de la zone équatoriale se réchauffant davantage avec les conséquences sur le climat et la vie, la diminution des ressources énergétiques ont aussi entrainés une a rareté de l’eau, etc. Un recueil de défis à relever pour le peuple Mosoko et les autorités nationales et provinciales.</w:t>
      </w:r>
    </w:p>
    <w:p w:rsidR="0089405D" w:rsidRDefault="0089405D">
      <w:pPr>
        <w:spacing w:after="0" w:line="312" w:lineRule="auto"/>
        <w:jc w:val="both"/>
        <w:rPr>
          <w:rFonts w:eastAsia="ArialMT" w:cs="Calibri"/>
          <w:b/>
          <w:i/>
          <w:sz w:val="24"/>
          <w:szCs w:val="24"/>
          <w:lang w:val="fr-FR"/>
        </w:rPr>
      </w:pPr>
    </w:p>
    <w:p w:rsidR="0089405D" w:rsidRDefault="003468E2">
      <w:pPr>
        <w:spacing w:after="0" w:line="312" w:lineRule="auto"/>
        <w:jc w:val="both"/>
        <w:rPr>
          <w:rFonts w:eastAsia="ArialMT" w:cs="Calibri"/>
          <w:b/>
          <w:i/>
          <w:sz w:val="24"/>
          <w:szCs w:val="24"/>
          <w:lang w:val="fr-FR"/>
        </w:rPr>
      </w:pPr>
      <w:r>
        <w:rPr>
          <w:rFonts w:eastAsia="ArialMT" w:cs="Calibri"/>
          <w:b/>
          <w:i/>
          <w:sz w:val="24"/>
          <w:szCs w:val="24"/>
          <w:lang w:val="fr-FR"/>
        </w:rPr>
        <w:t>QUAND TRIOMPHERONT LA DIGNITE ET LE DEVELOPPEMENT DURABLE DE BASOKO ?</w:t>
      </w:r>
    </w:p>
    <w:p w:rsidR="0089405D" w:rsidRDefault="003468E2">
      <w:pPr>
        <w:spacing w:after="0" w:line="312" w:lineRule="auto"/>
        <w:jc w:val="both"/>
        <w:rPr>
          <w:rFonts w:cs="Calibri"/>
          <w:sz w:val="24"/>
          <w:szCs w:val="24"/>
          <w:lang w:val="fr-FR"/>
        </w:rPr>
      </w:pPr>
      <w:r>
        <w:rPr>
          <w:rFonts w:eastAsia="ArialMT" w:cs="Calibri"/>
          <w:b/>
          <w:i/>
          <w:sz w:val="24"/>
          <w:szCs w:val="24"/>
          <w:lang w:val="fr-FR"/>
        </w:rPr>
        <w:t xml:space="preserve"> </w:t>
      </w:r>
    </w:p>
    <w:p w:rsidR="0089405D" w:rsidRDefault="003468E2">
      <w:pPr>
        <w:spacing w:after="0" w:line="312" w:lineRule="auto"/>
        <w:ind w:firstLine="708"/>
        <w:jc w:val="both"/>
        <w:rPr>
          <w:rFonts w:eastAsia="ArialMT" w:cs="Calibri"/>
          <w:sz w:val="24"/>
          <w:szCs w:val="24"/>
          <w:lang w:val="fr-FR"/>
        </w:rPr>
      </w:pPr>
      <w:r>
        <w:rPr>
          <w:rFonts w:eastAsia="ArialMT" w:cs="Calibri"/>
          <w:sz w:val="24"/>
          <w:szCs w:val="24"/>
          <w:lang w:val="fr-FR"/>
        </w:rPr>
        <w:t xml:space="preserve">Cet ouvrage d’éveil de conscience a connu une longue gestation, car mes doutes et mes idées se sont développés depuis que le gouvernement Congolais a octroyé le permis d’exploitation à cette société chinoise. Aussi, durant ce cycle, nous avons eu le privilège de recevoir de la part d’un grand nombre de personnes des suggestions, des </w:t>
      </w:r>
      <w:r>
        <w:rPr>
          <w:rFonts w:eastAsia="ArialMT" w:cs="Calibri"/>
          <w:sz w:val="24"/>
          <w:szCs w:val="24"/>
          <w:lang w:val="fr-FR"/>
        </w:rPr>
        <w:lastRenderedPageBreak/>
        <w:t xml:space="preserve">commentaires et encouragements qui nous ont été très utiles.  Qu’il nous soit permis de remercier ici tous ceux qui ont donné sans compter l’effort.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ArialMT" w:cs="Calibri"/>
          <w:sz w:val="24"/>
          <w:szCs w:val="24"/>
          <w:lang w:val="fr-FR"/>
        </w:rPr>
        <w:t xml:space="preserve">Ma gratitude s’adresse d’abord aux membres du consortium de la Société Civile de Basoko, les membres de l’ « Asbl </w:t>
      </w:r>
      <w:r>
        <w:rPr>
          <w:rFonts w:eastAsia="ArialMT" w:cs="Calibri"/>
          <w:i/>
          <w:sz w:val="24"/>
          <w:szCs w:val="24"/>
          <w:lang w:val="fr-FR"/>
        </w:rPr>
        <w:t>Minorité Silencieuse</w:t>
      </w:r>
      <w:r>
        <w:rPr>
          <w:rFonts w:eastAsia="ArialMT" w:cs="Calibri"/>
          <w:sz w:val="24"/>
          <w:szCs w:val="24"/>
          <w:lang w:val="fr-FR"/>
        </w:rPr>
        <w:t xml:space="preserve"> », les Leaders locaux et d’autres, qui ont fourni soit la documentation, soit des informations de terrain. Je rends hommage aussi aux Leaders d’autres territoires de la Tshopo, d’autres provinces qui ont subi des injustices du même genre, du tribalisme, du népotisme, d’achat des consciences et d’exploitations illégales des ressources naturelles. </w:t>
      </w:r>
    </w:p>
    <w:p w:rsidR="0089405D" w:rsidRDefault="003468E2">
      <w:pPr>
        <w:spacing w:after="0" w:line="312" w:lineRule="auto"/>
        <w:jc w:val="both"/>
        <w:rPr>
          <w:rFonts w:eastAsia="ArialMT" w:cs="Calibri"/>
          <w:sz w:val="24"/>
          <w:szCs w:val="24"/>
          <w:lang w:val="fr-FR"/>
        </w:rPr>
      </w:pPr>
      <w:r>
        <w:rPr>
          <w:rFonts w:cs="Calibri"/>
          <w:sz w:val="24"/>
          <w:szCs w:val="24"/>
          <w:lang w:val="fr-FR"/>
        </w:rPr>
        <w:tab/>
        <w:t xml:space="preserve">J’ai </w:t>
      </w:r>
      <w:r>
        <w:rPr>
          <w:rFonts w:eastAsia="ArialMT" w:cs="Calibri"/>
          <w:sz w:val="24"/>
          <w:szCs w:val="24"/>
          <w:lang w:val="fr-FR"/>
        </w:rPr>
        <w:t xml:space="preserve">bénéficié de manière substantielle des conversations de plusieurs personnes, des associations, des ONGs, des hommes de Dieu ainsi que des frères et sœurs du Territoire de Basoko. Nous citons entre autres : Marie Ekongo, Jean-Francis Isia,  Likaka Maunda Likmas, Jérôme Ingbeke Itambala Jérico, Judith Enene, Joseph Monduka, Maitre Caroline Assimbo, les Chefs de Travaux Abel M’Opandu, Jean Aimé-Didier Mbenga…la liste n'est pas exhaustive…. </w:t>
      </w:r>
    </w:p>
    <w:p w:rsidR="0089405D" w:rsidRDefault="003468E2">
      <w:pPr>
        <w:spacing w:after="0" w:line="312" w:lineRule="auto"/>
        <w:ind w:firstLine="709"/>
        <w:jc w:val="both"/>
        <w:rPr>
          <w:rFonts w:eastAsia="ArialMT" w:cs="Calibri"/>
          <w:sz w:val="24"/>
          <w:szCs w:val="24"/>
          <w:lang w:val="fr-FR"/>
        </w:rPr>
      </w:pPr>
      <w:r>
        <w:rPr>
          <w:rFonts w:eastAsia="ArialMT" w:cs="Calibri"/>
          <w:sz w:val="24"/>
          <w:szCs w:val="24"/>
          <w:lang w:val="fr-FR"/>
        </w:rPr>
        <w:t>Je retiens toute ma reconnaissance envers au Doctorat Aristide Lulasha Mukende et le professeur  Ngute Novato Antoine qui ont eu l’amabilité d’allier à leurs occupations une lecture attentive et patiente de l’entièreté ou des parties de ce document. Je leur sais gré d’avoir pu y apporter d’importantes améliorations au niveau de la forme.</w:t>
      </w:r>
    </w:p>
    <w:p w:rsidR="0089405D" w:rsidRDefault="003468E2">
      <w:pPr>
        <w:spacing w:after="0" w:line="312" w:lineRule="auto"/>
        <w:jc w:val="both"/>
        <w:rPr>
          <w:rFonts w:cs="Calibri"/>
          <w:sz w:val="24"/>
          <w:szCs w:val="24"/>
          <w:lang w:val="fr-FR"/>
        </w:rPr>
      </w:pPr>
      <w:r>
        <w:rPr>
          <w:rFonts w:eastAsia="ArialMT" w:cs="Calibri"/>
          <w:sz w:val="24"/>
          <w:szCs w:val="24"/>
          <w:lang w:val="fr-FR"/>
        </w:rPr>
        <w:tab/>
        <w:t>Je tiens également à exprimer ma gratitude à mes frères : «à l’homme de Dieu », Monsieur l’Abbé Norbert Asimbo, le Docteur José-Zobel Mokili Kanda Etikola, l’Assistant</w:t>
      </w:r>
      <w:r>
        <w:rPr>
          <w:rFonts w:cs="Calibri"/>
          <w:lang w:val="fr-FR"/>
        </w:rPr>
        <w:t xml:space="preserve"> </w:t>
      </w:r>
      <w:r>
        <w:rPr>
          <w:rFonts w:eastAsia="ArialMT" w:cs="Calibri"/>
          <w:sz w:val="24"/>
          <w:szCs w:val="24"/>
          <w:lang w:val="fr-FR"/>
        </w:rPr>
        <w:t>Didi Afundi, N.detshala, messieurs Willy Makumi Motosia et Balombo Tsheza Nestor dont les réflexions et contributions m’ont beaucoup éclairé sur plusieurs dimensions (socio-environnemental, socio-économique…), sans compter leur apport avec des ouvrages, pour me permettre d’aborder cette thématique. Je leur reste très reconnaissant pour ce soutien de grande valeur scientifique.</w:t>
      </w:r>
      <w:r>
        <w:rPr>
          <w:rFonts w:cs="Calibri"/>
          <w:sz w:val="24"/>
          <w:szCs w:val="24"/>
          <w:lang w:val="fr-FR"/>
        </w:rPr>
        <w:t xml:space="preserve"> Les diverses interventions des lecteurs de notre manuscrit m’ont permis aussi de voir sous un éclairage nouveau certains aspects des problèmes abordés. Je leur suis profondément reconnaissant. </w:t>
      </w:r>
    </w:p>
    <w:p w:rsidR="0089405D" w:rsidRDefault="0089405D">
      <w:pPr>
        <w:spacing w:after="0" w:line="312" w:lineRule="auto"/>
        <w:jc w:val="both"/>
        <w:rPr>
          <w:rFonts w:cs="Calibri"/>
          <w:sz w:val="24"/>
          <w:szCs w:val="24"/>
          <w:lang w:val="fr-FR"/>
        </w:rPr>
      </w:pPr>
    </w:p>
    <w:p w:rsidR="0089405D" w:rsidRDefault="003468E2">
      <w:pPr>
        <w:spacing w:after="0" w:line="312" w:lineRule="auto"/>
        <w:jc w:val="right"/>
        <w:rPr>
          <w:rFonts w:eastAsia="ArialMT" w:cs="Calibri"/>
          <w:b/>
          <w:sz w:val="24"/>
          <w:szCs w:val="24"/>
          <w:lang w:val="fr-FR"/>
        </w:rPr>
        <w:sectPr w:rsidR="0089405D">
          <w:pgSz w:w="11906" w:h="16838"/>
          <w:pgMar w:top="1440" w:right="1440" w:bottom="1440" w:left="1800" w:header="709" w:footer="709" w:gutter="0"/>
          <w:pgNumType w:fmt="lowerRoman" w:start="8"/>
          <w:cols w:space="720"/>
          <w:titlePg/>
          <w:docGrid w:linePitch="299"/>
        </w:sectPr>
      </w:pPr>
      <w:r>
        <w:rPr>
          <w:rFonts w:eastAsia="ArialMT" w:cs="Calibri"/>
          <w:b/>
          <w:sz w:val="24"/>
          <w:szCs w:val="24"/>
          <w:lang w:val="fr-FR"/>
        </w:rPr>
        <w:t>Professeur Dr. Mangambu Mokoso Jean De Dieu</w:t>
      </w:r>
    </w:p>
    <w:p w:rsidR="0089405D" w:rsidRDefault="003468E2">
      <w:pPr>
        <w:pStyle w:val="Titre1"/>
        <w:spacing w:before="0" w:line="312" w:lineRule="auto"/>
        <w:jc w:val="center"/>
        <w:rPr>
          <w:rFonts w:cs="Calibri"/>
          <w:b/>
          <w:color w:val="auto"/>
          <w:sz w:val="28"/>
          <w:szCs w:val="28"/>
          <w:lang w:val="fr-FR"/>
        </w:rPr>
      </w:pPr>
      <w:bookmarkStart w:id="20" w:name="_Toc79392930"/>
      <w:bookmarkStart w:id="21" w:name="_Toc111888564"/>
      <w:bookmarkStart w:id="22" w:name="_Toc127187151"/>
      <w:bookmarkStart w:id="23" w:name="_Toc127187428"/>
      <w:bookmarkStart w:id="24" w:name="_Toc127432185"/>
      <w:r>
        <w:rPr>
          <w:rFonts w:cs="Calibri"/>
          <w:b/>
          <w:color w:val="auto"/>
          <w:sz w:val="28"/>
          <w:szCs w:val="28"/>
          <w:lang w:val="fr-FR"/>
        </w:rPr>
        <w:lastRenderedPageBreak/>
        <w:t>ACRONYMES ET ABREVIATIONS</w:t>
      </w:r>
      <w:bookmarkEnd w:id="20"/>
      <w:bookmarkEnd w:id="21"/>
      <w:bookmarkEnd w:id="22"/>
      <w:bookmarkEnd w:id="23"/>
      <w:bookmarkEnd w:id="24"/>
    </w:p>
    <w:p w:rsidR="0089405D" w:rsidRDefault="0089405D">
      <w:pPr>
        <w:pStyle w:val="Titre1"/>
        <w:spacing w:before="0" w:line="312" w:lineRule="auto"/>
        <w:jc w:val="center"/>
        <w:rPr>
          <w:rFonts w:cs="Calibri"/>
          <w:sz w:val="28"/>
          <w:szCs w:val="28"/>
          <w:lang w:val="fr-FR"/>
        </w:rPr>
      </w:pPr>
    </w:p>
    <w:p w:rsidR="0089405D" w:rsidRDefault="003468E2">
      <w:pPr>
        <w:spacing w:after="0" w:line="312" w:lineRule="auto"/>
        <w:rPr>
          <w:rFonts w:eastAsia="Calibri" w:cs="Calibri"/>
          <w:sz w:val="24"/>
          <w:szCs w:val="24"/>
          <w:lang w:val="fr-FR" w:eastAsia="en-US"/>
        </w:rPr>
      </w:pPr>
      <w:r>
        <w:rPr>
          <w:rFonts w:eastAsia="Calibri" w:cs="Calibri"/>
          <w:sz w:val="24"/>
          <w:szCs w:val="24"/>
          <w:lang w:val="fr-FR" w:eastAsia="en-US"/>
        </w:rPr>
        <w:t>ACE</w:t>
      </w:r>
      <w:r>
        <w:rPr>
          <w:rFonts w:eastAsia="Calibri" w:cs="Calibri"/>
          <w:sz w:val="24"/>
          <w:szCs w:val="24"/>
          <w:lang w:val="fr-FR" w:eastAsia="en-US"/>
        </w:rPr>
        <w:tab/>
      </w:r>
      <w:r>
        <w:rPr>
          <w:rFonts w:eastAsia="Calibri" w:cs="Calibri"/>
          <w:sz w:val="24"/>
          <w:szCs w:val="24"/>
          <w:lang w:val="fr-FR" w:eastAsia="en-US"/>
        </w:rPr>
        <w:tab/>
      </w:r>
      <w:r>
        <w:rPr>
          <w:rFonts w:eastAsia="Calibri" w:cs="Calibri"/>
          <w:sz w:val="24"/>
          <w:szCs w:val="24"/>
          <w:lang w:val="fr-FR" w:eastAsia="en-US"/>
        </w:rPr>
        <w:tab/>
        <w:t xml:space="preserve">: Agence Congolaise de l’Environnement </w:t>
      </w:r>
    </w:p>
    <w:p w:rsidR="0089405D" w:rsidRDefault="003468E2">
      <w:pPr>
        <w:tabs>
          <w:tab w:val="left" w:pos="1985"/>
        </w:tabs>
        <w:spacing w:after="0" w:line="312" w:lineRule="auto"/>
        <w:jc w:val="both"/>
        <w:rPr>
          <w:rFonts w:cs="Calibri"/>
          <w:sz w:val="24"/>
          <w:szCs w:val="24"/>
          <w:lang w:eastAsia="en-US"/>
        </w:rPr>
      </w:pPr>
      <w:r>
        <w:rPr>
          <w:rFonts w:cs="Calibri"/>
          <w:sz w:val="24"/>
          <w:szCs w:val="24"/>
          <w:lang w:eastAsia="en-US"/>
        </w:rPr>
        <w:t>AFREA</w:t>
      </w:r>
      <w:r>
        <w:rPr>
          <w:rFonts w:cs="Calibri"/>
          <w:sz w:val="24"/>
          <w:szCs w:val="24"/>
          <w:lang w:eastAsia="en-US"/>
        </w:rPr>
        <w:tab/>
      </w:r>
      <w:r>
        <w:rPr>
          <w:rFonts w:cs="Calibri"/>
          <w:sz w:val="24"/>
          <w:szCs w:val="24"/>
          <w:lang w:eastAsia="en-US"/>
        </w:rPr>
        <w:tab/>
        <w:t>: Africa Renewable Energy Access Program</w:t>
      </w:r>
    </w:p>
    <w:p w:rsidR="0089405D" w:rsidRDefault="003468E2">
      <w:pPr>
        <w:tabs>
          <w:tab w:val="left" w:pos="1985"/>
        </w:tabs>
        <w:spacing w:after="0" w:line="312" w:lineRule="auto"/>
        <w:jc w:val="both"/>
        <w:rPr>
          <w:rFonts w:eastAsia="Calibri" w:cs="Calibri"/>
          <w:sz w:val="24"/>
          <w:szCs w:val="24"/>
          <w:lang w:eastAsia="en-US"/>
        </w:rPr>
      </w:pPr>
      <w:r>
        <w:rPr>
          <w:rFonts w:eastAsia="Calibri" w:cs="Calibri"/>
          <w:sz w:val="24"/>
          <w:szCs w:val="24"/>
          <w:lang w:eastAsia="en-US"/>
        </w:rPr>
        <w:t xml:space="preserve">AfrEA </w:t>
      </w:r>
      <w:r>
        <w:rPr>
          <w:rFonts w:eastAsia="Calibri" w:cs="Calibri"/>
          <w:sz w:val="24"/>
          <w:szCs w:val="24"/>
          <w:lang w:eastAsia="en-US"/>
        </w:rPr>
        <w:tab/>
        <w:t xml:space="preserve">  : The African Evaluation Association</w:t>
      </w:r>
    </w:p>
    <w:p w:rsidR="0089405D" w:rsidRDefault="003468E2">
      <w:pPr>
        <w:tabs>
          <w:tab w:val="left" w:pos="1985"/>
        </w:tabs>
        <w:spacing w:after="0" w:line="312" w:lineRule="auto"/>
        <w:jc w:val="both"/>
        <w:rPr>
          <w:rFonts w:eastAsia="Calibri" w:cs="Calibri"/>
          <w:sz w:val="24"/>
          <w:szCs w:val="24"/>
          <w:lang w:eastAsia="en-US"/>
        </w:rPr>
      </w:pPr>
      <w:r>
        <w:rPr>
          <w:rFonts w:eastAsia="Calibri" w:cs="Calibri"/>
          <w:sz w:val="24"/>
          <w:szCs w:val="24"/>
          <w:lang w:eastAsia="en-US"/>
        </w:rPr>
        <w:t>ATSDR</w:t>
      </w:r>
      <w:r>
        <w:rPr>
          <w:rFonts w:eastAsia="Calibri" w:cs="Calibri"/>
          <w:sz w:val="24"/>
          <w:szCs w:val="24"/>
          <w:lang w:eastAsia="en-US"/>
        </w:rPr>
        <w:tab/>
      </w:r>
      <w:r>
        <w:rPr>
          <w:rFonts w:eastAsia="Calibri" w:cs="Calibri"/>
          <w:sz w:val="24"/>
          <w:szCs w:val="24"/>
          <w:lang w:eastAsia="en-US"/>
        </w:rPr>
        <w:tab/>
        <w:t>: Agency for Toxic Substances and Disease Registry</w:t>
      </w:r>
    </w:p>
    <w:p w:rsidR="0089405D" w:rsidRDefault="003468E2">
      <w:pPr>
        <w:tabs>
          <w:tab w:val="left" w:pos="1985"/>
        </w:tabs>
        <w:spacing w:after="0" w:line="312" w:lineRule="auto"/>
        <w:jc w:val="both"/>
        <w:rPr>
          <w:rFonts w:cs="Calibri"/>
          <w:sz w:val="24"/>
          <w:szCs w:val="24"/>
          <w:lang w:val="fr-FR" w:eastAsia="en-US"/>
        </w:rPr>
      </w:pPr>
      <w:r>
        <w:rPr>
          <w:rFonts w:cs="Calibri"/>
          <w:sz w:val="24"/>
          <w:szCs w:val="24"/>
          <w:lang w:val="fr-FR" w:eastAsia="en-US"/>
        </w:rPr>
        <w:t>CEAUA </w:t>
      </w:r>
      <w:r>
        <w:rPr>
          <w:rFonts w:cs="Calibri"/>
          <w:sz w:val="24"/>
          <w:szCs w:val="24"/>
          <w:lang w:val="fr-FR" w:eastAsia="en-US"/>
        </w:rPr>
        <w:tab/>
      </w:r>
      <w:r>
        <w:rPr>
          <w:rFonts w:cs="Calibri"/>
          <w:sz w:val="24"/>
          <w:szCs w:val="24"/>
          <w:lang w:val="fr-FR" w:eastAsia="en-US"/>
        </w:rPr>
        <w:tab/>
        <w:t xml:space="preserve">: Commission Economique pour l’Afrique et Union Africaine </w:t>
      </w:r>
    </w:p>
    <w:p w:rsidR="0089405D" w:rsidRDefault="003468E2">
      <w:pPr>
        <w:tabs>
          <w:tab w:val="left" w:pos="1985"/>
        </w:tabs>
        <w:spacing w:after="0" w:line="312" w:lineRule="auto"/>
        <w:jc w:val="both"/>
        <w:rPr>
          <w:rFonts w:cs="Calibri"/>
          <w:sz w:val="24"/>
          <w:szCs w:val="24"/>
          <w:lang w:val="fr-FR" w:eastAsia="en-US"/>
        </w:rPr>
      </w:pPr>
      <w:r>
        <w:rPr>
          <w:rFonts w:cs="Calibri"/>
          <w:sz w:val="24"/>
          <w:szCs w:val="24"/>
          <w:lang w:val="fr-FR" w:eastAsia="en-US"/>
        </w:rPr>
        <w:t>CERN </w:t>
      </w:r>
      <w:r>
        <w:rPr>
          <w:rFonts w:cs="Calibri"/>
          <w:sz w:val="24"/>
          <w:szCs w:val="24"/>
          <w:lang w:val="fr-FR" w:eastAsia="en-US"/>
        </w:rPr>
        <w:tab/>
      </w:r>
      <w:r>
        <w:rPr>
          <w:rFonts w:cs="Calibri"/>
          <w:sz w:val="24"/>
          <w:szCs w:val="24"/>
          <w:lang w:val="fr-FR" w:eastAsia="en-US"/>
        </w:rPr>
        <w:tab/>
        <w:t xml:space="preserve">: Commission Épiscopale pour les Ressources </w:t>
      </w:r>
    </w:p>
    <w:p w:rsidR="0089405D" w:rsidRDefault="003468E2">
      <w:pPr>
        <w:tabs>
          <w:tab w:val="left" w:pos="1985"/>
        </w:tabs>
        <w:spacing w:after="0" w:line="312" w:lineRule="auto"/>
        <w:jc w:val="both"/>
        <w:rPr>
          <w:rFonts w:cs="Calibri"/>
          <w:sz w:val="24"/>
          <w:szCs w:val="24"/>
          <w:lang w:val="fr-FR" w:eastAsia="en-US"/>
        </w:rPr>
      </w:pPr>
      <w:r>
        <w:rPr>
          <w:rFonts w:cs="Calibri"/>
          <w:sz w:val="24"/>
          <w:szCs w:val="24"/>
          <w:lang w:val="fr-FR" w:eastAsia="en-US"/>
        </w:rPr>
        <w:t>CIMM </w:t>
      </w:r>
      <w:r>
        <w:rPr>
          <w:rFonts w:cs="Calibri"/>
          <w:sz w:val="24"/>
          <w:szCs w:val="24"/>
          <w:lang w:val="fr-FR" w:eastAsia="en-US"/>
        </w:rPr>
        <w:tab/>
      </w:r>
      <w:r>
        <w:rPr>
          <w:rFonts w:cs="Calibri"/>
          <w:sz w:val="24"/>
          <w:szCs w:val="24"/>
          <w:lang w:val="fr-FR" w:eastAsia="en-US"/>
        </w:rPr>
        <w:tab/>
        <w:t xml:space="preserve">: Conseil International des Mines et Métaux </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 xml:space="preserve">CIRGL </w:t>
      </w:r>
      <w:r>
        <w:rPr>
          <w:rFonts w:eastAsia="Calibri" w:cs="Calibri"/>
          <w:sz w:val="24"/>
          <w:szCs w:val="24"/>
          <w:lang w:val="fr-FR" w:eastAsia="en-US"/>
        </w:rPr>
        <w:tab/>
      </w:r>
      <w:r>
        <w:rPr>
          <w:rFonts w:eastAsia="Calibri" w:cs="Calibri"/>
          <w:sz w:val="24"/>
          <w:szCs w:val="24"/>
          <w:lang w:val="fr-FR" w:eastAsia="en-US"/>
        </w:rPr>
        <w:tab/>
        <w:t>: Pays de la Conférence Internationale sur la Région Grands Lacs</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CNCD</w:t>
      </w:r>
      <w:r>
        <w:rPr>
          <w:rFonts w:eastAsia="Calibri" w:cs="Calibri"/>
          <w:sz w:val="24"/>
          <w:szCs w:val="24"/>
          <w:lang w:val="fr-FR" w:eastAsia="en-US"/>
        </w:rPr>
        <w:tab/>
      </w:r>
      <w:r>
        <w:rPr>
          <w:rFonts w:eastAsia="Calibri" w:cs="Calibri"/>
          <w:sz w:val="24"/>
          <w:szCs w:val="24"/>
          <w:lang w:val="fr-FR" w:eastAsia="en-US"/>
        </w:rPr>
        <w:tab/>
        <w:t>: Centre National de Coopération au Développement</w:t>
      </w:r>
    </w:p>
    <w:p w:rsidR="0089405D" w:rsidRDefault="003468E2">
      <w:pPr>
        <w:tabs>
          <w:tab w:val="left" w:pos="1985"/>
        </w:tabs>
        <w:spacing w:after="0" w:line="312" w:lineRule="auto"/>
        <w:jc w:val="both"/>
        <w:rPr>
          <w:rFonts w:cs="Calibri"/>
          <w:sz w:val="24"/>
          <w:szCs w:val="24"/>
          <w:lang w:val="fr-FR" w:eastAsia="en-US"/>
        </w:rPr>
      </w:pPr>
      <w:r>
        <w:rPr>
          <w:rFonts w:cs="Calibri"/>
          <w:sz w:val="24"/>
          <w:szCs w:val="24"/>
          <w:lang w:val="fr-FR" w:eastAsia="en-US"/>
        </w:rPr>
        <w:t>CRS </w:t>
      </w:r>
      <w:r>
        <w:rPr>
          <w:rFonts w:cs="Calibri"/>
          <w:sz w:val="24"/>
          <w:szCs w:val="24"/>
          <w:lang w:val="fr-FR" w:eastAsia="en-US"/>
        </w:rPr>
        <w:tab/>
      </w:r>
      <w:r>
        <w:rPr>
          <w:rFonts w:cs="Calibri"/>
          <w:sz w:val="24"/>
          <w:szCs w:val="24"/>
          <w:lang w:val="fr-FR" w:eastAsia="en-US"/>
        </w:rPr>
        <w:tab/>
        <w:t>: Catholic Relief Service</w:t>
      </w:r>
    </w:p>
    <w:p w:rsidR="0089405D" w:rsidRDefault="003468E2">
      <w:pPr>
        <w:spacing w:after="0" w:line="312" w:lineRule="auto"/>
        <w:rPr>
          <w:rFonts w:cs="Calibri"/>
          <w:lang w:val="fr-FR"/>
        </w:rPr>
      </w:pPr>
      <w:r>
        <w:rPr>
          <w:rFonts w:cs="Calibri"/>
          <w:lang w:val="fr-FR"/>
        </w:rPr>
        <w:t xml:space="preserve">EIE </w:t>
      </w:r>
      <w:r>
        <w:rPr>
          <w:rFonts w:cs="Calibri"/>
          <w:lang w:val="fr-FR"/>
        </w:rPr>
        <w:tab/>
      </w:r>
      <w:r>
        <w:rPr>
          <w:rFonts w:cs="Calibri"/>
          <w:lang w:val="fr-FR"/>
        </w:rPr>
        <w:tab/>
      </w:r>
      <w:r>
        <w:rPr>
          <w:rFonts w:cs="Calibri"/>
          <w:lang w:val="fr-FR"/>
        </w:rPr>
        <w:tab/>
        <w:t xml:space="preserve">: Evaluations de l'Impact Environnemental </w:t>
      </w:r>
    </w:p>
    <w:p w:rsidR="0089405D" w:rsidRDefault="003468E2">
      <w:pPr>
        <w:tabs>
          <w:tab w:val="left" w:pos="1985"/>
        </w:tabs>
        <w:spacing w:after="0" w:line="312" w:lineRule="auto"/>
        <w:jc w:val="both"/>
        <w:rPr>
          <w:rFonts w:eastAsia="Times New Roman" w:cs="Calibri"/>
          <w:sz w:val="24"/>
          <w:szCs w:val="24"/>
          <w:lang w:val="fr-FR" w:eastAsia="fr-FR"/>
        </w:rPr>
      </w:pPr>
      <w:r>
        <w:rPr>
          <w:rFonts w:eastAsia="Times New Roman" w:cs="Calibri"/>
          <w:sz w:val="24"/>
          <w:szCs w:val="24"/>
          <w:lang w:val="fr-FR" w:eastAsia="fr-FR"/>
        </w:rPr>
        <w:t>EIE</w:t>
      </w:r>
      <w:r>
        <w:rPr>
          <w:rFonts w:eastAsia="Times New Roman" w:cs="Calibri"/>
          <w:sz w:val="24"/>
          <w:szCs w:val="24"/>
          <w:lang w:val="fr-FR" w:eastAsia="fr-FR"/>
        </w:rPr>
        <w:tab/>
      </w:r>
      <w:r>
        <w:rPr>
          <w:rFonts w:eastAsia="Times New Roman" w:cs="Calibri"/>
          <w:sz w:val="24"/>
          <w:szCs w:val="24"/>
          <w:lang w:val="fr-FR" w:eastAsia="fr-FR"/>
        </w:rPr>
        <w:tab/>
        <w:t xml:space="preserve">: Etude d’Impact Environnemental </w:t>
      </w:r>
    </w:p>
    <w:p w:rsidR="0089405D" w:rsidRDefault="003468E2">
      <w:pPr>
        <w:spacing w:after="0" w:line="312" w:lineRule="auto"/>
        <w:rPr>
          <w:rFonts w:cs="Calibri"/>
          <w:sz w:val="32"/>
          <w:szCs w:val="32"/>
          <w:lang w:val="fr-FR"/>
        </w:rPr>
      </w:pPr>
      <w:r>
        <w:rPr>
          <w:rFonts w:cs="Calibri"/>
          <w:lang w:val="fr-FR"/>
        </w:rPr>
        <w:t xml:space="preserve">EIES </w:t>
      </w:r>
      <w:r>
        <w:rPr>
          <w:rFonts w:cs="Calibri"/>
          <w:lang w:val="fr-FR"/>
        </w:rPr>
        <w:tab/>
      </w:r>
      <w:r>
        <w:rPr>
          <w:rFonts w:cs="Calibri"/>
          <w:lang w:val="fr-FR"/>
        </w:rPr>
        <w:tab/>
      </w:r>
      <w:r>
        <w:rPr>
          <w:rFonts w:cs="Calibri"/>
          <w:lang w:val="fr-FR"/>
        </w:rPr>
        <w:tab/>
        <w:t xml:space="preserve">: L'impact Environnemental et Social </w:t>
      </w:r>
    </w:p>
    <w:p w:rsidR="0089405D" w:rsidRDefault="003468E2">
      <w:pPr>
        <w:tabs>
          <w:tab w:val="left" w:pos="1985"/>
        </w:tabs>
        <w:spacing w:after="0" w:line="312" w:lineRule="auto"/>
        <w:jc w:val="both"/>
        <w:rPr>
          <w:rFonts w:eastAsia="Times New Roman" w:cs="Calibri"/>
          <w:sz w:val="24"/>
          <w:szCs w:val="24"/>
          <w:lang w:val="fr-FR" w:eastAsia="fr-FR"/>
        </w:rPr>
      </w:pPr>
      <w:r>
        <w:rPr>
          <w:rFonts w:eastAsia="Times New Roman" w:cs="Calibri"/>
          <w:sz w:val="24"/>
          <w:szCs w:val="24"/>
          <w:lang w:val="fr-FR" w:eastAsia="fr-FR"/>
        </w:rPr>
        <w:t>EIES</w:t>
      </w:r>
      <w:r>
        <w:rPr>
          <w:rFonts w:eastAsia="Times New Roman" w:cs="Calibri"/>
          <w:sz w:val="24"/>
          <w:szCs w:val="24"/>
          <w:lang w:val="fr-FR" w:eastAsia="fr-FR"/>
        </w:rPr>
        <w:tab/>
      </w:r>
      <w:r>
        <w:rPr>
          <w:rFonts w:eastAsia="Times New Roman" w:cs="Calibri"/>
          <w:sz w:val="24"/>
          <w:szCs w:val="24"/>
          <w:lang w:val="fr-FR" w:eastAsia="fr-FR"/>
        </w:rPr>
        <w:tab/>
        <w:t xml:space="preserve">: Etudes d’Impact Environnemental et Social </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EIS</w:t>
      </w:r>
      <w:r>
        <w:rPr>
          <w:rFonts w:eastAsia="Calibri" w:cs="Calibri"/>
          <w:sz w:val="24"/>
          <w:szCs w:val="24"/>
          <w:lang w:val="fr-FR" w:eastAsia="en-US"/>
        </w:rPr>
        <w:tab/>
      </w:r>
      <w:r>
        <w:rPr>
          <w:rFonts w:eastAsia="Calibri" w:cs="Calibri"/>
          <w:sz w:val="24"/>
          <w:szCs w:val="24"/>
          <w:lang w:val="fr-FR" w:eastAsia="en-US"/>
        </w:rPr>
        <w:tab/>
        <w:t xml:space="preserve">: Etude des Impacts Sociaux </w:t>
      </w:r>
    </w:p>
    <w:p w:rsidR="0089405D" w:rsidRDefault="003468E2">
      <w:pPr>
        <w:tabs>
          <w:tab w:val="left" w:pos="1985"/>
        </w:tabs>
        <w:spacing w:after="0" w:line="312" w:lineRule="auto"/>
        <w:jc w:val="both"/>
        <w:rPr>
          <w:rFonts w:cs="Calibri"/>
          <w:sz w:val="24"/>
          <w:szCs w:val="24"/>
          <w:lang w:val="fr-FR" w:eastAsia="en-US"/>
        </w:rPr>
      </w:pPr>
      <w:r>
        <w:rPr>
          <w:rFonts w:cs="Calibri"/>
          <w:sz w:val="24"/>
          <w:szCs w:val="24"/>
          <w:lang w:val="fr-FR" w:eastAsia="en-US"/>
        </w:rPr>
        <w:t>ELAW</w:t>
      </w:r>
      <w:r>
        <w:rPr>
          <w:rFonts w:cs="Calibri"/>
          <w:sz w:val="24"/>
          <w:szCs w:val="24"/>
          <w:lang w:val="fr-FR" w:eastAsia="en-US"/>
        </w:rPr>
        <w:tab/>
        <w:t xml:space="preserve">  : Environmental Law Alliance Worldwide </w:t>
      </w:r>
    </w:p>
    <w:p w:rsidR="0089405D" w:rsidRDefault="003468E2">
      <w:pPr>
        <w:tabs>
          <w:tab w:val="left" w:pos="1985"/>
        </w:tabs>
        <w:spacing w:after="0" w:line="312" w:lineRule="auto"/>
        <w:jc w:val="both"/>
        <w:rPr>
          <w:rFonts w:cs="Calibri"/>
          <w:sz w:val="24"/>
          <w:szCs w:val="24"/>
          <w:lang w:val="fr-FR" w:eastAsia="en-US"/>
        </w:rPr>
      </w:pPr>
      <w:r>
        <w:rPr>
          <w:rFonts w:cs="Calibri"/>
          <w:sz w:val="24"/>
          <w:szCs w:val="24"/>
          <w:lang w:val="fr-FR" w:eastAsia="en-US"/>
        </w:rPr>
        <w:t>EPA </w:t>
      </w:r>
      <w:r>
        <w:rPr>
          <w:rFonts w:cs="Calibri"/>
          <w:sz w:val="24"/>
          <w:szCs w:val="24"/>
          <w:lang w:val="fr-FR" w:eastAsia="en-US"/>
        </w:rPr>
        <w:tab/>
      </w:r>
      <w:r>
        <w:rPr>
          <w:rFonts w:cs="Calibri"/>
          <w:sz w:val="24"/>
          <w:szCs w:val="24"/>
          <w:lang w:val="fr-FR" w:eastAsia="en-US"/>
        </w:rPr>
        <w:tab/>
        <w:t xml:space="preserve">: Agence de Protection Environnementale des U.S. </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FMI</w:t>
      </w:r>
      <w:r>
        <w:rPr>
          <w:rFonts w:eastAsia="Calibri" w:cs="Calibri"/>
          <w:sz w:val="24"/>
          <w:szCs w:val="24"/>
          <w:lang w:val="fr-FR" w:eastAsia="en-US"/>
        </w:rPr>
        <w:tab/>
      </w:r>
      <w:r>
        <w:rPr>
          <w:rFonts w:eastAsia="Calibri" w:cs="Calibri"/>
          <w:sz w:val="24"/>
          <w:szCs w:val="24"/>
          <w:lang w:val="fr-FR" w:eastAsia="en-US"/>
        </w:rPr>
        <w:tab/>
        <w:t>: Fonds Monétaire International</w:t>
      </w:r>
    </w:p>
    <w:p w:rsidR="0089405D" w:rsidRDefault="003468E2">
      <w:pPr>
        <w:spacing w:after="0" w:line="312" w:lineRule="auto"/>
        <w:rPr>
          <w:rFonts w:cs="Calibri"/>
          <w:sz w:val="24"/>
          <w:szCs w:val="24"/>
          <w:lang w:val="fr-FR"/>
        </w:rPr>
      </w:pPr>
      <w:r>
        <w:rPr>
          <w:rFonts w:cs="Calibri"/>
          <w:sz w:val="24"/>
          <w:szCs w:val="24"/>
          <w:lang w:val="fr-FR"/>
        </w:rPr>
        <w:t>FODECO </w:t>
      </w:r>
      <w:r>
        <w:rPr>
          <w:rFonts w:cs="Calibri"/>
          <w:sz w:val="24"/>
          <w:szCs w:val="24"/>
          <w:lang w:val="fr-FR"/>
        </w:rPr>
        <w:tab/>
      </w:r>
      <w:r>
        <w:rPr>
          <w:rFonts w:cs="Calibri"/>
          <w:sz w:val="24"/>
          <w:szCs w:val="24"/>
          <w:lang w:val="fr-FR"/>
        </w:rPr>
        <w:tab/>
        <w:t>:</w:t>
      </w:r>
      <w:r>
        <w:rPr>
          <w:lang w:val="fr-FR"/>
        </w:rPr>
        <w:t xml:space="preserve"> </w:t>
      </w:r>
      <w:r>
        <w:rPr>
          <w:rFonts w:cs="Calibri"/>
          <w:sz w:val="24"/>
          <w:szCs w:val="24"/>
          <w:lang w:val="fr-FR"/>
        </w:rPr>
        <w:t xml:space="preserve">Société Forestière pour le Développement du Congo </w:t>
      </w:r>
    </w:p>
    <w:p w:rsidR="0089405D" w:rsidRDefault="003468E2">
      <w:pPr>
        <w:tabs>
          <w:tab w:val="left" w:pos="1985"/>
        </w:tabs>
        <w:spacing w:after="0" w:line="312" w:lineRule="auto"/>
        <w:jc w:val="both"/>
        <w:rPr>
          <w:rFonts w:cs="Calibri"/>
          <w:sz w:val="24"/>
          <w:szCs w:val="24"/>
          <w:lang w:val="fr-FR" w:eastAsia="en-US"/>
        </w:rPr>
      </w:pPr>
      <w:r>
        <w:rPr>
          <w:rFonts w:cs="Calibri"/>
          <w:sz w:val="24"/>
          <w:szCs w:val="24"/>
          <w:lang w:val="fr-FR" w:eastAsia="en-US"/>
        </w:rPr>
        <w:t>IDH </w:t>
      </w:r>
      <w:r>
        <w:rPr>
          <w:rFonts w:cs="Calibri"/>
          <w:sz w:val="24"/>
          <w:szCs w:val="24"/>
          <w:lang w:val="fr-FR" w:eastAsia="en-US"/>
        </w:rPr>
        <w:tab/>
      </w:r>
      <w:r>
        <w:rPr>
          <w:rFonts w:cs="Calibri"/>
          <w:sz w:val="24"/>
          <w:szCs w:val="24"/>
          <w:lang w:val="fr-FR" w:eastAsia="en-US"/>
        </w:rPr>
        <w:tab/>
        <w:t xml:space="preserve">: Indice de Développement Humain </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IE</w:t>
      </w:r>
      <w:r>
        <w:rPr>
          <w:rFonts w:eastAsia="Calibri" w:cs="Calibri"/>
          <w:sz w:val="24"/>
          <w:szCs w:val="24"/>
          <w:lang w:val="fr-FR" w:eastAsia="en-US"/>
        </w:rPr>
        <w:tab/>
      </w:r>
      <w:r>
        <w:rPr>
          <w:rFonts w:eastAsia="Calibri" w:cs="Calibri"/>
          <w:sz w:val="24"/>
          <w:szCs w:val="24"/>
          <w:lang w:val="fr-FR" w:eastAsia="en-US"/>
        </w:rPr>
        <w:tab/>
        <w:t>: Industries Extractives</w:t>
      </w:r>
      <w:r>
        <w:rPr>
          <w:rFonts w:eastAsia="Calibri" w:cs="Calibri"/>
          <w:sz w:val="24"/>
          <w:szCs w:val="24"/>
          <w:lang w:val="fr-FR" w:eastAsia="en-US"/>
        </w:rPr>
        <w:tab/>
      </w:r>
      <w:r>
        <w:rPr>
          <w:rFonts w:eastAsia="Calibri" w:cs="Calibri"/>
          <w:sz w:val="24"/>
          <w:szCs w:val="24"/>
          <w:lang w:val="fr-FR" w:eastAsia="en-US"/>
        </w:rPr>
        <w:tab/>
      </w:r>
      <w:r>
        <w:rPr>
          <w:rFonts w:eastAsia="Calibri" w:cs="Calibri"/>
          <w:sz w:val="24"/>
          <w:szCs w:val="24"/>
          <w:lang w:val="fr-FR" w:eastAsia="en-US"/>
        </w:rPr>
        <w:tab/>
        <w:t xml:space="preserve">  </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IFI </w:t>
      </w:r>
      <w:r>
        <w:rPr>
          <w:rFonts w:eastAsia="Calibri" w:cs="Calibri"/>
          <w:sz w:val="24"/>
          <w:szCs w:val="24"/>
          <w:lang w:val="fr-FR" w:eastAsia="en-US"/>
        </w:rPr>
        <w:tab/>
      </w:r>
      <w:r>
        <w:rPr>
          <w:rFonts w:eastAsia="Calibri" w:cs="Calibri"/>
          <w:sz w:val="24"/>
          <w:szCs w:val="24"/>
          <w:lang w:val="fr-FR" w:eastAsia="en-US"/>
        </w:rPr>
        <w:tab/>
        <w:t xml:space="preserve">: Institutions Financières Internationales </w:t>
      </w:r>
    </w:p>
    <w:p w:rsidR="0089405D" w:rsidRDefault="003468E2">
      <w:pPr>
        <w:tabs>
          <w:tab w:val="left" w:pos="1985"/>
        </w:tabs>
        <w:spacing w:after="0" w:line="312" w:lineRule="auto"/>
        <w:ind w:left="2124" w:hanging="2124"/>
        <w:jc w:val="both"/>
        <w:rPr>
          <w:rFonts w:eastAsia="Calibri" w:cs="Calibri"/>
          <w:sz w:val="24"/>
          <w:szCs w:val="24"/>
          <w:lang w:val="fr-FR" w:eastAsia="en-US"/>
        </w:rPr>
      </w:pPr>
      <w:r>
        <w:rPr>
          <w:rFonts w:eastAsia="Calibri" w:cs="Calibri"/>
          <w:sz w:val="24"/>
          <w:szCs w:val="24"/>
          <w:lang w:val="fr-FR" w:eastAsia="en-US"/>
        </w:rPr>
        <w:t>IIED</w:t>
      </w:r>
      <w:r>
        <w:rPr>
          <w:rFonts w:eastAsia="Calibri" w:cs="Calibri"/>
          <w:sz w:val="24"/>
          <w:szCs w:val="24"/>
          <w:lang w:val="fr-FR" w:eastAsia="en-US"/>
        </w:rPr>
        <w:tab/>
      </w:r>
      <w:r>
        <w:rPr>
          <w:rFonts w:eastAsia="Calibri" w:cs="Calibri"/>
          <w:sz w:val="24"/>
          <w:szCs w:val="24"/>
          <w:lang w:val="fr-FR" w:eastAsia="en-US"/>
        </w:rPr>
        <w:tab/>
        <w:t xml:space="preserve">: Institut International pour l’Environnement et le Développement </w:t>
      </w:r>
    </w:p>
    <w:p w:rsidR="0089405D" w:rsidRDefault="003468E2">
      <w:pPr>
        <w:tabs>
          <w:tab w:val="left" w:pos="1985"/>
        </w:tabs>
        <w:spacing w:after="0" w:line="312" w:lineRule="auto"/>
        <w:jc w:val="both"/>
        <w:rPr>
          <w:rFonts w:eastAsia="Times New Roman" w:cs="Calibri"/>
          <w:sz w:val="24"/>
          <w:szCs w:val="24"/>
          <w:lang w:eastAsia="fr-FR"/>
        </w:rPr>
      </w:pPr>
      <w:r>
        <w:rPr>
          <w:rFonts w:eastAsia="Times New Roman" w:cs="Calibri"/>
          <w:sz w:val="24"/>
          <w:szCs w:val="24"/>
          <w:lang w:eastAsia="fr-FR"/>
        </w:rPr>
        <w:t xml:space="preserve">IISD </w:t>
      </w:r>
      <w:r>
        <w:rPr>
          <w:rFonts w:eastAsia="Times New Roman" w:cs="Calibri"/>
          <w:sz w:val="24"/>
          <w:szCs w:val="24"/>
          <w:lang w:eastAsia="fr-FR"/>
        </w:rPr>
        <w:tab/>
      </w:r>
      <w:r>
        <w:rPr>
          <w:rFonts w:eastAsia="Times New Roman" w:cs="Calibri"/>
          <w:sz w:val="24"/>
          <w:szCs w:val="24"/>
          <w:lang w:eastAsia="fr-FR"/>
        </w:rPr>
        <w:tab/>
        <w:t>: The International Institute for Sustainable Development</w:t>
      </w:r>
    </w:p>
    <w:p w:rsidR="0089405D" w:rsidRDefault="003468E2">
      <w:pPr>
        <w:tabs>
          <w:tab w:val="left" w:pos="1985"/>
        </w:tabs>
        <w:spacing w:after="0" w:line="312" w:lineRule="auto"/>
        <w:rPr>
          <w:rFonts w:cs="Calibri"/>
          <w:sz w:val="24"/>
          <w:szCs w:val="24"/>
          <w:lang w:val="fr-FR"/>
        </w:rPr>
      </w:pPr>
      <w:r>
        <w:rPr>
          <w:rFonts w:cs="Calibri"/>
          <w:sz w:val="24"/>
          <w:szCs w:val="24"/>
          <w:lang w:val="fr-FR"/>
        </w:rPr>
        <w:t xml:space="preserve">MST </w:t>
      </w:r>
      <w:r>
        <w:rPr>
          <w:rFonts w:cs="Calibri"/>
          <w:sz w:val="24"/>
          <w:szCs w:val="24"/>
          <w:lang w:val="fr-FR"/>
        </w:rPr>
        <w:tab/>
      </w:r>
      <w:r>
        <w:rPr>
          <w:rFonts w:cs="Calibri"/>
          <w:sz w:val="24"/>
          <w:szCs w:val="24"/>
          <w:lang w:val="fr-FR"/>
        </w:rPr>
        <w:tab/>
        <w:t xml:space="preserve">: Maladies Sexuellement Transmissibles </w:t>
      </w:r>
    </w:p>
    <w:p w:rsidR="0089405D" w:rsidRDefault="003468E2">
      <w:pPr>
        <w:tabs>
          <w:tab w:val="left" w:pos="1985"/>
        </w:tabs>
        <w:spacing w:after="0" w:line="312" w:lineRule="auto"/>
        <w:rPr>
          <w:rFonts w:cs="Calibri"/>
          <w:sz w:val="24"/>
          <w:szCs w:val="24"/>
          <w:lang w:val="fr-FR"/>
        </w:rPr>
      </w:pPr>
      <w:r>
        <w:rPr>
          <w:rFonts w:cs="Calibri"/>
          <w:sz w:val="24"/>
          <w:szCs w:val="24"/>
          <w:lang w:val="fr-FR"/>
        </w:rPr>
        <w:t>NTIC</w:t>
      </w:r>
      <w:r>
        <w:rPr>
          <w:rFonts w:cs="Calibri"/>
          <w:sz w:val="24"/>
          <w:szCs w:val="24"/>
          <w:lang w:val="fr-FR"/>
        </w:rPr>
        <w:tab/>
      </w:r>
      <w:r>
        <w:rPr>
          <w:rFonts w:cs="Calibri"/>
          <w:sz w:val="24"/>
          <w:szCs w:val="24"/>
          <w:lang w:val="fr-FR"/>
        </w:rPr>
        <w:tab/>
        <w:t>: Nouvelles technologies de l'Information et de la Communication</w:t>
      </w:r>
    </w:p>
    <w:p w:rsidR="0089405D" w:rsidRDefault="003468E2">
      <w:pPr>
        <w:tabs>
          <w:tab w:val="left" w:pos="1985"/>
        </w:tabs>
        <w:spacing w:after="0" w:line="312" w:lineRule="auto"/>
        <w:ind w:left="2124" w:hanging="2124"/>
        <w:jc w:val="both"/>
        <w:rPr>
          <w:rFonts w:eastAsia="Calibri" w:cs="Calibri"/>
          <w:sz w:val="24"/>
          <w:szCs w:val="24"/>
          <w:lang w:val="fr-FR" w:eastAsia="en-US"/>
        </w:rPr>
      </w:pPr>
      <w:r>
        <w:rPr>
          <w:rFonts w:eastAsia="Calibri" w:cs="Calibri"/>
          <w:sz w:val="24"/>
          <w:szCs w:val="24"/>
          <w:lang w:val="fr-FR" w:eastAsia="en-US"/>
        </w:rPr>
        <w:t xml:space="preserve">OCDE </w:t>
      </w:r>
      <w:r>
        <w:rPr>
          <w:rFonts w:eastAsia="Calibri" w:cs="Calibri"/>
          <w:sz w:val="24"/>
          <w:szCs w:val="24"/>
          <w:lang w:val="fr-FR" w:eastAsia="en-US"/>
        </w:rPr>
        <w:tab/>
      </w:r>
      <w:r>
        <w:rPr>
          <w:rFonts w:eastAsia="Calibri" w:cs="Calibri"/>
          <w:sz w:val="24"/>
          <w:szCs w:val="24"/>
          <w:lang w:val="fr-FR" w:eastAsia="en-US"/>
        </w:rPr>
        <w:tab/>
        <w:t>: Organisation de coopération et de Développement Economiques</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 xml:space="preserve">OMS </w:t>
      </w:r>
      <w:r>
        <w:rPr>
          <w:rFonts w:eastAsia="Calibri" w:cs="Calibri"/>
          <w:sz w:val="24"/>
          <w:szCs w:val="24"/>
          <w:lang w:val="fr-FR" w:eastAsia="en-US"/>
        </w:rPr>
        <w:tab/>
      </w:r>
      <w:r>
        <w:rPr>
          <w:rFonts w:eastAsia="Calibri" w:cs="Calibri"/>
          <w:sz w:val="24"/>
          <w:szCs w:val="24"/>
          <w:lang w:val="fr-FR" w:eastAsia="en-US"/>
        </w:rPr>
        <w:tab/>
        <w:t xml:space="preserve">: Organisation mondiale de la Santé </w:t>
      </w:r>
    </w:p>
    <w:p w:rsidR="0089405D" w:rsidRDefault="003468E2">
      <w:pPr>
        <w:tabs>
          <w:tab w:val="left" w:pos="1985"/>
        </w:tabs>
        <w:spacing w:after="0" w:line="312" w:lineRule="auto"/>
        <w:jc w:val="both"/>
        <w:rPr>
          <w:rFonts w:cs="Calibri"/>
          <w:sz w:val="24"/>
          <w:szCs w:val="24"/>
          <w:lang w:val="fr-FR"/>
        </w:rPr>
      </w:pPr>
      <w:r>
        <w:rPr>
          <w:rFonts w:cs="Calibri"/>
          <w:sz w:val="24"/>
          <w:szCs w:val="24"/>
          <w:lang w:val="fr-FR"/>
        </w:rPr>
        <w:t>OMS</w:t>
      </w:r>
      <w:r>
        <w:rPr>
          <w:rFonts w:cs="Calibri"/>
          <w:sz w:val="24"/>
          <w:szCs w:val="24"/>
          <w:lang w:val="fr-FR"/>
        </w:rPr>
        <w:tab/>
      </w:r>
      <w:r>
        <w:rPr>
          <w:rFonts w:cs="Calibri"/>
          <w:sz w:val="24"/>
          <w:szCs w:val="24"/>
          <w:lang w:val="fr-FR"/>
        </w:rPr>
        <w:tab/>
        <w:t>: Organisation Mondiale de la Santé</w:t>
      </w:r>
    </w:p>
    <w:p w:rsidR="0089405D" w:rsidRDefault="003468E2">
      <w:pPr>
        <w:tabs>
          <w:tab w:val="left" w:pos="1985"/>
        </w:tabs>
        <w:spacing w:after="0" w:line="312" w:lineRule="auto"/>
        <w:jc w:val="both"/>
        <w:rPr>
          <w:rFonts w:eastAsia="Times New Roman" w:cs="Calibri"/>
          <w:sz w:val="24"/>
          <w:szCs w:val="24"/>
          <w:lang w:val="fr-FR" w:eastAsia="fr-FR"/>
        </w:rPr>
      </w:pPr>
      <w:r>
        <w:rPr>
          <w:rFonts w:eastAsia="Times New Roman" w:cs="Calibri"/>
          <w:sz w:val="24"/>
          <w:szCs w:val="24"/>
          <w:lang w:val="fr-FR" w:eastAsia="fr-FR"/>
        </w:rPr>
        <w:t>ONG</w:t>
      </w:r>
      <w:r>
        <w:rPr>
          <w:rFonts w:eastAsia="Times New Roman" w:cs="Calibri"/>
          <w:sz w:val="24"/>
          <w:szCs w:val="24"/>
          <w:lang w:val="fr-FR" w:eastAsia="fr-FR"/>
        </w:rPr>
        <w:tab/>
      </w:r>
      <w:r>
        <w:rPr>
          <w:rFonts w:eastAsia="Times New Roman" w:cs="Calibri"/>
          <w:sz w:val="24"/>
          <w:szCs w:val="24"/>
          <w:lang w:val="fr-FR" w:eastAsia="fr-FR"/>
        </w:rPr>
        <w:tab/>
        <w:t>:</w:t>
      </w:r>
      <w:r>
        <w:rPr>
          <w:rFonts w:eastAsia="Calibri" w:cs="Calibri"/>
          <w:sz w:val="24"/>
          <w:szCs w:val="24"/>
          <w:lang w:val="fr-FR" w:eastAsia="en-US"/>
        </w:rPr>
        <w:t xml:space="preserve"> </w:t>
      </w:r>
      <w:r>
        <w:rPr>
          <w:rFonts w:eastAsia="Times New Roman" w:cs="Calibri"/>
          <w:sz w:val="24"/>
          <w:szCs w:val="24"/>
          <w:lang w:val="fr-FR" w:eastAsia="fr-FR"/>
        </w:rPr>
        <w:t>Organisation Non Gouvernementale</w:t>
      </w:r>
    </w:p>
    <w:p w:rsidR="0089405D" w:rsidRDefault="003468E2">
      <w:pPr>
        <w:tabs>
          <w:tab w:val="left" w:pos="1985"/>
        </w:tabs>
        <w:spacing w:after="0" w:line="312" w:lineRule="auto"/>
        <w:jc w:val="both"/>
        <w:rPr>
          <w:rFonts w:eastAsia="Times New Roman" w:cs="Calibri"/>
          <w:sz w:val="24"/>
          <w:szCs w:val="24"/>
          <w:lang w:val="fr-FR" w:eastAsia="fr-FR"/>
        </w:rPr>
      </w:pPr>
      <w:r>
        <w:rPr>
          <w:rFonts w:eastAsia="Times New Roman" w:cs="Calibri"/>
          <w:sz w:val="24"/>
          <w:szCs w:val="24"/>
          <w:lang w:val="fr-FR" w:eastAsia="fr-FR"/>
        </w:rPr>
        <w:t>ONGE</w:t>
      </w:r>
      <w:r>
        <w:rPr>
          <w:rFonts w:eastAsia="Times New Roman" w:cs="Calibri"/>
          <w:sz w:val="24"/>
          <w:szCs w:val="24"/>
          <w:lang w:val="fr-FR" w:eastAsia="fr-FR"/>
        </w:rPr>
        <w:tab/>
      </w:r>
      <w:r>
        <w:rPr>
          <w:rFonts w:eastAsia="Times New Roman" w:cs="Calibri"/>
          <w:sz w:val="24"/>
          <w:szCs w:val="24"/>
          <w:lang w:val="fr-FR" w:eastAsia="fr-FR"/>
        </w:rPr>
        <w:tab/>
        <w:t>: Organisation Non Gouvernemental Environnementale</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ONU</w:t>
      </w:r>
      <w:r>
        <w:rPr>
          <w:rFonts w:eastAsia="Calibri" w:cs="Calibri"/>
          <w:sz w:val="24"/>
          <w:szCs w:val="24"/>
          <w:lang w:val="fr-FR" w:eastAsia="en-US"/>
        </w:rPr>
        <w:tab/>
      </w:r>
      <w:r>
        <w:rPr>
          <w:rFonts w:eastAsia="Calibri" w:cs="Calibri"/>
          <w:sz w:val="24"/>
          <w:szCs w:val="24"/>
          <w:lang w:val="fr-FR" w:eastAsia="en-US"/>
        </w:rPr>
        <w:tab/>
        <w:t>: Organisation des Nations Unies</w:t>
      </w:r>
    </w:p>
    <w:p w:rsidR="0089405D" w:rsidRDefault="003468E2">
      <w:pPr>
        <w:tabs>
          <w:tab w:val="left" w:pos="1985"/>
        </w:tabs>
        <w:spacing w:after="0" w:line="312" w:lineRule="auto"/>
        <w:ind w:left="2124" w:hanging="2124"/>
        <w:jc w:val="both"/>
        <w:rPr>
          <w:rFonts w:eastAsia="Calibri" w:cs="Calibri"/>
          <w:sz w:val="24"/>
          <w:szCs w:val="24"/>
          <w:lang w:val="fr-FR" w:eastAsia="en-US"/>
        </w:rPr>
      </w:pPr>
      <w:r>
        <w:rPr>
          <w:rFonts w:eastAsia="Calibri" w:cs="Calibri"/>
          <w:sz w:val="24"/>
          <w:szCs w:val="24"/>
          <w:lang w:val="fr-FR" w:eastAsia="en-US"/>
        </w:rPr>
        <w:t>ONU-Habitat </w:t>
      </w:r>
      <w:r>
        <w:rPr>
          <w:rFonts w:eastAsia="Calibri" w:cs="Calibri"/>
          <w:sz w:val="24"/>
          <w:szCs w:val="24"/>
          <w:lang w:val="fr-FR" w:eastAsia="en-US"/>
        </w:rPr>
        <w:tab/>
      </w:r>
      <w:r>
        <w:rPr>
          <w:rFonts w:eastAsia="Calibri" w:cs="Calibri"/>
          <w:sz w:val="24"/>
          <w:szCs w:val="24"/>
          <w:lang w:val="fr-FR" w:eastAsia="en-US"/>
        </w:rPr>
        <w:tab/>
        <w:t>: Programme des Nations Unies pour les Etablissements Humains</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OSC </w:t>
      </w:r>
      <w:r>
        <w:rPr>
          <w:rFonts w:eastAsia="Calibri" w:cs="Calibri"/>
          <w:sz w:val="24"/>
          <w:szCs w:val="24"/>
          <w:lang w:val="fr-FR" w:eastAsia="en-US"/>
        </w:rPr>
        <w:tab/>
      </w:r>
      <w:r>
        <w:rPr>
          <w:rFonts w:eastAsia="Calibri" w:cs="Calibri"/>
          <w:sz w:val="24"/>
          <w:szCs w:val="24"/>
          <w:lang w:val="fr-FR" w:eastAsia="en-US"/>
        </w:rPr>
        <w:tab/>
        <w:t>: Organisation de la Société Civile</w:t>
      </w:r>
    </w:p>
    <w:p w:rsidR="0089405D" w:rsidRDefault="003468E2">
      <w:pPr>
        <w:tabs>
          <w:tab w:val="left" w:pos="1985"/>
        </w:tabs>
        <w:spacing w:after="0" w:line="312" w:lineRule="auto"/>
        <w:jc w:val="both"/>
        <w:rPr>
          <w:rFonts w:eastAsia="Calibri" w:cs="Calibri"/>
          <w:sz w:val="24"/>
          <w:szCs w:val="24"/>
          <w:lang w:val="fr-FR" w:eastAsia="en-US"/>
        </w:rPr>
      </w:pPr>
      <w:r>
        <w:rPr>
          <w:rFonts w:eastAsia="Times New Roman" w:cs="Calibri"/>
          <w:sz w:val="24"/>
          <w:szCs w:val="24"/>
          <w:lang w:val="fr-FR" w:eastAsia="fr-FR"/>
        </w:rPr>
        <w:lastRenderedPageBreak/>
        <w:t>PAR</w:t>
      </w:r>
      <w:r>
        <w:rPr>
          <w:rFonts w:eastAsia="Times New Roman" w:cs="Calibri"/>
          <w:sz w:val="24"/>
          <w:szCs w:val="24"/>
          <w:lang w:val="fr-FR" w:eastAsia="fr-FR"/>
        </w:rPr>
        <w:tab/>
      </w:r>
      <w:r>
        <w:rPr>
          <w:rFonts w:eastAsia="Times New Roman" w:cs="Calibri"/>
          <w:sz w:val="24"/>
          <w:szCs w:val="24"/>
          <w:lang w:val="fr-FR" w:eastAsia="fr-FR"/>
        </w:rPr>
        <w:tab/>
        <w:t>: Plans d’Action de Réinstallation</w:t>
      </w:r>
      <w:r>
        <w:rPr>
          <w:rFonts w:eastAsia="Calibri" w:cs="Calibri"/>
          <w:sz w:val="24"/>
          <w:szCs w:val="24"/>
          <w:lang w:val="fr-FR" w:eastAsia="en-US"/>
        </w:rPr>
        <w:t xml:space="preserve"> </w:t>
      </w:r>
    </w:p>
    <w:p w:rsidR="0089405D" w:rsidRDefault="003468E2">
      <w:pPr>
        <w:tabs>
          <w:tab w:val="left" w:pos="1985"/>
        </w:tabs>
        <w:spacing w:after="0" w:line="312" w:lineRule="auto"/>
        <w:jc w:val="both"/>
        <w:rPr>
          <w:rFonts w:cs="Calibri"/>
          <w:sz w:val="24"/>
          <w:szCs w:val="24"/>
          <w:lang w:val="fr-FR"/>
        </w:rPr>
      </w:pPr>
      <w:r>
        <w:rPr>
          <w:rFonts w:cs="Calibri"/>
          <w:sz w:val="24"/>
          <w:szCs w:val="24"/>
          <w:lang w:val="fr-FR"/>
        </w:rPr>
        <w:t>PERENCO</w:t>
      </w:r>
      <w:r>
        <w:rPr>
          <w:rFonts w:cs="Calibri"/>
          <w:sz w:val="24"/>
          <w:szCs w:val="24"/>
          <w:lang w:val="fr-FR"/>
        </w:rPr>
        <w:tab/>
        <w:t xml:space="preserve">   : Compagnie Pétrolière et Gazière française SARL</w:t>
      </w:r>
    </w:p>
    <w:p w:rsidR="0089405D" w:rsidRDefault="003468E2">
      <w:pPr>
        <w:tabs>
          <w:tab w:val="left" w:pos="1985"/>
        </w:tabs>
        <w:spacing w:after="0" w:line="312" w:lineRule="auto"/>
        <w:jc w:val="both"/>
        <w:rPr>
          <w:rFonts w:cs="Calibri"/>
          <w:sz w:val="24"/>
          <w:szCs w:val="24"/>
          <w:lang w:val="fr-FR"/>
        </w:rPr>
      </w:pPr>
      <w:r>
        <w:rPr>
          <w:rFonts w:cs="Calibri"/>
          <w:sz w:val="24"/>
          <w:szCs w:val="24"/>
          <w:lang w:val="fr-FR"/>
        </w:rPr>
        <w:t xml:space="preserve">PFNL </w:t>
      </w:r>
      <w:r>
        <w:rPr>
          <w:rFonts w:cs="Calibri"/>
          <w:sz w:val="24"/>
          <w:szCs w:val="24"/>
          <w:lang w:val="fr-FR"/>
        </w:rPr>
        <w:tab/>
        <w:t xml:space="preserve">  : Produits Forestiers Non Ligneux</w:t>
      </w:r>
    </w:p>
    <w:p w:rsidR="0089405D" w:rsidRDefault="003468E2">
      <w:pPr>
        <w:tabs>
          <w:tab w:val="left" w:pos="1985"/>
        </w:tabs>
        <w:spacing w:after="0" w:line="312" w:lineRule="auto"/>
        <w:jc w:val="both"/>
        <w:rPr>
          <w:rFonts w:eastAsia="Calibri" w:cs="Calibri"/>
          <w:sz w:val="24"/>
          <w:szCs w:val="24"/>
          <w:lang w:val="fr-FR" w:eastAsia="en-US"/>
        </w:rPr>
      </w:pPr>
      <w:r>
        <w:rPr>
          <w:rFonts w:eastAsia="Calibri" w:cs="Calibri"/>
          <w:sz w:val="24"/>
          <w:szCs w:val="24"/>
          <w:lang w:val="fr-FR" w:eastAsia="en-US"/>
        </w:rPr>
        <w:t>PGES</w:t>
      </w:r>
      <w:r>
        <w:rPr>
          <w:rFonts w:eastAsia="Calibri" w:cs="Calibri"/>
          <w:sz w:val="24"/>
          <w:szCs w:val="24"/>
          <w:lang w:val="fr-FR" w:eastAsia="en-US"/>
        </w:rPr>
        <w:tab/>
        <w:t xml:space="preserve"> </w:t>
      </w:r>
      <w:r>
        <w:rPr>
          <w:rFonts w:eastAsia="Calibri" w:cs="Calibri"/>
          <w:sz w:val="24"/>
          <w:szCs w:val="24"/>
          <w:lang w:val="fr-FR" w:eastAsia="en-US"/>
        </w:rPr>
        <w:tab/>
        <w:t xml:space="preserve">: Plans de Gestion Environnementale et Sociale </w:t>
      </w:r>
    </w:p>
    <w:p w:rsidR="0089405D" w:rsidRDefault="003468E2">
      <w:pPr>
        <w:tabs>
          <w:tab w:val="left" w:pos="1985"/>
        </w:tabs>
        <w:spacing w:after="0" w:line="312" w:lineRule="auto"/>
        <w:jc w:val="both"/>
        <w:rPr>
          <w:rFonts w:cs="Calibri"/>
          <w:sz w:val="24"/>
          <w:szCs w:val="24"/>
          <w:lang w:val="fr-FR"/>
        </w:rPr>
      </w:pPr>
      <w:r>
        <w:rPr>
          <w:rFonts w:cs="Calibri"/>
          <w:sz w:val="24"/>
          <w:szCs w:val="24"/>
          <w:lang w:val="fr-FR"/>
        </w:rPr>
        <w:t>PNUE</w:t>
      </w:r>
      <w:r>
        <w:rPr>
          <w:rFonts w:cs="Calibri"/>
          <w:sz w:val="24"/>
          <w:szCs w:val="24"/>
          <w:lang w:val="fr-FR"/>
        </w:rPr>
        <w:tab/>
        <w:t xml:space="preserve">  :</w:t>
      </w:r>
      <w:r>
        <w:rPr>
          <w:rFonts w:cs="Calibri"/>
          <w:lang w:val="fr-FR"/>
        </w:rPr>
        <w:t xml:space="preserve"> </w:t>
      </w:r>
      <w:r>
        <w:rPr>
          <w:rFonts w:cs="Calibri"/>
          <w:sz w:val="24"/>
          <w:szCs w:val="24"/>
          <w:lang w:val="fr-FR"/>
        </w:rPr>
        <w:t xml:space="preserve">Programme des Nations Unies pour l'Environnement </w:t>
      </w:r>
    </w:p>
    <w:p w:rsidR="0089405D" w:rsidRDefault="003468E2">
      <w:pPr>
        <w:tabs>
          <w:tab w:val="left" w:pos="1985"/>
        </w:tabs>
        <w:spacing w:after="0" w:line="312" w:lineRule="auto"/>
        <w:jc w:val="both"/>
        <w:rPr>
          <w:rFonts w:cs="Calibri"/>
          <w:sz w:val="24"/>
          <w:szCs w:val="24"/>
          <w:lang w:val="fr-FR"/>
        </w:rPr>
      </w:pPr>
      <w:r>
        <w:rPr>
          <w:rFonts w:cs="Calibri"/>
          <w:sz w:val="24"/>
          <w:szCs w:val="24"/>
          <w:lang w:val="fr-FR"/>
        </w:rPr>
        <w:t>PPE</w:t>
      </w:r>
      <w:r>
        <w:rPr>
          <w:rFonts w:cs="Calibri"/>
          <w:sz w:val="24"/>
          <w:szCs w:val="24"/>
          <w:lang w:val="fr-FR"/>
        </w:rPr>
        <w:tab/>
        <w:t xml:space="preserve">  : Plan de Protection de l'Environnement </w:t>
      </w:r>
    </w:p>
    <w:p w:rsidR="0089405D" w:rsidRDefault="003468E2">
      <w:pPr>
        <w:tabs>
          <w:tab w:val="left" w:pos="1985"/>
        </w:tabs>
        <w:spacing w:after="0" w:line="312" w:lineRule="auto"/>
        <w:jc w:val="both"/>
        <w:rPr>
          <w:rFonts w:eastAsia="Times New Roman" w:cs="Calibri"/>
          <w:sz w:val="24"/>
          <w:szCs w:val="24"/>
          <w:lang w:val="fr-FR" w:eastAsia="fr-FR"/>
        </w:rPr>
      </w:pPr>
      <w:r>
        <w:rPr>
          <w:rFonts w:eastAsia="Times New Roman" w:cs="Calibri"/>
          <w:sz w:val="24"/>
          <w:szCs w:val="24"/>
          <w:lang w:val="fr-FR" w:eastAsia="fr-FR"/>
        </w:rPr>
        <w:t>PSE</w:t>
      </w:r>
      <w:r>
        <w:rPr>
          <w:rFonts w:eastAsia="Times New Roman" w:cs="Calibri"/>
          <w:sz w:val="24"/>
          <w:szCs w:val="24"/>
          <w:lang w:val="fr-FR" w:eastAsia="fr-FR"/>
        </w:rPr>
        <w:tab/>
      </w:r>
      <w:r>
        <w:rPr>
          <w:rFonts w:eastAsia="Times New Roman" w:cs="Calibri"/>
          <w:sz w:val="24"/>
          <w:szCs w:val="24"/>
          <w:lang w:val="fr-FR" w:eastAsia="fr-FR"/>
        </w:rPr>
        <w:tab/>
        <w:t xml:space="preserve">: Paiements des Services Environnementaux </w:t>
      </w:r>
    </w:p>
    <w:p w:rsidR="0089405D" w:rsidRDefault="003468E2">
      <w:pPr>
        <w:tabs>
          <w:tab w:val="left" w:pos="1985"/>
        </w:tabs>
        <w:spacing w:after="0" w:line="312" w:lineRule="auto"/>
        <w:jc w:val="both"/>
        <w:rPr>
          <w:rFonts w:eastAsia="Times New Roman" w:cs="Calibri"/>
          <w:sz w:val="24"/>
          <w:szCs w:val="24"/>
          <w:lang w:val="fr-FR" w:eastAsia="fr-FR"/>
        </w:rPr>
      </w:pPr>
      <w:r>
        <w:rPr>
          <w:rFonts w:eastAsia="Times New Roman" w:cs="Calibri"/>
          <w:sz w:val="24"/>
          <w:szCs w:val="24"/>
          <w:lang w:val="fr-FR" w:eastAsia="fr-FR"/>
        </w:rPr>
        <w:t>RDC</w:t>
      </w:r>
      <w:r>
        <w:rPr>
          <w:rFonts w:eastAsia="Times New Roman" w:cs="Calibri"/>
          <w:sz w:val="24"/>
          <w:szCs w:val="24"/>
          <w:lang w:val="fr-FR" w:eastAsia="fr-FR"/>
        </w:rPr>
        <w:tab/>
      </w:r>
      <w:r>
        <w:rPr>
          <w:rFonts w:eastAsia="Times New Roman" w:cs="Calibri"/>
          <w:sz w:val="24"/>
          <w:szCs w:val="24"/>
          <w:lang w:val="fr-FR" w:eastAsia="fr-FR"/>
        </w:rPr>
        <w:tab/>
        <w:t xml:space="preserve">: République Démocratique du Congo </w:t>
      </w:r>
    </w:p>
    <w:p w:rsidR="0089405D" w:rsidRDefault="003468E2">
      <w:pPr>
        <w:tabs>
          <w:tab w:val="left" w:pos="1985"/>
        </w:tabs>
        <w:spacing w:after="0" w:line="312" w:lineRule="auto"/>
        <w:ind w:left="2127" w:hanging="2127"/>
        <w:rPr>
          <w:rFonts w:eastAsia="Calibri" w:cs="Calibri"/>
          <w:sz w:val="24"/>
          <w:szCs w:val="24"/>
          <w:lang w:val="fr-FR" w:eastAsia="en-US"/>
        </w:rPr>
      </w:pPr>
      <w:r>
        <w:rPr>
          <w:rFonts w:eastAsia="Calibri" w:cs="Calibri"/>
          <w:sz w:val="24"/>
          <w:szCs w:val="24"/>
          <w:lang w:val="fr-FR" w:eastAsia="en-US"/>
        </w:rPr>
        <w:t>SAEMAPE</w:t>
      </w:r>
      <w:r>
        <w:rPr>
          <w:rFonts w:eastAsia="Calibri" w:cs="Calibri"/>
          <w:sz w:val="24"/>
          <w:szCs w:val="24"/>
          <w:lang w:val="fr-FR" w:eastAsia="en-US"/>
        </w:rPr>
        <w:tab/>
        <w:t xml:space="preserve">   : Service d’Assistance et d’Encadrement de l’Exploitation Minière à Petite Échelle </w:t>
      </w:r>
    </w:p>
    <w:p w:rsidR="0089405D" w:rsidRDefault="003468E2">
      <w:pPr>
        <w:tabs>
          <w:tab w:val="left" w:pos="1985"/>
        </w:tabs>
        <w:spacing w:after="0" w:line="312" w:lineRule="auto"/>
        <w:jc w:val="both"/>
        <w:rPr>
          <w:rFonts w:cs="Calibri"/>
          <w:sz w:val="24"/>
          <w:szCs w:val="24"/>
          <w:lang w:val="fr-FR" w:eastAsia="en-US"/>
        </w:rPr>
      </w:pPr>
      <w:r>
        <w:rPr>
          <w:rFonts w:eastAsia="ArialMT" w:cs="Calibri"/>
          <w:sz w:val="24"/>
          <w:szCs w:val="24"/>
          <w:lang w:val="fr-FR"/>
        </w:rPr>
        <w:t>SARL</w:t>
      </w:r>
      <w:r>
        <w:rPr>
          <w:rFonts w:eastAsia="ArialMT" w:cs="Calibri"/>
          <w:sz w:val="24"/>
          <w:szCs w:val="24"/>
          <w:lang w:val="fr-FR"/>
        </w:rPr>
        <w:tab/>
        <w:t xml:space="preserve">  : Société à Responsabilité Limitée </w:t>
      </w:r>
      <w:r>
        <w:rPr>
          <w:rFonts w:cs="Calibri"/>
          <w:sz w:val="24"/>
          <w:szCs w:val="24"/>
          <w:lang w:val="fr-FR" w:eastAsia="en-US"/>
        </w:rPr>
        <w:t xml:space="preserve"> </w:t>
      </w:r>
    </w:p>
    <w:p w:rsidR="0089405D" w:rsidRDefault="003468E2">
      <w:pPr>
        <w:tabs>
          <w:tab w:val="left" w:pos="1985"/>
        </w:tabs>
        <w:spacing w:after="0" w:line="312" w:lineRule="auto"/>
        <w:jc w:val="both"/>
        <w:rPr>
          <w:rFonts w:eastAsia="Times New Roman" w:cs="Calibri"/>
          <w:sz w:val="24"/>
          <w:szCs w:val="24"/>
          <w:lang w:val="fr-FR" w:eastAsia="fr-FR"/>
        </w:rPr>
      </w:pPr>
      <w:r>
        <w:rPr>
          <w:rFonts w:eastAsia="Calibri" w:cs="Calibri"/>
          <w:sz w:val="24"/>
          <w:szCs w:val="24"/>
          <w:lang w:val="fr-FR" w:eastAsia="en-US"/>
        </w:rPr>
        <w:t>UNDP</w:t>
      </w:r>
      <w:r>
        <w:rPr>
          <w:rFonts w:eastAsia="Calibri" w:cs="Calibri"/>
          <w:sz w:val="24"/>
          <w:szCs w:val="24"/>
          <w:lang w:val="fr-FR" w:eastAsia="en-US"/>
        </w:rPr>
        <w:tab/>
      </w:r>
      <w:r>
        <w:rPr>
          <w:rFonts w:eastAsia="Calibri" w:cs="Calibri"/>
          <w:sz w:val="24"/>
          <w:szCs w:val="24"/>
          <w:lang w:val="fr-FR" w:eastAsia="en-US"/>
        </w:rPr>
        <w:tab/>
        <w:t>: Indices et Indicateurs de Développement Humain</w:t>
      </w:r>
    </w:p>
    <w:p w:rsidR="0089405D" w:rsidRDefault="003468E2">
      <w:pPr>
        <w:spacing w:after="0" w:line="312" w:lineRule="auto"/>
        <w:jc w:val="both"/>
        <w:rPr>
          <w:rFonts w:cs="Calibri"/>
          <w:sz w:val="24"/>
          <w:szCs w:val="24"/>
          <w:lang w:val="fr-FR"/>
        </w:rPr>
      </w:pPr>
      <w:bookmarkStart w:id="25" w:name="_Toc59458283"/>
      <w:r>
        <w:rPr>
          <w:rFonts w:cs="Calibri"/>
          <w:sz w:val="24"/>
          <w:szCs w:val="24"/>
          <w:lang w:val="fr-FR"/>
        </w:rPr>
        <w:t xml:space="preserve">VIH/Sida </w:t>
      </w:r>
      <w:r>
        <w:rPr>
          <w:rFonts w:cs="Calibri"/>
          <w:sz w:val="24"/>
          <w:szCs w:val="24"/>
          <w:lang w:val="fr-FR"/>
        </w:rPr>
        <w:tab/>
      </w:r>
      <w:r>
        <w:rPr>
          <w:rFonts w:cs="Calibri"/>
          <w:sz w:val="24"/>
          <w:szCs w:val="24"/>
          <w:lang w:val="fr-FR"/>
        </w:rPr>
        <w:tab/>
        <w:t>: Virus de l'Immunodéficience Humaine/Syndrome de l'Immuno</w:t>
      </w:r>
    </w:p>
    <w:p w:rsidR="0089405D" w:rsidRDefault="003468E2">
      <w:pPr>
        <w:spacing w:after="0" w:line="312" w:lineRule="auto"/>
        <w:ind w:left="1418" w:firstLine="709"/>
        <w:jc w:val="both"/>
        <w:rPr>
          <w:rFonts w:cs="Calibri"/>
          <w:sz w:val="24"/>
          <w:szCs w:val="24"/>
          <w:lang w:val="fr-FR"/>
        </w:rPr>
      </w:pPr>
      <w:r>
        <w:rPr>
          <w:rFonts w:cs="Calibri"/>
          <w:sz w:val="24"/>
          <w:szCs w:val="24"/>
          <w:lang w:val="fr-FR"/>
        </w:rPr>
        <w:t xml:space="preserve">  Déficience Acquise</w:t>
      </w:r>
    </w:p>
    <w:p w:rsidR="0089405D" w:rsidRDefault="003468E2">
      <w:pPr>
        <w:spacing w:after="0" w:line="312" w:lineRule="auto"/>
        <w:rPr>
          <w:rFonts w:cs="Calibri"/>
          <w:sz w:val="24"/>
          <w:szCs w:val="24"/>
          <w:lang w:val="fr-FR"/>
        </w:rPr>
      </w:pPr>
      <w:r>
        <w:rPr>
          <w:rFonts w:cs="Calibri"/>
          <w:sz w:val="24"/>
          <w:szCs w:val="24"/>
          <w:lang w:val="fr-FR"/>
        </w:rPr>
        <w:br w:type="page"/>
      </w:r>
    </w:p>
    <w:p w:rsidR="0089405D" w:rsidRDefault="003468E2">
      <w:pPr>
        <w:pStyle w:val="Titre1"/>
        <w:spacing w:before="0" w:line="312" w:lineRule="auto"/>
        <w:jc w:val="center"/>
        <w:rPr>
          <w:rFonts w:cs="Calibri"/>
          <w:b/>
          <w:color w:val="auto"/>
          <w:lang w:val="fr-FR"/>
        </w:rPr>
      </w:pPr>
      <w:bookmarkStart w:id="26" w:name="_Toc111888565"/>
      <w:bookmarkStart w:id="27" w:name="_Toc127187152"/>
      <w:bookmarkStart w:id="28" w:name="_Toc127187429"/>
      <w:bookmarkStart w:id="29" w:name="_Toc127432186"/>
      <w:r>
        <w:rPr>
          <w:rFonts w:cs="Calibri"/>
          <w:b/>
          <w:color w:val="auto"/>
          <w:lang w:val="fr-FR"/>
        </w:rPr>
        <w:lastRenderedPageBreak/>
        <w:t>TABLEAU</w:t>
      </w:r>
      <w:bookmarkEnd w:id="25"/>
      <w:r>
        <w:rPr>
          <w:rFonts w:cs="Calibri"/>
          <w:b/>
          <w:color w:val="auto"/>
          <w:lang w:val="fr-FR"/>
        </w:rPr>
        <w:t xml:space="preserve"> DE MATIERES</w:t>
      </w:r>
      <w:bookmarkEnd w:id="26"/>
      <w:bookmarkEnd w:id="27"/>
      <w:bookmarkEnd w:id="28"/>
      <w:bookmarkEnd w:id="29"/>
    </w:p>
    <w:p w:rsidR="0089405D" w:rsidRDefault="0089405D">
      <w:pPr>
        <w:pStyle w:val="Titre1"/>
        <w:spacing w:before="0" w:line="312" w:lineRule="auto"/>
        <w:jc w:val="center"/>
        <w:rPr>
          <w:rFonts w:cs="Calibri"/>
          <w:sz w:val="24"/>
          <w:szCs w:val="24"/>
          <w:lang w:val="fr-FR"/>
        </w:rPr>
      </w:pPr>
    </w:p>
    <w:p w:rsidR="0089405D" w:rsidRDefault="003468E2">
      <w:pPr>
        <w:pStyle w:val="TM1"/>
        <w:rPr>
          <w:rFonts w:ascii="Calibri" w:hAnsi="Calibri" w:cs="Calibri"/>
          <w:sz w:val="24"/>
          <w:szCs w:val="24"/>
          <w:lang w:val="fr-FR" w:eastAsia="fr-FR"/>
        </w:rPr>
      </w:pPr>
      <w:r>
        <w:rPr>
          <w:rFonts w:ascii="Calibri" w:hAnsi="Calibri" w:cs="Calibri"/>
          <w:sz w:val="24"/>
          <w:szCs w:val="24"/>
          <w:lang w:val="fr-FR"/>
        </w:rPr>
        <w:fldChar w:fldCharType="begin"/>
      </w:r>
      <w:r>
        <w:rPr>
          <w:rFonts w:ascii="Calibri" w:hAnsi="Calibri" w:cs="Calibri"/>
          <w:sz w:val="24"/>
          <w:szCs w:val="24"/>
          <w:lang w:val="fr-FR"/>
        </w:rPr>
        <w:instrText xml:space="preserve"> TOC \o "1-3" \h \z \u </w:instrText>
      </w:r>
      <w:r>
        <w:rPr>
          <w:rFonts w:ascii="Calibri" w:hAnsi="Calibri" w:cs="Calibri"/>
          <w:sz w:val="24"/>
          <w:szCs w:val="24"/>
          <w:lang w:val="fr-FR"/>
        </w:rPr>
        <w:fldChar w:fldCharType="separate"/>
      </w:r>
      <w:hyperlink w:anchor="_Toc127432183" w:history="1">
        <w:r>
          <w:rPr>
            <w:rStyle w:val="Lienhypertexte"/>
            <w:rFonts w:cs="Calibri"/>
            <w:sz w:val="24"/>
            <w:szCs w:val="24"/>
            <w:lang w:val="fr-FR"/>
          </w:rPr>
          <w:t>DEDICACE</w:t>
        </w:r>
        <w:r>
          <w:rPr>
            <w:rFonts w:ascii="Calibri" w:hAnsi="Calibri" w:cs="Calibri"/>
            <w:webHidden/>
            <w:sz w:val="24"/>
            <w:szCs w:val="24"/>
          </w:rPr>
          <w:tab/>
        </w:r>
        <w:r>
          <w:rPr>
            <w:rFonts w:ascii="Calibri" w:hAnsi="Calibri" w:cs="Calibri"/>
            <w:webHidden/>
            <w:sz w:val="24"/>
            <w:szCs w:val="24"/>
          </w:rPr>
          <w:fldChar w:fldCharType="begin"/>
        </w:r>
        <w:r>
          <w:rPr>
            <w:rFonts w:ascii="Calibri" w:hAnsi="Calibri" w:cs="Calibri"/>
            <w:webHidden/>
            <w:sz w:val="24"/>
            <w:szCs w:val="24"/>
          </w:rPr>
          <w:instrText xml:space="preserve"> PAGEREF _Toc127432183 \h </w:instrText>
        </w:r>
        <w:r>
          <w:rPr>
            <w:rFonts w:ascii="Calibri" w:hAnsi="Calibri" w:cs="Calibri"/>
            <w:webHidden/>
            <w:sz w:val="24"/>
            <w:szCs w:val="24"/>
          </w:rPr>
        </w:r>
        <w:r>
          <w:rPr>
            <w:rFonts w:ascii="Calibri" w:hAnsi="Calibri" w:cs="Calibri"/>
            <w:webHidden/>
            <w:sz w:val="24"/>
            <w:szCs w:val="24"/>
          </w:rPr>
          <w:fldChar w:fldCharType="separate"/>
        </w:r>
        <w:r>
          <w:rPr>
            <w:rFonts w:ascii="Calibri" w:hAnsi="Calibri" w:cs="Calibri"/>
            <w:webHidden/>
            <w:sz w:val="24"/>
            <w:szCs w:val="24"/>
          </w:rPr>
          <w:t>iii</w:t>
        </w:r>
        <w:r>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84" w:history="1">
        <w:r w:rsidR="003468E2">
          <w:rPr>
            <w:rStyle w:val="Lienhypertexte"/>
            <w:rFonts w:cs="Calibri"/>
            <w:sz w:val="24"/>
            <w:szCs w:val="24"/>
            <w:lang w:val="fr-FR"/>
          </w:rPr>
          <w:t>PREFACE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_Toc127432184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vii</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85" w:history="1">
        <w:r w:rsidR="003468E2">
          <w:rPr>
            <w:rStyle w:val="Lienhypertexte"/>
            <w:rFonts w:cs="Calibri"/>
            <w:sz w:val="24"/>
            <w:szCs w:val="24"/>
            <w:lang w:val="fr-FR"/>
          </w:rPr>
          <w:t>ACRONYMES ET ABREVIATIONS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_Toc127432185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xv</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86" w:history="1">
        <w:r w:rsidR="003468E2">
          <w:rPr>
            <w:rStyle w:val="Lienhypertexte"/>
            <w:rFonts w:cs="Calibri"/>
            <w:sz w:val="24"/>
            <w:szCs w:val="24"/>
            <w:lang w:val="fr-FR"/>
          </w:rPr>
          <w:t>TABLEAU DE MATIERES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_Toc127432186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xvii</w:t>
        </w:r>
        <w:r w:rsidR="003468E2">
          <w:rPr>
            <w:rFonts w:ascii="Calibri" w:hAnsi="Calibri" w:cs="Calibri"/>
            <w:webHidden/>
            <w:sz w:val="24"/>
            <w:szCs w:val="24"/>
          </w:rPr>
          <w:fldChar w:fldCharType="end"/>
        </w:r>
      </w:hyperlink>
    </w:p>
    <w:p w:rsidR="0089405D" w:rsidRDefault="003468E2">
      <w:pPr>
        <w:pStyle w:val="TM1"/>
        <w:rPr>
          <w:rStyle w:val="Lienhypertexte"/>
          <w:rFonts w:cs="Calibri"/>
          <w:color w:val="auto"/>
          <w:sz w:val="24"/>
          <w:szCs w:val="24"/>
          <w:u w:val="none"/>
        </w:rPr>
      </w:pPr>
      <w:r>
        <w:rPr>
          <w:rStyle w:val="Lienhypertexte"/>
          <w:rFonts w:cs="Calibri"/>
          <w:color w:val="auto"/>
          <w:sz w:val="24"/>
          <w:szCs w:val="24"/>
          <w:u w:val="none"/>
        </w:rPr>
        <w:t>LISTES DES FIGURES…………………………………………………………………………………………………..xxiii</w:t>
      </w:r>
    </w:p>
    <w:p w:rsidR="0089405D" w:rsidRDefault="0089405D">
      <w:pPr>
        <w:pStyle w:val="TM1"/>
        <w:rPr>
          <w:rStyle w:val="Lienhypertexte"/>
          <w:rFonts w:cs="Calibri"/>
          <w:sz w:val="24"/>
          <w:szCs w:val="24"/>
        </w:rPr>
      </w:pPr>
    </w:p>
    <w:p w:rsidR="0089405D" w:rsidRDefault="007E319F">
      <w:pPr>
        <w:pStyle w:val="TM1"/>
        <w:rPr>
          <w:rFonts w:ascii="Calibri" w:hAnsi="Calibri" w:cs="Calibri"/>
          <w:sz w:val="24"/>
          <w:szCs w:val="24"/>
          <w:lang w:val="fr-FR" w:eastAsia="fr-FR"/>
        </w:rPr>
      </w:pPr>
      <w:hyperlink w:anchor="_Toc127432187" w:history="1">
        <w:r w:rsidR="003468E2">
          <w:rPr>
            <w:rStyle w:val="Lienhypertexte"/>
            <w:rFonts w:eastAsia="Times New Roman" w:cs="Calibri"/>
            <w:sz w:val="24"/>
            <w:szCs w:val="24"/>
            <w:lang w:val="fr-FR" w:eastAsia="fr-FR"/>
          </w:rPr>
          <w:t>INTRODUCTION GENERALE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_Toc127432187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89" w:history="1">
        <w:r w:rsidR="003468E2">
          <w:rPr>
            <w:rStyle w:val="Lienhypertexte"/>
            <w:rFonts w:cs="Calibri"/>
            <w:sz w:val="24"/>
            <w:szCs w:val="24"/>
            <w:lang w:val="fr-FR"/>
          </w:rPr>
          <w:t>I. L’EXPLOITATION DES RESSOURCES NATURELLES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_Toc127432189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0" w:history="1">
        <w:r w:rsidR="003468E2">
          <w:rPr>
            <w:rStyle w:val="Lienhypertexte"/>
            <w:rFonts w:eastAsia="Times New Roman" w:cs="Calibri"/>
            <w:sz w:val="24"/>
            <w:szCs w:val="24"/>
            <w:lang w:val="fr-FR" w:eastAsia="fr-FR"/>
          </w:rPr>
          <w:t>III. PROJET D’EXPLOITATION AURIFERE ET DIAMANTIFERE ASSEZ VIGOUREUSEMENT CONTESTES PAR LA POPULATION DE BASOKO</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1" w:history="1">
        <w:r w:rsidR="003468E2">
          <w:rPr>
            <w:rStyle w:val="Lienhypertexte"/>
            <w:rFonts w:eastAsia="Times New Roman" w:cs="Calibri"/>
            <w:sz w:val="24"/>
            <w:szCs w:val="24"/>
            <w:lang w:val="fr-FR" w:eastAsia="fr-FR"/>
          </w:rPr>
          <w:t>V. DANS LA REALITE DE L’EXTRACTION MINIERE EN RD CONGO, QUE SE PASSE-T-IL ?</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2" w:history="1">
        <w:r w:rsidR="003468E2">
          <w:rPr>
            <w:rStyle w:val="Lienhypertexte"/>
            <w:rFonts w:eastAsia="Times New Roman" w:cs="Calibri"/>
            <w:sz w:val="24"/>
            <w:szCs w:val="24"/>
            <w:lang w:val="fr-FR" w:eastAsia="fr-FR"/>
          </w:rPr>
          <w:t>VI. METHODOLOGIE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3" w:history="1">
        <w:r w:rsidR="003468E2">
          <w:rPr>
            <w:rStyle w:val="Lienhypertexte"/>
            <w:rFonts w:cs="Calibri"/>
            <w:sz w:val="24"/>
            <w:szCs w:val="24"/>
            <w:lang w:val="fr-FR"/>
          </w:rPr>
          <w:t>VII. LES IMPACTS ENVIRONNEMENTAUX A DEVENIR DES GRANDS PROJETS MINIERS : CONTROVERSES ET COMPLEXES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4" w:history="1">
        <w:r w:rsidR="003468E2">
          <w:rPr>
            <w:rStyle w:val="Lienhypertexte"/>
            <w:rFonts w:eastAsia="Times New Roman" w:cs="Calibri"/>
            <w:sz w:val="24"/>
            <w:szCs w:val="24"/>
            <w:lang w:val="fr-FR" w:eastAsia="fr-FR"/>
          </w:rPr>
          <w:t>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5" w:history="1">
        <w:r w:rsidR="003468E2">
          <w:rPr>
            <w:rStyle w:val="Lienhypertexte"/>
            <w:rFonts w:eastAsia="Times New Roman" w:cs="Calibri"/>
            <w:sz w:val="24"/>
            <w:szCs w:val="24"/>
            <w:lang w:val="fr-FR" w:eastAsia="fr-FR"/>
          </w:rPr>
          <w:t>RÉFÉRENCES BIBLIOGRAPHIQUES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w:t>
        </w:r>
        <w:r w:rsidR="003468E2">
          <w:rPr>
            <w:rFonts w:ascii="Calibri" w:hAnsi="Calibri" w:cs="Calibri"/>
            <w:webHidden/>
            <w:sz w:val="24"/>
            <w:szCs w:val="24"/>
          </w:rPr>
          <w:fldChar w:fldCharType="end"/>
        </w:r>
      </w:hyperlink>
    </w:p>
    <w:p w:rsidR="0089405D" w:rsidRDefault="0089405D">
      <w:pPr>
        <w:pStyle w:val="TM1"/>
        <w:rPr>
          <w:rStyle w:val="Lienhypertexte"/>
          <w:rFonts w:cs="Calibri"/>
          <w:sz w:val="24"/>
          <w:szCs w:val="24"/>
        </w:rPr>
      </w:pPr>
    </w:p>
    <w:p w:rsidR="0089405D" w:rsidRDefault="007E319F">
      <w:pPr>
        <w:pStyle w:val="TM1"/>
        <w:rPr>
          <w:rFonts w:ascii="Calibri" w:hAnsi="Calibri" w:cs="Calibri"/>
          <w:sz w:val="24"/>
          <w:szCs w:val="24"/>
          <w:lang w:val="fr-FR" w:eastAsia="fr-FR"/>
        </w:rPr>
      </w:pPr>
      <w:hyperlink w:anchor="_Toc127432196" w:history="1">
        <w:r w:rsidR="003468E2">
          <w:rPr>
            <w:rStyle w:val="Lienhypertexte"/>
            <w:rFonts w:cs="Calibri"/>
            <w:sz w:val="24"/>
            <w:szCs w:val="24"/>
            <w:lang w:val="fr-FR"/>
          </w:rPr>
          <w:t>EXPLOITATION DES RESSOURCES MINERALES : SOURCES DE DETERIORATION DE L’ENVIRONNEMENT DANS LES MILIEUX SOUS -DEVELOPPES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8" w:history="1">
        <w:r w:rsidR="003468E2">
          <w:rPr>
            <w:rStyle w:val="Lienhypertexte"/>
            <w:rFonts w:eastAsia="Times New Roman" w:cs="Calibri"/>
            <w:sz w:val="24"/>
            <w:szCs w:val="24"/>
            <w:lang w:val="fr-FR" w:eastAsia="fr-FR"/>
          </w:rPr>
          <w:t>1.1.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199" w:history="1">
        <w:r w:rsidR="003468E2">
          <w:rPr>
            <w:rStyle w:val="Lienhypertexte"/>
            <w:rFonts w:eastAsia="Times New Roman" w:cs="Calibri"/>
            <w:sz w:val="24"/>
            <w:szCs w:val="24"/>
            <w:lang w:val="fr-FR" w:eastAsia="fr-FR"/>
          </w:rPr>
          <w:t xml:space="preserve">1.2. </w:t>
        </w:r>
        <w:r w:rsidR="003468E2">
          <w:rPr>
            <w:rStyle w:val="Lienhypertexte"/>
            <w:rFonts w:cs="Calibri"/>
            <w:sz w:val="24"/>
            <w:szCs w:val="24"/>
            <w:lang w:val="fr-FR"/>
          </w:rPr>
          <w:t>L'IMPORTANCE DES MINERAUX ET DE LEURS UTILISATIONS PAR LES HUMAINS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_Toc127432199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0" w:history="1">
        <w:r w:rsidR="003468E2">
          <w:rPr>
            <w:rStyle w:val="Lienhypertexte"/>
            <w:rFonts w:eastAsia="Times New Roman" w:cs="Calibri"/>
            <w:sz w:val="24"/>
            <w:szCs w:val="24"/>
            <w:lang w:val="fr-FR" w:eastAsia="fr-FR"/>
          </w:rPr>
          <w:t>1.3. PAYS AUX RICHESSES DES RESSOURCES NATURELLES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1" w:history="1">
        <w:r w:rsidR="003468E2">
          <w:rPr>
            <w:rStyle w:val="Lienhypertexte"/>
            <w:rFonts w:eastAsia="Times New Roman" w:cs="Calibri"/>
            <w:sz w:val="24"/>
            <w:szCs w:val="24"/>
            <w:lang w:val="fr-FR" w:eastAsia="fr-FR"/>
          </w:rPr>
          <w:t>1.4. UNE RESPONSABILITE ETHIQUE : DEVOIR ET OBLIGATION LEGAUX</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31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2" w:history="1">
        <w:r w:rsidR="003468E2">
          <w:rPr>
            <w:rStyle w:val="Lienhypertexte"/>
            <w:rFonts w:eastAsia="Times New Roman" w:cs="Calibri"/>
            <w:sz w:val="24"/>
            <w:szCs w:val="24"/>
            <w:lang w:val="fr-FR" w:eastAsia="fr-FR"/>
          </w:rPr>
          <w:t>1.5. LE NON-RESPECT DE L’APPLICATION DES TEXTES SUR LA GESTION DES RESSOURCES NATURELLES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33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3" w:history="1">
        <w:r w:rsidR="003468E2">
          <w:rPr>
            <w:rStyle w:val="Lienhypertexte"/>
            <w:rFonts w:eastAsia="Times New Roman" w:cs="Calibri"/>
            <w:sz w:val="24"/>
            <w:szCs w:val="24"/>
            <w:lang w:val="fr-FR" w:eastAsia="fr-FR"/>
          </w:rPr>
          <w:t>1.6. UNE AUDIENCE CROISSANTE SUR LES EFFETS DIRECTS ET INDIRECTS DE L’EXPLOITATION MINIERE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36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4" w:history="1">
        <w:r w:rsidR="003468E2">
          <w:rPr>
            <w:rStyle w:val="Lienhypertexte"/>
            <w:rFonts w:eastAsia="Times New Roman" w:cs="Calibri"/>
            <w:sz w:val="24"/>
            <w:szCs w:val="24"/>
            <w:lang w:val="fr-FR" w:eastAsia="fr-FR"/>
          </w:rPr>
          <w:t>1.7. BASOKO EN AVANT-GARDE : ROLE DE LA POPULATION LOCALE ET DES LEADERS LOCAUX</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37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5" w:history="1">
        <w:r w:rsidR="003468E2">
          <w:rPr>
            <w:rStyle w:val="Lienhypertexte"/>
            <w:rFonts w:eastAsia="Times New Roman" w:cs="Calibri"/>
            <w:sz w:val="24"/>
            <w:szCs w:val="24"/>
            <w:lang w:val="fr-FR" w:eastAsia="fr-FR"/>
          </w:rPr>
          <w:t>1.8.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40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6" w:history="1">
        <w:r w:rsidR="003468E2">
          <w:rPr>
            <w:rStyle w:val="Lienhypertexte"/>
            <w:rFonts w:cs="Calibri"/>
            <w:sz w:val="24"/>
            <w:szCs w:val="24"/>
            <w:lang w:val="fr-FR"/>
          </w:rPr>
          <w:t>RÉFÉRENCES BIBLIOGRAPHIQUES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41</w:t>
        </w:r>
        <w:r w:rsidR="003468E2">
          <w:rPr>
            <w:rFonts w:ascii="Calibri" w:hAnsi="Calibri" w:cs="Calibri"/>
            <w:webHidden/>
            <w:sz w:val="24"/>
            <w:szCs w:val="24"/>
          </w:rPr>
          <w:fldChar w:fldCharType="end"/>
        </w:r>
      </w:hyperlink>
    </w:p>
    <w:p w:rsidR="0089405D" w:rsidRDefault="0089405D">
      <w:pPr>
        <w:pStyle w:val="TM1"/>
        <w:rPr>
          <w:rStyle w:val="Lienhypertexte"/>
          <w:rFonts w:cs="Calibri"/>
          <w:sz w:val="24"/>
          <w:szCs w:val="24"/>
        </w:rPr>
      </w:pPr>
    </w:p>
    <w:p w:rsidR="0089405D" w:rsidRDefault="0089405D">
      <w:pPr>
        <w:pStyle w:val="TM1"/>
      </w:pPr>
    </w:p>
    <w:p w:rsidR="0089405D" w:rsidRDefault="007E319F">
      <w:pPr>
        <w:pStyle w:val="TM1"/>
        <w:rPr>
          <w:rFonts w:ascii="Calibri" w:hAnsi="Calibri" w:cs="Calibri"/>
          <w:sz w:val="24"/>
          <w:szCs w:val="24"/>
          <w:lang w:val="fr-FR" w:eastAsia="fr-FR"/>
        </w:rPr>
      </w:pPr>
      <w:hyperlink w:anchor="_Toc127432207" w:history="1">
        <w:r w:rsidR="003468E2">
          <w:rPr>
            <w:rStyle w:val="Lienhypertexte"/>
            <w:rFonts w:eastAsia="Times New Roman" w:cs="Calibri"/>
            <w:sz w:val="24"/>
            <w:szCs w:val="24"/>
            <w:lang w:val="fr-FR" w:eastAsia="fr-FR"/>
          </w:rPr>
          <w:t>LES ACTIVITES SEMI-INDUSTRIELLES MINIERES ET MODIFICATION DE L’ENVIRONNEMENT : CONTEXTE JUSTIFICATIF</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45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09" w:history="1">
        <w:r w:rsidR="003468E2">
          <w:rPr>
            <w:rStyle w:val="Lienhypertexte"/>
            <w:rFonts w:eastAsia="Times New Roman" w:cs="Calibri"/>
            <w:sz w:val="24"/>
            <w:szCs w:val="24"/>
            <w:lang w:val="fr-FR" w:eastAsia="fr-FR"/>
          </w:rPr>
          <w:t>2.1.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_Toc127432209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45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0" w:history="1">
        <w:r w:rsidR="003468E2">
          <w:rPr>
            <w:rStyle w:val="Lienhypertexte"/>
            <w:rFonts w:eastAsia="Calibri" w:cs="Calibri"/>
            <w:sz w:val="24"/>
            <w:szCs w:val="24"/>
            <w:lang w:val="fr-FR" w:eastAsia="en-US"/>
          </w:rPr>
          <w:t>2.1. LES ÉTUDES D’IMPACT ENVIRONNEMENTAL (EIE)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46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1" w:history="1">
        <w:r w:rsidR="003468E2">
          <w:rPr>
            <w:rStyle w:val="Lienhypertexte"/>
            <w:rFonts w:eastAsia="Times New Roman" w:cs="Calibri"/>
            <w:sz w:val="24"/>
            <w:szCs w:val="24"/>
            <w:lang w:val="fr-FR" w:eastAsia="fr-FR"/>
          </w:rPr>
          <w:t>2.3. QUID DES CODES ET LOIS : PRINCIPES FONDAMENTAUX A LA PROTECTION DE L’ENVIRONNEMENT ET DES MINES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48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2" w:history="1">
        <w:r w:rsidR="003468E2">
          <w:rPr>
            <w:rStyle w:val="Lienhypertexte"/>
            <w:rFonts w:eastAsia="Times New Roman" w:cs="Calibri"/>
            <w:sz w:val="24"/>
            <w:szCs w:val="24"/>
            <w:lang w:val="fr-FR" w:eastAsia="fr-FR"/>
          </w:rPr>
          <w:t>2.3.1. CODE RELATIF A LA PROTECTION DE L’ENVIRONNEMENT ET DU CODE MINIER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49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3" w:history="1">
        <w:r w:rsidR="003468E2">
          <w:rPr>
            <w:rStyle w:val="Lienhypertexte"/>
            <w:rFonts w:eastAsia="Times New Roman" w:cs="Calibri"/>
            <w:sz w:val="24"/>
            <w:szCs w:val="24"/>
            <w:lang w:val="fr-FR" w:eastAsia="fr-FR"/>
          </w:rPr>
          <w:t>2.3.2. DE LA LOI SUR LA CONSERVATION DE LA NATURE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50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4" w:history="1">
        <w:r w:rsidR="003468E2">
          <w:rPr>
            <w:rStyle w:val="Lienhypertexte"/>
            <w:rFonts w:eastAsia="Times New Roman" w:cs="Calibri"/>
            <w:sz w:val="24"/>
            <w:szCs w:val="24"/>
            <w:lang w:val="fr-FR" w:eastAsia="fr-FR"/>
          </w:rPr>
          <w:t>2.3.3. QUID DU CODE FORESTIER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52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5" w:history="1">
        <w:r w:rsidR="003468E2">
          <w:rPr>
            <w:rStyle w:val="Lienhypertexte"/>
            <w:rFonts w:eastAsia="Times New Roman" w:cs="Calibri"/>
            <w:sz w:val="24"/>
            <w:szCs w:val="24"/>
            <w:lang w:val="fr-FR" w:eastAsia="fr-FR"/>
          </w:rPr>
          <w:t>2.3.4. LE CODE MINIER : UNE NOUVELLE LEGISLATION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52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6" w:history="1">
        <w:r w:rsidR="003468E2">
          <w:rPr>
            <w:rStyle w:val="Lienhypertexte"/>
            <w:rFonts w:eastAsia="Times New Roman" w:cs="Calibri"/>
            <w:sz w:val="24"/>
            <w:szCs w:val="24"/>
            <w:lang w:val="fr-FR" w:eastAsia="fr-FR"/>
          </w:rPr>
          <w:t>2.4. INTENTION SUR LE TERRAIN</w:t>
        </w:r>
        <w:r w:rsidR="003468E2">
          <w:rPr>
            <w:rStyle w:val="Lienhypertexte"/>
            <w:rFonts w:cs="Calibri"/>
            <w:sz w:val="24"/>
            <w:szCs w:val="24"/>
            <w:lang w:val="fr-FR"/>
          </w:rPr>
          <w:t xml:space="preserve"> ET </w:t>
        </w:r>
        <w:r w:rsidR="003468E2">
          <w:rPr>
            <w:rStyle w:val="Lienhypertexte"/>
            <w:rFonts w:eastAsia="Times New Roman" w:cs="Calibri"/>
            <w:sz w:val="24"/>
            <w:szCs w:val="24"/>
            <w:lang w:val="fr-FR" w:eastAsia="fr-FR"/>
          </w:rPr>
          <w:t>MODIFICATION DE L’ENVIRONNEMENT</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57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7" w:history="1">
        <w:r w:rsidR="003468E2">
          <w:rPr>
            <w:rStyle w:val="Lienhypertexte"/>
            <w:rFonts w:eastAsia="Times New Roman" w:cs="Calibri"/>
            <w:sz w:val="24"/>
            <w:szCs w:val="24"/>
            <w:lang w:val="fr-FR" w:eastAsia="fr-FR"/>
          </w:rPr>
          <w:t>2.5. L’EXPLOITATION MINIERE : UNE ACTIVITE SOUS PRESSION ENVIRONNEMENTALISTE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60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8" w:history="1">
        <w:r w:rsidR="003468E2">
          <w:rPr>
            <w:rStyle w:val="Lienhypertexte"/>
            <w:rFonts w:eastAsia="Times New Roman" w:cs="Calibri"/>
            <w:sz w:val="24"/>
            <w:szCs w:val="24"/>
            <w:lang w:val="fr-FR" w:eastAsia="fr-FR"/>
          </w:rPr>
          <w:t>2.5.1. LES ACTIVITES MINIERES AU CENTRE DES ENJEUX INDUSTRIELS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61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19" w:history="1">
        <w:r w:rsidR="003468E2">
          <w:rPr>
            <w:rStyle w:val="Lienhypertexte"/>
            <w:rFonts w:eastAsia="Times New Roman" w:cs="Calibri"/>
            <w:sz w:val="24"/>
            <w:szCs w:val="24"/>
            <w:lang w:val="fr-FR" w:eastAsia="fr-FR"/>
          </w:rPr>
          <w:t>2.5.2. LES IMPACTS DRAMATIQUES DES OPERATIONS MINIERES : DESTRUCTION DE L’ECOSYSTEME ET DES HABITATS NATURELS DES ESPECES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_Toc127432219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62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0" w:history="1">
        <w:r w:rsidR="003468E2">
          <w:rPr>
            <w:rStyle w:val="Lienhypertexte"/>
            <w:rFonts w:eastAsia="Times New Roman" w:cs="Calibri"/>
            <w:sz w:val="24"/>
            <w:szCs w:val="24"/>
            <w:lang w:val="fr-FR" w:eastAsia="fr-FR"/>
          </w:rPr>
          <w:t>2.6. LES PROCEDURES DES ETUDES D’IMPACT ENVIRONNEMENTAL ET SOCIAL DES PROJETS D'EXPLOITATION MINIERE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63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1" w:history="1">
        <w:r w:rsidR="003468E2">
          <w:rPr>
            <w:rStyle w:val="Lienhypertexte"/>
            <w:rFonts w:eastAsia="Times New Roman" w:cs="Calibri"/>
            <w:sz w:val="24"/>
            <w:szCs w:val="24"/>
            <w:lang w:val="fr-FR" w:eastAsia="fr-FR"/>
          </w:rPr>
          <w:t>2.7. RESPONSABILITE LOCALE AU PROBLEME D’EXPLOITATION INDUSTRIELLE ILLICITE DES MINERAIS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65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2" w:history="1">
        <w:r w:rsidR="003468E2">
          <w:rPr>
            <w:rStyle w:val="Lienhypertexte"/>
            <w:rFonts w:eastAsia="Times New Roman" w:cs="Calibri"/>
            <w:sz w:val="24"/>
            <w:szCs w:val="24"/>
            <w:lang w:val="fr-FR" w:eastAsia="fr-FR"/>
          </w:rPr>
          <w:t>2.8.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66</w:t>
        </w:r>
        <w:r w:rsidR="003468E2">
          <w:rPr>
            <w:rFonts w:ascii="Calibri" w:hAnsi="Calibri" w:cs="Calibri"/>
            <w:webHidden/>
            <w:sz w:val="24"/>
            <w:szCs w:val="24"/>
          </w:rPr>
          <w:fldChar w:fldCharType="end"/>
        </w:r>
      </w:hyperlink>
    </w:p>
    <w:p w:rsidR="0089405D" w:rsidRDefault="003468E2">
      <w:pPr>
        <w:pStyle w:val="TM1"/>
        <w:rPr>
          <w:rFonts w:ascii="Calibri" w:hAnsi="Calibri" w:cs="Calibri"/>
          <w:sz w:val="24"/>
          <w:szCs w:val="24"/>
        </w:rPr>
      </w:pPr>
      <w:r>
        <w:rPr>
          <w:rFonts w:ascii="Calibri" w:hAnsi="Calibri" w:cs="Calibri"/>
          <w:sz w:val="24"/>
          <w:szCs w:val="24"/>
        </w:rPr>
        <w:t>RÉFÉRENCES BIBLIOGRAPHIQUES……………………………………………………………….……………..66</w:t>
      </w:r>
    </w:p>
    <w:p w:rsidR="0089405D" w:rsidRDefault="0089405D">
      <w:pPr>
        <w:pStyle w:val="TM1"/>
        <w:rPr>
          <w:rFonts w:ascii="Calibri" w:hAnsi="Calibri" w:cs="Calibri"/>
          <w:sz w:val="24"/>
          <w:szCs w:val="24"/>
        </w:rPr>
      </w:pPr>
    </w:p>
    <w:p w:rsidR="0089405D" w:rsidRDefault="007E319F">
      <w:pPr>
        <w:pStyle w:val="TM1"/>
        <w:rPr>
          <w:rFonts w:ascii="Calibri" w:hAnsi="Calibri" w:cs="Calibri"/>
          <w:sz w:val="24"/>
          <w:szCs w:val="24"/>
          <w:lang w:val="fr-FR" w:eastAsia="fr-FR"/>
        </w:rPr>
      </w:pPr>
      <w:hyperlink w:anchor="_Toc127432223" w:history="1">
        <w:r w:rsidR="003468E2">
          <w:rPr>
            <w:rStyle w:val="Lienhypertexte"/>
            <w:rFonts w:cs="Calibri"/>
            <w:sz w:val="24"/>
            <w:szCs w:val="24"/>
            <w:lang w:val="fr-FR"/>
          </w:rPr>
          <w:t>CONSIDERATIONS GENERALES SUR L'EXPLOITATION MINIERE SEMI – INDUSTRIELLE : ENVIRONNEMENTALE SECTORIELLE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5" w:history="1">
        <w:r w:rsidR="003468E2">
          <w:rPr>
            <w:rStyle w:val="Lienhypertexte"/>
            <w:rFonts w:cs="Calibri"/>
            <w:sz w:val="24"/>
            <w:szCs w:val="24"/>
            <w:lang w:val="fr-FR"/>
          </w:rPr>
          <w:t>3.1.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6" w:history="1">
        <w:r w:rsidR="003468E2">
          <w:rPr>
            <w:rStyle w:val="Lienhypertexte"/>
            <w:rFonts w:cs="Calibri"/>
            <w:sz w:val="24"/>
            <w:szCs w:val="24"/>
            <w:lang w:val="fr-FR"/>
          </w:rPr>
          <w:t>3.2. LES PHASES DES PROSPECTIONS MINIERES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7" w:history="1">
        <w:r w:rsidR="003468E2">
          <w:rPr>
            <w:rStyle w:val="Lienhypertexte"/>
            <w:rFonts w:cs="Calibri"/>
            <w:sz w:val="24"/>
            <w:szCs w:val="24"/>
            <w:lang w:val="fr-FR"/>
          </w:rPr>
          <w:t>3.3. DEVELOPPEMENT DE MINE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8" w:history="1">
        <w:r w:rsidR="003468E2">
          <w:rPr>
            <w:rStyle w:val="Lienhypertexte"/>
            <w:rFonts w:cs="Calibri"/>
            <w:sz w:val="24"/>
            <w:szCs w:val="24"/>
            <w:lang w:val="fr-FR"/>
          </w:rPr>
          <w:t>3.3.1. CONSTRUCTION DES ROUTES D’ACCES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29" w:history="1">
        <w:r w:rsidR="003468E2">
          <w:rPr>
            <w:rStyle w:val="Lienhypertexte"/>
            <w:rFonts w:cs="Calibri"/>
            <w:sz w:val="24"/>
            <w:szCs w:val="24"/>
            <w:lang w:val="fr-FR"/>
          </w:rPr>
          <w:t>3.3.2 PREPARATION ET DEBLAIEMENT DU SITE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_Toc127432229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0" w:history="1">
        <w:r w:rsidR="003468E2">
          <w:rPr>
            <w:rStyle w:val="Lienhypertexte"/>
            <w:rFonts w:cs="Calibri"/>
            <w:sz w:val="24"/>
            <w:szCs w:val="24"/>
            <w:lang w:val="fr-FR"/>
          </w:rPr>
          <w:t>3.4. EXPLOITATION MINIERE ACTIVE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1" w:history="1">
        <w:r w:rsidR="003468E2">
          <w:rPr>
            <w:rStyle w:val="Lienhypertexte"/>
            <w:rFonts w:cs="Calibri"/>
            <w:sz w:val="24"/>
            <w:szCs w:val="24"/>
            <w:lang w:val="fr-FR"/>
          </w:rPr>
          <w:t>3.4.1. EXPLOITATION A CIEL OUVERT</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2" w:history="1">
        <w:r w:rsidR="003468E2">
          <w:rPr>
            <w:rStyle w:val="Lienhypertexte"/>
            <w:rFonts w:cs="Calibri"/>
            <w:sz w:val="24"/>
            <w:szCs w:val="24"/>
            <w:lang w:val="fr-FR"/>
          </w:rPr>
          <w:t>3.4.2. EXPLOITATION DES PLACERS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3" w:history="1">
        <w:r w:rsidR="003468E2">
          <w:rPr>
            <w:rStyle w:val="Lienhypertexte"/>
            <w:rFonts w:cs="Calibri"/>
            <w:sz w:val="24"/>
            <w:szCs w:val="24"/>
            <w:lang w:val="fr-FR"/>
          </w:rPr>
          <w:t>3.5. EVACUATION DES MORTS TERRAINS ET DES DECHETS DE ROCHE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75</w:t>
        </w:r>
        <w:r w:rsidR="003468E2">
          <w:rPr>
            <w:rFonts w:ascii="Calibri" w:hAnsi="Calibri" w:cs="Calibri"/>
            <w:webHidden/>
            <w:sz w:val="24"/>
            <w:szCs w:val="24"/>
          </w:rPr>
          <w:fldChar w:fldCharType="end"/>
        </w:r>
      </w:hyperlink>
    </w:p>
    <w:p w:rsidR="0089405D" w:rsidRDefault="003468E2">
      <w:pPr>
        <w:pStyle w:val="TM1"/>
        <w:rPr>
          <w:rFonts w:ascii="Calibri" w:hAnsi="Calibri" w:cs="Calibri"/>
          <w:sz w:val="24"/>
          <w:szCs w:val="24"/>
          <w:lang w:val="fr-FR"/>
        </w:rPr>
      </w:pPr>
      <w:r>
        <w:rPr>
          <w:rFonts w:ascii="Calibri" w:hAnsi="Calibri" w:cs="Calibri"/>
          <w:sz w:val="24"/>
          <w:szCs w:val="24"/>
          <w:lang w:val="fr-FR"/>
        </w:rPr>
        <w:t>3.6. EXTRACTION DU MINERAI ET ENRICHISSEMENT…………………………………………………..91</w:t>
      </w:r>
    </w:p>
    <w:p w:rsidR="0089405D" w:rsidRDefault="007E319F">
      <w:pPr>
        <w:pStyle w:val="TM1"/>
        <w:rPr>
          <w:rFonts w:ascii="Calibri" w:hAnsi="Calibri" w:cs="Calibri"/>
          <w:sz w:val="24"/>
          <w:szCs w:val="24"/>
          <w:lang w:val="fr-FR" w:eastAsia="fr-FR"/>
        </w:rPr>
      </w:pPr>
      <w:hyperlink w:anchor="_Toc127432234" w:history="1">
        <w:r w:rsidR="003468E2">
          <w:rPr>
            <w:rStyle w:val="Lienhypertexte"/>
            <w:rFonts w:cs="Calibri"/>
            <w:sz w:val="24"/>
            <w:szCs w:val="24"/>
            <w:lang w:val="fr-FR"/>
          </w:rPr>
          <w:t>3.6.1. L’EXTRACTION DU MINERAI</w:t>
        </w:r>
        <w:r w:rsidR="003468E2">
          <w:rPr>
            <w:rFonts w:ascii="Calibri" w:hAnsi="Calibri" w:cs="Calibri"/>
            <w:webHidden/>
            <w:sz w:val="24"/>
            <w:szCs w:val="24"/>
            <w:lang w:val="fr-FR"/>
          </w:rPr>
          <w:tab/>
        </w:r>
        <w:r w:rsidR="003468E2">
          <w:rPr>
            <w:rFonts w:ascii="Calibri" w:hAnsi="Calibri" w:cs="Calibri"/>
            <w:webHidden/>
            <w:sz w:val="24"/>
            <w:szCs w:val="24"/>
          </w:rPr>
          <w:fldChar w:fldCharType="begin"/>
        </w:r>
        <w:r w:rsidR="003468E2">
          <w:rPr>
            <w:rFonts w:ascii="Calibri" w:hAnsi="Calibri" w:cs="Calibri"/>
            <w:webHidden/>
            <w:sz w:val="24"/>
            <w:szCs w:val="24"/>
            <w:lang w:val="fr-FR"/>
          </w:rPr>
          <w:instrText xml:space="preserve"> PAGEREF _Toc127432234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lang w:val="fr-FR"/>
          </w:rPr>
          <w:t>76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5" w:history="1">
        <w:r w:rsidR="003468E2">
          <w:rPr>
            <w:rStyle w:val="Lienhypertexte"/>
            <w:rFonts w:cs="Calibri"/>
            <w:sz w:val="24"/>
            <w:szCs w:val="24"/>
            <w:lang w:val="fr-FR"/>
          </w:rPr>
          <w:t>3.6.2. ENRICHISSEMENT</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6" w:history="1">
        <w:r w:rsidR="003468E2">
          <w:rPr>
            <w:rStyle w:val="Lienhypertexte"/>
            <w:rFonts w:cs="Calibri"/>
            <w:sz w:val="24"/>
            <w:szCs w:val="24"/>
            <w:lang w:val="fr-FR"/>
          </w:rPr>
          <w:t>3.7. REHABILITATION ET FERMETURE DE SITE MINIER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7" w:history="1">
        <w:r w:rsidR="003468E2">
          <w:rPr>
            <w:rStyle w:val="Lienhypertexte"/>
            <w:rFonts w:cs="Calibri"/>
            <w:bCs/>
            <w:sz w:val="24"/>
            <w:szCs w:val="24"/>
            <w:lang w:val="fr-FR"/>
          </w:rPr>
          <w:t>3.7.1. MOYENS DE SUBSISTANCE DE LA POPULATION DU SITE MINIER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8" w:history="1">
        <w:r w:rsidR="003468E2">
          <w:rPr>
            <w:rStyle w:val="Lienhypertexte"/>
            <w:rFonts w:cs="Calibri"/>
            <w:bCs/>
            <w:sz w:val="24"/>
            <w:szCs w:val="24"/>
            <w:lang w:val="fr-FR"/>
          </w:rPr>
          <w:t>3.7.2. PATRIMOINE CULTUREL ET SITES SACRÉS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39" w:history="1">
        <w:r w:rsidR="003468E2">
          <w:rPr>
            <w:rStyle w:val="Lienhypertexte"/>
            <w:rFonts w:cs="Calibri"/>
            <w:bCs/>
            <w:sz w:val="24"/>
            <w:szCs w:val="24"/>
            <w:lang w:val="fr-FR"/>
          </w:rPr>
          <w:t>3.7.3. INFRASTRUCTURE PHYSIQUE ET SOCIALE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_Toc127432239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40" w:history="1">
        <w:r w:rsidR="003468E2">
          <w:rPr>
            <w:rStyle w:val="Lienhypertexte"/>
            <w:rFonts w:cs="Calibri"/>
            <w:bCs/>
            <w:sz w:val="24"/>
            <w:szCs w:val="24"/>
            <w:lang w:val="fr-FR"/>
          </w:rPr>
          <w:t>3.7.4. ACCÈS AUX RESSOURCES, SÉCURITÉ PROFESSIONNELLE, SÉCURITÉ, PATRIMOINE CULTUREL, FERMETURE D'UNE MINE ET RESPONSABILITÉ</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79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41" w:history="1">
        <w:r w:rsidR="003468E2">
          <w:rPr>
            <w:rStyle w:val="Lienhypertexte"/>
            <w:rFonts w:cs="Calibri"/>
            <w:bCs/>
            <w:sz w:val="24"/>
            <w:szCs w:val="24"/>
            <w:lang w:val="fr-FR"/>
          </w:rPr>
          <w:t>3.7.5. LE MENSONGE D’UNE EXPLOITATION MINIERE DURABLE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80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42" w:history="1">
        <w:r w:rsidR="003468E2">
          <w:rPr>
            <w:rStyle w:val="Lienhypertexte"/>
            <w:rFonts w:cs="Calibri"/>
            <w:sz w:val="24"/>
            <w:szCs w:val="24"/>
            <w:lang w:val="fr-FR"/>
          </w:rPr>
          <w:t>3.8.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81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43" w:history="1">
        <w:r w:rsidR="003468E2">
          <w:rPr>
            <w:rStyle w:val="Lienhypertexte"/>
            <w:rFonts w:cs="Calibri"/>
            <w:sz w:val="24"/>
            <w:szCs w:val="24"/>
            <w:lang w:val="fr-FR"/>
          </w:rPr>
          <w:t>RÉFÉRENCES BIBLIOGRAPHIQUES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82</w:t>
        </w:r>
        <w:r w:rsidR="003468E2">
          <w:rPr>
            <w:rFonts w:ascii="Calibri" w:hAnsi="Calibri" w:cs="Calibri"/>
            <w:webHidden/>
            <w:sz w:val="24"/>
            <w:szCs w:val="24"/>
          </w:rPr>
          <w:fldChar w:fldCharType="end"/>
        </w:r>
      </w:hyperlink>
    </w:p>
    <w:p w:rsidR="0089405D" w:rsidRDefault="0089405D">
      <w:pPr>
        <w:pStyle w:val="TM1"/>
        <w:rPr>
          <w:rStyle w:val="Lienhypertexte"/>
          <w:rFonts w:cs="Calibri"/>
          <w:sz w:val="24"/>
          <w:szCs w:val="24"/>
        </w:rPr>
      </w:pPr>
    </w:p>
    <w:p w:rsidR="0089405D" w:rsidRDefault="007E319F">
      <w:pPr>
        <w:pStyle w:val="TM1"/>
        <w:rPr>
          <w:rFonts w:ascii="Calibri" w:hAnsi="Calibri" w:cs="Calibri"/>
          <w:sz w:val="24"/>
          <w:szCs w:val="24"/>
          <w:lang w:val="fr-FR" w:eastAsia="fr-FR"/>
        </w:rPr>
      </w:pPr>
      <w:hyperlink w:anchor="_Toc127432244" w:history="1">
        <w:r w:rsidR="003468E2">
          <w:rPr>
            <w:rStyle w:val="Lienhypertexte"/>
            <w:rFonts w:cs="Calibri"/>
            <w:sz w:val="24"/>
            <w:szCs w:val="24"/>
            <w:lang w:val="fr-FR"/>
          </w:rPr>
          <w:t>RIVIERE ARUWIMI A LIAMBE ET SES ENVIRONS : SITES CHOISIS POUR L’EXPLOITATION MINIERE SEMI-INDUSTRIELLE DANS LE TERRITOIRE DE BASOKO</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85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46" w:history="1">
        <w:r w:rsidR="003468E2">
          <w:rPr>
            <w:rStyle w:val="Lienhypertexte"/>
            <w:rFonts w:cs="Calibri"/>
            <w:bCs/>
            <w:sz w:val="24"/>
            <w:szCs w:val="24"/>
            <w:lang w:val="fr-FR" w:eastAsia="fr-FR"/>
          </w:rPr>
          <w:t>4.1.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85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47" w:history="1">
        <w:r w:rsidR="003468E2">
          <w:rPr>
            <w:rStyle w:val="Lienhypertexte"/>
            <w:rFonts w:cs="Calibri"/>
            <w:sz w:val="24"/>
            <w:szCs w:val="24"/>
            <w:lang w:val="fr-FR"/>
          </w:rPr>
          <w:t>4.2. GESTION DE L’EAU DOUCE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87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48" w:history="1">
        <w:r w:rsidR="003468E2">
          <w:rPr>
            <w:rStyle w:val="Lienhypertexte"/>
            <w:rFonts w:cs="Calibri"/>
            <w:sz w:val="24"/>
            <w:szCs w:val="24"/>
            <w:lang w:val="fr-FR"/>
          </w:rPr>
          <w:t>4.3. LA RIVIERE ARUWIMI (LOHALE)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_Toc127432248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89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50" w:history="1">
        <w:r w:rsidR="003468E2">
          <w:rPr>
            <w:rStyle w:val="Lienhypertexte"/>
            <w:rFonts w:cs="Calibri"/>
            <w:sz w:val="24"/>
            <w:szCs w:val="24"/>
            <w:lang w:val="fr-FR"/>
          </w:rPr>
          <w:t>3.4. LE TERRITOIRE DE BASOKO</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_Toc127432250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51" w:history="1">
        <w:r w:rsidR="003468E2">
          <w:rPr>
            <w:rStyle w:val="Lienhypertexte"/>
            <w:rFonts w:cs="Calibri"/>
            <w:sz w:val="24"/>
            <w:szCs w:val="24"/>
            <w:lang w:val="fr-FR"/>
          </w:rPr>
          <w:t>3.4.1. DONNEES GEOGRAPHIQUES, CLIMATIQUES ET RELIEF</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_Toc127432251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58" w:history="1">
        <w:r w:rsidR="003468E2">
          <w:rPr>
            <w:rStyle w:val="Lienhypertexte"/>
            <w:rFonts w:cs="Calibri"/>
            <w:sz w:val="24"/>
            <w:szCs w:val="24"/>
            <w:lang w:val="fr-FR"/>
          </w:rPr>
          <w:t>4.4.2. VEGETATION ET FAUNE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_Toc127432258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59" w:history="1">
        <w:r w:rsidR="003468E2">
          <w:rPr>
            <w:rStyle w:val="Lienhypertexte"/>
            <w:rFonts w:cs="Calibri"/>
            <w:sz w:val="24"/>
            <w:szCs w:val="24"/>
            <w:lang w:val="fr-FR"/>
          </w:rPr>
          <w:t>4.4.3. HYDROGRAPHIE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_Toc127432259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60" w:history="1">
        <w:r w:rsidR="003468E2">
          <w:rPr>
            <w:rStyle w:val="Lienhypertexte"/>
            <w:rFonts w:cs="Calibri"/>
            <w:sz w:val="24"/>
            <w:szCs w:val="24"/>
            <w:lang w:val="fr-FR"/>
          </w:rPr>
          <w:t>3.4.4. AUTRES PARTICULARITES ET RICHESSES DU TERRITOIRE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62" w:history="1">
        <w:r w:rsidR="003468E2">
          <w:rPr>
            <w:rStyle w:val="Lienhypertexte"/>
            <w:rFonts w:cs="Calibri"/>
            <w:sz w:val="24"/>
            <w:szCs w:val="24"/>
            <w:lang w:val="fr-FR"/>
          </w:rPr>
          <w:t>4.4.5. EDUCATION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63" w:history="1">
        <w:r w:rsidR="003468E2">
          <w:rPr>
            <w:rStyle w:val="Lienhypertexte"/>
            <w:rFonts w:cs="Calibri"/>
            <w:sz w:val="24"/>
            <w:szCs w:val="24"/>
            <w:lang w:val="fr-FR"/>
          </w:rPr>
          <w:t>4.4.6. SITUATION SANITAIRE ET MALADIES LES PLUS RECURRENTES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64" w:history="1">
        <w:r w:rsidR="003468E2">
          <w:rPr>
            <w:rStyle w:val="Lienhypertexte"/>
            <w:rFonts w:cs="Calibri"/>
            <w:sz w:val="24"/>
            <w:szCs w:val="24"/>
            <w:lang w:val="fr-FR"/>
          </w:rPr>
          <w:t>4.4.7. ACCESSIBILITE ET TOURISME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100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66" w:history="1">
        <w:r w:rsidR="003468E2">
          <w:rPr>
            <w:rStyle w:val="Lienhypertexte"/>
            <w:rFonts w:cs="Calibri"/>
            <w:sz w:val="24"/>
            <w:szCs w:val="24"/>
            <w:lang w:val="fr-FR"/>
          </w:rPr>
          <w:t>4.5. OPPORTUNITES DE DEVELOPPEMENT</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103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67" w:history="1">
        <w:r w:rsidR="003468E2">
          <w:rPr>
            <w:rStyle w:val="Lienhypertexte"/>
            <w:rFonts w:cs="Calibri"/>
            <w:sz w:val="24"/>
            <w:szCs w:val="24"/>
            <w:lang w:val="fr-FR"/>
          </w:rPr>
          <w:t>4.6.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105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68" w:history="1">
        <w:r w:rsidR="003468E2">
          <w:rPr>
            <w:rStyle w:val="Lienhypertexte"/>
            <w:rFonts w:cs="Calibri"/>
            <w:sz w:val="24"/>
            <w:szCs w:val="24"/>
            <w:lang w:val="fr-FR" w:eastAsia="en-US"/>
          </w:rPr>
          <w:t>RÉFÉRENCES BIBLIOGRAPHIQUES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106</w:t>
        </w:r>
        <w:r w:rsidR="003468E2">
          <w:rPr>
            <w:rFonts w:ascii="Calibri" w:hAnsi="Calibri" w:cs="Calibri"/>
            <w:webHidden/>
            <w:sz w:val="24"/>
            <w:szCs w:val="24"/>
          </w:rPr>
          <w:fldChar w:fldCharType="end"/>
        </w:r>
      </w:hyperlink>
    </w:p>
    <w:p w:rsidR="0089405D" w:rsidRDefault="0089405D">
      <w:pPr>
        <w:pStyle w:val="TM1"/>
        <w:rPr>
          <w:rFonts w:ascii="Calibri" w:hAnsi="Calibri" w:cs="Calibri"/>
          <w:sz w:val="24"/>
          <w:szCs w:val="24"/>
        </w:rPr>
      </w:pPr>
    </w:p>
    <w:p w:rsidR="0089405D" w:rsidRDefault="007E319F">
      <w:pPr>
        <w:pStyle w:val="TM1"/>
        <w:rPr>
          <w:rFonts w:ascii="Calibri" w:hAnsi="Calibri" w:cs="Calibri"/>
          <w:sz w:val="24"/>
          <w:szCs w:val="24"/>
          <w:lang w:val="fr-FR" w:eastAsia="fr-FR"/>
        </w:rPr>
      </w:pPr>
      <w:hyperlink w:anchor="_Toc127432269" w:history="1">
        <w:r w:rsidR="003468E2">
          <w:rPr>
            <w:rStyle w:val="Lienhypertexte"/>
            <w:rFonts w:eastAsia="Times New Roman" w:cs="Calibri"/>
            <w:bCs/>
            <w:kern w:val="36"/>
            <w:sz w:val="24"/>
            <w:szCs w:val="24"/>
            <w:lang w:val="fr-FR" w:eastAsia="fr-FR"/>
          </w:rPr>
          <w:t>SITUATIONS D’ASYMETRIE SUR LES CONVENTIONS ET DE PROCEDURE POUR L’EXPLOITATION MINIERE SEMI- INDUSTRIELLE PAR LA SOCIETE XIANG JIANG MINING SARL DANS LE TERRITOIRE DE BASOKO</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_Toc127432269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109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0" w:history="1">
        <w:r w:rsidR="003468E2">
          <w:rPr>
            <w:rStyle w:val="Lienhypertexte"/>
            <w:rFonts w:cs="Calibri"/>
            <w:sz w:val="24"/>
            <w:szCs w:val="24"/>
            <w:lang w:val="fr-FR" w:eastAsia="en-US"/>
          </w:rPr>
          <w:t>5.1.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109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1" w:history="1">
        <w:r w:rsidR="003468E2">
          <w:rPr>
            <w:rStyle w:val="Lienhypertexte"/>
            <w:rFonts w:cs="Calibri"/>
            <w:sz w:val="24"/>
            <w:szCs w:val="24"/>
            <w:lang w:val="fr-FR" w:eastAsia="en-US"/>
          </w:rPr>
          <w:t>5.2. DENOMINATION SIEGE SOCIAL, CHIFFRE D’AFFAIRE ET DOCUMENTS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112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2" w:history="1">
        <w:r w:rsidR="003468E2">
          <w:rPr>
            <w:rStyle w:val="Lienhypertexte"/>
            <w:rFonts w:eastAsia="Times New Roman" w:cs="Calibri"/>
            <w:bCs/>
            <w:kern w:val="36"/>
            <w:sz w:val="24"/>
            <w:szCs w:val="24"/>
            <w:lang w:val="fr-FR" w:eastAsia="fr-FR"/>
          </w:rPr>
          <w:t xml:space="preserve">5.3. OBJECTIF DE LA SOCIETE </w:t>
        </w:r>
        <w:r w:rsidR="003468E2">
          <w:rPr>
            <w:rStyle w:val="Lienhypertexte"/>
            <w:rFonts w:eastAsia="Calibri" w:cs="Calibri"/>
            <w:sz w:val="24"/>
            <w:szCs w:val="24"/>
            <w:lang w:val="fr-FR" w:eastAsia="en-US"/>
          </w:rPr>
          <w:t>XIANG JIANG MINING SARL</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112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3" w:history="1">
        <w:r w:rsidR="003468E2">
          <w:rPr>
            <w:rStyle w:val="Lienhypertexte"/>
            <w:rFonts w:eastAsia="Calibri" w:cs="Calibri"/>
            <w:sz w:val="24"/>
            <w:szCs w:val="24"/>
            <w:lang w:val="fr-FR" w:eastAsia="en-US"/>
          </w:rPr>
          <w:t>5.4. D’ASYMETRIE SUR LES CONVENTIONS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114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4" w:history="1">
        <w:r w:rsidR="003468E2">
          <w:rPr>
            <w:rStyle w:val="Lienhypertexte"/>
            <w:rFonts w:eastAsia="Times New Roman" w:cs="Calibri"/>
            <w:bCs/>
            <w:kern w:val="36"/>
            <w:sz w:val="24"/>
            <w:szCs w:val="24"/>
            <w:lang w:val="fr-FR" w:eastAsia="fr-FR"/>
          </w:rPr>
          <w:t>5.5. IRREGULARITES DE PROCEDURE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115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5" w:history="1">
        <w:r w:rsidR="003468E2">
          <w:rPr>
            <w:rStyle w:val="Lienhypertexte"/>
            <w:rFonts w:eastAsia="Times New Roman" w:cs="Calibri"/>
            <w:sz w:val="24"/>
            <w:szCs w:val="24"/>
            <w:lang w:val="fr-FR" w:eastAsia="fr-FR"/>
          </w:rPr>
          <w:t>5.5.1. DE LA REACTION DE LA POPULATION DE BASOKO ET DES ASSOCIATIONS LOCALES SANS BUT LUCRATIFS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116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7" w:history="1">
        <w:r w:rsidR="003468E2">
          <w:rPr>
            <w:rStyle w:val="Lienhypertexte"/>
            <w:rFonts w:cs="Calibri"/>
            <w:sz w:val="24"/>
            <w:szCs w:val="24"/>
            <w:lang w:val="fr-FR"/>
          </w:rPr>
          <w:t>5.5.2. REGARDS SUR LES IMPACTS ENVIRONNEMENTAUX : DISCOURS DE LA POPULATION LOCALE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118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8" w:history="1">
        <w:r w:rsidR="003468E2">
          <w:rPr>
            <w:rStyle w:val="Lienhypertexte"/>
            <w:rFonts w:eastAsia="Times New Roman" w:cs="Calibri"/>
            <w:sz w:val="24"/>
            <w:szCs w:val="24"/>
            <w:lang w:val="fr-FR" w:eastAsia="fr-FR"/>
          </w:rPr>
          <w:t>5.6. DU CONSTAT D’ORDRE JURIDIQUE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121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79" w:history="1">
        <w:r w:rsidR="003468E2">
          <w:rPr>
            <w:rStyle w:val="Lienhypertexte"/>
            <w:rFonts w:eastAsia="Times New Roman" w:cs="Calibri"/>
            <w:sz w:val="24"/>
            <w:szCs w:val="24"/>
            <w:lang w:val="fr-FR" w:eastAsia="fr-FR"/>
          </w:rPr>
          <w:t>5.6.1. DE L’EVALUATION DU PLAN DE SUIVI DE L’ENVIRONNEMENT</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_Toc127432279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124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0" w:history="1">
        <w:r w:rsidR="003468E2">
          <w:rPr>
            <w:rStyle w:val="Lienhypertexte"/>
            <w:rFonts w:eastAsia="Calibri" w:cs="Calibri"/>
            <w:sz w:val="24"/>
            <w:szCs w:val="24"/>
            <w:lang w:val="fr-FR" w:eastAsia="en-US"/>
          </w:rPr>
          <w:t>5.6.2. DE LA CRISE ACCELEREE ET DE LA CRISE IRREVERSIBLE ENTRE LES DEUX PARTIES PRENANTES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126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1" w:history="1">
        <w:r w:rsidR="003468E2">
          <w:rPr>
            <w:rStyle w:val="Lienhypertexte"/>
            <w:rFonts w:eastAsia="Calibri" w:cs="Calibri"/>
            <w:sz w:val="24"/>
            <w:szCs w:val="24"/>
            <w:lang w:val="fr-FR" w:eastAsia="en-US"/>
          </w:rPr>
          <w:t>5.6.3. DU PENCHER SUR LA QUESTION DES ECHELLES DE GESTION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127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2" w:history="1">
        <w:r w:rsidR="003468E2">
          <w:rPr>
            <w:rStyle w:val="Lienhypertexte"/>
            <w:rFonts w:eastAsia="Calibri" w:cs="Calibri"/>
            <w:sz w:val="24"/>
            <w:szCs w:val="24"/>
            <w:lang w:val="fr-FR" w:eastAsia="en-US"/>
          </w:rPr>
          <w:t>5.7.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129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3" w:history="1">
        <w:r w:rsidR="003468E2">
          <w:rPr>
            <w:rStyle w:val="Lienhypertexte"/>
            <w:rFonts w:cs="Calibri"/>
            <w:sz w:val="24"/>
            <w:szCs w:val="24"/>
            <w:lang w:val="fr-FR" w:eastAsia="en-US"/>
          </w:rPr>
          <w:t>RÉFÉRENCES BIBLIOGRAPHIQUES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130</w:t>
        </w:r>
        <w:r w:rsidR="003468E2">
          <w:rPr>
            <w:rFonts w:ascii="Calibri" w:hAnsi="Calibri" w:cs="Calibri"/>
            <w:webHidden/>
            <w:sz w:val="24"/>
            <w:szCs w:val="24"/>
          </w:rPr>
          <w:fldChar w:fldCharType="end"/>
        </w:r>
      </w:hyperlink>
    </w:p>
    <w:p w:rsidR="0089405D" w:rsidRDefault="0089405D">
      <w:pPr>
        <w:pStyle w:val="TM1"/>
        <w:rPr>
          <w:rStyle w:val="Lienhypertexte"/>
          <w:rFonts w:cs="Calibri"/>
          <w:sz w:val="24"/>
          <w:szCs w:val="24"/>
        </w:rPr>
      </w:pPr>
    </w:p>
    <w:p w:rsidR="0089405D" w:rsidRDefault="007E319F">
      <w:pPr>
        <w:pStyle w:val="TM1"/>
        <w:rPr>
          <w:rFonts w:ascii="Calibri" w:hAnsi="Calibri" w:cs="Calibri"/>
          <w:sz w:val="24"/>
          <w:szCs w:val="24"/>
          <w:lang w:val="fr-FR" w:eastAsia="fr-FR"/>
        </w:rPr>
      </w:pPr>
      <w:hyperlink w:anchor="_Toc127432284" w:history="1">
        <w:r w:rsidR="003468E2">
          <w:rPr>
            <w:rStyle w:val="Lienhypertexte"/>
            <w:rFonts w:cs="Calibri"/>
            <w:bCs/>
            <w:sz w:val="24"/>
            <w:szCs w:val="24"/>
            <w:lang w:val="fr-FR"/>
          </w:rPr>
          <w:t>IMPACTS ENVIRONNEMENTAL DE L’EXPLOITATION MINIERE :</w:t>
        </w:r>
        <w:r w:rsidR="003468E2">
          <w:rPr>
            <w:rStyle w:val="Lienhypertexte"/>
            <w:rFonts w:cs="Calibri"/>
            <w:sz w:val="24"/>
            <w:szCs w:val="24"/>
            <w:lang w:val="fr-FR"/>
          </w:rPr>
          <w:t xml:space="preserve"> </w:t>
        </w:r>
        <w:r w:rsidR="003468E2">
          <w:rPr>
            <w:rStyle w:val="Lienhypertexte"/>
            <w:rFonts w:cs="Calibri"/>
            <w:bCs/>
            <w:sz w:val="24"/>
            <w:szCs w:val="24"/>
            <w:lang w:val="fr-FR"/>
          </w:rPr>
          <w:t>PARADOXES SUR ECOSYSTEMES FRAGILES AU LE DEVELOPPEMENT DURABLE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133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6" w:history="1">
        <w:r w:rsidR="003468E2">
          <w:rPr>
            <w:rStyle w:val="Lienhypertexte"/>
            <w:rFonts w:cs="Calibri"/>
            <w:bCs/>
            <w:sz w:val="24"/>
            <w:szCs w:val="24"/>
            <w:lang w:val="fr-FR"/>
          </w:rPr>
          <w:t>6.1.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133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7" w:history="1">
        <w:r w:rsidR="003468E2">
          <w:rPr>
            <w:rStyle w:val="Lienhypertexte"/>
            <w:rFonts w:cs="Calibri"/>
            <w:bCs/>
            <w:sz w:val="24"/>
            <w:szCs w:val="24"/>
            <w:lang w:val="fr-FR"/>
          </w:rPr>
          <w:t>6.2. IMPACTS SUR LES RESSOURCES EN EAU</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136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8" w:history="1">
        <w:r w:rsidR="003468E2">
          <w:rPr>
            <w:rStyle w:val="Lienhypertexte"/>
            <w:rFonts w:cs="Calibri"/>
            <w:bCs/>
            <w:iCs/>
            <w:sz w:val="24"/>
            <w:szCs w:val="24"/>
            <w:lang w:val="fr-FR"/>
          </w:rPr>
          <w:t>6.2.1. LE DRAINAGE D’ACIDE MINIER ET LA LIXIVIATION DES CONTAMINANTS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137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89" w:history="1">
        <w:r w:rsidR="003468E2">
          <w:rPr>
            <w:rStyle w:val="Lienhypertexte"/>
            <w:rFonts w:cs="Calibri"/>
            <w:sz w:val="24"/>
            <w:szCs w:val="24"/>
            <w:lang w:val="fr-FR"/>
          </w:rPr>
          <w:t>6.2.</w:t>
        </w:r>
        <w:r w:rsidR="003468E2">
          <w:rPr>
            <w:rStyle w:val="Lienhypertexte"/>
            <w:rFonts w:cs="Calibri"/>
            <w:bCs/>
            <w:iCs/>
            <w:sz w:val="24"/>
            <w:szCs w:val="24"/>
            <w:lang w:val="fr-FR"/>
          </w:rPr>
          <w:t>3. IMPACTS DES BASSINS DE DECANTATION DES RESIDUS, DE DECHETS DE ROCHE, DE LA LIXIVIATION EN TAS ET DES INSTALLATIONS DE STOCKAGE DE LIXIVIATS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_Toc127432289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0" w:history="1">
        <w:r w:rsidR="003468E2">
          <w:rPr>
            <w:rStyle w:val="Lienhypertexte"/>
            <w:rFonts w:cs="Calibri"/>
            <w:sz w:val="24"/>
            <w:szCs w:val="24"/>
            <w:lang w:val="fr-FR"/>
          </w:rPr>
          <w:t>6.2.4. IMPACTS DE L’EXHAURE DES MINES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1" w:history="1">
        <w:r w:rsidR="003468E2">
          <w:rPr>
            <w:rStyle w:val="Lienhypertexte"/>
            <w:rFonts w:cs="Calibri"/>
            <w:sz w:val="24"/>
            <w:szCs w:val="24"/>
            <w:lang w:val="fr-FR"/>
          </w:rPr>
          <w:t>6.2.5. DIMINUTION OU EPUISEMENT DE QUANTITE D’EAU</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2" w:history="1">
        <w:r w:rsidR="003468E2">
          <w:rPr>
            <w:rStyle w:val="Lienhypertexte"/>
            <w:rFonts w:cs="Calibri"/>
            <w:sz w:val="24"/>
            <w:szCs w:val="24"/>
            <w:lang w:val="fr-FR"/>
          </w:rPr>
          <w:t>6.2.6. POLLUTION DE LA RIVIERE ARUWIMI, PENURIE DE POISSONS A BASOKO ?</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3" w:history="1">
        <w:r w:rsidR="003468E2">
          <w:rPr>
            <w:rStyle w:val="Lienhypertexte"/>
            <w:rFonts w:cs="Calibri"/>
            <w:sz w:val="24"/>
            <w:szCs w:val="24"/>
            <w:lang w:val="fr-FR"/>
          </w:rPr>
          <w:t>6.3. IMPACTS DE PROJETS MINIERS SUR LA QUALITE DE L’AIR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4" w:history="1">
        <w:r w:rsidR="003468E2">
          <w:rPr>
            <w:rStyle w:val="Lienhypertexte"/>
            <w:rFonts w:cs="Calibri"/>
            <w:sz w:val="24"/>
            <w:szCs w:val="24"/>
            <w:lang w:val="fr-FR"/>
          </w:rPr>
          <w:t>6.3.1. LES EMISSIONS ATMOSPHERIQUES A CHAQUE ETAPE DU CYCLE DE LA MINE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5" w:history="1">
        <w:r w:rsidR="003468E2">
          <w:rPr>
            <w:rStyle w:val="Lienhypertexte"/>
            <w:rFonts w:cs="Calibri"/>
            <w:sz w:val="24"/>
            <w:szCs w:val="24"/>
            <w:lang w:val="fr-FR"/>
          </w:rPr>
          <w:t>6</w:t>
        </w:r>
        <w:r w:rsidR="003468E2">
          <w:rPr>
            <w:rStyle w:val="Lienhypertexte"/>
            <w:rFonts w:cs="Calibri"/>
            <w:bCs/>
            <w:iCs/>
            <w:sz w:val="24"/>
            <w:szCs w:val="24"/>
            <w:lang w:val="fr-FR"/>
          </w:rPr>
          <w:t>.3.2. REJETS FORTUITS DE MERCURE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6" w:history="1">
        <w:r w:rsidR="003468E2">
          <w:rPr>
            <w:rStyle w:val="Lienhypertexte"/>
            <w:rFonts w:cs="Calibri"/>
            <w:sz w:val="24"/>
            <w:szCs w:val="24"/>
            <w:lang w:val="fr-FR"/>
          </w:rPr>
          <w:t>6</w:t>
        </w:r>
        <w:r w:rsidR="003468E2">
          <w:rPr>
            <w:rStyle w:val="Lienhypertexte"/>
            <w:rFonts w:cs="Calibri"/>
            <w:bCs/>
            <w:sz w:val="24"/>
            <w:szCs w:val="24"/>
            <w:lang w:val="fr-FR"/>
          </w:rPr>
          <w:t>.4. IMPACTS DES PROJETS MINIERS SUR LA BIODIVERSITE ET PERTE D’HABITAT</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7" w:history="1">
        <w:r w:rsidR="003468E2">
          <w:rPr>
            <w:rStyle w:val="Lienhypertexte"/>
            <w:rFonts w:cs="Calibri"/>
            <w:sz w:val="24"/>
            <w:szCs w:val="24"/>
            <w:lang w:val="fr-FR"/>
          </w:rPr>
          <w:t>6</w:t>
        </w:r>
        <w:r w:rsidR="003468E2">
          <w:rPr>
            <w:rStyle w:val="Lienhypertexte"/>
            <w:rFonts w:cs="Calibri"/>
            <w:bCs/>
            <w:sz w:val="24"/>
            <w:szCs w:val="24"/>
            <w:lang w:val="fr-FR"/>
          </w:rPr>
          <w:t>.4.1. DEGRADATION DES HABITATS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149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8" w:history="1">
        <w:r w:rsidR="003468E2">
          <w:rPr>
            <w:rStyle w:val="Lienhypertexte"/>
            <w:rFonts w:cs="Calibri"/>
            <w:sz w:val="24"/>
            <w:szCs w:val="24"/>
            <w:lang w:val="fr-FR"/>
          </w:rPr>
          <w:t>6</w:t>
        </w:r>
        <w:r w:rsidR="003468E2">
          <w:rPr>
            <w:rStyle w:val="Lienhypertexte"/>
            <w:rFonts w:cs="Calibri"/>
            <w:bCs/>
            <w:sz w:val="24"/>
            <w:szCs w:val="24"/>
            <w:lang w:val="fr-FR"/>
          </w:rPr>
          <w:t>.4.2. FRAGMENTATION DES HABITATS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299" w:history="1">
        <w:r w:rsidR="003468E2">
          <w:rPr>
            <w:rStyle w:val="Lienhypertexte"/>
            <w:rFonts w:cs="Calibri"/>
            <w:sz w:val="24"/>
            <w:szCs w:val="24"/>
            <w:lang w:val="fr-FR"/>
          </w:rPr>
          <w:t>6</w:t>
        </w:r>
        <w:r w:rsidR="003468E2">
          <w:rPr>
            <w:rStyle w:val="Lienhypertexte"/>
            <w:rFonts w:cs="Calibri"/>
            <w:bCs/>
            <w:sz w:val="24"/>
            <w:szCs w:val="24"/>
            <w:lang w:val="fr-FR"/>
          </w:rPr>
          <w:t>.4.3. PERTURBATION DES ESPECES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_Toc127432299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0" w:history="1">
        <w:r w:rsidR="003468E2">
          <w:rPr>
            <w:rStyle w:val="Lienhypertexte"/>
            <w:rFonts w:cs="Calibri"/>
            <w:sz w:val="24"/>
            <w:szCs w:val="24"/>
            <w:lang w:val="fr-FR"/>
          </w:rPr>
          <w:t>6</w:t>
        </w:r>
        <w:r w:rsidR="003468E2">
          <w:rPr>
            <w:rStyle w:val="Lienhypertexte"/>
            <w:rFonts w:cs="Calibri"/>
            <w:bCs/>
            <w:sz w:val="24"/>
            <w:szCs w:val="24"/>
            <w:lang w:val="fr-FR"/>
          </w:rPr>
          <w:t>.4.4. INTRODUCTION D’ESPECES ENVAHISSANTES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1" w:history="1">
        <w:r w:rsidR="003468E2">
          <w:rPr>
            <w:rStyle w:val="Lienhypertexte"/>
            <w:rFonts w:cs="Calibri"/>
            <w:sz w:val="24"/>
            <w:szCs w:val="24"/>
            <w:lang w:val="fr-FR"/>
          </w:rPr>
          <w:t>6.4.5. MORCELLEMENT DE L’HABITAT A LA SUITE DES ACTIVITES MINIERES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2" w:history="1">
        <w:r w:rsidR="003468E2">
          <w:rPr>
            <w:rStyle w:val="Lienhypertexte"/>
            <w:rFonts w:cs="Calibri"/>
            <w:sz w:val="24"/>
            <w:szCs w:val="24"/>
            <w:lang w:val="fr-FR"/>
          </w:rPr>
          <w:t>6.4.6. PERTE DE SERVICES ECOSYSTEMIQUES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3" w:history="1">
        <w:r w:rsidR="003468E2">
          <w:rPr>
            <w:rStyle w:val="Lienhypertexte"/>
            <w:rFonts w:cs="Calibri"/>
            <w:sz w:val="24"/>
            <w:szCs w:val="24"/>
            <w:lang w:val="fr-FR"/>
          </w:rPr>
          <w:t>6.5. IMPACTS DES PROJETS MINIERS SUR LA QUALITE DU SOL</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4" w:history="1">
        <w:r w:rsidR="003468E2">
          <w:rPr>
            <w:rStyle w:val="Lienhypertexte"/>
            <w:rFonts w:cs="Calibri"/>
            <w:sz w:val="24"/>
            <w:szCs w:val="24"/>
            <w:lang w:val="fr-FR"/>
          </w:rPr>
          <w:t>6.5.1. CREATIONS DES EROSIONS ET DE LA PERTURBATION DES ACTIVITES AGRICOLES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5" w:history="1">
        <w:r w:rsidR="003468E2">
          <w:rPr>
            <w:rStyle w:val="Lienhypertexte"/>
            <w:rFonts w:cs="Calibri"/>
            <w:sz w:val="24"/>
            <w:szCs w:val="24"/>
            <w:lang w:val="fr-FR"/>
          </w:rPr>
          <w:t>6.5.2. CONTAMINATION DU SOL</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6" w:history="1">
        <w:r w:rsidR="003468E2">
          <w:rPr>
            <w:rStyle w:val="Lienhypertexte"/>
            <w:rFonts w:cs="Calibri"/>
            <w:sz w:val="24"/>
            <w:szCs w:val="24"/>
            <w:lang w:val="fr-FR"/>
          </w:rPr>
          <w:t>6.6. CONSIDERATIONS SUR LES CHANGEMENTS CLIMATIQUES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7" w:history="1">
        <w:r w:rsidR="003468E2">
          <w:rPr>
            <w:rStyle w:val="Lienhypertexte"/>
            <w:rFonts w:eastAsia="Times New Roman" w:cs="Calibri"/>
            <w:sz w:val="24"/>
            <w:szCs w:val="24"/>
            <w:lang w:val="fr-FR" w:eastAsia="fr-FR"/>
          </w:rPr>
          <w:t>6.7. MALEDICTION DES RESSOURCES NATURELLES DANS UN DEVELOPPEMENT DURABLE FONDE SUR L’EXPLOITATION MINIERE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8" w:history="1">
        <w:r w:rsidR="003468E2">
          <w:rPr>
            <w:rStyle w:val="Lienhypertexte"/>
            <w:rFonts w:cs="Calibri"/>
            <w:sz w:val="24"/>
            <w:szCs w:val="24"/>
            <w:lang w:val="fr-FR"/>
          </w:rPr>
          <w:t>6.7.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09" w:history="1">
        <w:r w:rsidR="003468E2">
          <w:rPr>
            <w:rStyle w:val="Lienhypertexte"/>
            <w:rFonts w:cs="Calibri"/>
            <w:sz w:val="24"/>
            <w:szCs w:val="24"/>
            <w:lang w:val="fr-FR"/>
          </w:rPr>
          <w:t>REFERENCES BIBLIOGRAPHIES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_Toc127432309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157</w:t>
        </w:r>
        <w:r w:rsidR="003468E2">
          <w:rPr>
            <w:rFonts w:ascii="Calibri" w:hAnsi="Calibri" w:cs="Calibri"/>
            <w:webHidden/>
            <w:sz w:val="24"/>
            <w:szCs w:val="24"/>
          </w:rPr>
          <w:fldChar w:fldCharType="end"/>
        </w:r>
      </w:hyperlink>
    </w:p>
    <w:p w:rsidR="0089405D" w:rsidRDefault="0089405D">
      <w:pPr>
        <w:pStyle w:val="TM1"/>
        <w:rPr>
          <w:rStyle w:val="Lienhypertexte"/>
          <w:rFonts w:cs="Calibri"/>
          <w:sz w:val="24"/>
          <w:szCs w:val="24"/>
        </w:rPr>
      </w:pPr>
    </w:p>
    <w:p w:rsidR="0089405D" w:rsidRDefault="007E319F">
      <w:pPr>
        <w:pStyle w:val="TM1"/>
        <w:rPr>
          <w:rFonts w:ascii="Calibri" w:hAnsi="Calibri" w:cs="Calibri"/>
          <w:sz w:val="24"/>
          <w:szCs w:val="24"/>
          <w:lang w:val="fr-FR" w:eastAsia="fr-FR"/>
        </w:rPr>
      </w:pPr>
      <w:hyperlink w:anchor="_Toc127432310" w:history="1">
        <w:r w:rsidR="003468E2">
          <w:rPr>
            <w:rStyle w:val="Lienhypertexte"/>
            <w:rFonts w:cs="Calibri"/>
            <w:sz w:val="24"/>
            <w:szCs w:val="24"/>
            <w:lang w:val="fr-FR"/>
          </w:rPr>
          <w:t>PRUNELLES SUR LES IMPACTS ECONOMIQUE ET SOCIALE DES PROJETS DU SECTEUR D’EXPLOITATION MINIERE SEMI-INDUSTRIELLE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2" w:history="1">
        <w:r w:rsidR="003468E2">
          <w:rPr>
            <w:rStyle w:val="Lienhypertexte"/>
            <w:rFonts w:cs="Calibri"/>
            <w:sz w:val="24"/>
            <w:szCs w:val="24"/>
            <w:lang w:val="fr-FR"/>
          </w:rPr>
          <w:t>7.1.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3" w:history="1">
        <w:r w:rsidR="003468E2">
          <w:rPr>
            <w:rStyle w:val="Lienhypertexte"/>
            <w:rFonts w:cs="Calibri"/>
            <w:sz w:val="24"/>
            <w:szCs w:val="24"/>
            <w:lang w:val="fr-FR"/>
          </w:rPr>
          <w:t>7.2. LES IMPACTS SOCIAUX D’EXPLOITATION MINIERE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4" w:history="1">
        <w:r w:rsidR="003468E2">
          <w:rPr>
            <w:rStyle w:val="Lienhypertexte"/>
            <w:rFonts w:cs="Calibri"/>
            <w:sz w:val="24"/>
            <w:szCs w:val="24"/>
            <w:lang w:val="fr-FR"/>
          </w:rPr>
          <w:t>7.2.1. LES IMPACTS SOCIAUX ET L’EFFET D’UNE ACTION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5" w:history="1">
        <w:r w:rsidR="003468E2">
          <w:rPr>
            <w:rStyle w:val="Lienhypertexte"/>
            <w:rFonts w:cs="Calibri"/>
            <w:sz w:val="24"/>
            <w:szCs w:val="24"/>
            <w:lang w:val="fr-FR"/>
          </w:rPr>
          <w:t>7.2.2. L’EXPLOITATION DES RESSOURCES ENTRAINE DES CHANGEMENTS DANS L’ENVIRONNEMENT HUMAIN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6" w:history="1">
        <w:r w:rsidR="003468E2">
          <w:rPr>
            <w:rStyle w:val="Lienhypertexte"/>
            <w:rFonts w:cs="Calibri"/>
            <w:sz w:val="24"/>
            <w:szCs w:val="24"/>
            <w:lang w:val="fr-FR"/>
          </w:rPr>
          <w:t>7.3. IMPACTS DES PROJETS MINIERS SUR LES VALEURS SOCIALES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7" w:history="1">
        <w:r w:rsidR="003468E2">
          <w:rPr>
            <w:rStyle w:val="Lienhypertexte"/>
            <w:rFonts w:cs="Calibri"/>
            <w:sz w:val="24"/>
            <w:szCs w:val="24"/>
            <w:lang w:val="fr-FR"/>
          </w:rPr>
          <w:t>7.3.1 DEPLACEMENT HUMAIN ET REINSTALLATION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168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8" w:history="1">
        <w:r w:rsidR="003468E2">
          <w:rPr>
            <w:rStyle w:val="Lienhypertexte"/>
            <w:rFonts w:cs="Calibri"/>
            <w:sz w:val="24"/>
            <w:szCs w:val="24"/>
            <w:lang w:val="fr-FR"/>
          </w:rPr>
          <w:t>7.3.2. IMPACTS DE L’EXODE RURAL ET URBAIN VERS LES CARRIERES MINIERES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171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19" w:history="1">
        <w:r w:rsidR="003468E2">
          <w:rPr>
            <w:rStyle w:val="Lienhypertexte"/>
            <w:rFonts w:cs="Calibri"/>
            <w:sz w:val="24"/>
            <w:szCs w:val="24"/>
            <w:lang w:val="fr-FR"/>
          </w:rPr>
          <w:t>7.3.3. IMPACTS SUR LES MOYENS D’EXISTENCE ET SUR LES DROITS FONDAMENTAUX DE LA PERSONNE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_Toc127432319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172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0" w:history="1">
        <w:r w:rsidR="003468E2">
          <w:rPr>
            <w:rStyle w:val="Lienhypertexte"/>
            <w:rFonts w:cs="Calibri"/>
            <w:sz w:val="24"/>
            <w:szCs w:val="24"/>
            <w:lang w:val="fr-FR"/>
          </w:rPr>
          <w:t>7.3.4. IMPACTS SEXOSPECIFIQUES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173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1" w:history="1">
        <w:r w:rsidR="003468E2">
          <w:rPr>
            <w:rStyle w:val="Lienhypertexte"/>
            <w:rFonts w:cs="Calibri"/>
            <w:sz w:val="24"/>
            <w:szCs w:val="24"/>
            <w:lang w:val="fr-FR"/>
          </w:rPr>
          <w:t>7.4. IMPACTS SUR LA SANTE PUBLIQUE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174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2" w:history="1">
        <w:r w:rsidR="003468E2">
          <w:rPr>
            <w:rStyle w:val="Lienhypertexte"/>
            <w:rFonts w:cs="Calibri"/>
            <w:bCs/>
            <w:sz w:val="24"/>
            <w:szCs w:val="24"/>
            <w:lang w:val="fr-FR"/>
          </w:rPr>
          <w:t>7.5. QUELLES PISTES ENVISAGEES POUR IMPULSER LE DEVELOPPEMENT DE L’ENTITE DE BASOKO TANT REVE ET CLAME PAR SES FILS ET SES FILLES ?</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175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3" w:history="1">
        <w:r w:rsidR="003468E2">
          <w:rPr>
            <w:rStyle w:val="Lienhypertexte"/>
            <w:rFonts w:cs="Calibri"/>
            <w:bCs/>
            <w:sz w:val="24"/>
            <w:szCs w:val="24"/>
            <w:lang w:val="fr-FR"/>
          </w:rPr>
          <w:t>7.6. ET ALORS ! QUID DU DEVELOPPEMENT DU TERRITOIRE DE BASOKO ?</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178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4" w:history="1">
        <w:r w:rsidR="003468E2">
          <w:rPr>
            <w:rStyle w:val="Lienhypertexte"/>
            <w:rFonts w:cs="Calibri"/>
            <w:sz w:val="24"/>
            <w:szCs w:val="24"/>
            <w:lang w:val="fr-FR"/>
          </w:rPr>
          <w:t>7.7.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180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5" w:history="1">
        <w:r w:rsidR="003468E2">
          <w:rPr>
            <w:rStyle w:val="Lienhypertexte"/>
            <w:rFonts w:eastAsia="Times New Roman" w:cs="Calibri"/>
            <w:bCs/>
            <w:sz w:val="24"/>
            <w:szCs w:val="24"/>
            <w:lang w:val="fr-FR" w:eastAsia="fr-FR"/>
          </w:rPr>
          <w:t>RÉFÉRENCES BIBLIOGRAPHIQUES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181</w:t>
        </w:r>
        <w:r w:rsidR="003468E2">
          <w:rPr>
            <w:rFonts w:ascii="Calibri" w:hAnsi="Calibri" w:cs="Calibri"/>
            <w:webHidden/>
            <w:sz w:val="24"/>
            <w:szCs w:val="24"/>
          </w:rPr>
          <w:fldChar w:fldCharType="end"/>
        </w:r>
      </w:hyperlink>
    </w:p>
    <w:p w:rsidR="0089405D" w:rsidRDefault="0089405D">
      <w:pPr>
        <w:pStyle w:val="TM1"/>
        <w:rPr>
          <w:rStyle w:val="Lienhypertexte"/>
          <w:rFonts w:cs="Calibri"/>
          <w:sz w:val="24"/>
          <w:szCs w:val="24"/>
        </w:rPr>
      </w:pPr>
    </w:p>
    <w:p w:rsidR="0089405D" w:rsidRDefault="007E319F">
      <w:pPr>
        <w:pStyle w:val="TM1"/>
        <w:rPr>
          <w:rFonts w:ascii="Calibri" w:hAnsi="Calibri" w:cs="Calibri"/>
          <w:sz w:val="24"/>
          <w:szCs w:val="24"/>
          <w:lang w:val="fr-FR" w:eastAsia="fr-FR"/>
        </w:rPr>
      </w:pPr>
      <w:hyperlink w:anchor="_Toc127432326" w:history="1">
        <w:r w:rsidR="003468E2">
          <w:rPr>
            <w:rStyle w:val="Lienhypertexte"/>
            <w:rFonts w:eastAsia="Times New Roman" w:cs="Calibri"/>
            <w:sz w:val="24"/>
            <w:szCs w:val="24"/>
            <w:lang w:val="fr-FR" w:eastAsia="fr-FR"/>
          </w:rPr>
          <w:t>PREVENTION SUR DE L’EXPLOITATION SEMI - INDUSTRIELLE DES MINERAIS : UNE PERCEPTION A LA PROTECTION DURABLE D’UN ENVIRONNEMENT LOCAL DELICAT</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187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8" w:history="1">
        <w:r w:rsidR="003468E2">
          <w:rPr>
            <w:rStyle w:val="Lienhypertexte"/>
            <w:rFonts w:eastAsia="Times New Roman" w:cs="Calibri"/>
            <w:sz w:val="24"/>
            <w:szCs w:val="24"/>
            <w:lang w:val="fr-FR" w:eastAsia="fr-FR"/>
          </w:rPr>
          <w:t>8.1. INTRODUCTION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187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29" w:history="1">
        <w:r w:rsidR="003468E2">
          <w:rPr>
            <w:rStyle w:val="Lienhypertexte"/>
            <w:rFonts w:eastAsia="Times New Roman" w:cs="Calibri"/>
            <w:sz w:val="24"/>
            <w:szCs w:val="24"/>
            <w:lang w:val="fr-FR" w:eastAsia="fr-FR"/>
          </w:rPr>
          <w:t>8.2. LES PRINCIPES DE PROTECTION DE L’ENVIRONNEMENT POUR UN DEVELOPPEMENT COMMUNAUTAIRE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_Toc127432329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188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0" w:history="1">
        <w:r w:rsidR="003468E2">
          <w:rPr>
            <w:rStyle w:val="Lienhypertexte"/>
            <w:rFonts w:cs="Calibri"/>
            <w:sz w:val="24"/>
            <w:szCs w:val="24"/>
            <w:lang w:val="fr-FR"/>
          </w:rPr>
          <w:t>8.2.1. PILIERS DU DEVELOPPEMENT DURABLE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1" w:history="1">
        <w:r w:rsidR="003468E2">
          <w:rPr>
            <w:rStyle w:val="Lienhypertexte"/>
            <w:rFonts w:eastAsia="Times New Roman" w:cs="Calibri"/>
            <w:sz w:val="24"/>
            <w:szCs w:val="24"/>
            <w:lang w:val="fr-FR" w:eastAsia="fr-FR"/>
          </w:rPr>
          <w:t>8.3. LA CONSECRATION DU PRINCIPE DE PREVENTION : NOTRE PRINCIPE IDEOLOGIQUE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2" w:history="1">
        <w:r w:rsidR="003468E2">
          <w:rPr>
            <w:rStyle w:val="Lienhypertexte"/>
            <w:rFonts w:eastAsia="Times New Roman" w:cs="Calibri"/>
            <w:sz w:val="24"/>
            <w:szCs w:val="24"/>
            <w:lang w:val="fr-FR" w:eastAsia="fr-FR"/>
          </w:rPr>
          <w:t>8.3.1. MISE EN ŒUVRE D'ACTIONS</w:t>
        </w:r>
        <w:r w:rsidR="003468E2">
          <w:rPr>
            <w:rStyle w:val="Lienhypertexte"/>
            <w:rFonts w:cs="Calibri"/>
            <w:sz w:val="24"/>
            <w:szCs w:val="24"/>
            <w:lang w:val="fr-FR"/>
          </w:rPr>
          <w:t xml:space="preserve"> </w:t>
        </w:r>
        <w:r w:rsidR="003468E2">
          <w:rPr>
            <w:rStyle w:val="Lienhypertexte"/>
            <w:rFonts w:eastAsia="Times New Roman" w:cs="Calibri"/>
            <w:sz w:val="24"/>
            <w:szCs w:val="24"/>
            <w:lang w:val="fr-FR" w:eastAsia="fr-FR"/>
          </w:rPr>
          <w:t>DU PRINCIPE DE PREVENTION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5" w:history="1">
        <w:r w:rsidR="003468E2">
          <w:rPr>
            <w:rStyle w:val="Lienhypertexte"/>
            <w:rFonts w:eastAsia="Times New Roman" w:cs="Calibri"/>
            <w:sz w:val="24"/>
            <w:szCs w:val="24"/>
            <w:lang w:val="fr-FR" w:eastAsia="fr-FR"/>
          </w:rPr>
          <w:t xml:space="preserve">8.4. </w:t>
        </w:r>
        <w:r w:rsidR="003468E2">
          <w:rPr>
            <w:rStyle w:val="Lienhypertexte"/>
            <w:rFonts w:eastAsia="Calibri" w:cs="Calibri"/>
            <w:sz w:val="24"/>
            <w:szCs w:val="24"/>
            <w:lang w:val="fr-FR" w:eastAsia="en-US"/>
          </w:rPr>
          <w:t>APPRÉCIATION DE L'IMPACT ENVIRONNEMENTAL ET SOCIAL (EIES) ET LES PLANS DE GESTION ENVIRONNEMENTALE (PGE)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6" w:history="1">
        <w:r w:rsidR="003468E2">
          <w:rPr>
            <w:rStyle w:val="Lienhypertexte"/>
            <w:rFonts w:cs="Calibri"/>
            <w:sz w:val="24"/>
            <w:szCs w:val="24"/>
            <w:lang w:val="fr-FR"/>
          </w:rPr>
          <w:t>8.5. MESURES DE LUTTE CONTRE LA POLLUTION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7" w:history="1">
        <w:r w:rsidR="003468E2">
          <w:rPr>
            <w:rStyle w:val="Lienhypertexte"/>
            <w:rFonts w:cs="Calibri"/>
            <w:sz w:val="24"/>
            <w:szCs w:val="24"/>
            <w:lang w:val="fr-FR"/>
          </w:rPr>
          <w:t>8.5.1. LA MISE EN ŒUVRE DES TECHNIQUES DE LUTTE CONTRE LA POLLUTION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8" w:history="1">
        <w:r w:rsidR="003468E2">
          <w:rPr>
            <w:rStyle w:val="Lienhypertexte"/>
            <w:rFonts w:cs="Calibri"/>
            <w:sz w:val="24"/>
            <w:szCs w:val="24"/>
            <w:lang w:val="fr-FR"/>
          </w:rPr>
          <w:t>8.5.2. LA GESTION GLOBALE DES DECHETS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39" w:history="1">
        <w:r w:rsidR="003468E2">
          <w:rPr>
            <w:rStyle w:val="Lienhypertexte"/>
            <w:rFonts w:eastAsia="Times New Roman" w:cs="Calibri"/>
            <w:sz w:val="24"/>
            <w:szCs w:val="24"/>
            <w:lang w:val="fr-FR" w:eastAsia="fr-FR"/>
          </w:rPr>
          <w:t>8.6. DE LA MISE EN ŒUVRE DE LA PREVENTION SUR LES IMPACTS DE PROJET D'EXPLOITATION MINIERE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_Toc127432339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0" w:history="1">
        <w:r w:rsidR="003468E2">
          <w:rPr>
            <w:rStyle w:val="Lienhypertexte"/>
            <w:rFonts w:cs="Calibri"/>
            <w:sz w:val="24"/>
            <w:szCs w:val="24"/>
            <w:lang w:val="fr-FR"/>
          </w:rPr>
          <w:t>8.6.1. DEVELOPPEMENT DURABLE DANS LE SECTEUR MINIER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199</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1" w:history="1">
        <w:r w:rsidR="003468E2">
          <w:rPr>
            <w:rStyle w:val="Lienhypertexte"/>
            <w:rFonts w:cs="Calibri"/>
            <w:sz w:val="24"/>
            <w:szCs w:val="24"/>
            <w:lang w:val="fr-FR"/>
          </w:rPr>
          <w:t>8.6.2. ÉQUITE INTERGENERATIONNELLE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_Toc127432341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200</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2" w:history="1">
        <w:r w:rsidR="003468E2">
          <w:rPr>
            <w:rStyle w:val="Lienhypertexte"/>
            <w:rFonts w:cs="Calibri"/>
            <w:sz w:val="24"/>
            <w:szCs w:val="24"/>
            <w:lang w:val="fr-FR"/>
          </w:rPr>
          <w:t>8.6.3. ENVIRONNEMENT SAIN AVANT ET APRES LES OPERATIONS MINIERES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201</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3" w:history="1">
        <w:r w:rsidR="003468E2">
          <w:rPr>
            <w:rStyle w:val="Lienhypertexte"/>
            <w:rFonts w:cs="Calibri"/>
            <w:sz w:val="24"/>
            <w:szCs w:val="24"/>
            <w:lang w:val="fr-FR"/>
          </w:rPr>
          <w:t>8.6.4. BIEN - ETRE DES COMMUNAUTES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202</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4" w:history="1">
        <w:r w:rsidR="003468E2">
          <w:rPr>
            <w:rStyle w:val="Lienhypertexte"/>
            <w:rFonts w:eastAsia="Times New Roman" w:cs="Calibri"/>
            <w:sz w:val="24"/>
            <w:szCs w:val="24"/>
            <w:lang w:val="fr-FR" w:eastAsia="fr-FR"/>
          </w:rPr>
          <w:t>8.7.</w:t>
        </w:r>
        <w:r w:rsidR="003468E2">
          <w:rPr>
            <w:rStyle w:val="Lienhypertexte"/>
            <w:rFonts w:cs="Calibri"/>
            <w:sz w:val="24"/>
            <w:szCs w:val="24"/>
            <w:lang w:val="fr-FR"/>
          </w:rPr>
          <w:t xml:space="preserve"> ENJEUX DE LA RESPONSABILITE SOCIALE DE L'ENTREPRISE DANS LE SECTEUR MINIER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203</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5" w:history="1">
        <w:r w:rsidR="003468E2">
          <w:rPr>
            <w:rStyle w:val="Lienhypertexte"/>
            <w:rFonts w:eastAsia="Times New Roman" w:cs="Calibri"/>
            <w:sz w:val="24"/>
            <w:szCs w:val="24"/>
            <w:lang w:val="fr-FR" w:eastAsia="fr-FR"/>
          </w:rPr>
          <w:t>8.8. BENEFICES SOCIAUX ET ENVIRONNEMENTAUX DES PRODUITS FORESTIERS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204</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6" w:history="1">
        <w:r w:rsidR="003468E2">
          <w:rPr>
            <w:rStyle w:val="Lienhypertexte"/>
            <w:rFonts w:cs="Calibri"/>
            <w:kern w:val="24"/>
            <w:sz w:val="24"/>
            <w:szCs w:val="24"/>
            <w:lang w:val="fr-FR" w:eastAsia="fr-FR"/>
          </w:rPr>
          <w:t>8.9. LE PRINCIPE DE PREVENTION AU CŒUR DE L’EXPLOITATION MINIERE SEMI-INDUSTRIELLE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7" w:history="1">
        <w:r w:rsidR="003468E2">
          <w:rPr>
            <w:rStyle w:val="Lienhypertexte"/>
            <w:rFonts w:eastAsia="Times New Roman" w:cs="Calibri"/>
            <w:sz w:val="24"/>
            <w:szCs w:val="24"/>
            <w:lang w:val="fr-FR" w:eastAsia="fr-FR"/>
          </w:rPr>
          <w:t>8.10. L’ENVIRONNEMENT AU CŒUR DE LA SOLUTION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8" w:history="1">
        <w:r w:rsidR="003468E2">
          <w:rPr>
            <w:rStyle w:val="Lienhypertexte"/>
            <w:rFonts w:eastAsia="Times New Roman" w:cs="Calibri"/>
            <w:sz w:val="24"/>
            <w:szCs w:val="24"/>
            <w:lang w:val="fr-FR" w:eastAsia="fr-FR"/>
          </w:rPr>
          <w:t>8.11. CONCLUSION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208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49" w:history="1">
        <w:r w:rsidR="003468E2">
          <w:rPr>
            <w:rStyle w:val="Lienhypertexte"/>
            <w:rFonts w:cs="Calibri"/>
            <w:sz w:val="24"/>
            <w:szCs w:val="24"/>
            <w:lang w:val="fr-FR"/>
          </w:rPr>
          <w:t>RÉFÉRENCES BIBLIOGRAPHIQUES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_Toc127432349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210</w:t>
        </w:r>
        <w:r w:rsidR="003468E2">
          <w:rPr>
            <w:rFonts w:ascii="Calibri" w:hAnsi="Calibri" w:cs="Calibri"/>
            <w:webHidden/>
            <w:sz w:val="24"/>
            <w:szCs w:val="24"/>
          </w:rPr>
          <w:fldChar w:fldCharType="end"/>
        </w:r>
      </w:hyperlink>
    </w:p>
    <w:p w:rsidR="0089405D" w:rsidRDefault="0089405D">
      <w:pPr>
        <w:pStyle w:val="TM1"/>
        <w:rPr>
          <w:rStyle w:val="Lienhypertexte"/>
          <w:rFonts w:cs="Calibri"/>
          <w:sz w:val="24"/>
          <w:szCs w:val="24"/>
        </w:rPr>
      </w:pPr>
    </w:p>
    <w:p w:rsidR="0089405D" w:rsidRDefault="007E319F">
      <w:pPr>
        <w:pStyle w:val="TM1"/>
        <w:rPr>
          <w:rFonts w:ascii="Calibri" w:hAnsi="Calibri" w:cs="Calibri"/>
          <w:sz w:val="24"/>
          <w:szCs w:val="24"/>
          <w:lang w:val="fr-FR" w:eastAsia="fr-FR"/>
        </w:rPr>
      </w:pPr>
      <w:hyperlink w:anchor="_Toc127432350" w:history="1">
        <w:r w:rsidR="003468E2">
          <w:rPr>
            <w:rStyle w:val="Lienhypertexte"/>
            <w:rFonts w:cs="Calibri"/>
            <w:bCs/>
            <w:sz w:val="24"/>
            <w:szCs w:val="24"/>
            <w:lang w:val="fr-FR"/>
          </w:rPr>
          <w:t>CONCLUSION GENERALE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_Toc127432350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52" w:history="1">
        <w:r w:rsidR="003468E2">
          <w:rPr>
            <w:rStyle w:val="Lienhypertexte"/>
            <w:rFonts w:cs="Calibri"/>
            <w:kern w:val="24"/>
            <w:sz w:val="24"/>
            <w:szCs w:val="24"/>
            <w:lang w:val="fr-FR" w:eastAsia="fr-FR"/>
          </w:rPr>
          <w:t>I. LES MINERAIS FONT PARTIE DE NOTRE VIE QUOTIDIENNE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_Toc127432352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53" w:history="1">
        <w:r w:rsidR="003468E2">
          <w:rPr>
            <w:rStyle w:val="Lienhypertexte"/>
            <w:rFonts w:cs="Calibri"/>
            <w:kern w:val="24"/>
            <w:sz w:val="24"/>
            <w:szCs w:val="24"/>
            <w:lang w:val="fr-FR" w:eastAsia="fr-FR"/>
          </w:rPr>
          <w:t>II. L'EXTRACTION MINIERE : DESTRUCTION DE L’ENVIRONNEMENT FLUVIALE ET ENVIRONNANTE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_Toc127432353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215</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54" w:history="1">
        <w:r w:rsidR="003468E2">
          <w:rPr>
            <w:rStyle w:val="Lienhypertexte"/>
            <w:rFonts w:cs="Calibri"/>
            <w:kern w:val="24"/>
            <w:sz w:val="24"/>
            <w:szCs w:val="24"/>
            <w:lang w:val="fr-FR" w:eastAsia="fr-FR"/>
          </w:rPr>
          <w:t>III. LES IMPACTS DIRECTS SUR LA DIVERSITE BIOLOGIQUE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_Toc127432354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216</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55" w:history="1">
        <w:r w:rsidR="003468E2">
          <w:rPr>
            <w:rStyle w:val="Lienhypertexte"/>
            <w:rFonts w:cs="Calibri"/>
            <w:kern w:val="24"/>
            <w:sz w:val="24"/>
            <w:szCs w:val="24"/>
            <w:lang w:val="fr-FR" w:eastAsia="fr-FR"/>
          </w:rPr>
          <w:t>IV. BASOKO : TERRITOIRE ENCLAVE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_Toc127432355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217</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56" w:history="1">
        <w:r w:rsidR="003468E2">
          <w:rPr>
            <w:rStyle w:val="Lienhypertexte"/>
            <w:rFonts w:cs="Calibri"/>
            <w:sz w:val="24"/>
            <w:szCs w:val="24"/>
            <w:lang w:val="fr-FR"/>
          </w:rPr>
          <w:t>V. NON APPROPRIATION POUR UN DEVELOPPEMENT DURABLE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_Toc127432356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218</w:t>
        </w:r>
        <w:r w:rsidR="003468E2">
          <w:rPr>
            <w:rFonts w:ascii="Calibri" w:hAnsi="Calibri" w:cs="Calibri"/>
            <w:webHidden/>
            <w:sz w:val="24"/>
            <w:szCs w:val="24"/>
          </w:rPr>
          <w:fldChar w:fldCharType="end"/>
        </w:r>
      </w:hyperlink>
    </w:p>
    <w:p w:rsidR="0089405D" w:rsidRDefault="007E319F">
      <w:pPr>
        <w:pStyle w:val="TM1"/>
        <w:rPr>
          <w:rFonts w:ascii="Calibri" w:hAnsi="Calibri" w:cs="Calibri"/>
          <w:sz w:val="24"/>
          <w:szCs w:val="24"/>
          <w:lang w:val="fr-FR" w:eastAsia="fr-FR"/>
        </w:rPr>
      </w:pPr>
      <w:hyperlink w:anchor="_Toc127432357" w:history="1">
        <w:r w:rsidR="003468E2">
          <w:rPr>
            <w:rStyle w:val="Lienhypertexte"/>
            <w:rFonts w:cs="Calibri"/>
            <w:sz w:val="24"/>
            <w:szCs w:val="24"/>
            <w:lang w:val="fr-FR"/>
          </w:rPr>
          <w:t>VII. DESOLATION POUR LES GENERATIONS PRESENTES ET A VENIR</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_Toc127432357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219</w:t>
        </w:r>
        <w:r w:rsidR="003468E2">
          <w:rPr>
            <w:rFonts w:ascii="Calibri" w:hAnsi="Calibri" w:cs="Calibri"/>
            <w:webHidden/>
            <w:sz w:val="24"/>
            <w:szCs w:val="24"/>
          </w:rPr>
          <w:fldChar w:fldCharType="end"/>
        </w:r>
      </w:hyperlink>
    </w:p>
    <w:p w:rsidR="0089405D" w:rsidRDefault="003468E2">
      <w:pPr>
        <w:pStyle w:val="TM1"/>
        <w:tabs>
          <w:tab w:val="clear" w:pos="8480"/>
        </w:tabs>
        <w:rPr>
          <w:rFonts w:ascii="Calibri" w:hAnsi="Calibri" w:cs="Calibri"/>
          <w:sz w:val="24"/>
          <w:szCs w:val="24"/>
          <w:lang w:val="fr-FR"/>
        </w:rPr>
      </w:pPr>
      <w:r>
        <w:rPr>
          <w:rFonts w:ascii="Calibri" w:hAnsi="Calibri" w:cs="Calibri"/>
          <w:bCs/>
          <w:sz w:val="24"/>
          <w:szCs w:val="24"/>
          <w:lang w:val="fr-FR"/>
        </w:rPr>
        <w:fldChar w:fldCharType="end"/>
      </w:r>
    </w:p>
    <w:p w:rsidR="0089405D" w:rsidRDefault="0089405D">
      <w:pPr>
        <w:tabs>
          <w:tab w:val="right" w:leader="dot" w:pos="8647"/>
          <w:tab w:val="right" w:leader="dot" w:pos="9072"/>
        </w:tabs>
        <w:spacing w:after="0" w:line="312" w:lineRule="auto"/>
        <w:jc w:val="both"/>
        <w:rPr>
          <w:rFonts w:cs="Calibri"/>
          <w:sz w:val="24"/>
          <w:szCs w:val="24"/>
          <w:lang w:val="fr-FR"/>
        </w:rPr>
      </w:pPr>
    </w:p>
    <w:p w:rsidR="0089405D" w:rsidRDefault="0089405D">
      <w:pPr>
        <w:tabs>
          <w:tab w:val="right" w:leader="dot" w:pos="8647"/>
          <w:tab w:val="right" w:leader="dot" w:pos="9072"/>
        </w:tabs>
        <w:spacing w:after="0" w:line="312" w:lineRule="auto"/>
        <w:jc w:val="both"/>
        <w:rPr>
          <w:rFonts w:cs="Calibri"/>
          <w:sz w:val="24"/>
          <w:szCs w:val="24"/>
          <w:lang w:val="fr-FR"/>
        </w:rPr>
      </w:pPr>
    </w:p>
    <w:p w:rsidR="0089405D" w:rsidRDefault="0089405D">
      <w:pPr>
        <w:tabs>
          <w:tab w:val="right" w:leader="dot" w:pos="8647"/>
          <w:tab w:val="right" w:leader="dot" w:pos="9072"/>
        </w:tabs>
        <w:spacing w:after="0" w:line="312" w:lineRule="auto"/>
        <w:jc w:val="both"/>
        <w:rPr>
          <w:rFonts w:cs="Calibri"/>
          <w:sz w:val="24"/>
          <w:szCs w:val="24"/>
          <w:lang w:val="fr-FR"/>
        </w:rPr>
        <w:sectPr w:rsidR="0089405D">
          <w:pgSz w:w="11906" w:h="16838"/>
          <w:pgMar w:top="1440" w:right="1558" w:bottom="1440" w:left="1800" w:header="709" w:footer="709" w:gutter="0"/>
          <w:pgNumType w:fmt="lowerRoman" w:start="15"/>
          <w:cols w:space="720"/>
          <w:docGrid w:linePitch="299"/>
        </w:sectPr>
      </w:pPr>
    </w:p>
    <w:p w:rsidR="0089405D" w:rsidRDefault="003468E2">
      <w:pPr>
        <w:pStyle w:val="Titre1"/>
        <w:spacing w:before="0" w:line="312" w:lineRule="auto"/>
        <w:jc w:val="center"/>
        <w:rPr>
          <w:rFonts w:cs="Calibri"/>
          <w:color w:val="000000"/>
          <w:sz w:val="24"/>
          <w:szCs w:val="24"/>
          <w:lang w:val="fr-FR"/>
        </w:rPr>
      </w:pPr>
      <w:bookmarkStart w:id="30" w:name="_Toc59458284"/>
      <w:r>
        <w:rPr>
          <w:rFonts w:cs="Calibri"/>
          <w:b/>
          <w:color w:val="000000"/>
          <w:lang w:val="fr-FR"/>
        </w:rPr>
        <w:lastRenderedPageBreak/>
        <w:t>LISTES</w:t>
      </w:r>
      <w:bookmarkEnd w:id="30"/>
      <w:r>
        <w:rPr>
          <w:rFonts w:cs="Calibri"/>
          <w:b/>
          <w:color w:val="000000"/>
          <w:lang w:val="fr-FR"/>
        </w:rPr>
        <w:t xml:space="preserve"> DES FIGURES</w:t>
      </w:r>
    </w:p>
    <w:bookmarkStart w:id="31" w:name="_Toc59458285"/>
    <w:p w:rsidR="0089405D" w:rsidRDefault="003468E2">
      <w:pPr>
        <w:pStyle w:val="TM1"/>
        <w:rPr>
          <w:rFonts w:ascii="Calibri" w:hAnsi="Calibri" w:cs="SimSun"/>
          <w:sz w:val="22"/>
          <w:szCs w:val="22"/>
          <w:lang w:val="fr-FR" w:eastAsia="fr-FR"/>
        </w:rPr>
      </w:pPr>
      <w:r>
        <w:rPr>
          <w:rFonts w:ascii="Calibri" w:eastAsia="Times New Roman" w:hAnsi="Calibri" w:cs="Calibri"/>
          <w:sz w:val="24"/>
          <w:szCs w:val="24"/>
          <w:lang w:val="fr-FR" w:eastAsia="fr-FR"/>
        </w:rPr>
        <w:fldChar w:fldCharType="begin"/>
      </w:r>
      <w:r>
        <w:rPr>
          <w:rFonts w:ascii="Calibri" w:eastAsia="Times New Roman" w:hAnsi="Calibri" w:cs="Calibri"/>
          <w:sz w:val="24"/>
          <w:szCs w:val="24"/>
          <w:lang w:val="fr-FR" w:eastAsia="fr-FR"/>
        </w:rPr>
        <w:instrText xml:space="preserve"> TOC \o "1-3" \h \z \u </w:instrText>
      </w:r>
      <w:r>
        <w:rPr>
          <w:rFonts w:ascii="Calibri" w:eastAsia="Times New Roman" w:hAnsi="Calibri" w:cs="Calibri"/>
          <w:sz w:val="24"/>
          <w:szCs w:val="24"/>
          <w:lang w:val="fr-FR" w:eastAsia="fr-FR"/>
        </w:rPr>
        <w:fldChar w:fldCharType="separate"/>
      </w:r>
    </w:p>
    <w:p w:rsidR="0089405D" w:rsidRDefault="003468E2">
      <w:pPr>
        <w:pStyle w:val="TM1"/>
        <w:tabs>
          <w:tab w:val="clear" w:pos="8480"/>
        </w:tabs>
        <w:rPr>
          <w:rStyle w:val="Lienhypertexte"/>
          <w:rFonts w:cs="Calibri"/>
          <w:color w:val="auto"/>
          <w:sz w:val="24"/>
          <w:szCs w:val="24"/>
          <w:u w:val="none"/>
          <w:lang w:val="fr-FR"/>
        </w:rPr>
      </w:pPr>
      <w:r>
        <w:rPr>
          <w:rStyle w:val="Lienhypertexte"/>
          <w:rFonts w:cs="Calibri"/>
          <w:color w:val="auto"/>
          <w:sz w:val="24"/>
          <w:szCs w:val="24"/>
          <w:u w:val="none"/>
          <w:lang w:val="fr-FR"/>
        </w:rPr>
        <w:t>Figure 1.1: Répartition régionale des réserves minérales en République démocratique du Congo (source : © 2015 Nations Unies)…………………………………………………………..……..…….30</w:t>
      </w:r>
    </w:p>
    <w:p w:rsidR="0089405D" w:rsidRDefault="003468E2">
      <w:pPr>
        <w:pStyle w:val="TM1"/>
        <w:tabs>
          <w:tab w:val="clear" w:pos="8480"/>
        </w:tabs>
        <w:rPr>
          <w:rStyle w:val="Lienhypertexte"/>
          <w:rFonts w:cs="Calibri"/>
          <w:color w:val="auto"/>
          <w:sz w:val="24"/>
          <w:szCs w:val="24"/>
          <w:u w:val="none"/>
          <w:lang w:val="fr-FR"/>
        </w:rPr>
      </w:pPr>
      <w:r>
        <w:rPr>
          <w:rStyle w:val="Lienhypertexte"/>
          <w:rFonts w:cs="Calibri"/>
          <w:color w:val="auto"/>
          <w:sz w:val="24"/>
          <w:szCs w:val="24"/>
          <w:u w:val="none"/>
          <w:lang w:val="fr-FR"/>
        </w:rPr>
        <w:t>Figure 1.2 : Les dragues robots de la société « Xiang Jiang Mining SARL » dans ’exploration sur la rivière Aruwimi, territoire de Basoko (Photo M. Makwatu, 2020)………………………………………………………………………………………………….…………..……………38</w:t>
      </w:r>
    </w:p>
    <w:p w:rsidR="0089405D" w:rsidRDefault="003468E2">
      <w:pPr>
        <w:pStyle w:val="TM1"/>
        <w:tabs>
          <w:tab w:val="clear" w:pos="8480"/>
        </w:tabs>
        <w:rPr>
          <w:rStyle w:val="Lienhypertexte"/>
          <w:rFonts w:cs="Calibri"/>
          <w:color w:val="auto"/>
          <w:sz w:val="24"/>
          <w:szCs w:val="24"/>
          <w:u w:val="none"/>
          <w:lang w:val="fr-FR"/>
        </w:rPr>
      </w:pPr>
      <w:r>
        <w:rPr>
          <w:rStyle w:val="Lienhypertexte"/>
          <w:rFonts w:cs="Calibri"/>
          <w:color w:val="auto"/>
          <w:sz w:val="24"/>
          <w:szCs w:val="24"/>
          <w:u w:val="none"/>
          <w:lang w:val="fr-FR"/>
        </w:rPr>
        <w:t>Figure 1.3 : Détecteur aurifère installé dans des dragues robots de la société « Xiang Jiang Mining SARL » dans le port de Yangoma, territoire de Basoko (Photo M. Silencieuse, 2019)………..……………………………………………………………………………………………..…………………..39</w:t>
      </w:r>
    </w:p>
    <w:p w:rsidR="0089405D" w:rsidRDefault="003468E2">
      <w:pPr>
        <w:pStyle w:val="TM1"/>
        <w:tabs>
          <w:tab w:val="clear" w:pos="8480"/>
        </w:tabs>
        <w:rPr>
          <w:rFonts w:ascii="Calibri" w:hAnsi="Calibri" w:cs="Calibri"/>
          <w:sz w:val="24"/>
          <w:szCs w:val="24"/>
          <w:lang w:val="fr-FR"/>
        </w:rPr>
      </w:pPr>
      <w:r>
        <w:rPr>
          <w:rFonts w:ascii="Calibri" w:hAnsi="Calibri" w:cs="Calibri"/>
          <w:sz w:val="24"/>
          <w:szCs w:val="24"/>
          <w:lang w:val="fr-FR"/>
        </w:rPr>
        <w:t>Figure 2.1. : Voyage de sensibilisation des leaders locaux sur les conséquences d’exploitation minières pour la sauvegarde de l’écosystème aquatique et ses services (Photo M. Silencieuse, 2009)…………….…………………………………………………………………………..59</w:t>
      </w:r>
    </w:p>
    <w:p w:rsidR="0089405D" w:rsidRDefault="007E319F">
      <w:pPr>
        <w:pStyle w:val="TM1"/>
        <w:tabs>
          <w:tab w:val="clear" w:pos="8480"/>
        </w:tabs>
        <w:rPr>
          <w:rFonts w:ascii="Calibri" w:hAnsi="Calibri" w:cs="Calibri"/>
          <w:sz w:val="24"/>
          <w:szCs w:val="24"/>
          <w:lang w:val="fr-FR" w:eastAsia="fr-FR"/>
        </w:rPr>
      </w:pPr>
      <w:hyperlink w:anchor="_Toc127187492" w:history="1">
        <w:r w:rsidR="003468E2">
          <w:rPr>
            <w:rStyle w:val="Lienhypertexte"/>
            <w:rFonts w:cs="Calibri"/>
            <w:bCs/>
            <w:iCs/>
            <w:sz w:val="24"/>
            <w:szCs w:val="24"/>
            <w:lang w:val="fr-FR"/>
          </w:rPr>
          <w:t>Figure 4.1 : Exploitation aurifère artisanale dans la rivière Aruwimi en territoire de Basoko (Photo. Archives du Service de Mine et cadastre territorial).</w:t>
        </w:r>
        <w:r w:rsidR="003468E2">
          <w:rPr>
            <w:rFonts w:ascii="Calibri" w:hAnsi="Calibri" w:cs="Calibri"/>
            <w:webHidden/>
            <w:sz w:val="24"/>
            <w:szCs w:val="24"/>
            <w:lang w:val="fr-FR"/>
          </w:rPr>
          <w:tab/>
        </w:r>
      </w:hyperlink>
      <w:r w:rsidR="003468E2">
        <w:rPr>
          <w:rFonts w:ascii="Calibri" w:hAnsi="Calibri" w:cs="Calibri"/>
          <w:sz w:val="24"/>
          <w:szCs w:val="24"/>
        </w:rPr>
        <w:t>91</w:t>
      </w:r>
    </w:p>
    <w:p w:rsidR="0089405D" w:rsidRDefault="007E319F">
      <w:pPr>
        <w:pStyle w:val="TM1"/>
        <w:tabs>
          <w:tab w:val="clear" w:pos="8480"/>
        </w:tabs>
        <w:rPr>
          <w:rFonts w:ascii="Calibri" w:hAnsi="Calibri" w:cs="Calibri"/>
          <w:sz w:val="24"/>
          <w:szCs w:val="24"/>
          <w:lang w:val="fr-FR" w:eastAsia="fr-FR"/>
        </w:rPr>
      </w:pPr>
      <w:hyperlink w:anchor="_Toc127187495" w:history="1">
        <w:r w:rsidR="003468E2">
          <w:rPr>
            <w:rStyle w:val="Lienhypertexte"/>
            <w:rFonts w:cs="Calibri"/>
            <w:sz w:val="24"/>
            <w:szCs w:val="24"/>
            <w:lang w:val="fr-FR"/>
          </w:rPr>
          <w:t>Figure 4.2. Carte du Territoire de Basoko : Chefferies, Secteurs  et site prévu pour l’exploitation semi-industrielle minière par la société Xiang (Source : Carte CAID «Cellule » d’Analyses des Indices de Développement, modifiée).</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_Toc127187495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92</w:t>
        </w:r>
        <w:r w:rsidR="003468E2">
          <w:rPr>
            <w:rFonts w:ascii="Calibri" w:hAnsi="Calibri" w:cs="Calibri"/>
            <w:webHidden/>
            <w:sz w:val="24"/>
            <w:szCs w:val="24"/>
          </w:rPr>
          <w:fldChar w:fldCharType="end"/>
        </w:r>
      </w:hyperlink>
    </w:p>
    <w:p w:rsidR="0089405D" w:rsidRDefault="007E319F">
      <w:pPr>
        <w:pStyle w:val="TM1"/>
        <w:tabs>
          <w:tab w:val="clear" w:pos="8480"/>
        </w:tabs>
        <w:rPr>
          <w:rFonts w:ascii="Calibri" w:hAnsi="Calibri" w:cs="Calibri"/>
          <w:sz w:val="24"/>
          <w:szCs w:val="24"/>
          <w:lang w:val="fr-FR" w:eastAsia="fr-FR"/>
        </w:rPr>
      </w:pPr>
      <w:hyperlink w:anchor="_Toc127187496" w:history="1">
        <w:r w:rsidR="003468E2">
          <w:rPr>
            <w:rStyle w:val="Lienhypertexte"/>
            <w:rFonts w:cs="Calibri"/>
            <w:sz w:val="24"/>
            <w:szCs w:val="24"/>
            <w:lang w:val="fr-FR"/>
          </w:rPr>
          <w:t>Figure 4.3. Terrain frivole et accidenté du village Liambe (Photo M. Silencieuse, 2019, 2020)</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_Toc127187496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93</w:t>
        </w:r>
        <w:r w:rsidR="003468E2">
          <w:rPr>
            <w:rFonts w:ascii="Calibri" w:hAnsi="Calibri" w:cs="Calibri"/>
            <w:webHidden/>
            <w:sz w:val="24"/>
            <w:szCs w:val="24"/>
          </w:rPr>
          <w:fldChar w:fldCharType="end"/>
        </w:r>
      </w:hyperlink>
      <w:r w:rsidR="003468E2">
        <w:rPr>
          <w:rFonts w:ascii="Calibri" w:hAnsi="Calibri" w:cs="Calibri"/>
          <w:sz w:val="24"/>
          <w:szCs w:val="24"/>
        </w:rPr>
        <w:t>3</w:t>
      </w:r>
    </w:p>
    <w:p w:rsidR="0089405D" w:rsidRDefault="007E319F">
      <w:pPr>
        <w:pStyle w:val="TM1"/>
        <w:tabs>
          <w:tab w:val="clear" w:pos="8480"/>
        </w:tabs>
        <w:rPr>
          <w:rFonts w:ascii="Calibri" w:hAnsi="Calibri" w:cs="Calibri"/>
          <w:sz w:val="24"/>
          <w:szCs w:val="24"/>
          <w:lang w:val="fr-FR" w:eastAsia="fr-FR"/>
        </w:rPr>
      </w:pPr>
      <w:hyperlink w:anchor="_Toc127187497" w:history="1">
        <w:r w:rsidR="003468E2">
          <w:rPr>
            <w:rStyle w:val="Lienhypertexte"/>
            <w:rFonts w:cs="Calibri"/>
            <w:sz w:val="24"/>
            <w:szCs w:val="24"/>
            <w:lang w:val="fr-FR"/>
          </w:rPr>
          <w:t xml:space="preserve">Figure 4.4. A Gauche, terrain superficiel du village Yakoyo, riverain sur rivière Aruwimi </w:t>
        </w:r>
      </w:hyperlink>
      <w:hyperlink w:anchor="_Toc127187498" w:history="1">
        <w:r w:rsidR="003468E2">
          <w:rPr>
            <w:rStyle w:val="Lienhypertexte"/>
            <w:rFonts w:cs="Calibri"/>
            <w:sz w:val="24"/>
            <w:szCs w:val="24"/>
            <w:lang w:val="fr-FR"/>
          </w:rPr>
          <w:t>(</w:t>
        </w:r>
        <w:r w:rsidR="003468E2">
          <w:t xml:space="preserve"> </w:t>
        </w:r>
        <w:r w:rsidR="003468E2">
          <w:rPr>
            <w:rStyle w:val="Lienhypertexte"/>
            <w:rFonts w:cs="Calibri"/>
            <w:sz w:val="24"/>
            <w:szCs w:val="24"/>
            <w:lang w:val="fr-FR"/>
          </w:rPr>
          <w:t>Photo M. Silencieuse, 2019)</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_Toc127187498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94</w:t>
        </w:r>
        <w:r w:rsidR="003468E2">
          <w:rPr>
            <w:rFonts w:ascii="Calibri" w:hAnsi="Calibri" w:cs="Calibri"/>
            <w:webHidden/>
            <w:sz w:val="24"/>
            <w:szCs w:val="24"/>
          </w:rPr>
          <w:fldChar w:fldCharType="end"/>
        </w:r>
      </w:hyperlink>
    </w:p>
    <w:p w:rsidR="0089405D" w:rsidRDefault="007E319F">
      <w:pPr>
        <w:pStyle w:val="TM1"/>
        <w:tabs>
          <w:tab w:val="clear" w:pos="8480"/>
        </w:tabs>
        <w:rPr>
          <w:rFonts w:ascii="Calibri" w:hAnsi="Calibri" w:cs="Calibri"/>
          <w:sz w:val="24"/>
          <w:szCs w:val="24"/>
          <w:lang w:val="fr-FR" w:eastAsia="fr-FR"/>
        </w:rPr>
      </w:pPr>
      <w:hyperlink w:anchor="_Toc127187499" w:history="1">
        <w:r w:rsidR="003468E2">
          <w:rPr>
            <w:rStyle w:val="Lienhypertexte"/>
            <w:rFonts w:cs="Calibri"/>
            <w:sz w:val="24"/>
            <w:szCs w:val="24"/>
            <w:lang w:val="fr-FR"/>
          </w:rPr>
          <w:t xml:space="preserve">Figure 4.5.  A Droite, terrain superficiel du village Baonde, riverain sur rivière Aruwimi </w:t>
        </w:r>
      </w:hyperlink>
      <w:hyperlink w:anchor="_Toc127187500" w:history="1">
        <w:r w:rsidR="003468E2">
          <w:rPr>
            <w:rStyle w:val="Lienhypertexte"/>
            <w:rFonts w:cs="Calibri"/>
            <w:sz w:val="24"/>
            <w:szCs w:val="24"/>
            <w:lang w:val="fr-FR"/>
          </w:rPr>
          <w:t>(</w:t>
        </w:r>
        <w:r w:rsidR="003468E2">
          <w:t xml:space="preserve"> </w:t>
        </w:r>
        <w:r w:rsidR="003468E2">
          <w:rPr>
            <w:rStyle w:val="Lienhypertexte"/>
            <w:rFonts w:cs="Calibri"/>
            <w:sz w:val="24"/>
            <w:szCs w:val="24"/>
            <w:lang w:val="fr-FR"/>
          </w:rPr>
          <w:t>Photo M. Silencieuse, 2019)</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_Toc127187500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94</w:t>
        </w:r>
        <w:r w:rsidR="003468E2">
          <w:rPr>
            <w:rFonts w:ascii="Calibri" w:hAnsi="Calibri" w:cs="Calibri"/>
            <w:webHidden/>
            <w:sz w:val="24"/>
            <w:szCs w:val="24"/>
          </w:rPr>
          <w:fldChar w:fldCharType="end"/>
        </w:r>
      </w:hyperlink>
    </w:p>
    <w:p w:rsidR="0089405D" w:rsidRDefault="007E319F">
      <w:pPr>
        <w:pStyle w:val="TM1"/>
        <w:tabs>
          <w:tab w:val="clear" w:pos="8480"/>
        </w:tabs>
        <w:rPr>
          <w:rFonts w:ascii="Calibri" w:hAnsi="Calibri" w:cs="Calibri"/>
          <w:sz w:val="24"/>
          <w:szCs w:val="24"/>
          <w:lang w:val="fr-FR" w:eastAsia="fr-FR"/>
        </w:rPr>
      </w:pPr>
      <w:hyperlink w:anchor="_Toc127187504" w:history="1">
        <w:r w:rsidR="003468E2">
          <w:rPr>
            <w:rStyle w:val="Lienhypertexte"/>
            <w:rFonts w:cs="Calibri"/>
            <w:sz w:val="24"/>
            <w:szCs w:val="24"/>
            <w:lang w:val="fr-FR"/>
          </w:rPr>
          <w:t>Figure 4.6. Carte du territoire de Basoko, noms des principaux villages (source : Carte générale de la planification).</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_Toc127187504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97</w:t>
        </w:r>
        <w:r w:rsidR="003468E2">
          <w:rPr>
            <w:rFonts w:ascii="Calibri" w:hAnsi="Calibri" w:cs="Calibri"/>
            <w:webHidden/>
            <w:sz w:val="24"/>
            <w:szCs w:val="24"/>
          </w:rPr>
          <w:fldChar w:fldCharType="end"/>
        </w:r>
      </w:hyperlink>
    </w:p>
    <w:p w:rsidR="0089405D" w:rsidRDefault="003468E2">
      <w:pPr>
        <w:pStyle w:val="TM1"/>
        <w:tabs>
          <w:tab w:val="right" w:leader="dot" w:pos="8647"/>
        </w:tabs>
        <w:rPr>
          <w:rFonts w:ascii="Calibri" w:hAnsi="Calibri" w:cs="Calibri"/>
          <w:sz w:val="24"/>
          <w:szCs w:val="24"/>
          <w:lang w:val="fr-FR"/>
        </w:rPr>
      </w:pPr>
      <w:r>
        <w:rPr>
          <w:rFonts w:ascii="Calibri" w:hAnsi="Calibri" w:cs="Calibri"/>
          <w:sz w:val="24"/>
          <w:szCs w:val="24"/>
          <w:lang w:val="fr-FR"/>
        </w:rPr>
        <w:t>Figure 4.7. A gauche, les rapide de Lohale (Source : Carte CAID «Cellule d’Analyses des Indices de Développement, modifiée)…………………………………………………………………………101</w:t>
      </w:r>
    </w:p>
    <w:p w:rsidR="0089405D" w:rsidRDefault="003468E2">
      <w:pPr>
        <w:pStyle w:val="TM1"/>
        <w:tabs>
          <w:tab w:val="right" w:leader="dot" w:pos="8647"/>
        </w:tabs>
        <w:rPr>
          <w:rFonts w:ascii="Calibri" w:hAnsi="Calibri" w:cs="Calibri"/>
          <w:sz w:val="24"/>
          <w:szCs w:val="24"/>
          <w:lang w:val="fr-FR"/>
        </w:rPr>
      </w:pPr>
      <w:r>
        <w:rPr>
          <w:rFonts w:ascii="Calibri" w:hAnsi="Calibri" w:cs="Calibri"/>
          <w:sz w:val="24"/>
          <w:szCs w:val="24"/>
          <w:lang w:val="fr-FR"/>
        </w:rPr>
        <w:t>Figure 4.8. A droite, les rapides Matale avec un pont traditionnel (Source : Carte CAID «Cellule d’Analyses des Indices de Développement, modifiée).</w:t>
      </w:r>
      <w:r>
        <w:rPr>
          <w:lang w:val="fr-FR"/>
        </w:rPr>
        <w:t xml:space="preserve"> </w:t>
      </w:r>
      <w:r>
        <w:rPr>
          <w:rFonts w:ascii="Calibri" w:hAnsi="Calibri" w:cs="Calibri"/>
          <w:sz w:val="24"/>
          <w:szCs w:val="24"/>
          <w:lang w:val="fr-FR"/>
        </w:rPr>
        <w:t>…………………………………101</w:t>
      </w:r>
    </w:p>
    <w:p w:rsidR="0089405D" w:rsidRDefault="003468E2">
      <w:pPr>
        <w:pStyle w:val="TM1"/>
        <w:tabs>
          <w:tab w:val="clear" w:pos="8480"/>
        </w:tabs>
        <w:rPr>
          <w:rFonts w:ascii="Calibri" w:hAnsi="Calibri" w:cs="Calibri"/>
          <w:sz w:val="24"/>
          <w:szCs w:val="24"/>
          <w:lang w:val="fr-FR"/>
        </w:rPr>
      </w:pPr>
      <w:r>
        <w:rPr>
          <w:rFonts w:ascii="Calibri" w:hAnsi="Calibri" w:cs="Calibri"/>
          <w:sz w:val="24"/>
          <w:szCs w:val="24"/>
          <w:lang w:val="fr-FR"/>
        </w:rPr>
        <w:t>Figure 4.9. Le mur anti-esclavagiste (ou vestige dudit mur et du 1er camp militaire belge au Congo contre les esclavagistes, les archives du Territoire de Basoko).</w:t>
      </w:r>
      <w:r>
        <w:rPr>
          <w:lang w:val="fr-FR"/>
        </w:rPr>
        <w:t xml:space="preserve"> </w:t>
      </w:r>
      <w:r>
        <w:rPr>
          <w:rFonts w:ascii="Calibri" w:hAnsi="Calibri" w:cs="Calibri"/>
          <w:sz w:val="24"/>
          <w:szCs w:val="24"/>
          <w:lang w:val="fr-FR"/>
        </w:rPr>
        <w:t>……………….…101</w:t>
      </w:r>
    </w:p>
    <w:p w:rsidR="0089405D" w:rsidRDefault="007E319F">
      <w:pPr>
        <w:pStyle w:val="TM1"/>
        <w:tabs>
          <w:tab w:val="clear" w:pos="8480"/>
        </w:tabs>
        <w:rPr>
          <w:rFonts w:ascii="Calibri" w:hAnsi="Calibri" w:cs="Calibri"/>
          <w:sz w:val="24"/>
          <w:szCs w:val="24"/>
          <w:lang w:val="fr-FR" w:eastAsia="fr-FR"/>
        </w:rPr>
      </w:pPr>
      <w:hyperlink w:anchor="_Toc127187508" w:history="1">
        <w:r w:rsidR="003468E2">
          <w:rPr>
            <w:rStyle w:val="Lienhypertexte"/>
            <w:rFonts w:cs="Calibri"/>
            <w:sz w:val="24"/>
            <w:szCs w:val="24"/>
            <w:lang w:val="fr-FR"/>
          </w:rPr>
          <w:t>Figure 4.10. Église sainte Marie de Basoko (à droite, deux facettes et à gauche entrée principale, (Photo Mangambu, 2017)</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_Toc127187508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102</w:t>
        </w:r>
        <w:r w:rsidR="003468E2">
          <w:rPr>
            <w:rFonts w:ascii="Calibri" w:hAnsi="Calibri" w:cs="Calibri"/>
            <w:webHidden/>
            <w:sz w:val="24"/>
            <w:szCs w:val="24"/>
          </w:rPr>
          <w:fldChar w:fldCharType="end"/>
        </w:r>
      </w:hyperlink>
    </w:p>
    <w:p w:rsidR="0089405D" w:rsidRDefault="007E319F">
      <w:pPr>
        <w:pStyle w:val="TM1"/>
        <w:tabs>
          <w:tab w:val="clear" w:pos="8480"/>
        </w:tabs>
        <w:rPr>
          <w:rFonts w:ascii="Calibri" w:hAnsi="Calibri" w:cs="Calibri"/>
          <w:sz w:val="24"/>
          <w:szCs w:val="24"/>
          <w:lang w:val="fr-FR" w:eastAsia="fr-FR"/>
        </w:rPr>
      </w:pPr>
      <w:hyperlink w:anchor="_Toc127187519" w:history="1">
        <w:r w:rsidR="003468E2">
          <w:rPr>
            <w:rStyle w:val="Lienhypertexte"/>
            <w:rFonts w:eastAsia="Times New Roman" w:cs="Calibri"/>
            <w:sz w:val="24"/>
            <w:szCs w:val="24"/>
            <w:lang w:val="fr-FR" w:eastAsia="fr-FR"/>
          </w:rPr>
          <w:t>Figure 5.1.La population de Basoko dit non à l’exploitation des minerais par la Société Xiang Jiang Mining SARL à Liambe (photo MS)</w:t>
        </w:r>
        <w:r w:rsidR="003468E2">
          <w:rPr>
            <w:rFonts w:ascii="Calibri" w:hAnsi="Calibri" w:cs="Calibri"/>
            <w:webHidden/>
            <w:sz w:val="24"/>
            <w:szCs w:val="24"/>
          </w:rPr>
          <w:tab/>
        </w:r>
        <w:r w:rsidR="003468E2">
          <w:rPr>
            <w:rFonts w:ascii="Calibri" w:hAnsi="Calibri" w:cs="Calibri"/>
            <w:webHidden/>
            <w:sz w:val="24"/>
            <w:szCs w:val="24"/>
          </w:rPr>
          <w:fldChar w:fldCharType="begin"/>
        </w:r>
        <w:r w:rsidR="003468E2">
          <w:rPr>
            <w:rFonts w:ascii="Calibri" w:hAnsi="Calibri" w:cs="Calibri"/>
            <w:webHidden/>
            <w:sz w:val="24"/>
            <w:szCs w:val="24"/>
          </w:rPr>
          <w:instrText xml:space="preserve"> PAGEREF _Toc127187519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rPr>
          <w:t>117</w:t>
        </w:r>
        <w:r w:rsidR="003468E2">
          <w:rPr>
            <w:rFonts w:ascii="Calibri" w:hAnsi="Calibri" w:cs="Calibri"/>
            <w:webHidden/>
            <w:sz w:val="24"/>
            <w:szCs w:val="24"/>
          </w:rPr>
          <w:fldChar w:fldCharType="end"/>
        </w:r>
      </w:hyperlink>
    </w:p>
    <w:p w:rsidR="0089405D" w:rsidRDefault="007E319F">
      <w:pPr>
        <w:pStyle w:val="TM1"/>
        <w:tabs>
          <w:tab w:val="clear" w:pos="8480"/>
        </w:tabs>
        <w:rPr>
          <w:rStyle w:val="Lienhypertexte"/>
          <w:rFonts w:cs="Calibri"/>
          <w:color w:val="auto"/>
          <w:sz w:val="24"/>
          <w:szCs w:val="24"/>
          <w:u w:val="none"/>
          <w:lang w:val="fr-FR"/>
        </w:rPr>
      </w:pPr>
      <w:hyperlink w:anchor="_Toc127187577" w:history="1">
        <w:r w:rsidR="003468E2">
          <w:rPr>
            <w:rFonts w:ascii="Calibri" w:hAnsi="Calibri" w:cs="Calibri"/>
            <w:sz w:val="24"/>
            <w:szCs w:val="24"/>
            <w:lang w:val="fr-FR"/>
          </w:rPr>
          <w:t>Figure 6.1. Focus de sensibilisation des leaders locaux sur les conséquences d’exploitation minières pour la sauvegarde de l’écosystème aquatique et ses services (Photo M. Silencieuse, 2009)....………………………………………………………..………………………………………….13</w:t>
        </w:r>
      </w:hyperlink>
      <w:r w:rsidR="003468E2">
        <w:rPr>
          <w:rFonts w:ascii="Calibri" w:hAnsi="Calibri" w:cs="Calibri"/>
          <w:sz w:val="24"/>
          <w:szCs w:val="24"/>
          <w:lang w:val="fr-FR"/>
        </w:rPr>
        <w:t>5</w:t>
      </w:r>
    </w:p>
    <w:p w:rsidR="0089405D" w:rsidRDefault="007E319F">
      <w:pPr>
        <w:pStyle w:val="TM1"/>
        <w:tabs>
          <w:tab w:val="clear" w:pos="8480"/>
        </w:tabs>
        <w:rPr>
          <w:rFonts w:ascii="Calibri" w:hAnsi="Calibri" w:cs="Calibri"/>
          <w:sz w:val="24"/>
          <w:szCs w:val="24"/>
          <w:lang w:val="fr-FR" w:eastAsia="fr-FR"/>
        </w:rPr>
      </w:pPr>
      <w:hyperlink w:anchor="_Toc127187576" w:history="1">
        <w:r w:rsidR="003468E2">
          <w:rPr>
            <w:rStyle w:val="Lienhypertexte"/>
            <w:rFonts w:eastAsia="Times New Roman" w:cs="Calibri"/>
            <w:color w:val="auto"/>
            <w:sz w:val="24"/>
            <w:szCs w:val="24"/>
            <w:lang w:val="fr-FR" w:eastAsia="fr-FR"/>
          </w:rPr>
          <w:t>Figure 6.2 : La destruction de belge de la rivière Aruwimi aux environs de la Localité de Likombe, Territoire de Basoko (Photo M.Silience, 2019).</w:t>
        </w:r>
        <w:r w:rsidR="003468E2">
          <w:rPr>
            <w:rFonts w:ascii="Calibri" w:hAnsi="Calibri" w:cs="Calibri"/>
            <w:webHidden/>
            <w:sz w:val="24"/>
            <w:szCs w:val="24"/>
            <w:lang w:val="fr-FR"/>
          </w:rPr>
          <w:tab/>
        </w:r>
        <w:r w:rsidR="003468E2">
          <w:rPr>
            <w:rFonts w:ascii="Calibri" w:hAnsi="Calibri" w:cs="Calibri"/>
            <w:webHidden/>
            <w:sz w:val="24"/>
            <w:szCs w:val="24"/>
          </w:rPr>
          <w:fldChar w:fldCharType="begin"/>
        </w:r>
        <w:r w:rsidR="003468E2">
          <w:rPr>
            <w:rFonts w:ascii="Calibri" w:hAnsi="Calibri" w:cs="Calibri"/>
            <w:webHidden/>
            <w:sz w:val="24"/>
            <w:szCs w:val="24"/>
            <w:lang w:val="fr-FR"/>
          </w:rPr>
          <w:instrText xml:space="preserve"> PAGEREF _Toc127187576 \h </w:instrText>
        </w:r>
        <w:r w:rsidR="003468E2">
          <w:rPr>
            <w:rFonts w:ascii="Calibri" w:hAnsi="Calibri" w:cs="Calibri"/>
            <w:webHidden/>
            <w:sz w:val="24"/>
            <w:szCs w:val="24"/>
          </w:rPr>
        </w:r>
        <w:r w:rsidR="003468E2">
          <w:rPr>
            <w:rFonts w:ascii="Calibri" w:hAnsi="Calibri" w:cs="Calibri"/>
            <w:webHidden/>
            <w:sz w:val="24"/>
            <w:szCs w:val="24"/>
          </w:rPr>
          <w:fldChar w:fldCharType="separate"/>
        </w:r>
        <w:r w:rsidR="003468E2">
          <w:rPr>
            <w:rFonts w:ascii="Calibri" w:hAnsi="Calibri" w:cs="Calibri"/>
            <w:webHidden/>
            <w:sz w:val="24"/>
            <w:szCs w:val="24"/>
            <w:lang w:val="fr-FR"/>
          </w:rPr>
          <w:t>150</w:t>
        </w:r>
        <w:r w:rsidR="003468E2">
          <w:rPr>
            <w:rFonts w:ascii="Calibri" w:hAnsi="Calibri" w:cs="Calibri"/>
            <w:webHidden/>
            <w:sz w:val="24"/>
            <w:szCs w:val="24"/>
          </w:rPr>
          <w:fldChar w:fldCharType="end"/>
        </w:r>
      </w:hyperlink>
    </w:p>
    <w:p w:rsidR="0089405D" w:rsidRDefault="003468E2">
      <w:pPr>
        <w:tabs>
          <w:tab w:val="right" w:leader="dot" w:pos="8647"/>
          <w:tab w:val="right" w:leader="dot" w:pos="9072"/>
        </w:tabs>
        <w:spacing w:after="0" w:line="312" w:lineRule="auto"/>
        <w:jc w:val="both"/>
        <w:rPr>
          <w:rFonts w:eastAsia="Times New Roman" w:cs="Calibri"/>
          <w:b/>
          <w:sz w:val="24"/>
          <w:szCs w:val="24"/>
          <w:lang w:val="fr-FR" w:eastAsia="fr-FR"/>
        </w:rPr>
      </w:pPr>
      <w:r>
        <w:rPr>
          <w:rFonts w:eastAsia="Times New Roman" w:cs="Calibri"/>
          <w:sz w:val="24"/>
          <w:szCs w:val="24"/>
          <w:lang w:val="fr-FR" w:eastAsia="fr-FR"/>
        </w:rPr>
        <w:fldChar w:fldCharType="end"/>
      </w:r>
    </w:p>
    <w:p w:rsidR="0089405D" w:rsidRDefault="0089405D">
      <w:pPr>
        <w:tabs>
          <w:tab w:val="right" w:leader="dot" w:pos="8647"/>
        </w:tabs>
        <w:spacing w:after="0" w:line="312" w:lineRule="auto"/>
        <w:rPr>
          <w:rFonts w:eastAsia="Times New Roman" w:cs="Calibri"/>
          <w:b/>
          <w:sz w:val="24"/>
          <w:szCs w:val="24"/>
          <w:lang w:val="fr-FR" w:eastAsia="fr-FR"/>
        </w:rPr>
      </w:pPr>
    </w:p>
    <w:p w:rsidR="0089405D" w:rsidRDefault="003468E2">
      <w:pPr>
        <w:tabs>
          <w:tab w:val="right" w:leader="dot" w:pos="8647"/>
        </w:tabs>
        <w:spacing w:after="0" w:line="312" w:lineRule="auto"/>
        <w:rPr>
          <w:rFonts w:eastAsia="Times New Roman" w:cs="Calibri"/>
          <w:b/>
          <w:sz w:val="24"/>
          <w:szCs w:val="24"/>
          <w:lang w:val="fr-FR" w:eastAsia="fr-FR"/>
        </w:rPr>
      </w:pPr>
      <w:r>
        <w:rPr>
          <w:rFonts w:eastAsia="Times New Roman" w:cs="Calibri"/>
          <w:b/>
          <w:sz w:val="24"/>
          <w:szCs w:val="24"/>
          <w:lang w:val="fr-FR" w:eastAsia="fr-FR"/>
        </w:rPr>
        <w:br w:type="page"/>
      </w:r>
    </w:p>
    <w:p w:rsidR="0089405D" w:rsidRDefault="0089405D">
      <w:pPr>
        <w:tabs>
          <w:tab w:val="right" w:leader="dot" w:pos="8647"/>
        </w:tabs>
        <w:spacing w:after="0" w:line="312" w:lineRule="auto"/>
        <w:jc w:val="both"/>
        <w:rPr>
          <w:rFonts w:eastAsia="Times New Roman" w:cs="Calibri"/>
          <w:b/>
          <w:sz w:val="24"/>
          <w:szCs w:val="24"/>
          <w:lang w:val="fr-FR" w:eastAsia="fr-FR"/>
        </w:rPr>
        <w:sectPr w:rsidR="0089405D">
          <w:pgSz w:w="11906" w:h="16838"/>
          <w:pgMar w:top="1440" w:right="1440" w:bottom="1440" w:left="1800" w:header="709" w:footer="709" w:gutter="0"/>
          <w:pgNumType w:fmt="lowerRoman" w:start="23"/>
          <w:cols w:space="720"/>
          <w:docGrid w:linePitch="299"/>
        </w:sectPr>
      </w:pPr>
    </w:p>
    <w:p w:rsidR="0089405D" w:rsidRDefault="003468E2">
      <w:pPr>
        <w:pStyle w:val="Titre1"/>
        <w:spacing w:before="0" w:line="312" w:lineRule="auto"/>
        <w:jc w:val="center"/>
        <w:rPr>
          <w:rFonts w:cs="Calibri"/>
          <w:color w:val="auto"/>
          <w:sz w:val="36"/>
          <w:szCs w:val="36"/>
          <w:lang w:val="fr-FR"/>
        </w:rPr>
      </w:pPr>
      <w:bookmarkStart w:id="32" w:name="_Toc79392931"/>
      <w:bookmarkStart w:id="33" w:name="_Toc111888566"/>
      <w:bookmarkStart w:id="34" w:name="_Toc127187153"/>
      <w:bookmarkStart w:id="35" w:name="_Toc127187430"/>
      <w:bookmarkStart w:id="36" w:name="_Toc127432187"/>
      <w:r>
        <w:rPr>
          <w:rFonts w:eastAsia="Times New Roman" w:cs="Calibri"/>
          <w:b/>
          <w:color w:val="auto"/>
          <w:sz w:val="36"/>
          <w:szCs w:val="36"/>
          <w:lang w:val="fr-FR" w:eastAsia="fr-FR"/>
        </w:rPr>
        <w:lastRenderedPageBreak/>
        <w:t>INTRODUCTION</w:t>
      </w:r>
      <w:bookmarkEnd w:id="31"/>
      <w:r>
        <w:rPr>
          <w:rFonts w:eastAsia="Times New Roman" w:cs="Calibri"/>
          <w:b/>
          <w:color w:val="auto"/>
          <w:sz w:val="36"/>
          <w:szCs w:val="36"/>
          <w:lang w:val="fr-FR" w:eastAsia="fr-FR"/>
        </w:rPr>
        <w:t xml:space="preserve"> GENERALE</w:t>
      </w:r>
      <w:bookmarkEnd w:id="32"/>
      <w:bookmarkEnd w:id="33"/>
      <w:bookmarkEnd w:id="34"/>
      <w:bookmarkEnd w:id="35"/>
      <w:bookmarkEnd w:id="36"/>
    </w:p>
    <w:p w:rsidR="0089405D" w:rsidRDefault="0089405D">
      <w:pPr>
        <w:pStyle w:val="Titre1"/>
        <w:spacing w:before="0" w:line="312" w:lineRule="auto"/>
        <w:rPr>
          <w:rFonts w:cs="Calibri"/>
          <w:b/>
          <w:color w:val="auto"/>
          <w:sz w:val="28"/>
          <w:szCs w:val="28"/>
          <w:lang w:val="fr-FR"/>
        </w:rPr>
      </w:pPr>
    </w:p>
    <w:p w:rsidR="0089405D" w:rsidRDefault="003468E2">
      <w:pPr>
        <w:pStyle w:val="Titre1"/>
        <w:spacing w:before="0" w:line="312" w:lineRule="auto"/>
        <w:rPr>
          <w:rFonts w:cs="Calibri"/>
          <w:b/>
          <w:color w:val="auto"/>
          <w:sz w:val="28"/>
          <w:szCs w:val="28"/>
          <w:lang w:val="fr-FR"/>
        </w:rPr>
      </w:pPr>
      <w:bookmarkStart w:id="37" w:name="_Toc127182071"/>
      <w:bookmarkStart w:id="38" w:name="_Toc127182797"/>
      <w:bookmarkStart w:id="39" w:name="_Toc127186979"/>
      <w:bookmarkStart w:id="40" w:name="_Toc127187154"/>
      <w:bookmarkStart w:id="41" w:name="_Toc127187431"/>
      <w:bookmarkStart w:id="42" w:name="_Toc127432188"/>
      <w:r>
        <w:rPr>
          <w:rFonts w:cs="Calibri"/>
          <w:b/>
          <w:color w:val="auto"/>
          <w:sz w:val="28"/>
          <w:szCs w:val="28"/>
          <w:lang w:val="fr-FR"/>
        </w:rPr>
        <w:t>Mangambu Mokoso Jean De Dieu</w:t>
      </w:r>
      <w:bookmarkEnd w:id="37"/>
      <w:bookmarkEnd w:id="38"/>
      <w:bookmarkEnd w:id="39"/>
      <w:bookmarkEnd w:id="40"/>
      <w:bookmarkEnd w:id="41"/>
      <w:bookmarkEnd w:id="42"/>
    </w:p>
    <w:p w:rsidR="0089405D" w:rsidRDefault="0089405D">
      <w:pPr>
        <w:pStyle w:val="Titre1"/>
        <w:spacing w:before="0" w:line="312" w:lineRule="auto"/>
        <w:rPr>
          <w:rFonts w:cs="Calibri"/>
          <w:b/>
          <w:color w:val="auto"/>
          <w:sz w:val="24"/>
          <w:szCs w:val="24"/>
          <w:lang w:val="fr-FR"/>
        </w:rPr>
      </w:pPr>
      <w:bookmarkStart w:id="43" w:name="_Toc79392933"/>
      <w:bookmarkStart w:id="44" w:name="_Toc111888568"/>
    </w:p>
    <w:p w:rsidR="0089405D" w:rsidRDefault="003468E2">
      <w:pPr>
        <w:pStyle w:val="Titre1"/>
        <w:spacing w:before="0" w:line="312" w:lineRule="auto"/>
        <w:rPr>
          <w:rFonts w:cs="Calibri"/>
          <w:b/>
          <w:color w:val="auto"/>
          <w:sz w:val="24"/>
          <w:szCs w:val="24"/>
          <w:lang w:val="fr-FR"/>
        </w:rPr>
      </w:pPr>
      <w:bookmarkStart w:id="45" w:name="_Toc127187155"/>
      <w:bookmarkStart w:id="46" w:name="_Toc127187432"/>
      <w:bookmarkStart w:id="47" w:name="_Toc127432189"/>
      <w:r>
        <w:rPr>
          <w:rFonts w:cs="Calibri"/>
          <w:b/>
          <w:color w:val="auto"/>
          <w:sz w:val="24"/>
          <w:szCs w:val="24"/>
          <w:lang w:val="fr-FR"/>
        </w:rPr>
        <w:t xml:space="preserve">I. L’EXPLOITATION DES </w:t>
      </w:r>
      <w:bookmarkEnd w:id="43"/>
      <w:r>
        <w:rPr>
          <w:rFonts w:cs="Calibri"/>
          <w:b/>
          <w:color w:val="auto"/>
          <w:sz w:val="24"/>
          <w:szCs w:val="24"/>
          <w:lang w:val="fr-FR"/>
        </w:rPr>
        <w:t>RESSOURCES NATURELLES</w:t>
      </w:r>
      <w:bookmarkEnd w:id="44"/>
      <w:bookmarkEnd w:id="45"/>
      <w:bookmarkEnd w:id="46"/>
      <w:bookmarkEnd w:id="47"/>
      <w:r>
        <w:rPr>
          <w:rFonts w:cs="Calibri"/>
          <w:b/>
          <w:color w:val="auto"/>
          <w:sz w:val="24"/>
          <w:szCs w:val="24"/>
          <w:lang w:val="fr-FR"/>
        </w:rPr>
        <w:t xml:space="preserve">  </w:t>
      </w:r>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La gestion des  terres  et  des  ressources  naturelles figure parmi  les  défis  auxquels  les  pays  en  développement  sont  confrontés  aujourd’hui.  L’exploitation  des  ressources  naturelles, qu’il s’agisse des hydrocarbures, du gaz, des minéraux ou des bois, a souvent été associée à la genèse, à l’escalade ou à la persistance des conflits violents autour du globe</w:t>
      </w:r>
      <w:r>
        <w:rPr>
          <w:lang w:val="fr-FR"/>
        </w:rPr>
        <w:t xml:space="preserve"> (</w:t>
      </w:r>
      <w:r>
        <w:rPr>
          <w:rFonts w:eastAsia="Times New Roman" w:cs="Calibri"/>
          <w:sz w:val="24"/>
          <w:szCs w:val="24"/>
          <w:lang w:val="fr-FR" w:eastAsia="fr-FR"/>
        </w:rPr>
        <w:t>OCDE</w:t>
      </w:r>
      <w:r>
        <w:rPr>
          <w:rStyle w:val="Appelnotedebasdep"/>
          <w:sz w:val="24"/>
          <w:szCs w:val="24"/>
          <w:lang w:val="fr-FR" w:eastAsia="fr-FR"/>
        </w:rPr>
        <w:footnoteReference w:id="1"/>
      </w:r>
      <w:r>
        <w:rPr>
          <w:rFonts w:eastAsia="Times New Roman" w:cs="Calibri"/>
          <w:sz w:val="24"/>
          <w:szCs w:val="24"/>
          <w:lang w:val="fr-FR" w:eastAsia="fr-FR"/>
        </w:rPr>
        <w:t>, 2016). On observe aussi une prolifération  des  situations  de  concurrence  et  de  conflit  face  à  une  diminution  de  ressources  renouvelables,  notamment  en  eau  et  en  terres</w:t>
      </w:r>
      <w:r>
        <w:rPr>
          <w:rFonts w:cs="Calibri"/>
          <w:lang w:val="fr-FR"/>
        </w:rPr>
        <w:t xml:space="preserve"> (</w:t>
      </w:r>
      <w:r>
        <w:rPr>
          <w:rFonts w:eastAsia="Times New Roman" w:cs="Calibri"/>
          <w:sz w:val="24"/>
          <w:szCs w:val="24"/>
          <w:lang w:val="fr-FR" w:eastAsia="fr-FR"/>
        </w:rPr>
        <w:t xml:space="preserve">Franks,  D. et al., 2010).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D’après Bebbington, A. et al. (2008), aujourd’hui avec des corniches technologiques des dernières décennies dans le domaine de l’industrie minière ont permis une intensification et une augmentation de l’exploitation dans des proportions qui nécessitent de remettre en question les impacts sociaux et environnementaux de ces activités, surtout depuis l’enthousiasme au niveau mondial dans les années 90 pour les ressources minières indispensables dans les Nouvelles Technologies de l'Information et de la Communication (NTIC). </w:t>
      </w:r>
    </w:p>
    <w:p w:rsidR="0089405D" w:rsidRDefault="003468E2">
      <w:pPr>
        <w:spacing w:after="0" w:line="312" w:lineRule="auto"/>
        <w:ind w:firstLine="708"/>
        <w:jc w:val="both"/>
        <w:rPr>
          <w:rFonts w:cs="Calibri"/>
          <w:sz w:val="24"/>
          <w:szCs w:val="24"/>
          <w:lang w:val="fr-FR"/>
        </w:rPr>
      </w:pPr>
      <w:r>
        <w:rPr>
          <w:rFonts w:cs="Calibri"/>
          <w:sz w:val="24"/>
          <w:szCs w:val="24"/>
          <w:lang w:val="fr-FR"/>
        </w:rPr>
        <w:t>La augmentation des prix des matières premières depuis le début des années 2001 et l’aggravation de la production et des exportations des minerais</w:t>
      </w:r>
      <w:r>
        <w:rPr>
          <w:rStyle w:val="Appelnotedebasdep"/>
          <w:sz w:val="24"/>
          <w:szCs w:val="24"/>
          <w:lang w:val="fr-FR"/>
        </w:rPr>
        <w:footnoteReference w:id="2"/>
      </w:r>
      <w:r>
        <w:rPr>
          <w:rFonts w:cs="Calibri"/>
          <w:sz w:val="24"/>
          <w:szCs w:val="24"/>
          <w:lang w:val="fr-FR"/>
        </w:rPr>
        <w:t xml:space="preserve"> qui a suivi ont également participé à la relance de l’intérêt porté à l’industrie extractive, renforçant l’idée que l’exploitation minière est porteuse d’ enrichissement, de développement, de création </w:t>
      </w:r>
      <w:r>
        <w:rPr>
          <w:rFonts w:cs="Calibri"/>
          <w:sz w:val="24"/>
          <w:szCs w:val="24"/>
          <w:lang w:val="fr-FR"/>
        </w:rPr>
        <w:lastRenderedPageBreak/>
        <w:t>d’emplois et de bien-être de la population. Présentée comme réussite à la lutte contre la pauvreté, cette vision est renforcée et soutenue par les organismes financiers internationaux</w:t>
      </w:r>
      <w:r>
        <w:rPr>
          <w:lang w:val="fr-FR"/>
        </w:rPr>
        <w:t xml:space="preserve"> </w:t>
      </w:r>
      <w:r>
        <w:rPr>
          <w:rFonts w:cs="Calibri"/>
          <w:sz w:val="24"/>
          <w:szCs w:val="24"/>
          <w:lang w:val="fr-FR"/>
        </w:rPr>
        <w:t xml:space="preserve">(Anselme, B. et al., 2008). L’extraction minière bénéficie en réalité surtout aux sociétés minières, aux multinationales et aux groupes armés. </w:t>
      </w:r>
    </w:p>
    <w:p w:rsidR="0089405D" w:rsidRDefault="003468E2">
      <w:pPr>
        <w:spacing w:after="0" w:line="312" w:lineRule="auto"/>
        <w:ind w:firstLine="708"/>
        <w:jc w:val="both"/>
        <w:rPr>
          <w:sz w:val="24"/>
          <w:szCs w:val="24"/>
          <w:lang w:val="fr-FR"/>
        </w:rPr>
      </w:pPr>
      <w:r>
        <w:rPr>
          <w:rFonts w:cs="Calibri"/>
          <w:sz w:val="24"/>
          <w:szCs w:val="24"/>
          <w:lang w:val="fr-FR"/>
        </w:rPr>
        <w:t xml:space="preserve">Les pays exportateurs riches en ressources naturelles sont en majorité des pays en développement ayant une situation économique et hygiénique délicate. C’est pourquoi le terme de « malédiction des ressources » est souvent utilisé pour décrire cette contradiction. </w:t>
      </w:r>
      <w:r>
        <w:rPr>
          <w:sz w:val="24"/>
          <w:szCs w:val="24"/>
          <w:lang w:val="fr-FR"/>
        </w:rPr>
        <w:t>D’après Gilles, L. (2013) dans son livre les Minerais de guerre et une nouvelle théorie de la mondialisation du droit, les minerais de guerre (blood minerals), c’est-à-dire les minerais en provenance de la République démocratique du Congo, sont la cause du conflit le plus sanglant depuis la seconde Guerre mondiale. Une réglementation mondiale du commerce de ces minerais s’élabore et implique les résolutions de l’Organisation des Nations unies (ONU), lois américaines à effet extraterritorial, certification par les professionnels de l’industrie minière et clauses de contrats.</w:t>
      </w:r>
    </w:p>
    <w:p w:rsidR="0089405D" w:rsidRDefault="003468E2">
      <w:pPr>
        <w:spacing w:after="0" w:line="312" w:lineRule="auto"/>
        <w:ind w:firstLine="708"/>
        <w:jc w:val="both"/>
        <w:rPr>
          <w:lang w:val="fr-FR"/>
        </w:rPr>
      </w:pPr>
      <w:r>
        <w:rPr>
          <w:rFonts w:cs="Calibri"/>
          <w:sz w:val="24"/>
          <w:szCs w:val="24"/>
          <w:lang w:val="fr-FR"/>
        </w:rPr>
        <w:t>La République Démocratique du Congo (RDC) est un des exemples dans lesquels cette expression fonctionne le mieux, étant donné la richesse du pays en ressources naturelles et le fort déséquilibre politique et économique dans lequel le pays est plongé depuis les années 1990, voire depuis les années 1960 (Carbonnier, G., 2013). Pour bénéficier de l’éventuelle retombée économique que représentent l’extraction et l’exportation des précieux minerais, la solution, propagée notamment par la Banque mondiale, reviendrait à instaurer une « bonne gouvernance » du secteur minier grâce à l’instauration de politiques d’encadrement, de contrôle et d’administration des mines.</w:t>
      </w:r>
      <w:r>
        <w:rPr>
          <w:lang w:val="fr-FR"/>
        </w:rPr>
        <w:t xml:space="preserve"> </w:t>
      </w:r>
    </w:p>
    <w:p w:rsidR="0089405D" w:rsidRDefault="003468E2">
      <w:pPr>
        <w:spacing w:after="0" w:line="312" w:lineRule="auto"/>
        <w:ind w:firstLine="708"/>
        <w:jc w:val="both"/>
        <w:rPr>
          <w:rFonts w:cs="Calibri"/>
          <w:sz w:val="24"/>
          <w:szCs w:val="24"/>
          <w:lang w:val="fr-FR"/>
        </w:rPr>
      </w:pPr>
      <w:r>
        <w:rPr>
          <w:rFonts w:eastAsia="Calibri" w:cs="Calibri"/>
          <w:sz w:val="24"/>
          <w:szCs w:val="24"/>
          <w:lang w:val="fr-FR" w:eastAsia="en-US"/>
        </w:rPr>
        <w:t xml:space="preserve">Cependant, réunir les conditions nécessaires à la mise en place de telles politiques est une tâche </w:t>
      </w:r>
      <w:r>
        <w:rPr>
          <w:rFonts w:cs="Calibri"/>
          <w:sz w:val="24"/>
          <w:szCs w:val="24"/>
          <w:lang w:val="fr-FR"/>
        </w:rPr>
        <w:t xml:space="preserve">complexe dans le contexte d’instabilité politique et des conflits incessants de la RDC. Si l’ONU a déployé sur place la plus grande mission de maintien de la paix au monde, la forte corruption et le manque de stratégie de démocratisation « post-conflit » font que la situation est toujours instable et la mission un échec (OCDE, 2016).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Cet ouvrage analyse et alerte sur les destructions de l’environnement et sur les dangers pour la société congolaise causés par l’exploitation minière non contrôlée et non règlementée qui a lieu et se projette à l’horizon en RDC dans le territoire de Basoko. Suite aussi à l’instabilité politique et économique qui règne dans ce  pays depuis des décennies, une crise multifactorielle qui trouve sa source dans les nombreux conflits et guerres depuis sa souveraineté, l’État n’a presque jamais été en capacité d’exercer ses compétences et de protéger ainsi sa population et l’environnement. L’enjeu géopolitique important que la RDC </w:t>
      </w:r>
      <w:r>
        <w:rPr>
          <w:rFonts w:cs="Calibri"/>
          <w:sz w:val="24"/>
          <w:szCs w:val="24"/>
          <w:lang w:val="fr-FR"/>
        </w:rPr>
        <w:lastRenderedPageBreak/>
        <w:t xml:space="preserve">représente aussi bien au niveau régional qu’au niveau mondial en raison de sa position centrale en Afrique, de la grandeur du pays et de sa diversité en ressources, est compromis, étant donné que l’environnement en souffre et que les communautés congolaises ne bénéficient pas des revenus du commerce et de l’exploitation de ces ressources. </w:t>
      </w:r>
    </w:p>
    <w:p w:rsidR="0089405D" w:rsidRDefault="003468E2">
      <w:pPr>
        <w:spacing w:after="0" w:line="312" w:lineRule="auto"/>
        <w:ind w:firstLine="708"/>
        <w:jc w:val="both"/>
        <w:rPr>
          <w:rFonts w:eastAsia="Times New Roman" w:cs="Calibri"/>
          <w:sz w:val="24"/>
          <w:szCs w:val="24"/>
          <w:lang w:val="fr-FR" w:eastAsia="fr-FR"/>
        </w:rPr>
      </w:pPr>
      <w:r>
        <w:rPr>
          <w:rFonts w:cs="Calibri"/>
          <w:sz w:val="24"/>
          <w:szCs w:val="24"/>
          <w:lang w:val="fr-FR"/>
        </w:rPr>
        <w:t xml:space="preserve">Toutefois, le lien entre exploitation minière et impacts environnementaux n’est pas toujours assez exploité et il a fallu utiliser des sources très variées afin de mieux comprendre l’interconnexion des différents enjeux. Les sources d’informations les plus complètes ont été les rapports des Organisations Non Gouvernementales (ONG) et des Think Tanks, mais la base de cette étude a été construite grâce aux nombreux articles académiques disponibles sur le sujet car,  cet </w:t>
      </w:r>
      <w:r>
        <w:rPr>
          <w:rFonts w:eastAsia="Times New Roman" w:cs="Calibri"/>
          <w:sz w:val="24"/>
          <w:szCs w:val="24"/>
          <w:lang w:val="fr-FR" w:eastAsia="fr-FR"/>
        </w:rPr>
        <w:t>état de  choses  s'est  encore  accrue par  la  dégradation  de  l’environnement, la  croissance  démographique  et  le  changement  climatique.  La  mauvaise  gestion  des  terres  et  des  ressources  naturelles par des telles exploitations a  contribué  à  l'apparition  des  nouveaux  conflits, tout en compromettant la résolution pacifique de ceux qui existaient déjà. Par exemple quand les travaux de construction des mines démarrent, les impacts sur l’environnement et l’économie traditionnelle se font sentir auprès de la population locale. Généralement ses oppositions et ses impérities surviennent lorsque plusieurs groupes cherchent à défendre des intérêts qu’ils jugent incompatibles</w:t>
      </w:r>
      <w:r>
        <w:rPr>
          <w:rFonts w:cs="Calibri"/>
          <w:lang w:val="fr-FR"/>
        </w:rPr>
        <w:t xml:space="preserve"> </w:t>
      </w:r>
      <w:r>
        <w:rPr>
          <w:rFonts w:cs="Calibri"/>
          <w:sz w:val="24"/>
          <w:szCs w:val="24"/>
          <w:lang w:val="fr-FR"/>
        </w:rPr>
        <w:t>(</w:t>
      </w:r>
      <w:r>
        <w:rPr>
          <w:rFonts w:eastAsia="Times New Roman" w:cs="Calibri"/>
          <w:sz w:val="24"/>
          <w:szCs w:val="24"/>
          <w:lang w:val="fr-FR" w:eastAsia="fr-FR"/>
        </w:rPr>
        <w:t xml:space="preserve">Franks, D. et al., 2009). Ce qui s'illustre par exemple, lorsque la population locale refuse certaines exploitations qui, à la longue, vont détériorer son environnement naturel et son patrimoine ancestral.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Ainsi, l’environnement est tout ce qui nous entoure. Il est encore défini comme l’ensemble des éléments physiques, chimiques et biologiques et des facteurs sociaux, économiques et culturels, dont les interactions influent sur le milieu ambiant, sur les organismes vivants, sur les activités humaines et conditionnent le bien être de l’homme</w:t>
      </w:r>
      <w:r>
        <w:rPr>
          <w:rStyle w:val="Appelnotedebasdep"/>
          <w:rFonts w:cs="Calibri"/>
          <w:sz w:val="24"/>
          <w:szCs w:val="24"/>
          <w:lang w:val="fr-FR" w:eastAsia="fr-FR"/>
        </w:rPr>
        <w:footnoteReference w:id="3"/>
      </w:r>
      <w:r>
        <w:rPr>
          <w:rFonts w:eastAsia="Times New Roman" w:cs="Calibri"/>
          <w:sz w:val="24"/>
          <w:szCs w:val="24"/>
          <w:vertAlign w:val="superscript"/>
          <w:lang w:val="fr-FR" w:eastAsia="fr-FR"/>
        </w:rPr>
        <w:t>&amp;</w:t>
      </w:r>
      <w:r>
        <w:rPr>
          <w:rStyle w:val="Appelnotedebasdep"/>
          <w:rFonts w:cs="Calibri"/>
          <w:sz w:val="24"/>
          <w:szCs w:val="24"/>
          <w:lang w:val="fr-FR" w:eastAsia="fr-FR"/>
        </w:rPr>
        <w:footnoteReference w:id="4"/>
      </w:r>
    </w:p>
    <w:p w:rsidR="0089405D" w:rsidRDefault="0089405D">
      <w:pPr>
        <w:spacing w:after="0" w:line="312" w:lineRule="auto"/>
        <w:rPr>
          <w:rFonts w:eastAsia="Times New Roman" w:cs="Calibri"/>
          <w:sz w:val="24"/>
          <w:szCs w:val="24"/>
          <w:lang w:val="fr-FR" w:eastAsia="fr-FR"/>
        </w:rPr>
      </w:pPr>
    </w:p>
    <w:p w:rsidR="0089405D" w:rsidRDefault="003468E2">
      <w:pPr>
        <w:spacing w:after="0" w:line="312" w:lineRule="auto"/>
        <w:jc w:val="both"/>
        <w:rPr>
          <w:rFonts w:cs="Calibri"/>
          <w:b/>
          <w:sz w:val="24"/>
          <w:szCs w:val="24"/>
          <w:lang w:val="fr-FR"/>
        </w:rPr>
      </w:pPr>
      <w:r>
        <w:rPr>
          <w:rFonts w:cs="Calibri"/>
          <w:b/>
          <w:sz w:val="24"/>
          <w:szCs w:val="24"/>
          <w:lang w:val="fr-FR"/>
        </w:rPr>
        <w:t>II. LES INDUSTRIES EXTRACTIVES : DEFIS POUR LES NATIONS EN DEVELOPPEMENT</w:t>
      </w:r>
    </w:p>
    <w:p w:rsidR="0089405D" w:rsidRDefault="0089405D">
      <w:pPr>
        <w:spacing w:after="0" w:line="312" w:lineRule="auto"/>
        <w:ind w:firstLine="709"/>
        <w:jc w:val="both"/>
        <w:rPr>
          <w:rFonts w:eastAsia="Times New Roman" w:cs="Calibri"/>
          <w:sz w:val="24"/>
          <w:szCs w:val="24"/>
          <w:lang w:val="fr-FR" w:eastAsia="fr-FR"/>
        </w:rPr>
      </w:pP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L’accroissement économique des décennies précédentes a eu comme effet le regain d’activités dans l’espace minier soutenu par les différentes réformes entreprises par les gouvernements successifs du sud depuis les années 1990 tendant à encourager les Investissements Directs Etrangers. Vu l’engouement et l’espoir suscités par l’arrivée massive </w:t>
      </w:r>
      <w:r>
        <w:rPr>
          <w:rFonts w:eastAsia="Times New Roman" w:cs="Calibri"/>
          <w:sz w:val="24"/>
          <w:szCs w:val="24"/>
          <w:lang w:val="fr-FR" w:eastAsia="fr-FR"/>
        </w:rPr>
        <w:lastRenderedPageBreak/>
        <w:t xml:space="preserve">des sociétés minières en Guinée on se demande si l’aspect développement local est pris en compte par les autorités délivrant les titres d’exploitation minière. Les industries extractives (IE) présentent des défis particuliers tant pour les États fragiles que pour les nations en voie de développement. L’exploitation des ressources naturelles non renouvelables, dont le pétrole, le gaz, les minerais et le bois d’œuvre a souvent été citée comme un vecteur important de déclenchement des rivalités violents, de leur intensification ou poursuite dans le monde. </w:t>
      </w:r>
    </w:p>
    <w:p w:rsidR="0089405D" w:rsidRDefault="003468E2">
      <w:pPr>
        <w:spacing w:after="0" w:line="312" w:lineRule="auto"/>
        <w:ind w:firstLine="709"/>
        <w:jc w:val="both"/>
        <w:rPr>
          <w:rFonts w:cs="Calibri"/>
          <w:sz w:val="23"/>
          <w:szCs w:val="23"/>
          <w:lang w:val="fr-FR"/>
        </w:rPr>
      </w:pPr>
      <w:r>
        <w:rPr>
          <w:rFonts w:cs="Calibri"/>
          <w:sz w:val="23"/>
          <w:szCs w:val="23"/>
          <w:lang w:val="fr-FR"/>
        </w:rPr>
        <w:t>La République Démocratique du Congo (RDC), à l’instar de plusieurs pays sous-développés, fonde beaucoup d’espoir sur le développement de son secteur minier. Avec l’arrivée des sociétés minières, l’enjeu est de mettre l’accent sur les questions sociétales : la protection de l’environnement, la transparence dans l’octroi des contrats et de concession, le développement local ainsi qu’aux retombées économiques de l’exploitation minière dans les localités abritant les mines. Les sociétés minières opérant en RDC indépendamment de leurs tailles et de leurs secteurs d’activités sont appelées à sceller une convention de développement local avec les communautés riveraines des zones d’exploitation. Les secteurs concernés sont la santé, l’éducation, la formation professionnelle, mais aussi le développement des projets générateurs de revenus pour les populations locales. L'exploitation minière peut affecter les moyens de subsistance des populations de diverses manières et tout aussi bien positivement que négativement.</w:t>
      </w:r>
    </w:p>
    <w:p w:rsidR="0089405D" w:rsidRDefault="003468E2">
      <w:pPr>
        <w:spacing w:after="0" w:line="312" w:lineRule="auto"/>
        <w:ind w:firstLine="709"/>
        <w:jc w:val="both"/>
        <w:rPr>
          <w:rFonts w:cs="Calibri"/>
          <w:sz w:val="23"/>
          <w:szCs w:val="23"/>
          <w:lang w:val="fr-FR"/>
        </w:rPr>
      </w:pPr>
      <w:r>
        <w:rPr>
          <w:rFonts w:cs="Calibri"/>
          <w:sz w:val="23"/>
          <w:szCs w:val="23"/>
          <w:lang w:val="fr-FR"/>
        </w:rPr>
        <w:t>L’exploitation minière entrainant, irrémédiablement, des impacts aussi bien sur les humains que sur les autres espèces faunistiques et floristiques mérite une attention particulière dans l’octroi des permis d’exploration et d’exploitation par l’État. « Il est de la responsabilité des entreprises de réparer les dégâts qu’elles ont causés dans leurs zones d’implantation, de réfléchir aux différents changements qu’elles apportent dans la vie des communautés pour tenter d’en limiter les dommages » (Solomon, R. et al., 1989 ; Marysse, S., 2001).</w:t>
      </w:r>
    </w:p>
    <w:p w:rsidR="0089405D" w:rsidRDefault="003468E2">
      <w:pPr>
        <w:spacing w:after="0" w:line="312" w:lineRule="auto"/>
        <w:ind w:firstLine="709"/>
        <w:jc w:val="both"/>
        <w:rPr>
          <w:rFonts w:eastAsia="Times New Roman" w:cs="Calibri"/>
          <w:sz w:val="24"/>
          <w:szCs w:val="24"/>
          <w:lang w:val="fr-FR" w:eastAsia="fr-FR"/>
        </w:rPr>
      </w:pPr>
      <w:r>
        <w:rPr>
          <w:rFonts w:cs="Calibri"/>
          <w:sz w:val="24"/>
          <w:szCs w:val="24"/>
          <w:lang w:val="fr-FR"/>
        </w:rPr>
        <w:t>Malheureusement, l</w:t>
      </w:r>
      <w:r>
        <w:rPr>
          <w:rFonts w:eastAsia="Times New Roman" w:cs="Calibri"/>
          <w:sz w:val="24"/>
          <w:szCs w:val="24"/>
          <w:lang w:val="fr-FR" w:eastAsia="fr-FR"/>
        </w:rPr>
        <w:t xml:space="preserve">es conflits violents sont plus susceptibles de survenir là où les communautés locales ont été systématiquement exclues des processus de prise de décision. Surtout lorsque les avantages économiques de l'entreprise sont concentrés aux profits d'une minorité et au détriment de la majorité d’une part, mais aussi lorsque les fardeaux associés aux IE vont à l’encontre des normes sociales, culturelles, religieuses et environnementales, d’autre part. Si les habitants de la région dépendent des ressources naturelles locales pour leur subsistance (chasse, pêche, agriculture, ou mines paysannes), les activités d'exploration, de préparation du site, de construction de l'usine, de développement des infrastructures, et d'exploitation minière elle-même, peuvent perturber ces ressources ou interférer avec elles. </w:t>
      </w:r>
    </w:p>
    <w:p w:rsidR="0089405D" w:rsidRDefault="003468E2">
      <w:pPr>
        <w:spacing w:after="0" w:line="312" w:lineRule="auto"/>
        <w:ind w:firstLine="709"/>
        <w:jc w:val="both"/>
        <w:rPr>
          <w:rFonts w:cs="Calibri"/>
          <w:sz w:val="24"/>
          <w:szCs w:val="24"/>
          <w:lang w:val="fr-FR"/>
        </w:rPr>
      </w:pPr>
      <w:r>
        <w:rPr>
          <w:rFonts w:eastAsia="Times New Roman" w:cs="Calibri"/>
          <w:sz w:val="24"/>
          <w:szCs w:val="24"/>
          <w:lang w:val="fr-FR" w:eastAsia="fr-FR"/>
        </w:rPr>
        <w:lastRenderedPageBreak/>
        <w:t>Ces populations peuvent également se trouver incapables d'y accéder et de poursuivre les moyens leur permettant de se supporter et de subvenir à leurs besoins. Pour la population locale, c’est une « malédiction des ressources » ou « paradoxe de l’abondance ». Telle une épée de Damoclès pesant sur ces pays, la découverte de minerais ou d’autres ressources représenterait un défi perpétuel à relever pour leurs gouvernements. La nature de ces ressources non renouvelables implique en effet des problématiques spécifiques en termes de gouvernance économique et fiscale, mais aussi en termes de solidité institutionnelle, pour faire de ces ressources une bénédiction plutôt qu’une malédiction.</w:t>
      </w:r>
      <w:r>
        <w:rPr>
          <w:rStyle w:val="Appelnotedebasdep"/>
          <w:sz w:val="24"/>
          <w:szCs w:val="24"/>
          <w:lang w:val="fr-FR" w:eastAsia="fr-FR"/>
        </w:rPr>
        <w:footnoteReference w:id="5"/>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Dans cette optique, la gestion efficace des ressources naturelles est par conséquent une priorité pour tous ceux qui sont engagés en faveur de la prévention des antagonistes du développement durable comme objectifs à atteindre. Par conséquent, il est important que les professionnels du développement s’impliquent dans la gestion équitable et de prévenir des mesures à plus long terme pour empêcher que les industries extractives ne soient une source de la dégradation environnementale, et que les minéraux deviennent « minéraux industriels ». A  titre d'exemple:  la même silice (comme pour le silex) qui servira désormais à fabriquer  le verre, l’argile (à la base de la céramique), le fer et les métaux de base comme le plomb, le zinc et le cuivre pour les ustensiles de cuisine et autres matériaux de construction ou instruments divers. Les éléments des terres rares sont utilisés dans la haute technologie, et les métaux précieux et les pierres précieuses pour l'industrie du luxe (c'est le cas de l’or, de platine et du diamant).</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Dans certaines contrées de l’univers, l’extraction minière fait partie de la vie et de l’économie des communautés autochtones depuis des générations. Les peuples autochtones ne faisaient pas qu’utiliser les roches comme telles, ils en tiraient également des matériaux à diverses fins, notamment pour fabriquer des outils, des armes et des objets décoratifs. Ils extrayaient des roches pour se procurer du cuivre natif, du silex, du chert, du sel, de la stéatite, de l’obsidienne et de l’ocre pour n’en nommer que quelques-uns</w:t>
      </w:r>
      <w:r>
        <w:rPr>
          <w:rStyle w:val="Appelnotedebasdep"/>
          <w:rFonts w:cs="Calibri"/>
          <w:sz w:val="24"/>
          <w:szCs w:val="24"/>
          <w:lang w:val="fr-FR" w:eastAsia="fr-FR"/>
        </w:rPr>
        <w:footnoteReference w:id="6"/>
      </w:r>
      <w:r>
        <w:rPr>
          <w:rFonts w:eastAsia="Times New Roman" w:cs="Calibri"/>
          <w:sz w:val="24"/>
          <w:szCs w:val="24"/>
          <w:lang w:val="fr-FR" w:eastAsia="fr-FR"/>
        </w:rPr>
        <w:t xml:space="preserve"> Ils échangeaient les matières exploitées contre d’autres denrées grâce à un vaste réseau de troc sans détruire leur environnement, mais plutôt le préserver, dans le seul but d’illustrer des histoires d’esprits et de rencontres sacrées, afin de servir des leçons pour des générations futures</w:t>
      </w:r>
      <w:r>
        <w:rPr>
          <w:rFonts w:eastAsia="Times New Roman" w:cs="Calibri"/>
          <w:b/>
          <w:sz w:val="24"/>
          <w:szCs w:val="24"/>
          <w:lang w:val="fr-FR" w:eastAsia="fr-FR"/>
        </w:rPr>
        <w:t>.</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lastRenderedPageBreak/>
        <w:tab/>
      </w:r>
      <w:r>
        <w:rPr>
          <w:rFonts w:eastAsia="Times New Roman" w:cs="Calibri"/>
          <w:sz w:val="24"/>
          <w:szCs w:val="24"/>
          <w:lang w:val="fr-FR" w:eastAsia="fr-FR"/>
        </w:rPr>
        <w:t xml:space="preserve">Il est à noter que, dans les pays en voie de développement, les opérations minières détruisent l’écosystème naturel et l’habitat natif des hommes, elles consomment une grande quantité d’eau et d’énergie et perturbent des nombreux écosystèmes et terrains naturels qui constituent l’habitat de nombreuses espèces animales et végétales.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jc w:val="both"/>
        <w:rPr>
          <w:rFonts w:eastAsia="Times New Roman" w:cs="Calibri"/>
          <w:color w:val="auto"/>
          <w:sz w:val="24"/>
          <w:szCs w:val="24"/>
          <w:lang w:val="fr-FR" w:eastAsia="fr-FR"/>
        </w:rPr>
      </w:pPr>
      <w:bookmarkStart w:id="48" w:name="_Toc79392934"/>
      <w:bookmarkStart w:id="49" w:name="_Toc111888569"/>
      <w:bookmarkStart w:id="50" w:name="_Toc127187156"/>
      <w:bookmarkStart w:id="51" w:name="_Toc127187433"/>
      <w:bookmarkStart w:id="52" w:name="_Toc127432190"/>
      <w:r>
        <w:rPr>
          <w:rFonts w:eastAsia="Times New Roman" w:cs="Calibri"/>
          <w:b/>
          <w:color w:val="auto"/>
          <w:sz w:val="24"/>
          <w:szCs w:val="24"/>
          <w:lang w:val="fr-FR" w:eastAsia="fr-FR"/>
        </w:rPr>
        <w:t>III. PROJET D’EXPLOITATION AURIFERE ET DIAMANTIFERE ASSEZ VIGOUREUSEMENT CONTESTES PAR LA POPULATION DE BASOKO</w:t>
      </w:r>
      <w:bookmarkEnd w:id="48"/>
      <w:bookmarkEnd w:id="49"/>
      <w:bookmarkEnd w:id="50"/>
      <w:bookmarkEnd w:id="51"/>
      <w:bookmarkEnd w:id="52"/>
      <w:r>
        <w:rPr>
          <w:rFonts w:eastAsia="Times New Roman" w:cs="Calibri"/>
          <w:b/>
          <w:color w:val="auto"/>
          <w:sz w:val="24"/>
          <w:szCs w:val="24"/>
          <w:lang w:val="fr-FR" w:eastAsia="fr-FR"/>
        </w:rPr>
        <w:t xml:space="preserve"> </w:t>
      </w:r>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L'exploitation minière peut être transformatrice, avec des impacts environnementaux et sociaux énormes. Cette partie décrit quelques-unes des questions environnementales et sociales pouvant survenir dans le cadre des projets d'exploitation minière, ainsi que les dispositions contractuelles répondant à ces impacts. Elle décrit également certains des cadres juridiques et politiques plus larges qui peuvent être applicables et contribuer à façonner les impacts d'une mine.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Les mines sont généralement considérées comme ayant des impacts significatifs sur l'environnement. La pollution des terres, de l'eau et de l'air, la pression sur les ressources en eau et les autres ressources naturelles, l'érosion, la déforestation, la perte de l'habitat et la perturbation de la vie des habitants et de leurs moyens de subsistance sont parmi les effets négatifs des projets miniers</w:t>
      </w:r>
      <w:r>
        <w:rPr>
          <w:sz w:val="24"/>
          <w:szCs w:val="24"/>
          <w:lang w:val="fr-FR"/>
        </w:rPr>
        <w:t xml:space="preserve"> (Sachs, J.D. &amp; Warner, A.M., 1997 ; </w:t>
      </w:r>
      <w:r>
        <w:rPr>
          <w:rFonts w:eastAsia="Times New Roman" w:cs="Calibri"/>
          <w:sz w:val="24"/>
          <w:szCs w:val="24"/>
          <w:lang w:val="fr-FR" w:eastAsia="fr-FR"/>
        </w:rPr>
        <w:t>Marysse, S., 2001). Quels sont les problèmes et comment peuvent-ils être gérés ? L'exploitation minière peut avoir un impact sur la biodiversité en changeant les populations relatives des espèces d'un même écosystème, certaines de ces espèces étant plus tolérantes que d'autres à la perturbation du sol, à une perte de leur habitat et à une exposition plus forte aux métaux et aux acides. Et bien qu'une destruction totale de l'habitat soit relativement rare, il n'en demeure pas moins une question de fragmentation de l'habitat.</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Pour cette œuvre, on se propose d’analyser le projet d’exploitation aurifère et diamantifère assez vigoureusement contestés par la population de Basoko. Nous allons montrer comment les opérations minières détruisent les écosystèmes naturels et les habitats natifs des êtres vivants, mais aussi décrire les conséquences environnementales et sanitaires qui en découleront suite à la pollution de l’eau, de l’air et de la terre, pouvant ainsi impacter l’humanité toute entière dans l’avenir.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De même, aucune phase du cycle de mise en valeur des minéraux n’offre des possibilités économiques aux communautés. </w:t>
      </w:r>
      <w:r>
        <w:rPr>
          <w:rFonts w:cs="Calibri"/>
          <w:sz w:val="24"/>
          <w:szCs w:val="24"/>
          <w:lang w:val="fr-FR"/>
        </w:rPr>
        <w:t xml:space="preserve">Inopportunément la communauté autochtone n’aura pas les moyens de recours à ses propres outils pour réparer les différents dégâts </w:t>
      </w:r>
      <w:r>
        <w:rPr>
          <w:rFonts w:cs="Calibri"/>
          <w:sz w:val="24"/>
          <w:szCs w:val="24"/>
          <w:lang w:val="fr-FR"/>
        </w:rPr>
        <w:lastRenderedPageBreak/>
        <w:t>causés par ladite exploitation</w:t>
      </w:r>
      <w:r>
        <w:rPr>
          <w:rFonts w:eastAsia="Times New Roman" w:cs="Calibri"/>
          <w:sz w:val="24"/>
          <w:szCs w:val="24"/>
          <w:lang w:val="fr-FR" w:eastAsia="fr-FR"/>
        </w:rPr>
        <w:t xml:space="preserve">. Les relations des partenariats entre l’industriel minier et les autochtones sont devenues sources de beaucoup de conflits, qui sont souvent désavantageux pour l’Etat congolais (à l'occurrence). </w:t>
      </w:r>
    </w:p>
    <w:p w:rsidR="0089405D" w:rsidRDefault="0089405D">
      <w:pPr>
        <w:spacing w:after="0" w:line="312" w:lineRule="auto"/>
        <w:rPr>
          <w:rFonts w:eastAsia="Times New Roman" w:cs="Calibri"/>
          <w:b/>
          <w:sz w:val="24"/>
          <w:szCs w:val="24"/>
          <w:lang w:val="fr-FR" w:eastAsia="fr-FR"/>
        </w:rPr>
      </w:pPr>
    </w:p>
    <w:p w:rsidR="0089405D" w:rsidRDefault="003468E2">
      <w:pPr>
        <w:spacing w:after="0" w:line="312" w:lineRule="auto"/>
        <w:jc w:val="both"/>
        <w:rPr>
          <w:rFonts w:cs="Calibri"/>
          <w:sz w:val="24"/>
          <w:szCs w:val="24"/>
          <w:lang w:val="fr-FR"/>
        </w:rPr>
      </w:pPr>
      <w:r>
        <w:rPr>
          <w:rFonts w:eastAsia="Times New Roman" w:cs="Calibri"/>
          <w:b/>
          <w:sz w:val="24"/>
          <w:szCs w:val="24"/>
          <w:lang w:val="fr-FR" w:eastAsia="fr-FR"/>
        </w:rPr>
        <w:t>IV. QUESTIONS DE RECHERCHE</w:t>
      </w:r>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Pour comprendre cette thématique, deux questions sont posées et seront analysées : </w:t>
      </w:r>
    </w:p>
    <w:p w:rsidR="0089405D" w:rsidRDefault="003468E2">
      <w:pPr>
        <w:spacing w:after="0" w:line="312" w:lineRule="auto"/>
        <w:jc w:val="both"/>
        <w:rPr>
          <w:rFonts w:cs="Calibri"/>
          <w:sz w:val="24"/>
          <w:szCs w:val="24"/>
          <w:lang w:val="fr-FR"/>
        </w:rPr>
      </w:pPr>
      <w:r>
        <w:rPr>
          <w:rFonts w:eastAsia="Times New Roman" w:cs="Calibri"/>
          <w:b/>
          <w:i/>
          <w:sz w:val="24"/>
          <w:szCs w:val="24"/>
          <w:lang w:val="fr-FR" w:eastAsia="fr-FR"/>
        </w:rPr>
        <w:t>- L’Exploitation minière et préservation de l'environnement peuvent-elles aller pair ?</w:t>
      </w:r>
      <w:r>
        <w:rPr>
          <w:rFonts w:cs="Calibri"/>
          <w:sz w:val="24"/>
          <w:szCs w:val="24"/>
          <w:lang w:val="fr-FR"/>
        </w:rPr>
        <w:t xml:space="preserve"> </w:t>
      </w:r>
    </w:p>
    <w:p w:rsidR="0089405D" w:rsidRDefault="003468E2">
      <w:pPr>
        <w:spacing w:after="0" w:line="312" w:lineRule="auto"/>
        <w:jc w:val="both"/>
        <w:rPr>
          <w:rFonts w:cs="Calibri"/>
          <w:sz w:val="24"/>
          <w:szCs w:val="24"/>
          <w:lang w:val="fr-FR"/>
        </w:rPr>
      </w:pPr>
      <w:r>
        <w:rPr>
          <w:rFonts w:eastAsia="Times New Roman" w:cs="Calibri"/>
          <w:b/>
          <w:i/>
          <w:sz w:val="24"/>
          <w:szCs w:val="24"/>
          <w:lang w:val="fr-FR" w:eastAsia="fr-FR"/>
        </w:rPr>
        <w:t>- Un développement durable fondé sur l’exploitation minière peut-il être envisagé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L’industrialisation minière dans les pays d’Afrique subsaharienne, de l’Amérique du sud, d'une grande partie de l’Asie, ainsi que les gouvernements de ces pays se sont engagés [</w:t>
      </w:r>
      <w:r>
        <w:rPr>
          <w:rFonts w:eastAsia="Times New Roman" w:cs="Calibri"/>
          <w:i/>
          <w:sz w:val="24"/>
          <w:szCs w:val="24"/>
          <w:lang w:val="fr-FR" w:eastAsia="fr-FR"/>
        </w:rPr>
        <w:t>théoriquement</w:t>
      </w:r>
      <w:r>
        <w:rPr>
          <w:rFonts w:eastAsia="Times New Roman" w:cs="Calibri"/>
          <w:sz w:val="24"/>
          <w:szCs w:val="24"/>
          <w:lang w:val="fr-FR" w:eastAsia="fr-FR"/>
        </w:rPr>
        <w:t xml:space="preserve">] à faire en sorte que l’exploitation minière se fasse dans l’égard environnemental et des normes d’exploitation à tous les stades du cycle de mise en valeur des minéraux. Malheureusement, sur le terrain, il n’y a pas développement des technologies vertes </w:t>
      </w:r>
      <w:r>
        <w:rPr>
          <w:rFonts w:eastAsia="Times New Roman" w:cs="Calibri"/>
          <w:i/>
          <w:sz w:val="24"/>
          <w:szCs w:val="24"/>
          <w:lang w:val="fr-FR" w:eastAsia="fr-FR"/>
        </w:rPr>
        <w:t>(nouvelles et</w:t>
      </w:r>
      <w:r>
        <w:rPr>
          <w:rFonts w:eastAsia="Times New Roman" w:cs="Calibri"/>
          <w:sz w:val="24"/>
          <w:szCs w:val="24"/>
          <w:lang w:val="fr-FR" w:eastAsia="fr-FR"/>
        </w:rPr>
        <w:t xml:space="preserve"> </w:t>
      </w:r>
      <w:r>
        <w:rPr>
          <w:rFonts w:eastAsia="Times New Roman" w:cs="Calibri"/>
          <w:i/>
          <w:sz w:val="24"/>
          <w:szCs w:val="24"/>
          <w:lang w:val="fr-FR" w:eastAsia="fr-FR"/>
        </w:rPr>
        <w:t>renouvelables)</w:t>
      </w:r>
      <w:r>
        <w:rPr>
          <w:rFonts w:eastAsia="Times New Roman" w:cs="Calibri"/>
          <w:sz w:val="24"/>
          <w:szCs w:val="24"/>
          <w:lang w:val="fr-FR" w:eastAsia="fr-FR"/>
        </w:rPr>
        <w:t>, des processus et des connaissances pour appuyer l’exploitation minière durable. D'où l'importance et la nécessité de légiférer, afin de non seulement développer le territoire, mais d’ exploiter tout en préservant l'équilibre de l'écosystème, pour que le patrimoine commun soit également légué en bonne et due forme aux générations futures.</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En RD Congo, la base légale concernant la protection environnementale dans le cadre des activités minières est fondée par différents textes, dont le Code minier, établi en 2002 et révisé en 2018. Ce code minier révisé conditionne l’octroi d’un permis d’exploitation par l’élaboration et la réalisation au préalable d’une étude d’impacts environnementaux (EIE), et donne les divers plans, dont ceux de gestion environnementale et de développement durable.</w:t>
      </w:r>
    </w:p>
    <w:p w:rsidR="0089405D" w:rsidRDefault="0089405D">
      <w:pPr>
        <w:spacing w:after="0" w:line="312" w:lineRule="auto"/>
        <w:jc w:val="both"/>
        <w:rPr>
          <w:rFonts w:eastAsia="Times New Roman" w:cs="Calibri"/>
          <w:sz w:val="24"/>
          <w:szCs w:val="24"/>
          <w:lang w:val="fr-FR" w:eastAsia="fr-FR"/>
        </w:rPr>
      </w:pPr>
    </w:p>
    <w:p w:rsidR="0089405D" w:rsidRDefault="003468E2">
      <w:pPr>
        <w:pStyle w:val="Titre1"/>
        <w:spacing w:before="0" w:line="312" w:lineRule="auto"/>
        <w:jc w:val="both"/>
        <w:rPr>
          <w:rFonts w:cs="Calibri"/>
          <w:color w:val="auto"/>
          <w:sz w:val="24"/>
          <w:szCs w:val="24"/>
          <w:lang w:val="fr-FR"/>
        </w:rPr>
      </w:pPr>
      <w:bookmarkStart w:id="53" w:name="_Toc79392935"/>
      <w:bookmarkStart w:id="54" w:name="_Toc111888570"/>
      <w:bookmarkStart w:id="55" w:name="_Toc127187157"/>
      <w:bookmarkStart w:id="56" w:name="_Toc127187434"/>
      <w:bookmarkStart w:id="57" w:name="_Toc127432191"/>
      <w:r>
        <w:rPr>
          <w:rFonts w:eastAsia="Times New Roman" w:cs="Calibri"/>
          <w:b/>
          <w:color w:val="auto"/>
          <w:sz w:val="24"/>
          <w:szCs w:val="24"/>
          <w:lang w:val="fr-FR" w:eastAsia="fr-FR"/>
        </w:rPr>
        <w:t>V. DANS LA REALITE DE L’EXTRACTION MINIERE EN RD CONGO, QUE SE PASSE-T-IL ?</w:t>
      </w:r>
      <w:bookmarkEnd w:id="53"/>
      <w:bookmarkEnd w:id="54"/>
      <w:bookmarkEnd w:id="55"/>
      <w:bookmarkEnd w:id="56"/>
      <w:bookmarkEnd w:id="57"/>
      <w:r>
        <w:rPr>
          <w:rFonts w:eastAsia="Times New Roman" w:cs="Calibri"/>
          <w:b/>
          <w:color w:val="auto"/>
          <w:sz w:val="24"/>
          <w:szCs w:val="24"/>
          <w:lang w:val="fr-FR" w:eastAsia="fr-FR"/>
        </w:rPr>
        <w:t xml:space="preserve"> </w:t>
      </w:r>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L'immense fortune minière du bassin du Congo résulte de l'histoire géologique et de la position unique du bassin de sédimentation de la cuvette centrale. En effet, la RDC est immergée dans une mer intérieure qui remplissait la cuvette centrale. Celle-ci avait recueilli en bassin de sédimentation, lors de la désertification du Sahara, des quantités incommensurables des débris organiques du Sahara (Dmoergue, C. &amp; Mpoyi, M.A., 2012).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lastRenderedPageBreak/>
        <w:t xml:space="preserve">Au vu de toutes les convoitises qui apparaissent à la suite de la concentration dans le bassin du Congo de beaucoup des richesses naturelles, singulièrement minières, plusieurs observateurs et chercheurs estiment qu'il serait pratiquement impossible que la RDC vive en paix (Mangambu M., et al., 2021). Ils pourraient avoir raison au regard du cafouillage qui bat son plein dans les zones en conflits dont l’issue heureuse ne pointe pas encore à l’horizon. Une bonne raison pour interpeler le congolais est celui de l’exproprier de ses richesses. Dans cette perspective, les mines étant des ressources non renouvelables, au niveau de la cuvette centrale du bassin du Congo comme ceux de la rivière Aruwimi seront disparus avec une exploitation non contrôlée et anarchique (Abadie, J., 2008). La prise de conscience de cette gestion des richesses tend à faire l’unanimité entre les politiques et les scientifiques. Cette façon d’apercevoir le modèle économique traditionnel est en train de subir des mutations vers un système plus sociétal et durable (Coulibaly, G., 2013).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En RDC, plusieurs articles et ouvrages ont mis en défit l’exploitation minière par les firmes étrangères qui ne respectent pas la législation congolaise. Kamundala, G. (2012) et Grzybowski, A. (2012) ont montré que l’exploitation des ressources minières industrielles apparaît comme négative à la fois pour l’environnement et le développement socio-économique. Les ONGs et mouvements citoyens qui soutiennent la population locale dans leur combat contre les projets miniers ont trouvé une certaine légitimation auprès de l’opinion publique pour ses atteintes aux droits de l’homme qui sont liées à l’absence d’une application efficace des lois dans ce secteur</w:t>
      </w:r>
      <w:r>
        <w:rPr>
          <w:lang w:val="fr-FR"/>
        </w:rPr>
        <w:t xml:space="preserve"> </w:t>
      </w:r>
      <w:r>
        <w:rPr>
          <w:rFonts w:eastAsia="Times New Roman" w:cs="Calibri"/>
          <w:sz w:val="24"/>
          <w:szCs w:val="24"/>
          <w:lang w:val="fr-FR" w:eastAsia="fr-FR"/>
        </w:rPr>
        <w:t xml:space="preserve">(Mongi, S., 2021).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Selon Mongi, S. (2021), le recours aux droits créances répond donc au besoin d’élargir et de renforcer le processus d’émancipation en protégeant les sujets de l’exclusion relative au statut social pour la protection des freluquets. Mais aujourd’hui, une volonté d’émancipation ne peut point atteindre son objectif si elle réagit exclusivement contre l’iniquité des revenus ou l’iniquité de l’accès aux services sociaux comme la santé ou l’éducation. Encore faut-il tenir compte des politiques et législations internationales qui soutiennent cette iniquité, la géographie des marchés mondiaux du travail et le rôle même des institutions sociales qui, comme l’école, sont devenues dans plusieurs contextes un facteur d’exclusion. Les droits de l’homme sociaux et économiques rempliraient leur fonction émancipatrice dès que, à travers des systèmes de droits positifs, ils assurent cette protection de la population vulnérable et de leur contrée sous l’oppression.</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Les études menées par le Programme des Nations Unies pour l'Environnement (PNUE) en 2016 sur base d’un travail de terrain à Butuzi dans le Sud-Kivu et à Some dans l’Ituri ont montré que le secteur minier contribue à la pollution de la nature, à la déforestation, à la </w:t>
      </w:r>
      <w:r>
        <w:rPr>
          <w:rFonts w:eastAsia="Times New Roman" w:cs="Calibri"/>
          <w:sz w:val="24"/>
          <w:szCs w:val="24"/>
          <w:lang w:val="fr-FR" w:eastAsia="fr-FR"/>
        </w:rPr>
        <w:lastRenderedPageBreak/>
        <w:t>perte de biodiversité</w:t>
      </w:r>
      <w:r>
        <w:rPr>
          <w:rStyle w:val="Appelnotedebasdep"/>
          <w:rFonts w:cs="Calibri"/>
          <w:sz w:val="24"/>
          <w:szCs w:val="24"/>
          <w:lang w:val="fr-FR" w:eastAsia="fr-FR"/>
        </w:rPr>
        <w:footnoteReference w:id="7"/>
      </w:r>
      <w:r>
        <w:rPr>
          <w:rFonts w:eastAsia="Times New Roman" w:cs="Calibri"/>
          <w:sz w:val="24"/>
          <w:szCs w:val="24"/>
          <w:lang w:val="fr-FR" w:eastAsia="fr-FR"/>
        </w:rPr>
        <w:t xml:space="preserve"> et à un problème lié à la sécurité du travail de la population indigène. Les recherches effectuées par la commission Justice et Paix de Wallonie -Bruxelles (2019) et par Cyuzuzo, L. (2020) ont montré que l’un des problèmes centraux du secteur de l’exploitation minière pour la RD Congo est sa gestion et le non-respect du cadre législatif des textes élaborés. Malgré ces conséquences néfastes perceptibles, les activités d'orpaillage et d'exploitation minière continuent à se développer. Mais, le  rôle  de  sensibilisation  que  l'Etat  et  les  Organisations  doivent  jouer  pour éveiller  les consciences  souffre  des manquements (Ranveig, D. F. &amp; Soysa, I., 2012 ; Lassourd, T., 2019).</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On l’a vu, le cadre légal congolais est clair : une EIE</w:t>
      </w:r>
      <w:r>
        <w:rPr>
          <w:rStyle w:val="Appelnotedebasdep"/>
          <w:rFonts w:cs="Calibri"/>
          <w:sz w:val="24"/>
          <w:szCs w:val="24"/>
          <w:lang w:val="fr-FR" w:eastAsia="fr-FR"/>
        </w:rPr>
        <w:footnoteReference w:id="8"/>
      </w:r>
      <w:r>
        <w:rPr>
          <w:rFonts w:eastAsia="Times New Roman" w:cs="Calibri"/>
          <w:sz w:val="24"/>
          <w:szCs w:val="24"/>
          <w:lang w:val="fr-FR" w:eastAsia="fr-FR"/>
        </w:rPr>
        <w:t xml:space="preserve"> doit être réalisée préalablement par le service spécialisé de l’Etat congolais, ensemble avec la population locale, avant l’octroi de permis d’exploitation par le gouvernement, selon un canevas présenté dans le Règlement minier. On doit y retrouver des informations de base sur l’entreprise, ses statuts, son plan de </w:t>
      </w:r>
      <w:r>
        <w:rPr>
          <w:rFonts w:eastAsia="Times New Roman" w:cs="Calibri"/>
          <w:sz w:val="24"/>
          <w:szCs w:val="24"/>
          <w:lang w:val="fr-FR" w:eastAsia="fr-FR"/>
        </w:rPr>
        <w:lastRenderedPageBreak/>
        <w:t xml:space="preserve">développement durable, etc. On observe toutefois, en pratique, la mise à l’écart de la population locale dans l’EIE par la société </w:t>
      </w:r>
      <w:r>
        <w:rPr>
          <w:rFonts w:eastAsia="ArialMT" w:cs="Calibri"/>
          <w:sz w:val="24"/>
          <w:szCs w:val="24"/>
          <w:lang w:val="fr-FR"/>
        </w:rPr>
        <w:t xml:space="preserve">« </w:t>
      </w:r>
      <w:r>
        <w:rPr>
          <w:rFonts w:eastAsia="ArialMT" w:cs="Calibri"/>
          <w:i/>
          <w:sz w:val="24"/>
          <w:szCs w:val="24"/>
          <w:lang w:val="fr-FR"/>
        </w:rPr>
        <w:t>Xiang Jiang Mining</w:t>
      </w:r>
      <w:r>
        <w:rPr>
          <w:rFonts w:eastAsia="ArialMT" w:cs="Calibri"/>
          <w:b/>
          <w:i/>
          <w:sz w:val="24"/>
          <w:szCs w:val="24"/>
          <w:lang w:val="fr-FR"/>
        </w:rPr>
        <w:t xml:space="preserve"> </w:t>
      </w:r>
      <w:r>
        <w:rPr>
          <w:rFonts w:eastAsia="ArialMT" w:cs="Calibri"/>
          <w:sz w:val="24"/>
          <w:szCs w:val="24"/>
          <w:lang w:val="fr-FR"/>
        </w:rPr>
        <w:t xml:space="preserve">SARL », mais aussi </w:t>
      </w:r>
      <w:r>
        <w:rPr>
          <w:rFonts w:eastAsia="Times New Roman" w:cs="Calibri"/>
          <w:sz w:val="24"/>
          <w:szCs w:val="24"/>
          <w:lang w:val="fr-FR" w:eastAsia="fr-FR"/>
        </w:rPr>
        <w:t xml:space="preserve">que les documents concernant les risques et impacts environnementaux sont en général très rarement accessibles, voire inexistants. </w:t>
      </w:r>
    </w:p>
    <w:p w:rsidR="0089405D" w:rsidRDefault="003468E2">
      <w:pPr>
        <w:spacing w:after="0" w:line="312" w:lineRule="auto"/>
        <w:jc w:val="both"/>
        <w:rPr>
          <w:rFonts w:cs="Calibri"/>
          <w:sz w:val="24"/>
          <w:szCs w:val="24"/>
          <w:lang w:val="fr-FR"/>
        </w:rPr>
      </w:pPr>
      <w:r>
        <w:rPr>
          <w:rFonts w:cs="Calibri"/>
          <w:sz w:val="24"/>
          <w:szCs w:val="24"/>
          <w:lang w:val="fr-FR"/>
        </w:rPr>
        <w:tab/>
        <w:t xml:space="preserve">Cependant, si une EIE est bien menée telle que prévoient les règlements et lois du pays, elle conformerait au principe médical qui dit : </w:t>
      </w:r>
      <w:r>
        <w:rPr>
          <w:rFonts w:eastAsia="Times New Roman" w:cs="Calibri"/>
          <w:sz w:val="24"/>
          <w:szCs w:val="24"/>
          <w:lang w:val="fr-FR" w:eastAsia="fr-FR"/>
        </w:rPr>
        <w:t>“</w:t>
      </w:r>
      <w:r>
        <w:rPr>
          <w:rFonts w:eastAsia="Times New Roman" w:cs="Calibri"/>
          <w:b/>
          <w:i/>
          <w:sz w:val="24"/>
          <w:szCs w:val="24"/>
          <w:lang w:val="fr-FR" w:eastAsia="fr-FR"/>
        </w:rPr>
        <w:t>Mieux vaut prévenir que guérir</w:t>
      </w:r>
      <w:r>
        <w:rPr>
          <w:rFonts w:eastAsia="Times New Roman" w:cs="Calibri"/>
          <w:sz w:val="24"/>
          <w:szCs w:val="24"/>
          <w:lang w:val="fr-FR" w:eastAsia="fr-FR"/>
        </w:rPr>
        <w:t xml:space="preserve">”. C’est le principe qui corrobore l’approche fondamentalement préventive propre à la protection de l’environnement. Que l’on se situe du point de vue écologique ou économique, il est en effet toujours préférable de prévenir l’apparition des pollutions et des nuisances que de devoir y remédier ultérieurement. Tenter une réhabilitation d’un écosystème pollué se révèle rarement efficace et, économiquement chères.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Prévenir, c’est anticiper, prendre des mesures en amont pour éviter, empêcher ou au moins limiter le risque, le préjudice, les actes nuisibles, en s’efforçant d’en supprimer les causes et les moyens. Dans un secteur comme celui de l’exploitation minière, le principe de prévention doit s’appuyer sur des procédures d’autorisation préalable, qui, inscrites en droit interne et complétées par l’imposition des normes règlementaires, permettant à l’Etat d’intervenir en amont avant l’exécution d’un projet, en interdisant ou changeant certains aspects, afin d’en limiter les conséquences négatives. Ainsi, divers instruments existent pour tenter de limiter les impacts néfastes des activités industrielles ou économiques sur la santé et l’environnement. Dans ce cadre on peut citer</w:t>
      </w:r>
      <w:r>
        <w:rPr>
          <w:rFonts w:cs="Calibri"/>
          <w:sz w:val="24"/>
          <w:szCs w:val="24"/>
          <w:lang w:val="fr-FR"/>
        </w:rPr>
        <w:t xml:space="preserve"> </w:t>
      </w:r>
      <w:r>
        <w:rPr>
          <w:rFonts w:eastAsia="Times New Roman" w:cs="Calibri"/>
          <w:sz w:val="24"/>
          <w:szCs w:val="24"/>
          <w:lang w:val="fr-FR" w:eastAsia="fr-FR"/>
        </w:rPr>
        <w:t>l’étude d’Impact Environnemental et Social (EIES), qui a été inscrite par la Conférence de Rio de 1992 comme un outil privilégié du développement durable. Il s’agit d’un processus visant à identifier, prévenir et évaluer les effets des différents types d’activités industrielles sur l’environnement,</w:t>
      </w:r>
      <w:r>
        <w:rPr>
          <w:rFonts w:cs="Calibri"/>
          <w:sz w:val="24"/>
          <w:szCs w:val="24"/>
          <w:lang w:val="fr-FR"/>
        </w:rPr>
        <w:t xml:space="preserve"> suivant les </w:t>
      </w:r>
      <w:r>
        <w:rPr>
          <w:rFonts w:eastAsia="Times New Roman" w:cs="Calibri"/>
          <w:sz w:val="24"/>
          <w:szCs w:val="24"/>
          <w:lang w:val="fr-FR" w:eastAsia="fr-FR"/>
        </w:rPr>
        <w:t>Plans de Gestion Environnementale et Sociale (PGES</w:t>
      </w:r>
      <w:r>
        <w:rPr>
          <w:rStyle w:val="Appelnotedebasdep"/>
          <w:rFonts w:cs="Calibri"/>
          <w:sz w:val="24"/>
          <w:szCs w:val="24"/>
          <w:lang w:val="fr-FR" w:eastAsia="fr-FR"/>
        </w:rPr>
        <w:footnoteReference w:id="9"/>
      </w:r>
      <w:r>
        <w:rPr>
          <w:rFonts w:eastAsia="Times New Roman" w:cs="Calibri"/>
          <w:sz w:val="24"/>
          <w:szCs w:val="24"/>
          <w:lang w:val="fr-FR" w:eastAsia="fr-FR"/>
        </w:rPr>
        <w:t xml:space="preserv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L’environnement est vu au sens large puisqu’on prend en compte les effets sociaux et culturels, ainsi que les impacts sur la santé des populations. Il est, en effet, important de s’assurer, pour que le développement soit réellement durable, que la complexité et la transversalité des enjeux soient prises en compte. A travers l’EIES, l’attention est à la fois portée sur la prévention et la réduction – ou- compensation - des effets néfastes d’un projet. </w:t>
      </w:r>
      <w:r>
        <w:rPr>
          <w:rFonts w:eastAsia="Times New Roman" w:cs="Calibri"/>
          <w:sz w:val="24"/>
          <w:szCs w:val="24"/>
          <w:lang w:val="fr-FR" w:eastAsia="fr-FR"/>
        </w:rPr>
        <w:lastRenderedPageBreak/>
        <w:t>Il est donc demandé d’appliquer ce processus avant d’engager des projets importants qui risquent d’impacter négativement l’environnement.</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Ceci sera prouvé si nous répondons aux questions suivantes : </w:t>
      </w:r>
      <w:r>
        <w:rPr>
          <w:rFonts w:eastAsia="Times New Roman" w:cs="Calibri"/>
          <w:b/>
          <w:i/>
          <w:sz w:val="24"/>
          <w:szCs w:val="24"/>
          <w:lang w:val="fr-FR" w:eastAsia="fr-FR"/>
        </w:rPr>
        <w:t xml:space="preserve">L’exploitation des ressources minières du Territoire de Basoko contribue-t-elle au développement de cette Entité Territoriale Décentralisée (ETD) ? </w:t>
      </w:r>
      <w:r>
        <w:rPr>
          <w:rFonts w:eastAsia="Times New Roman" w:cs="Calibri"/>
          <w:sz w:val="24"/>
          <w:szCs w:val="24"/>
          <w:lang w:val="fr-FR" w:eastAsia="fr-FR"/>
        </w:rPr>
        <w:t>C’est la principale question à laquelle ont tenté de répondre aussi dans ce livre, des acteurs intervenant dans le secteur minier, des membres des organisations de défense des droits humains, ainsi que des autorités provinciales…, sur la problématique de l’exploitation minière et son impact sur la gouvernance locale et le social des habitats dans ce territoire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Ainsi, dans notre hypothèse de recherche, nous affirmons d’une manière provisoire, que l’exploitation semi-industrielle et artisanale de l’or ou de diamant dans les localités de </w:t>
      </w:r>
      <w:r>
        <w:rPr>
          <w:rFonts w:eastAsia="Times New Roman" w:cs="Calibri"/>
          <w:i/>
          <w:sz w:val="24"/>
          <w:szCs w:val="24"/>
          <w:lang w:val="fr-FR" w:eastAsia="fr-FR"/>
        </w:rPr>
        <w:t xml:space="preserve">de Liambe, Likombe, Ilongo-Mbutu, Ilongo-Koki, Yangonde-Lioto, Yakoyo, Bomane, Baonde </w:t>
      </w:r>
      <w:r>
        <w:rPr>
          <w:rFonts w:eastAsia="Times New Roman" w:cs="Calibri"/>
          <w:sz w:val="24"/>
          <w:szCs w:val="24"/>
          <w:lang w:val="fr-FR" w:eastAsia="fr-FR"/>
        </w:rPr>
        <w:t xml:space="preserve">et ses environs vont détruit et dégrade l’environnement en créant des érosions, en dégradant le sol cultivable et en causant l’érosion de la couche fertile, avec la contamination du sol, de l’eau, et la pollution de l’air frais et libre…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Bref, les principaux impacts de l’exploitation minière seront entre autres :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La menace d'acculturation du peuple indigène, voie sa disparition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xml:space="preserve">- La déforestation et l’extinction de la biodiversité terrestre et aquatique ;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La Pollution des eaux et des sols (contaminations accidentelles : ruptures de pipeline et/ou déversements intentionnels de déchets)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La Souillure de l'air (flammes des torchères, brûlage de la végétation imprégnée de cru lors des opérations de nettoyage)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Les Pertes économiques pour les populations locales (mort du bétail et dégâts pour les cultures, diminution de la productivité des sols à cause de la pollution)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La faim occasionnée par la flambée des prix des denrées alimentaires dans le milieu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L’explosion des maladies d’origine hydrique (choléra, parasitoses, gastro-entérites, fièvre typhoïde) et autres telles que le cancer, la leucémie, les malformations pour les nouveau-nés, les infections cutanées, les problèmes respiratoires et digestifs…, mais aussi les fausses-couches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xml:space="preserve">- L’apparition des nouvelles maladies, surtout virales dans le milieu.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-Etc.</w:t>
      </w:r>
    </w:p>
    <w:p w:rsidR="0089405D" w:rsidRDefault="003468E2">
      <w:pPr>
        <w:spacing w:after="0" w:line="312" w:lineRule="auto"/>
        <w:rPr>
          <w:rFonts w:cs="Calibri"/>
          <w:sz w:val="24"/>
          <w:szCs w:val="24"/>
          <w:lang w:val="fr-FR"/>
        </w:rPr>
      </w:pPr>
      <w:r>
        <w:rPr>
          <w:rFonts w:cs="Calibri"/>
          <w:sz w:val="24"/>
          <w:szCs w:val="24"/>
          <w:lang w:val="fr-FR"/>
        </w:rPr>
        <w:br w:type="page"/>
      </w:r>
    </w:p>
    <w:p w:rsidR="0089405D" w:rsidRDefault="003468E2">
      <w:pPr>
        <w:spacing w:after="0" w:line="312" w:lineRule="auto"/>
        <w:rPr>
          <w:rFonts w:eastAsia="Times New Roman" w:cs="Calibri"/>
          <w:b/>
          <w:sz w:val="24"/>
          <w:szCs w:val="24"/>
          <w:lang w:val="fr-FR" w:eastAsia="fr-FR"/>
        </w:rPr>
      </w:pPr>
      <w:r>
        <w:rPr>
          <w:rFonts w:eastAsia="Times New Roman" w:cs="Calibri"/>
          <w:b/>
          <w:sz w:val="24"/>
          <w:szCs w:val="24"/>
          <w:lang w:val="fr-FR" w:eastAsia="fr-FR"/>
        </w:rPr>
        <w:lastRenderedPageBreak/>
        <w:t>VI. SUBDIVISIONS DU LIVRE</w:t>
      </w:r>
    </w:p>
    <w:p w:rsidR="0089405D" w:rsidRDefault="0089405D">
      <w:pPr>
        <w:spacing w:after="0" w:line="312" w:lineRule="auto"/>
        <w:rPr>
          <w:rFonts w:eastAsia="Times New Roman" w:cs="Calibri"/>
          <w:b/>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Un aspect particulier des ressources minérales conduit la dynamique qui sous-tend une grande partie de ce livre : les minéraux sont des ressources qui s'épuisent et ne se renouvellent pas. Une fois épuisées, elles le sont pour toujours. Ce caractère limité des minéraux les rend uniques lorsqu'on les compare aux autres industries et aux autres sources de revenus des entreprises, gouvernements et citoyens des pays riches en ressources. Pour mieux cerner notre problématique, hormis l’introduction générale et la conclusion générale, ce texte est subdivisé en huit chapitres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 </w:t>
      </w:r>
      <w:r>
        <w:rPr>
          <w:rFonts w:eastAsia="Times New Roman" w:cs="Calibri"/>
          <w:b/>
          <w:sz w:val="24"/>
          <w:szCs w:val="24"/>
          <w:lang w:val="fr-FR" w:eastAsia="fr-FR"/>
        </w:rPr>
        <w:t xml:space="preserve">Le chapitre premier </w:t>
      </w:r>
      <w:r>
        <w:rPr>
          <w:rFonts w:eastAsia="Times New Roman" w:cs="Calibri"/>
          <w:sz w:val="24"/>
          <w:szCs w:val="24"/>
          <w:lang w:val="fr-FR" w:eastAsia="fr-FR"/>
        </w:rPr>
        <w:t xml:space="preserve">porte sur </w:t>
      </w:r>
      <w:r>
        <w:rPr>
          <w:rFonts w:cs="Calibri"/>
          <w:sz w:val="24"/>
          <w:szCs w:val="24"/>
          <w:lang w:val="fr-FR"/>
        </w:rPr>
        <w:t xml:space="preserve">l’exploitation des ressources minérales, sources de la détérioration de l’environnement dans les milieux sous-développés. Il est considéré comme une bonne introduction du livre. Il montre comment le surplus de l’exploitation des ressources de la planète terre est à l’origine de la détérioration de l’environnement, ce qui peut localement bouleverser les conditions de vie des communautés d’habitants, notamment dans les pays sous développé comme la République Démocratique du Congo et les zones d’exploitation minière du territoire de Basoko en particulier (de </w:t>
      </w:r>
      <w:r>
        <w:rPr>
          <w:rFonts w:cs="Calibri"/>
          <w:i/>
          <w:sz w:val="24"/>
          <w:szCs w:val="24"/>
          <w:lang w:val="fr-FR"/>
        </w:rPr>
        <w:t>Liambe, Likombe, Ilongo-Mbutu, Ilongo-Koki, Yangonde-Lioto, Yakoyo, Bomane, Baonde</w:t>
      </w:r>
      <w:r>
        <w:rPr>
          <w:rFonts w:cs="Calibri"/>
          <w:sz w:val="24"/>
          <w:szCs w:val="24"/>
          <w:lang w:val="fr-FR"/>
        </w:rPr>
        <w:t>,…).</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 </w:t>
      </w:r>
      <w:r>
        <w:rPr>
          <w:rFonts w:eastAsia="Times New Roman" w:cs="Calibri"/>
          <w:b/>
          <w:sz w:val="24"/>
          <w:szCs w:val="24"/>
          <w:lang w:val="fr-FR" w:eastAsia="fr-FR"/>
        </w:rPr>
        <w:t>Le ch</w:t>
      </w:r>
      <w:r>
        <w:rPr>
          <w:rFonts w:cs="Calibri"/>
          <w:b/>
          <w:sz w:val="24"/>
          <w:szCs w:val="24"/>
          <w:lang w:val="fr-FR"/>
        </w:rPr>
        <w:t xml:space="preserve">apitre deuxième </w:t>
      </w:r>
      <w:r>
        <w:rPr>
          <w:rFonts w:cs="Calibri"/>
          <w:sz w:val="24"/>
          <w:szCs w:val="24"/>
          <w:lang w:val="fr-FR"/>
        </w:rPr>
        <w:t xml:space="preserve">est consacré au contexte justificatif de cet ouvrage en rapport avec les activités semi-industrielles ou industrielles minières et ses modifications sur l’environnement et les procédures des études d’impact environnemental et social des projets avant les projets d'exploitation minière. Il démontre aussi la responsabilité locale dans l’exploitation industrielle illicite des minerais.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b/>
          <w:sz w:val="24"/>
          <w:szCs w:val="24"/>
          <w:lang w:val="fr-FR" w:eastAsia="fr-FR"/>
        </w:rPr>
        <w:t xml:space="preserve">- Le chapitre troisième </w:t>
      </w:r>
      <w:r>
        <w:rPr>
          <w:rFonts w:eastAsia="Times New Roman" w:cs="Calibri"/>
          <w:sz w:val="24"/>
          <w:szCs w:val="24"/>
          <w:lang w:val="fr-FR" w:eastAsia="fr-FR"/>
        </w:rPr>
        <w:t xml:space="preserve">parle des principes d’exploitation semi-industrielle. En commençant par étape, </w:t>
      </w:r>
      <w:r>
        <w:rPr>
          <w:rFonts w:cs="Calibri"/>
          <w:sz w:val="24"/>
          <w:szCs w:val="24"/>
          <w:lang w:val="fr-FR"/>
        </w:rPr>
        <w:t xml:space="preserve">des prospections minières, en passant par la phase d’exploration, à celle d’exploitation minière active et celle aussi d’évacuation des morts terrains et des déchets de roche et l’extraction du minerai. Ce chapitre parlera aussi de l’étape d’enrichissement, de réhabilitation et de la fermeture de site minier.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b/>
          <w:sz w:val="24"/>
          <w:szCs w:val="24"/>
          <w:lang w:val="fr-FR" w:eastAsia="fr-FR"/>
        </w:rPr>
        <w:t xml:space="preserve">- Le chapitre quatrième </w:t>
      </w:r>
      <w:r>
        <w:rPr>
          <w:rFonts w:eastAsia="Times New Roman" w:cs="Calibri"/>
          <w:sz w:val="24"/>
          <w:szCs w:val="24"/>
          <w:lang w:val="fr-FR" w:eastAsia="fr-FR"/>
        </w:rPr>
        <w:t xml:space="preserve">se borne sur la rivière Aruwimi comme site d’exploitation semi-industrielle et/ou industrielle des minerais de territoire de Basoko, dont particulièrement à de </w:t>
      </w:r>
      <w:r>
        <w:rPr>
          <w:rFonts w:eastAsia="Times New Roman" w:cs="Calibri"/>
          <w:i/>
          <w:sz w:val="24"/>
          <w:szCs w:val="24"/>
          <w:lang w:val="fr-FR" w:eastAsia="fr-FR"/>
        </w:rPr>
        <w:t>Liambe, Likombe, Ilongo-Mbutu, Ilongo-Koki, Yangonde-Lioto, Yakoyo, Bomane, Baonde</w:t>
      </w:r>
      <w:r>
        <w:rPr>
          <w:rFonts w:eastAsia="Times New Roman" w:cs="Calibri"/>
          <w:sz w:val="24"/>
          <w:szCs w:val="24"/>
          <w:lang w:val="fr-FR" w:eastAsia="fr-FR"/>
        </w:rPr>
        <w:t xml:space="preserve">,…, et ses autres richesses, hormis les mines.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b/>
          <w:sz w:val="24"/>
          <w:szCs w:val="24"/>
          <w:lang w:val="fr-FR" w:eastAsia="fr-FR"/>
        </w:rPr>
        <w:t xml:space="preserve">- Le chapitre cinquième </w:t>
      </w:r>
      <w:r>
        <w:rPr>
          <w:rFonts w:eastAsia="Times New Roman" w:cs="Calibri"/>
          <w:sz w:val="24"/>
          <w:szCs w:val="24"/>
          <w:lang w:val="fr-FR" w:eastAsia="fr-FR"/>
        </w:rPr>
        <w:t>apporte des informations sur la société chinoise et les considérations locales en rapport avec cette société : les irrégularités de procédure et les problèmes liés à l’interprétation de la nouvelle loi minière de 2002 tel que modifié en 2018.</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 xml:space="preserve"> </w:t>
      </w:r>
      <w:r>
        <w:rPr>
          <w:rFonts w:cs="Calibri"/>
          <w:b/>
          <w:sz w:val="24"/>
          <w:szCs w:val="24"/>
          <w:lang w:val="fr-FR"/>
        </w:rPr>
        <w:t xml:space="preserve">- </w:t>
      </w:r>
      <w:r>
        <w:rPr>
          <w:rFonts w:eastAsia="Times New Roman" w:cs="Calibri"/>
          <w:b/>
          <w:sz w:val="24"/>
          <w:szCs w:val="24"/>
          <w:lang w:val="fr-FR" w:eastAsia="fr-FR"/>
        </w:rPr>
        <w:t>Le chapitre</w:t>
      </w:r>
      <w:r>
        <w:rPr>
          <w:rFonts w:cs="Calibri"/>
          <w:b/>
          <w:sz w:val="24"/>
          <w:szCs w:val="24"/>
          <w:lang w:val="fr-FR"/>
        </w:rPr>
        <w:t xml:space="preserve"> </w:t>
      </w:r>
      <w:r>
        <w:rPr>
          <w:rFonts w:eastAsia="Times New Roman" w:cs="Calibri"/>
          <w:b/>
          <w:sz w:val="24"/>
          <w:szCs w:val="24"/>
          <w:lang w:val="fr-FR" w:eastAsia="fr-FR"/>
        </w:rPr>
        <w:t>sixième</w:t>
      </w:r>
      <w:r>
        <w:rPr>
          <w:rFonts w:cs="Calibri"/>
          <w:b/>
          <w:sz w:val="24"/>
          <w:szCs w:val="24"/>
          <w:lang w:val="fr-FR"/>
        </w:rPr>
        <w:t xml:space="preserve"> </w:t>
      </w:r>
      <w:r>
        <w:rPr>
          <w:rFonts w:eastAsia="Times New Roman" w:cs="Calibri"/>
          <w:sz w:val="24"/>
          <w:szCs w:val="24"/>
          <w:lang w:val="fr-FR" w:eastAsia="fr-FR"/>
        </w:rPr>
        <w:t xml:space="preserve">analyse les impacts environnementaux, en montrant comment les processus de l’exploitation minière sont incompatibles avec l’amélioration de la viabilité écologique et la gérance environnementale dans le lit de la rivière Aruwimi, sur le sol ferme environnant et la terre hydromorphe lointaine.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b/>
          <w:sz w:val="24"/>
          <w:szCs w:val="24"/>
          <w:lang w:val="fr-FR" w:eastAsia="fr-FR"/>
        </w:rPr>
        <w:t xml:space="preserve">- Le chapitre </w:t>
      </w:r>
      <w:r>
        <w:rPr>
          <w:rFonts w:cs="Calibri"/>
          <w:b/>
          <w:sz w:val="24"/>
          <w:szCs w:val="24"/>
          <w:lang w:val="fr-FR"/>
        </w:rPr>
        <w:t>septième</w:t>
      </w:r>
      <w:r>
        <w:rPr>
          <w:rFonts w:eastAsia="Times New Roman" w:cs="Calibri"/>
          <w:b/>
          <w:sz w:val="24"/>
          <w:szCs w:val="24"/>
          <w:lang w:val="fr-FR" w:eastAsia="fr-FR"/>
        </w:rPr>
        <w:t xml:space="preserve"> </w:t>
      </w:r>
      <w:r>
        <w:rPr>
          <w:rFonts w:eastAsia="Times New Roman" w:cs="Calibri"/>
          <w:sz w:val="24"/>
          <w:szCs w:val="24"/>
          <w:lang w:val="fr-FR" w:eastAsia="fr-FR"/>
        </w:rPr>
        <w:t>démontre les conséquences socio-économiques</w:t>
      </w:r>
      <w:r>
        <w:rPr>
          <w:rFonts w:eastAsia="Times New Roman" w:cs="Calibri"/>
          <w:b/>
          <w:sz w:val="24"/>
          <w:szCs w:val="24"/>
          <w:lang w:val="fr-FR" w:eastAsia="fr-FR"/>
        </w:rPr>
        <w:t xml:space="preserve"> </w:t>
      </w:r>
      <w:r>
        <w:rPr>
          <w:rFonts w:eastAsia="Times New Roman" w:cs="Calibri"/>
          <w:sz w:val="24"/>
          <w:szCs w:val="24"/>
          <w:lang w:val="fr-FR" w:eastAsia="fr-FR"/>
        </w:rPr>
        <w:t>ainsi que la responsabilité locale, les impacts des projets miniers sur les communautés concernés par les activités du projet.</w:t>
      </w:r>
    </w:p>
    <w:p w:rsidR="0089405D" w:rsidRDefault="003468E2">
      <w:pPr>
        <w:spacing w:after="0" w:line="312" w:lineRule="auto"/>
        <w:ind w:firstLine="708"/>
        <w:jc w:val="both"/>
        <w:rPr>
          <w:rFonts w:cs="Calibri"/>
          <w:sz w:val="24"/>
          <w:szCs w:val="24"/>
          <w:lang w:val="fr-FR"/>
        </w:rPr>
      </w:pPr>
      <w:r>
        <w:rPr>
          <w:rFonts w:cs="Calibri"/>
          <w:b/>
          <w:sz w:val="24"/>
          <w:szCs w:val="24"/>
          <w:lang w:val="fr-FR"/>
        </w:rPr>
        <w:t xml:space="preserve">- Le chapitre </w:t>
      </w:r>
      <w:r>
        <w:rPr>
          <w:rFonts w:eastAsia="Times New Roman" w:cs="Calibri"/>
          <w:b/>
          <w:sz w:val="24"/>
          <w:szCs w:val="24"/>
          <w:lang w:val="fr-FR" w:eastAsia="fr-FR"/>
        </w:rPr>
        <w:t>huitième</w:t>
      </w:r>
      <w:r>
        <w:rPr>
          <w:rFonts w:cs="Calibri"/>
          <w:b/>
          <w:sz w:val="24"/>
          <w:szCs w:val="24"/>
          <w:lang w:val="fr-FR"/>
        </w:rPr>
        <w:t xml:space="preserve"> </w:t>
      </w:r>
      <w:r>
        <w:rPr>
          <w:rFonts w:cs="Calibri"/>
          <w:sz w:val="24"/>
          <w:szCs w:val="24"/>
          <w:lang w:val="fr-FR"/>
        </w:rPr>
        <w:t xml:space="preserve">traite de la prévention des exploitations semi-industrielles, une perception et un problème de la protection durable de l’environnement. Cette prévention joue un rôle majeur dans le développement lié à la protection et la sauvegarde de la nature. Il </w:t>
      </w:r>
      <w:r>
        <w:rPr>
          <w:rFonts w:eastAsia="Times New Roman" w:cs="Calibri"/>
          <w:sz w:val="24"/>
          <w:szCs w:val="24"/>
          <w:lang w:val="fr-FR" w:eastAsia="fr-FR"/>
        </w:rPr>
        <w:t>met aussi en exergue la bonne politique à adopter par les sociétés d’exploitation, en vue de préserver l’environnement pour un développement durable des milieux exploités.</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 xml:space="preserve">En se basant sur les points d’analyse ci-hauts étalés, notre étude se propose de jeter un regard critique sur les impacts d’exploitation minière sur l’environnement, sa conformité non seulement aux conventions ratifiées par notre pays, mais aussi aux réalités vécues dans d’autres milieux exploités de la RDC, en optant pour la démarche méthodologique ci-dessous.  </w:t>
      </w:r>
    </w:p>
    <w:p w:rsidR="0089405D" w:rsidRDefault="0089405D">
      <w:pPr>
        <w:spacing w:after="0" w:line="312" w:lineRule="auto"/>
        <w:jc w:val="both"/>
        <w:rPr>
          <w:rFonts w:eastAsia="Times New Roman" w:cs="Calibri"/>
          <w:b/>
          <w:sz w:val="24"/>
          <w:szCs w:val="24"/>
          <w:lang w:val="fr-FR" w:eastAsia="fr-FR"/>
        </w:rPr>
      </w:pPr>
    </w:p>
    <w:p w:rsidR="0089405D" w:rsidRDefault="003468E2">
      <w:pPr>
        <w:pStyle w:val="Titre1"/>
        <w:spacing w:before="0" w:line="312" w:lineRule="auto"/>
        <w:rPr>
          <w:rFonts w:eastAsia="Times New Roman" w:cs="Calibri"/>
          <w:b/>
          <w:color w:val="auto"/>
          <w:sz w:val="24"/>
          <w:szCs w:val="24"/>
          <w:lang w:val="fr-FR" w:eastAsia="fr-FR"/>
        </w:rPr>
      </w:pPr>
      <w:bookmarkStart w:id="58" w:name="_Toc79392936"/>
      <w:bookmarkStart w:id="59" w:name="_Toc111888571"/>
      <w:bookmarkStart w:id="60" w:name="_Toc127187158"/>
      <w:bookmarkStart w:id="61" w:name="_Toc127187435"/>
      <w:bookmarkStart w:id="62" w:name="_Toc127432192"/>
      <w:r>
        <w:rPr>
          <w:rFonts w:eastAsia="Times New Roman" w:cs="Calibri"/>
          <w:b/>
          <w:color w:val="auto"/>
          <w:sz w:val="24"/>
          <w:szCs w:val="24"/>
          <w:lang w:val="fr-FR" w:eastAsia="fr-FR"/>
        </w:rPr>
        <w:t>VI. METHODOLOGIE</w:t>
      </w:r>
      <w:bookmarkEnd w:id="58"/>
      <w:bookmarkEnd w:id="59"/>
      <w:bookmarkEnd w:id="60"/>
      <w:bookmarkEnd w:id="61"/>
      <w:bookmarkEnd w:id="62"/>
      <w:r>
        <w:rPr>
          <w:rFonts w:eastAsia="Times New Roman" w:cs="Calibri"/>
          <w:b/>
          <w:color w:val="auto"/>
          <w:sz w:val="24"/>
          <w:szCs w:val="24"/>
          <w:lang w:val="fr-FR" w:eastAsia="fr-FR"/>
        </w:rPr>
        <w:t xml:space="preserve"> </w:t>
      </w:r>
    </w:p>
    <w:p w:rsidR="0089405D" w:rsidRDefault="0089405D">
      <w:pPr>
        <w:pStyle w:val="Titre1"/>
        <w:spacing w:before="0" w:line="312" w:lineRule="auto"/>
        <w:rPr>
          <w:rFonts w:eastAsia="Times New Roman" w:cs="Calibri"/>
          <w:b/>
          <w:color w:val="auto"/>
          <w:sz w:val="24"/>
          <w:szCs w:val="24"/>
          <w:lang w:val="fr-FR" w:eastAsia="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Les écosystèmes du Bassin du Congo nous produisent du bois, assurent la séquestration de carbone, la quantité et la qualité de la recharge en eau des nappes, ou la prévention de la désagrégation des terres… (Stratos, I., 2011). A cette fin, il faut évaluer le devenir des écosystèmes actuels et ensuite déterminer les capacités d’adaptation de ces écosystèmes face aux différents facteurs dus à l’exploitation des ressources naturelles impliquées dans les changements pléniers et les transformations relatives à l’usage des terres.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Au regard de cette réalité, aujourd’hui, le monde est confronté à des enjeux environnementaux à tous les niveaux : micro, méso et macro. Les grands défis à relever sont majeurs à la suite de l’importance inestimable que revêt la gestion des terres, des eaux et des ressources naturelles renouvelables (l’eau ou la terre) et essentiellement non renouvelables (les diamants, l’or, etc.). Le contrôle sur ces ressources naturelles ou leur utilisation est également un facteur important des tensions, voire des conflits entre groupes sociaux (Keenan K. &amp; al., 2002 &amp; Berzins, R. et al., 2007).  D’après Wakenge, C. (2019), dans le cadre d’exploitation minière, les rejets miniers peuvent impacter négativement la santé des </w:t>
      </w:r>
      <w:r>
        <w:rPr>
          <w:rFonts w:cs="Calibri"/>
          <w:sz w:val="24"/>
          <w:szCs w:val="24"/>
          <w:lang w:val="fr-FR"/>
        </w:rPr>
        <w:lastRenderedPageBreak/>
        <w:t xml:space="preserve">employés et des populations des localités abritant les mines, avec des conséquences inévitables sur le bien-être général des populations riveraines comme sera le cas de la rivière Aruwimi dans le territoire de Basoko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Pour nous permettre de bien mener cette étude et d’évaluer de manière prospective l’exploitation minière semi-industrielle dans la rivière Aruwimi, en Territoire de Basoko, en province de la Tshopo et d’analyser son impact socio-environnemental au regard des exigences du développement durable des communautés locales ainsi que leur évolution, pour renforcer le plaidoyer déjà amorcé auprès des autorités provinciales et nationales, afin d’abandonner ledit projet, il a été impératif pour nous de nous imprégner de la réalité des faits sur terrain ; ce qui nous a permis de réunir la documentation spécifique en la matière.  Par la suite, nous avons utilisé une approche inductive</w:t>
      </w:r>
      <w:r>
        <w:rPr>
          <w:rStyle w:val="Appelnotedebasdep"/>
          <w:sz w:val="24"/>
          <w:szCs w:val="24"/>
          <w:lang w:val="fr-FR" w:eastAsia="fr-FR"/>
        </w:rPr>
        <w:footnoteReference w:id="10"/>
      </w:r>
      <w:r>
        <w:rPr>
          <w:rFonts w:eastAsia="Times New Roman" w:cs="Calibri"/>
          <w:sz w:val="24"/>
          <w:szCs w:val="24"/>
          <w:lang w:val="fr-FR" w:eastAsia="fr-FR"/>
        </w:rPr>
        <w:t>, en confrontant la littérature et des observations directes sur terrain. Trois techniques ont été utilisées (documentaire, focus group et entretiens semi-structurés). Cette collecte des données sont corrélatives à l’objet de cette étude et en faisant recourt aux trois techniques ci-après, conformément aux principes de certains auteurs (Richard, A. et al., 2000 ; Moreau, A. et al.,2004 ; Nogier, P. 2008 &amp; Gavard-Perret M. et al., 2011)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 </w:t>
      </w:r>
      <w:r>
        <w:rPr>
          <w:rFonts w:eastAsia="Times New Roman" w:cs="Calibri"/>
          <w:i/>
          <w:sz w:val="24"/>
          <w:szCs w:val="24"/>
          <w:lang w:val="fr-FR" w:eastAsia="fr-FR"/>
        </w:rPr>
        <w:t>Focus group/carrefour</w:t>
      </w:r>
      <w:r>
        <w:rPr>
          <w:rFonts w:eastAsia="Times New Roman" w:cs="Calibri"/>
          <w:sz w:val="24"/>
          <w:szCs w:val="24"/>
          <w:lang w:val="fr-FR" w:eastAsia="fr-FR"/>
        </w:rPr>
        <w:t xml:space="preserve"> : méthode qualitative, permettant de connaître les opinions des utilisateurs, ou des consommateurs, au sujet d'un produit, d'un service ou d'un concept. En sciences sociales, cette approche est utilisée pour étudier les problématiques sociétales non à travers l'enquête d'individus, comme c'est le cas dans l'enquête par sondage, mais par la discussion de groupe. Le résultat de cette forme de recherche reflète l'interaction entre les attitudes des participants et le processus social au sein du groupe. Dans cette étude, nous la </w:t>
      </w:r>
      <w:r>
        <w:rPr>
          <w:rFonts w:eastAsia="Times New Roman" w:cs="Calibri"/>
          <w:sz w:val="24"/>
          <w:szCs w:val="24"/>
          <w:lang w:val="fr-FR" w:eastAsia="fr-FR"/>
        </w:rPr>
        <w:lastRenderedPageBreak/>
        <w:t>considérons comme discussion entre un groupe d’individus où la recherche/ étude qualitative qui prend forme au sein d'un groupe spécifique culturel, sociétal ou idéologique, afin de déduire l'attitude que la population adopte au regard d'un produit, d'un service ou d'un concept. Les questions ont été posées à la communauté locale, aux différentes couches d’organisation de la Société Civile (les leaders locaux, les associations locales,…) et à d’autres personnes victimes des conséquences de l’exploitation minière sur l’environnement naturel où elles vivent.</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i/>
          <w:sz w:val="24"/>
          <w:szCs w:val="24"/>
          <w:lang w:val="fr-FR" w:eastAsia="fr-FR"/>
        </w:rPr>
        <w:t>-Interview individuel ou entretien semi-directif</w:t>
      </w:r>
      <w:r>
        <w:rPr>
          <w:rFonts w:eastAsia="Times New Roman" w:cs="Calibri"/>
          <w:sz w:val="24"/>
          <w:szCs w:val="24"/>
          <w:lang w:val="fr-FR" w:eastAsia="fr-FR"/>
        </w:rPr>
        <w:t xml:space="preserve"> : technique d'enquête qualitative fréquemment utilisée dans les recherches en sciences humaines et sociales. Elle permet d'orienter en partie (semi-directif) l’avis des personnes interrogées autour des différents thèmes définis au préalable par les enquêteurs et consignés dans un guide d’entretien ou questionnaire. Il peut compléter et approfondir des domaines spécifiques liés à l’entretien non directif qui se déroule librement à partir d’une question, mais aussi compléter les résultats obtenus par une enquête quantitative. Dans ce cas, les entretiens apportent une richesse et une précision bien plus grande dans les informations recueillies, grâce notamment aux possibilités de relances et d’interactions dans la communication entre interviewé et interviewer. Il a aussi l'avantage d'engendrer une puissance évocatrice des citations/verbatims. Sans chiffrer les jugements, les manières de vivre et de s’approprier les choses, l’entretien révèle l’existence de représentations profondément inscrites dans l’esprit des personnes interrogées et qui ne peuvent s’exprimer au travers d'un questionnaire quantitatif.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Ces entretiens semi-structurés ont permis de recueillir les informations auprès des vieillards et autres personnes-clés comme gardiens de la coutume et les anciens travailleurs dans les exploitations minières, les membres de l’Administration publique, les conservateurs de la nature, les victimes des différents cas liés aux conséquences de l’exploitation minière sur leur environnement naturel et la population locale.</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 xml:space="preserve">- </w:t>
      </w:r>
      <w:r>
        <w:rPr>
          <w:rFonts w:eastAsia="Times New Roman" w:cs="Calibri"/>
          <w:i/>
          <w:sz w:val="24"/>
          <w:szCs w:val="24"/>
          <w:lang w:val="fr-FR" w:eastAsia="fr-FR"/>
        </w:rPr>
        <w:t>La recherche documentaire</w:t>
      </w:r>
      <w:r>
        <w:rPr>
          <w:rFonts w:eastAsia="Times New Roman" w:cs="Calibri"/>
          <w:sz w:val="24"/>
          <w:szCs w:val="24"/>
          <w:lang w:val="fr-FR" w:eastAsia="fr-FR"/>
        </w:rPr>
        <w:t xml:space="preserve"> : c’est l'ensemble des étapes permettant de chercher, identifier, choisir des documents sur un thème ou sujet précis, défini et délimité. C'est donc l'élaboration d'une stratégie de recherche requérant une technique efficace dans le contexte actuel dominé par les instruments informatiques, entraînant une surabondance d'informations (ou surinformation ou " infobésité "). Les trois aspects permettant de cerner cette stratégie, structurent la méthodologie de l'ossature de ce texte. L’exploitation documentaire (essentiellement des archives historiques) et la collecte des données de littérature et des issues de l’observation d’autres sites miniers de cette société, notamment </w:t>
      </w:r>
      <w:r>
        <w:rPr>
          <w:rFonts w:eastAsia="Times New Roman" w:cs="Calibri"/>
          <w:sz w:val="24"/>
          <w:szCs w:val="24"/>
          <w:lang w:val="fr-FR" w:eastAsia="fr-FR"/>
        </w:rPr>
        <w:lastRenderedPageBreak/>
        <w:t>les entretiens avec les producteurs agricoles dans les sites, la visite des champs, des sites de lavage et de transport des minerais, la visite des extensions de champs et des bâtisses dans les fermes voisines des sites miniers.</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Hormis les méthodologies enamourées ci-haut, nous avons aussi fait recours à la </w:t>
      </w:r>
      <w:r>
        <w:rPr>
          <w:rFonts w:eastAsia="Times New Roman" w:cs="Calibri"/>
          <w:i/>
          <w:sz w:val="24"/>
          <w:szCs w:val="24"/>
          <w:lang w:val="fr-FR" w:eastAsia="fr-FR"/>
        </w:rPr>
        <w:t>recherche-action</w:t>
      </w:r>
      <w:r>
        <w:rPr>
          <w:rFonts w:eastAsia="Times New Roman" w:cs="Calibri"/>
          <w:sz w:val="24"/>
          <w:szCs w:val="24"/>
          <w:lang w:val="fr-FR" w:eastAsia="fr-FR"/>
        </w:rPr>
        <w:t xml:space="preserve"> qui est une recherche ou les acteurs sociaux sujets de la recherche s’y trouvent eux-mêmes engagés en contribuant à identifier et à élaborer une solution au problème étudié (Neilsen,</w:t>
      </w:r>
      <w:r>
        <w:rPr>
          <w:rFonts w:cs="Calibri"/>
          <w:lang w:val="fr-FR"/>
        </w:rPr>
        <w:t xml:space="preserve"> </w:t>
      </w:r>
      <w:r>
        <w:rPr>
          <w:rFonts w:eastAsia="Times New Roman" w:cs="Calibri"/>
          <w:sz w:val="24"/>
          <w:szCs w:val="24"/>
          <w:lang w:val="fr-FR" w:eastAsia="fr-FR"/>
        </w:rPr>
        <w:t>E.,  2006 ; Coghlan, D., 2011). En d’autres termes, La recherche-action est une approche de recherche rattachée au paradigme du pragmatisme qui part du principe que c’est par l’action que l’on peut générer des  connaissances  scientifiques  utiles  pour  comprendre  et  changer  la  réalité sociale des  individus  et  des  systèmes  sociaux.  Cette intention de changement en   tant   que   motif   pour   entreprendre   une   recherche   déborde   la   simple description, compréhension et explication des phénomènes que l’on associe habituellement à la recherche (Robson, C., 2011 ; Mazalto, M., 2009).</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Cette méthode d’analyse conceptuelle fondée sur l’utilité pragmatique se démarque des approches traditionnelles d’examen de la documentation dans le cadre d’une analyse de concept donc répondre aux critères de qualité scientifique de la recherche en sciences de la gestion en plus de permettre la prise de décision et réaliser un diagnostic suffisamment robuste pour permettre une prise de décision éclairée (Reason,  P.&amp;  Bradbury,  H., 2008). En conséquence, on assure l’évaluation critique de la documentation, elle clarifie la confusion théorique entourant un concept donné et accroît le savoir.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Comme l’indique notre introduction, nous n’avons pas pour but de clarifier toute la diversité sémantique et conceptuelle relative à l’exploitation minière, mais plutôt montrer les impacts socio – économiques de cette exploitation minière dans une rivière, source de vie dans sa complexité (Brydon-Miller, M. &amp; Greenwood, D. 2006 ; Greenwood, D.J. &amp; Levin, M., 2007).</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xml:space="preserve">  </w:t>
      </w:r>
    </w:p>
    <w:p w:rsidR="0089405D" w:rsidRDefault="003468E2">
      <w:pPr>
        <w:pStyle w:val="Titre1"/>
        <w:spacing w:before="0" w:line="312" w:lineRule="auto"/>
        <w:jc w:val="both"/>
        <w:rPr>
          <w:rFonts w:cs="Calibri"/>
          <w:b/>
          <w:color w:val="auto"/>
          <w:sz w:val="24"/>
          <w:szCs w:val="24"/>
          <w:lang w:val="fr-FR"/>
        </w:rPr>
      </w:pPr>
      <w:bookmarkStart w:id="63" w:name="_Toc111888572"/>
      <w:bookmarkStart w:id="64" w:name="_Toc127187159"/>
      <w:bookmarkStart w:id="65" w:name="_Toc127187436"/>
      <w:bookmarkStart w:id="66" w:name="_Toc127432193"/>
      <w:bookmarkStart w:id="67" w:name="_Toc79392937"/>
      <w:r>
        <w:rPr>
          <w:rFonts w:cs="Calibri"/>
          <w:b/>
          <w:color w:val="auto"/>
          <w:sz w:val="24"/>
          <w:szCs w:val="24"/>
          <w:lang w:val="fr-FR"/>
        </w:rPr>
        <w:t>VII. LES IMPACTS ENVIRONNEMENTAUX A DEVENIR DES GRANDS PROJETS MINIERS : CONTROVERSES ET COMPLEXES</w:t>
      </w:r>
      <w:bookmarkEnd w:id="63"/>
      <w:bookmarkEnd w:id="64"/>
      <w:bookmarkEnd w:id="65"/>
      <w:bookmarkEnd w:id="66"/>
    </w:p>
    <w:p w:rsidR="0089405D" w:rsidRDefault="0089405D">
      <w:pPr>
        <w:pStyle w:val="Titre1"/>
        <w:spacing w:before="0" w:line="312" w:lineRule="auto"/>
        <w:jc w:val="both"/>
        <w:rPr>
          <w:rFonts w:cs="Calibri"/>
          <w:b/>
          <w:color w:val="auto"/>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paradoxe entre la conservation de l'environnement et le développement prouve la nécessité d'attaquer le problème à sa source. Ceci apparaît clairement dans le cas des cours d’eau et des forêts tropicales. C'est en effet quelquefois la politique (la mauvaise politique) d'un Etat et non la nécessité économique qui pousse à la surexploitation et à la destruction des ressources. Le coût économique et budgétaire direct de cette surexploitation est énorme </w:t>
      </w:r>
      <w:r>
        <w:rPr>
          <w:rFonts w:cs="Calibri"/>
          <w:sz w:val="24"/>
          <w:szCs w:val="24"/>
          <w:lang w:val="fr-FR"/>
        </w:rPr>
        <w:lastRenderedPageBreak/>
        <w:t>pour ne pas parler du coût que représente l'extinction des espèces. Résultat : le terrible gâchis que représente la pollution des rivières, les fleuves et l'exploitation des forêts tropicales, le sacrifice de leur valeur en eau douce et en bois et autres produits, l'extraordinaire manque à gagner pour l'Etat, la destruction de richesses biologiques (CMED – rapport Brundtland, 1989).</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Les impacts environnementaux à devenir des grands projets miniers sont controversés et complexes. La question que pose la présente étude est de savoir comment les paysans résistent-ils contre ce projet, l’accaparement de leurs terres par les acteurs puissants. Ce livre démontera que dans la zone de Liambe et ses environs, qu’aucune des phases du cycle de mise en valeur des minéraux n’offre des possibilités économiques aux communautés riveraines. Soucieux de maximiser les gains, préoccupés par le legs à la génération future, la relation de partenariat entre l’industrie minière et les autochtones sont devenus sources de mésententes énormes et souvent désavantageuses pour l’Etat Congolais. Il apparait que l'exploitation des ressources minières sur le lit de la rivière Aruwimi pourrait engendrer des calamités et des désastres sur les populations et sur l'environnement ; ce qui rendrait le processus du développement plus difficile. Elle apporterait plutôt plus des problèmes que des solutions. </w:t>
      </w:r>
    </w:p>
    <w:p w:rsidR="0089405D" w:rsidRDefault="003468E2">
      <w:pPr>
        <w:spacing w:after="0" w:line="312" w:lineRule="auto"/>
        <w:ind w:firstLine="708"/>
        <w:jc w:val="both"/>
        <w:rPr>
          <w:rFonts w:cs="Calibri"/>
          <w:sz w:val="24"/>
          <w:szCs w:val="24"/>
          <w:lang w:val="fr-FR"/>
        </w:rPr>
      </w:pPr>
      <w:r>
        <w:rPr>
          <w:rFonts w:cs="Calibri"/>
          <w:sz w:val="24"/>
          <w:szCs w:val="24"/>
          <w:lang w:val="fr-FR"/>
        </w:rPr>
        <w:t>Au regard de la littérature scientifique que nous allons étaler dans ce livre, les réalités vécues sous d’autres cieux, la zone de Liambe et ses environs s’exposeraient aux conséquences diverses telles que les biotes associés par le biais de la suppression de la végétation ainsi que le sol de couverture, le déplacement de la faune, le dégagement de polluants et de bruit, etc. Les risques sanitaires et environnementaux induits pendant l’exploitation, après les fermées des mines sont d’émanation de gaz dangereux, pollutions de l'eau, de l'air et des sols, mouvements de terrain et inondations. Cela risquerait d'ouvrir la boîte aux pandores si ces érosions touchaient les tourbières de la région...et libérer par conséquent, le CO</w:t>
      </w:r>
      <w:r>
        <w:rPr>
          <w:rFonts w:cs="Calibri"/>
          <w:sz w:val="24"/>
          <w:szCs w:val="24"/>
          <w:vertAlign w:val="subscript"/>
          <w:lang w:val="fr-FR"/>
        </w:rPr>
        <w:t>2</w:t>
      </w:r>
      <w:r>
        <w:rPr>
          <w:rFonts w:cs="Calibri"/>
          <w:sz w:val="24"/>
          <w:szCs w:val="24"/>
          <w:lang w:val="fr-FR"/>
        </w:rPr>
        <w:t xml:space="preserve"> emprisonné !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Les concessions minérales dans les carrés en dehors de la surface d’eau se trouvant sur le territoire des peuples indigènes subissent menaces d’acculturation, voire de disparition. Et aussi des pertes économiques pour les populations locales (mort du bétail et dégâts pour les cultures, diminution de la productivité des sols à cause de la pollution), etc. Hormis ces aspects soulevés dans ce papier, nous demandons aux autres acteurs et autres chercheurs qui aborderont une telle thématique, d’intégrer d’une manière adéquate aussi des aspects socioculturels et économiques dans les évaluations environnementales pour mieux prévenir et gérer les risques et leurs conséquences. </w:t>
      </w:r>
    </w:p>
    <w:p w:rsidR="0089405D" w:rsidRDefault="003468E2">
      <w:pPr>
        <w:spacing w:after="0" w:line="312" w:lineRule="auto"/>
        <w:rPr>
          <w:rFonts w:eastAsia="Times New Roman" w:cs="Calibri"/>
          <w:b/>
          <w:sz w:val="24"/>
          <w:szCs w:val="24"/>
          <w:lang w:val="fr-FR" w:eastAsia="fr-FR"/>
        </w:rPr>
      </w:pPr>
      <w:bookmarkStart w:id="68" w:name="_Toc111888573"/>
      <w:bookmarkStart w:id="69" w:name="_Toc127187160"/>
      <w:bookmarkStart w:id="70" w:name="_Toc127187437"/>
      <w:bookmarkStart w:id="71" w:name="_Toc127432194"/>
      <w:r>
        <w:rPr>
          <w:rFonts w:eastAsia="Times New Roman" w:cs="Calibri"/>
          <w:b/>
          <w:sz w:val="24"/>
          <w:szCs w:val="24"/>
          <w:lang w:val="fr-FR" w:eastAsia="fr-FR"/>
        </w:rPr>
        <w:br w:type="page"/>
      </w:r>
      <w:r>
        <w:rPr>
          <w:rFonts w:eastAsia="Times New Roman" w:cs="Calibri"/>
          <w:b/>
          <w:sz w:val="24"/>
          <w:szCs w:val="24"/>
          <w:lang w:val="fr-FR" w:eastAsia="fr-FR"/>
        </w:rPr>
        <w:lastRenderedPageBreak/>
        <w:t>CONCLUSION</w:t>
      </w:r>
      <w:bookmarkEnd w:id="67"/>
      <w:bookmarkEnd w:id="68"/>
      <w:bookmarkEnd w:id="69"/>
      <w:bookmarkEnd w:id="70"/>
      <w:bookmarkEnd w:id="71"/>
      <w:r>
        <w:rPr>
          <w:rFonts w:eastAsia="Times New Roman" w:cs="Calibri"/>
          <w:b/>
          <w:sz w:val="24"/>
          <w:szCs w:val="24"/>
          <w:lang w:val="fr-FR" w:eastAsia="fr-FR"/>
        </w:rPr>
        <w:t xml:space="preserve"> </w:t>
      </w:r>
    </w:p>
    <w:p w:rsidR="0089405D" w:rsidRDefault="0089405D">
      <w:pPr>
        <w:spacing w:after="0" w:line="312" w:lineRule="auto"/>
        <w:ind w:firstLine="709"/>
        <w:jc w:val="both"/>
        <w:rPr>
          <w:rFonts w:eastAsia="Times New Roman" w:cs="Calibri"/>
          <w:sz w:val="24"/>
          <w:szCs w:val="24"/>
          <w:lang w:val="fr-FR" w:eastAsia="fr-FR"/>
        </w:rPr>
      </w:pP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La caractérisation de l'état et des tendances environnementales se fait à partir de l'observation dans son milieu naturel, mais aussi à partir de données rétrospectives, et éventuellement prospectives. Ainsi, la mondialisation des activités et l’importance croissante de la financiarisation ont pour suite une mutation de finalité productive et un accroissement de l’écoumène économique pour les films étrangers et destruction de l’environnement pour la population indigènes. Ce double changement conduit à une forme de rééquilibrage Nord-Sud.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Après avoir plus particulièrement montré les hyper instabilités spatiale dans un site qui sera exploité suite aux des activités minières, des nouveaux paradigmes remettant en cause la manière d’aborder la recherche en ce domaine, on en examinera les conséquences. En effet, ces transmutations brutales de l’espace fluvial Aruwimi dans le territoire de Basoko  et du temps de l’ entreprises conduira  à réviser ou relire les anciennes thématiques d’exploitation comme elle prêtant dire , à la lumière des faits dans d’autres sites qu’elle a passé soit disant à explorer de nouvelles pistes de travail dans cette espace du bassin du Congo du Basoko, le rééquilibrage économique et social, qui s’inscrit dans un temps court, a des conséquences qui seront profondes, ainsi que la formulation de la géographie du sous-développement.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En d’autre dénouement, ce projet d’exploitation minière semi - industrielle dans le lit de la rivière Aruwimi peut créer des richesses à la firme chinoise, mais également provoquer des perturbations environnementales considérables, difficiles à corriger. Si les impacts sur la population et le milieu humain sont ignorés ou sous-estimés dans les EIES (pas de mesures) et PGES (Plan de Gestion Environnementale et Sociale) cela entrainera des lourdes conséquences d’ordre social et économique.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Tous ceci montre clairement que l'exploitation des ressources minières sur le lit de la rivière Aruwimi peut engendrer des calamités et des désastres sur les populations et sur l'environnement ; ce qui rendrait le processus développement plus difficile. Tout projet allant dans ce sens (d’exploitation minière) dans cette zone serait tout simplement inopportun. Les conflits opposant les communautés locales à société minière ont reçu un important écho médiatique. Des ONG environnementalistes et nous-mêmes  avons développé des campagnes visant à attirer l’attention de l’opinion publique sur les nuisances environnementales et sociales de ce projet minier.</w:t>
      </w:r>
    </w:p>
    <w:p w:rsidR="0089405D" w:rsidRDefault="0089405D">
      <w:pPr>
        <w:spacing w:after="0" w:line="312" w:lineRule="auto"/>
        <w:jc w:val="both"/>
        <w:rPr>
          <w:rFonts w:eastAsia="Times New Roman" w:cs="Calibri"/>
          <w:sz w:val="24"/>
          <w:szCs w:val="24"/>
          <w:lang w:val="fr-FR" w:eastAsia="fr-FR"/>
        </w:rPr>
      </w:pPr>
    </w:p>
    <w:p w:rsidR="0089405D" w:rsidRDefault="003468E2">
      <w:pPr>
        <w:pStyle w:val="Titre1"/>
        <w:spacing w:before="0" w:line="312" w:lineRule="auto"/>
        <w:rPr>
          <w:rFonts w:eastAsia="Times New Roman" w:cs="Calibri"/>
          <w:b/>
          <w:color w:val="auto"/>
          <w:sz w:val="24"/>
          <w:szCs w:val="24"/>
          <w:lang w:val="fr-FR" w:eastAsia="fr-FR"/>
        </w:rPr>
      </w:pPr>
      <w:bookmarkStart w:id="72" w:name="_Toc79392938"/>
      <w:bookmarkStart w:id="73" w:name="_Toc111888574"/>
      <w:bookmarkStart w:id="74" w:name="_Toc127187161"/>
      <w:bookmarkStart w:id="75" w:name="_Toc127187438"/>
      <w:bookmarkStart w:id="76" w:name="_Toc127432195"/>
      <w:r>
        <w:rPr>
          <w:rFonts w:eastAsia="Times New Roman" w:cs="Calibri"/>
          <w:b/>
          <w:color w:val="auto"/>
          <w:sz w:val="24"/>
          <w:szCs w:val="24"/>
          <w:lang w:val="fr-FR" w:eastAsia="fr-FR"/>
        </w:rPr>
        <w:lastRenderedPageBreak/>
        <w:t>RÉFÉRENCES</w:t>
      </w:r>
      <w:bookmarkEnd w:id="72"/>
      <w:r>
        <w:rPr>
          <w:rFonts w:eastAsia="Times New Roman" w:cs="Calibri"/>
          <w:b/>
          <w:color w:val="auto"/>
          <w:sz w:val="24"/>
          <w:szCs w:val="24"/>
          <w:lang w:val="fr-FR" w:eastAsia="fr-FR"/>
        </w:rPr>
        <w:t xml:space="preserve"> BIBLIOGRAPHIQUES</w:t>
      </w:r>
      <w:bookmarkEnd w:id="73"/>
      <w:bookmarkEnd w:id="74"/>
      <w:bookmarkEnd w:id="75"/>
      <w:bookmarkEnd w:id="76"/>
      <w:r>
        <w:rPr>
          <w:rFonts w:eastAsia="Times New Roman" w:cs="Calibri"/>
          <w:b/>
          <w:color w:val="auto"/>
          <w:sz w:val="24"/>
          <w:szCs w:val="24"/>
          <w:lang w:val="fr-FR" w:eastAsia="fr-FR"/>
        </w:rPr>
        <w:t xml:space="preserve"> </w:t>
      </w:r>
    </w:p>
    <w:p w:rsidR="0089405D" w:rsidRDefault="0089405D">
      <w:pPr>
        <w:pStyle w:val="Titre1"/>
        <w:shd w:val="clear" w:color="auto" w:fill="FFFFFF"/>
        <w:spacing w:before="0" w:line="312" w:lineRule="auto"/>
        <w:rPr>
          <w:rFonts w:cs="Calibri"/>
          <w:b/>
          <w:color w:val="auto"/>
          <w:sz w:val="24"/>
          <w:szCs w:val="24"/>
          <w:lang w:val="fr-FR"/>
        </w:rPr>
      </w:pP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Abadie, J.C. (2008). La nature ordinaire face aux pressions humaines : le cas des plantes communes. Méthodes de suivis et évaluation de l’impact des activités humaines, Paris, Musée national d’histoire naturelle</w:t>
      </w:r>
    </w:p>
    <w:p w:rsidR="0089405D" w:rsidRDefault="003468E2">
      <w:pPr>
        <w:pStyle w:val="Paragraphedeliste"/>
        <w:numPr>
          <w:ilvl w:val="0"/>
          <w:numId w:val="1"/>
        </w:numPr>
        <w:tabs>
          <w:tab w:val="left" w:pos="851"/>
        </w:tabs>
        <w:spacing w:line="312" w:lineRule="auto"/>
        <w:ind w:left="714" w:hanging="357"/>
        <w:jc w:val="both"/>
        <w:rPr>
          <w:rFonts w:cs="Calibri"/>
          <w:sz w:val="24"/>
          <w:szCs w:val="24"/>
        </w:rPr>
      </w:pPr>
      <w:r>
        <w:rPr>
          <w:rFonts w:cs="Calibri"/>
          <w:sz w:val="24"/>
          <w:szCs w:val="24"/>
          <w:lang w:val="fr-FR"/>
        </w:rPr>
        <w:t xml:space="preserve">Anselme, B. ; Bousquet, F. ; Lyet, A. ; Etienne, M. ;Fady, B. (2008). </w:t>
      </w:r>
      <w:r>
        <w:rPr>
          <w:rFonts w:cs="Calibri"/>
          <w:sz w:val="24"/>
          <w:szCs w:val="24"/>
        </w:rPr>
        <w:t xml:space="preserve">Modelling spatial dynamics and biodiversity conservation on Lure mountain (France). </w:t>
      </w:r>
      <w:r>
        <w:rPr>
          <w:rFonts w:cs="Calibri"/>
          <w:sz w:val="24"/>
          <w:szCs w:val="24"/>
          <w:lang w:val="fr-FR"/>
        </w:rPr>
        <w:t>Environmental Modeling &amp; Software, in review.</w:t>
      </w:r>
    </w:p>
    <w:p w:rsidR="0089405D" w:rsidRDefault="003468E2">
      <w:pPr>
        <w:pStyle w:val="Paragraphedeliste"/>
        <w:numPr>
          <w:ilvl w:val="0"/>
          <w:numId w:val="1"/>
        </w:numPr>
        <w:tabs>
          <w:tab w:val="left" w:pos="851"/>
        </w:tabs>
        <w:spacing w:line="312" w:lineRule="auto"/>
        <w:ind w:left="714" w:hanging="357"/>
        <w:jc w:val="both"/>
        <w:rPr>
          <w:rFonts w:cs="Calibri"/>
          <w:b/>
          <w:sz w:val="24"/>
          <w:szCs w:val="24"/>
        </w:rPr>
      </w:pPr>
      <w:r>
        <w:rPr>
          <w:rFonts w:cs="Calibri"/>
          <w:sz w:val="24"/>
          <w:szCs w:val="24"/>
        </w:rPr>
        <w:t>Bebbington, A.; Hinojosa, L.; Humphreys Bebbington, D.; Burneo, ML. &amp; Warnaars, X. (2008). Contention and Ambiguity: Mining and the Possibilities of Development, Brooks World Poverty Institute Working Paper No. 57, Manchester: Brooks World Poverty Institute.</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Berzins, R.; F. Claro, A. H. ; Akpona J. &amp; Gambari I. S. (2007). Conservation du guépard et développement durable dans les aires protégées du nord Bénin. Mission d’enquête auprès des villageoiset des agents d’aires protégées (16/12/2005 au 26/02/2006). Paris, Société Zoologique de Paris</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rPr>
        <w:t xml:space="preserve">Brydon-Miller, M. &amp; Greenwood, D. (2006). A presentation of the relationship between action research and human subjects review processes. </w:t>
      </w:r>
      <w:r>
        <w:rPr>
          <w:rFonts w:eastAsia="ArialMT" w:cs="Calibri"/>
          <w:sz w:val="24"/>
          <w:szCs w:val="24"/>
          <w:lang w:val="fr-FR"/>
        </w:rPr>
        <w:t>Action Research, 4(1) : 34-34</w:t>
      </w:r>
    </w:p>
    <w:p w:rsidR="0089405D" w:rsidRDefault="003468E2">
      <w:pPr>
        <w:pStyle w:val="Paragraphedeliste"/>
        <w:numPr>
          <w:ilvl w:val="0"/>
          <w:numId w:val="1"/>
        </w:numPr>
        <w:spacing w:line="312" w:lineRule="auto"/>
        <w:jc w:val="both"/>
        <w:rPr>
          <w:rStyle w:val="Lienhypertexte"/>
          <w:rFonts w:eastAsia="ArialMT" w:cs="Calibri"/>
          <w:color w:val="auto"/>
          <w:sz w:val="24"/>
          <w:szCs w:val="24"/>
          <w:u w:val="none"/>
          <w:lang w:val="fr-FR"/>
        </w:rPr>
      </w:pPr>
      <w:r>
        <w:rPr>
          <w:rFonts w:cs="Calibri"/>
          <w:sz w:val="24"/>
          <w:szCs w:val="24"/>
          <w:lang w:val="fr-FR"/>
        </w:rPr>
        <w:t xml:space="preserve">Carbonnier, G. (2013). La malédiction des ressources naturelles et ses antidotes. Revue internationale et stratégique, 91(3), 38-48. </w:t>
      </w:r>
      <w:hyperlink r:id="rId12" w:history="1">
        <w:r>
          <w:rPr>
            <w:rStyle w:val="Lienhypertexte"/>
            <w:rFonts w:cs="Calibri"/>
            <w:sz w:val="24"/>
            <w:szCs w:val="24"/>
            <w:lang w:val="fr-FR"/>
          </w:rPr>
          <w:t>https://doi.org/10.3917/ris.091.0038</w:t>
        </w:r>
      </w:hyperlink>
      <w:r>
        <w:rPr>
          <w:rStyle w:val="Lienhypertexte"/>
          <w:rFonts w:cs="Calibri"/>
          <w:sz w:val="24"/>
          <w:szCs w:val="24"/>
          <w:lang w:val="fr-FR"/>
        </w:rPr>
        <w:t xml:space="preserve"> </w:t>
      </w:r>
    </w:p>
    <w:p w:rsidR="0089405D" w:rsidRDefault="003468E2">
      <w:pPr>
        <w:pStyle w:val="Paragraphedeliste"/>
        <w:numPr>
          <w:ilvl w:val="0"/>
          <w:numId w:val="1"/>
        </w:numPr>
        <w:spacing w:line="312" w:lineRule="auto"/>
        <w:jc w:val="both"/>
        <w:rPr>
          <w:rFonts w:eastAsia="ArialMT" w:cs="Calibri"/>
          <w:sz w:val="24"/>
          <w:szCs w:val="24"/>
          <w:lang w:val="fr-FR"/>
        </w:rPr>
      </w:pPr>
      <w:r>
        <w:rPr>
          <w:rFonts w:cs="Calibri"/>
          <w:sz w:val="24"/>
          <w:szCs w:val="24"/>
        </w:rPr>
        <w:t xml:space="preserve">Coghlan, D. (2011). Action research: exploring perspectives on a philosophy of practical knowing. </w:t>
      </w:r>
      <w:r>
        <w:rPr>
          <w:rFonts w:cs="Calibri"/>
          <w:sz w:val="24"/>
          <w:szCs w:val="24"/>
          <w:lang w:val="fr-FR"/>
        </w:rPr>
        <w:t>The Academy of Management Annals : 5 (1) : 53-87.</w:t>
      </w:r>
    </w:p>
    <w:p w:rsidR="0089405D" w:rsidRDefault="003468E2">
      <w:pPr>
        <w:pStyle w:val="Paragraphedeliste"/>
        <w:numPr>
          <w:ilvl w:val="0"/>
          <w:numId w:val="1"/>
        </w:numPr>
        <w:spacing w:line="312" w:lineRule="auto"/>
        <w:jc w:val="both"/>
        <w:rPr>
          <w:rStyle w:val="Lienhypertexte"/>
          <w:rFonts w:eastAsia="ArialMT" w:cs="Calibri"/>
          <w:color w:val="auto"/>
          <w:sz w:val="24"/>
          <w:szCs w:val="24"/>
          <w:u w:val="none"/>
        </w:rPr>
      </w:pPr>
      <w:r>
        <w:rPr>
          <w:rFonts w:eastAsia="ArialMT" w:cs="Calibri"/>
          <w:sz w:val="24"/>
          <w:szCs w:val="24"/>
          <w:lang w:val="fr-FR"/>
        </w:rPr>
        <w:t xml:space="preserve">Coulibaly, G.M.M. (2012). Evaluation environnementale et analyse des risques dans l'exploitation minière : conséquences du non-respect des obligations environnementales. </w:t>
      </w:r>
      <w:hyperlink r:id="rId13" w:history="1">
        <w:r>
          <w:rPr>
            <w:rStyle w:val="Lienhypertexte"/>
            <w:rFonts w:eastAsia="ArialMT" w:cs="Calibri"/>
            <w:sz w:val="24"/>
            <w:szCs w:val="24"/>
          </w:rPr>
          <w:t>https://www.sifee.org/static/uploaded/Files/ressources/actes-des-colloques/lome/session-3-3/COULIBALY_DIAPO.pdf</w:t>
        </w:r>
      </w:hyperlink>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Cyuzuzo, L. (2020). L'exploitation minière à l'Est de la République Démocratique du Congo (RDC): Réflexions sur les enjeux économiques, politiques et environnementaux d'une enquête ethnographique. Mémoire de Master I de l’École des Hautes Études en Sciences Sociales </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 xml:space="preserve">Dmoergue, C. &amp; Mpoyi M. A. (2012). « La gestion des ressources naturelles pour une croissancedurable ». In J. Herderschee, D. Mukoko Samba &amp; M. Tshimenga Tshibangu </w:t>
      </w:r>
      <w:r>
        <w:rPr>
          <w:rFonts w:eastAsia="ArialMT" w:cs="Calibri"/>
          <w:sz w:val="24"/>
          <w:szCs w:val="24"/>
          <w:lang w:val="fr-FR"/>
        </w:rPr>
        <w:lastRenderedPageBreak/>
        <w:t>(éd.), Résilience d’un géant africain : accélérer la croissance et promouvoir l’emploi en République démocratique du Congo. Études sectorielles, volume 2. Kinshasa : Médiaspaul</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rPr>
        <w:t xml:space="preserve">Franks, D.M.; Brereton, D.; Moran, CJ.; Sarker, T &amp; Cohen, T. (2010). Cumulative Impacts A Good Practice Guide for the Australian Coal Mining Industry. Centre for Social Responsibility in Mining &amp; Centre for Water in the Minerals Industry, Sustainable Minerals Institute, University of Queensland. Australian Coal Association </w:t>
      </w:r>
      <w:r>
        <w:rPr>
          <w:rFonts w:eastAsia="ArialMT" w:cs="Calibri"/>
          <w:sz w:val="24"/>
          <w:szCs w:val="24"/>
          <w:lang w:val="fr-FR"/>
        </w:rPr>
        <w:t>Research Program. Brisbane</w:t>
      </w:r>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Franks, D.; Fidler, C.; Brereton, D.; Vanclay, F &amp; Clark. P. (2009). Leading Practice Strategies for Addressing the Social Impacts of Resource Developments. Centre for Social Responsibility in Mining, Sustainable Minerals Institute, The University of Queensland. Briefing paper for the Department of Employment, Economic Development and Innovation, Queensland Government, Brisbane</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rPr>
        <w:t xml:space="preserve">Gavard-Perret, M.L.D.; Gotteland, C.; Haon &amp; Jolibert, A. (2011). </w:t>
      </w:r>
      <w:r>
        <w:rPr>
          <w:rFonts w:eastAsia="ArialMT" w:cs="Calibri"/>
          <w:sz w:val="24"/>
          <w:szCs w:val="24"/>
          <w:lang w:val="fr-FR"/>
        </w:rPr>
        <w:t>Méthodologie de la recherche. Réussir son mémoire ou sa thèse en sciences de gestion, Paris, Pearson.</w:t>
      </w:r>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Greenwood, D.J. &amp; Levin, M. (2007). Introduction to action research: social research of social change (2eéd.).Thousand Oaks, CA: Sage</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Grzybowski, A. (2012). Guide pratique pour la prévention et la gestion des conflits liés à la terre et aux ressources naturelles : industries extractives et conflits. Le Groupe interagences des Nations Unies pour les actions préventives </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 xml:space="preserve">Justice et Paix de la Fédération Wallonie-Bruxelles (2019). Code minier en RD Congo : les enjeux de la Réforme. </w:t>
      </w:r>
      <w:hyperlink r:id="rId14" w:history="1">
        <w:r>
          <w:rPr>
            <w:rStyle w:val="Lienhypertexte"/>
            <w:rFonts w:eastAsia="ArialMT" w:cs="Calibri"/>
            <w:sz w:val="24"/>
            <w:szCs w:val="24"/>
            <w:lang w:val="fr-FR"/>
          </w:rPr>
          <w:t>www.justicepaix.be</w:t>
        </w:r>
      </w:hyperlink>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Kamundala, G. (2012). Exploitation minière Industrielle et artisanale au Sud Kivu: Possibilités d'une cohabitation pacifique? Coopération Universitaire Flamande (VLIR-UOS), Université d’Anvers. </w:t>
      </w:r>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Keenan, K. ; de Echave J. &amp;  Traynor K. (2002). Mining and communities: Poverty amidst. Wealth. International Conference on Natural Assets, Conference Paper Series N</w:t>
      </w:r>
      <w:r>
        <w:rPr>
          <w:rFonts w:eastAsia="ArialMT" w:cs="Calibri"/>
          <w:sz w:val="24"/>
          <w:szCs w:val="24"/>
          <w:vertAlign w:val="superscript"/>
        </w:rPr>
        <w:t>o</w:t>
      </w:r>
      <w:r>
        <w:rPr>
          <w:rFonts w:eastAsia="ArialMT" w:cs="Calibri"/>
          <w:sz w:val="24"/>
          <w:szCs w:val="24"/>
        </w:rPr>
        <w:t>.3. 25</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 xml:space="preserve">Lassourd T. (2018).  La fiscalité du nouveau code minier de la République Démocratique du Congo, Natural Resource Governance Institute, Analyse 32 P, </w:t>
      </w:r>
      <w:hyperlink r:id="rId15" w:history="1">
        <w:r>
          <w:rPr>
            <w:rStyle w:val="Lienhypertexte"/>
            <w:rFonts w:eastAsia="ArialMT" w:cs="Calibri"/>
            <w:sz w:val="24"/>
            <w:szCs w:val="24"/>
            <w:lang w:val="fr-FR"/>
          </w:rPr>
          <w:t>www.resourcegovernance.org</w:t>
        </w:r>
      </w:hyperlink>
      <w:r>
        <w:rPr>
          <w:rFonts w:eastAsia="ArialMT" w:cs="Calibri"/>
          <w:sz w:val="24"/>
          <w:szCs w:val="24"/>
          <w:lang w:val="fr-FR"/>
        </w:rPr>
        <w:t>.</w:t>
      </w:r>
    </w:p>
    <w:p w:rsidR="0089405D" w:rsidRDefault="003468E2">
      <w:pPr>
        <w:pStyle w:val="Paragraphedeliste"/>
        <w:numPr>
          <w:ilvl w:val="0"/>
          <w:numId w:val="1"/>
        </w:numPr>
        <w:spacing w:line="312" w:lineRule="auto"/>
        <w:jc w:val="both"/>
        <w:rPr>
          <w:rStyle w:val="Lienhypertexte"/>
          <w:rFonts w:eastAsia="ArialMT" w:cs="Calibri"/>
          <w:color w:val="auto"/>
          <w:sz w:val="24"/>
          <w:szCs w:val="24"/>
          <w:u w:val="none"/>
          <w:lang w:val="fr-FR"/>
        </w:rPr>
      </w:pPr>
      <w:r>
        <w:rPr>
          <w:rFonts w:cs="Calibri"/>
          <w:sz w:val="24"/>
          <w:szCs w:val="24"/>
          <w:lang w:val="fr-FR"/>
        </w:rPr>
        <w:t xml:space="preserve">Le Ster, M. (2011). L’Est de la République Démocratique du Congo : du « scandale géologique » au scandale politique, économique, humanitaire. . . . Cahiers d’Outre-Mer, 64(255), 435-438. </w:t>
      </w:r>
      <w:hyperlink r:id="rId16" w:history="1">
        <w:r>
          <w:rPr>
            <w:rStyle w:val="Lienhypertexte"/>
            <w:rFonts w:cs="Calibri"/>
            <w:sz w:val="24"/>
            <w:szCs w:val="24"/>
            <w:lang w:val="fr-FR"/>
          </w:rPr>
          <w:t>https://doi.org/10.4000/com.6341</w:t>
        </w:r>
      </w:hyperlink>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lastRenderedPageBreak/>
        <w:t>Marysse, S. (2001). Audition publique. In Rapport de la commission d’enquête, dit « Lutundula » ; cité par la Commission spéciale de l’Assemblée nationale chargée de l’examen de la validité des conventions à caractère économique et financier conclues pendant les guerres de 1996-1997 et de 1998</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rPr>
        <w:t xml:space="preserve">Mazalto, M. (2009). « Governance, human rights and mining in the Democratic Republic of Congo ». In B. Campbell (éd.), Mining in Africa. Regulation and Development. </w:t>
      </w:r>
      <w:r>
        <w:rPr>
          <w:rFonts w:eastAsia="ArialMT" w:cs="Calibri"/>
          <w:sz w:val="24"/>
          <w:szCs w:val="24"/>
          <w:lang w:val="fr-FR"/>
        </w:rPr>
        <w:t>London and New York : Pluto Press, 187-242</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 xml:space="preserve">Mongi, S. (2021). Les expériences d’injustice et la fonction émancipatrice des droits de l’homme », La Revue des droits de l’homme. </w:t>
      </w:r>
      <w:hyperlink r:id="rId17" w:history="1">
        <w:r>
          <w:rPr>
            <w:rStyle w:val="Lienhypertexte"/>
            <w:rFonts w:eastAsia="ArialMT" w:cs="Calibri"/>
            <w:sz w:val="24"/>
            <w:szCs w:val="24"/>
            <w:lang w:val="fr-FR"/>
          </w:rPr>
          <w:t>https://doi.org/10.4000/revdh.11336</w:t>
        </w:r>
      </w:hyperlink>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Moreau, A. ; Dedianne M.-C. ; Letrilliart, L. ; Le Goaziou, M-F. ; Labarère J. &amp; Terra, J.L. (2004). S’approprier la méthode du focus group, La revue du praticien-médecine générale, 645, 18 : 382-384.</w:t>
      </w:r>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Neilsen, E.H.  (2006).  But  let  us  not  forget  John  Collier: commentary  on David  Bargal’s ‘Personal  and  intellectual  influences  leading  to  Lewin’s paradigm on action research’. Action Research, 4(4): 389-399.</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t>Nogier, J-F. (2008). Ergonomie du logiciel et design web : Le manuel des interfaces utilisateur, 4e édition, Dunod (ISBN 9782100515721) </w:t>
      </w:r>
    </w:p>
    <w:p w:rsidR="0089405D" w:rsidRDefault="003468E2">
      <w:pPr>
        <w:pStyle w:val="Paragraphedeliste"/>
        <w:numPr>
          <w:ilvl w:val="0"/>
          <w:numId w:val="1"/>
        </w:numPr>
        <w:spacing w:line="312" w:lineRule="auto"/>
        <w:jc w:val="both"/>
        <w:rPr>
          <w:rStyle w:val="Lienhypertexte"/>
          <w:rFonts w:eastAsia="ArialMT" w:cs="Calibri"/>
          <w:color w:val="auto"/>
          <w:sz w:val="24"/>
          <w:szCs w:val="24"/>
          <w:u w:val="none"/>
          <w:lang w:val="fr-FR"/>
        </w:rPr>
      </w:pPr>
      <w:r>
        <w:rPr>
          <w:rFonts w:cs="Calibri"/>
          <w:sz w:val="24"/>
          <w:szCs w:val="24"/>
          <w:lang w:val="fr-FR"/>
        </w:rPr>
        <w:t xml:space="preserve">OCDE (2016). Guide OCDE sur le devoir de diligence pour des chaînes d’approvisionnement responsables en minerais provenant de zones de conflit ou à haut risque : Troisième édition. Éditions OCDE. </w:t>
      </w:r>
      <w:hyperlink r:id="rId18" w:history="1">
        <w:r>
          <w:rPr>
            <w:rStyle w:val="Lienhypertexte"/>
            <w:rFonts w:cs="Calibri"/>
            <w:sz w:val="24"/>
            <w:szCs w:val="24"/>
            <w:lang w:val="fr-FR"/>
          </w:rPr>
          <w:t>https://doi.org/10.1787/9789264253520-fr</w:t>
        </w:r>
      </w:hyperlink>
    </w:p>
    <w:p w:rsidR="0089405D" w:rsidRDefault="003468E2">
      <w:pPr>
        <w:pStyle w:val="Paragraphedeliste"/>
        <w:numPr>
          <w:ilvl w:val="0"/>
          <w:numId w:val="1"/>
        </w:numPr>
        <w:spacing w:line="312" w:lineRule="auto"/>
        <w:jc w:val="both"/>
        <w:rPr>
          <w:rStyle w:val="Lienhypertexte"/>
          <w:rFonts w:eastAsia="ArialMT" w:cs="Calibri"/>
          <w:color w:val="auto"/>
          <w:sz w:val="24"/>
          <w:szCs w:val="24"/>
          <w:u w:val="none"/>
          <w:lang w:val="fr-FR"/>
        </w:rPr>
      </w:pPr>
      <w:r>
        <w:rPr>
          <w:rFonts w:eastAsia="ArialMT" w:cs="Calibri"/>
          <w:sz w:val="24"/>
          <w:szCs w:val="24"/>
          <w:lang w:val="fr-FR"/>
        </w:rPr>
        <w:t xml:space="preserve">PNUD (2016). Évaluation environnementale de la pollution au mercure dans l’est de la République Démocratique du Congo.  Rapport Technique pour le projet « or juste » du partenariat Afrique-canada, Nairobi/Kenya, 76 p. </w:t>
      </w:r>
      <w:hyperlink r:id="rId19" w:history="1">
        <w:r>
          <w:rPr>
            <w:rStyle w:val="Lienhypertexte"/>
            <w:rFonts w:eastAsia="ArialMT" w:cs="Calibri"/>
            <w:sz w:val="24"/>
            <w:szCs w:val="24"/>
            <w:lang w:val="fr-FR"/>
          </w:rPr>
          <w:t>http://web.unep.org/fr</w:t>
        </w:r>
      </w:hyperlink>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Ranveig, D. F. &amp; Soysa, I. (2012). Globalization and Political Violence, 1970–2008. International Interactions 38(5): 622-646</w:t>
      </w:r>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Reason, P. &amp; Bradbury, H.   (2008). Handbook of action research: participative inquiry and practice (2eéd.).London: Sage</w:t>
      </w:r>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Richard, A. &amp; Mary, A.C. (2000). Focus Groups: A Practical Guide for Applied Research, Plastic Comb</w:t>
      </w:r>
    </w:p>
    <w:p w:rsidR="0089405D" w:rsidRDefault="003468E2">
      <w:pPr>
        <w:pStyle w:val="Paragraphedeliste"/>
        <w:numPr>
          <w:ilvl w:val="0"/>
          <w:numId w:val="1"/>
        </w:numPr>
        <w:spacing w:line="312" w:lineRule="auto"/>
        <w:jc w:val="both"/>
        <w:rPr>
          <w:rFonts w:eastAsia="ArialMT" w:cs="Calibri"/>
          <w:sz w:val="24"/>
          <w:szCs w:val="24"/>
        </w:rPr>
      </w:pPr>
      <w:r>
        <w:rPr>
          <w:rFonts w:eastAsia="ArialMT" w:cs="Calibri"/>
          <w:sz w:val="24"/>
          <w:szCs w:val="24"/>
        </w:rPr>
        <w:t>Robson,   C.   (2011). Real world research (3eéd.).Oxford: Blackwell Publishing.</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rPr>
        <w:t xml:space="preserve">Sachs, J.D. &amp; Warner, A.M. (1997). Sources of slow growth in African economies. </w:t>
      </w:r>
      <w:r>
        <w:rPr>
          <w:rFonts w:eastAsia="ArialMT" w:cs="Calibri"/>
          <w:sz w:val="24"/>
          <w:szCs w:val="24"/>
          <w:lang w:val="fr-FR"/>
        </w:rPr>
        <w:t>Journal of AfricanEconomies 6 (3): 335-376</w:t>
      </w:r>
    </w:p>
    <w:p w:rsidR="0089405D" w:rsidRDefault="003468E2">
      <w:pPr>
        <w:pStyle w:val="Paragraphedeliste"/>
        <w:numPr>
          <w:ilvl w:val="0"/>
          <w:numId w:val="1"/>
        </w:numPr>
        <w:spacing w:line="312" w:lineRule="auto"/>
        <w:jc w:val="both"/>
        <w:rPr>
          <w:rFonts w:eastAsia="ArialMT" w:cs="Calibri"/>
          <w:sz w:val="24"/>
          <w:szCs w:val="24"/>
          <w:lang w:val="fr-FR"/>
        </w:rPr>
      </w:pPr>
      <w:r>
        <w:rPr>
          <w:rFonts w:eastAsia="ArialMT" w:cs="Calibri"/>
          <w:sz w:val="24"/>
          <w:szCs w:val="24"/>
          <w:lang w:val="fr-FR"/>
        </w:rPr>
        <w:lastRenderedPageBreak/>
        <w:t>Solomon-Robert C. &amp; Hanson Kristine R, (1989). La Morale en Affaires, Clé de la réussite, Nouveaux Horizon, Mayenne</w:t>
      </w:r>
    </w:p>
    <w:p w:rsidR="0089405D" w:rsidRDefault="003468E2">
      <w:pPr>
        <w:pStyle w:val="Paragraphedeliste"/>
        <w:numPr>
          <w:ilvl w:val="0"/>
          <w:numId w:val="1"/>
        </w:numPr>
        <w:spacing w:line="312" w:lineRule="auto"/>
        <w:jc w:val="both"/>
        <w:rPr>
          <w:rFonts w:eastAsia="ArialMT" w:cs="Calibri"/>
          <w:color w:val="0070C0"/>
          <w:sz w:val="24"/>
          <w:szCs w:val="24"/>
        </w:rPr>
      </w:pPr>
      <w:r>
        <w:rPr>
          <w:rFonts w:cs="Calibri"/>
          <w:sz w:val="24"/>
          <w:szCs w:val="24"/>
        </w:rPr>
        <w:t xml:space="preserve">Stratos, I. (2011). Climate Change and Acid Rock Drainage - Risks for the Canadian Mining Sector. MEND, Ottawa, Canada. MEND Report 1.61.7. </w:t>
      </w:r>
      <w:hyperlink r:id="rId20" w:history="1">
        <w:r>
          <w:rPr>
            <w:rFonts w:cs="Calibri"/>
            <w:color w:val="0070C0"/>
            <w:sz w:val="24"/>
            <w:szCs w:val="24"/>
            <w:u w:val="single"/>
          </w:rPr>
          <w:t>http://mend-nedem.org/wp-content/uploads/2013/01/1.61.7.pdf</w:t>
        </w:r>
      </w:hyperlink>
    </w:p>
    <w:p w:rsidR="0089405D" w:rsidRDefault="003468E2">
      <w:pPr>
        <w:pStyle w:val="Paragraphedeliste"/>
        <w:numPr>
          <w:ilvl w:val="0"/>
          <w:numId w:val="1"/>
        </w:numPr>
        <w:tabs>
          <w:tab w:val="left" w:pos="851"/>
        </w:tabs>
        <w:spacing w:line="312" w:lineRule="auto"/>
        <w:ind w:left="714" w:hanging="357"/>
        <w:jc w:val="both"/>
        <w:rPr>
          <w:rFonts w:cs="Calibri"/>
          <w:b/>
          <w:sz w:val="28"/>
          <w:szCs w:val="28"/>
          <w:lang w:val="fr-FR"/>
        </w:rPr>
      </w:pPr>
      <w:r>
        <w:rPr>
          <w:rFonts w:eastAsia="ArialMT" w:cs="Calibri"/>
          <w:sz w:val="24"/>
          <w:szCs w:val="24"/>
          <w:lang w:val="fr-FR"/>
        </w:rPr>
        <w:t>Wakenge, C. (2019). Stade Coltan: extraction minière artisanale, réformes et changement social à l’Est de la RDC ». L’harmattan, Collection Etudes Africaines.</w:t>
      </w:r>
      <w:r>
        <w:rPr>
          <w:rFonts w:cs="Calibri"/>
          <w:sz w:val="24"/>
          <w:szCs w:val="24"/>
          <w:lang w:val="fr-FR"/>
        </w:rPr>
        <w:t xml:space="preserve"> </w:t>
      </w:r>
    </w:p>
    <w:p w:rsidR="0089405D" w:rsidRDefault="003468E2">
      <w:pPr>
        <w:tabs>
          <w:tab w:val="left" w:pos="3464"/>
        </w:tabs>
        <w:spacing w:after="0" w:line="312" w:lineRule="auto"/>
        <w:rPr>
          <w:rFonts w:cs="Calibri"/>
          <w:b/>
          <w:lang w:val="fr-FR"/>
        </w:rPr>
      </w:pPr>
      <w:bookmarkStart w:id="77" w:name="_Toc59458287"/>
      <w:bookmarkStart w:id="78" w:name="_Toc79392939"/>
      <w:bookmarkStart w:id="79" w:name="_Toc111888575"/>
      <w:bookmarkStart w:id="80" w:name="_Toc127187162"/>
      <w:bookmarkStart w:id="81" w:name="_Toc127187439"/>
      <w:bookmarkStart w:id="82" w:name="_Toc127432196"/>
      <w:r>
        <w:rPr>
          <w:rFonts w:cs="Calibri"/>
          <w:b/>
          <w:lang w:val="fr-FR"/>
        </w:rPr>
        <w:br w:type="page"/>
      </w:r>
    </w:p>
    <w:p w:rsidR="0089405D" w:rsidRDefault="003468E2">
      <w:pPr>
        <w:pStyle w:val="Titre1"/>
        <w:spacing w:before="0" w:line="312" w:lineRule="auto"/>
        <w:jc w:val="center"/>
        <w:rPr>
          <w:rFonts w:cs="Calibri"/>
          <w:b/>
          <w:color w:val="auto"/>
          <w:lang w:val="fr-FR"/>
        </w:rPr>
      </w:pPr>
      <w:r>
        <w:rPr>
          <w:rFonts w:cs="Calibri"/>
          <w:b/>
          <w:color w:val="auto"/>
          <w:lang w:val="fr-FR"/>
        </w:rPr>
        <w:lastRenderedPageBreak/>
        <w:t xml:space="preserve">EXPLOITATION DES RESSOURCES MINERALES : </w:t>
      </w:r>
      <w:bookmarkEnd w:id="77"/>
      <w:r>
        <w:rPr>
          <w:rFonts w:cs="Calibri"/>
          <w:b/>
          <w:color w:val="auto"/>
          <w:lang w:val="fr-FR"/>
        </w:rPr>
        <w:t>SOURCES DE DETERIORATION DE L’ENVIRONNEMENT DANS LES MILIEUX SOUS -DEVELOPPES</w:t>
      </w:r>
      <w:bookmarkEnd w:id="78"/>
      <w:bookmarkEnd w:id="79"/>
      <w:bookmarkEnd w:id="80"/>
      <w:bookmarkEnd w:id="81"/>
      <w:bookmarkEnd w:id="82"/>
    </w:p>
    <w:p w:rsidR="0089405D" w:rsidRDefault="0089405D">
      <w:pPr>
        <w:pStyle w:val="Titre1"/>
        <w:spacing w:before="0" w:line="312" w:lineRule="auto"/>
        <w:rPr>
          <w:b/>
          <w:sz w:val="28"/>
          <w:szCs w:val="28"/>
          <w:lang w:val="fr-FR"/>
        </w:rPr>
      </w:pPr>
    </w:p>
    <w:p w:rsidR="0089405D" w:rsidRDefault="003468E2">
      <w:pPr>
        <w:pStyle w:val="Titre1"/>
        <w:spacing w:before="0" w:line="312" w:lineRule="auto"/>
        <w:rPr>
          <w:rFonts w:cs="Calibri"/>
          <w:color w:val="auto"/>
          <w:sz w:val="28"/>
          <w:szCs w:val="28"/>
          <w:lang w:val="fr-FR"/>
        </w:rPr>
      </w:pPr>
      <w:bookmarkStart w:id="83" w:name="_Toc127182080"/>
      <w:bookmarkStart w:id="84" w:name="_Toc127187163"/>
      <w:bookmarkStart w:id="85" w:name="_Toc127187440"/>
      <w:bookmarkStart w:id="86" w:name="_Toc127432197"/>
      <w:r>
        <w:rPr>
          <w:b/>
          <w:color w:val="auto"/>
          <w:sz w:val="28"/>
          <w:szCs w:val="28"/>
          <w:lang w:val="fr-FR"/>
        </w:rPr>
        <w:t>Mangambu Mokoso Jean De Dieu</w:t>
      </w:r>
      <w:bookmarkEnd w:id="83"/>
      <w:bookmarkEnd w:id="84"/>
      <w:bookmarkEnd w:id="85"/>
      <w:bookmarkEnd w:id="86"/>
    </w:p>
    <w:p w:rsidR="0089405D" w:rsidRDefault="0089405D">
      <w:pPr>
        <w:pStyle w:val="Titre1"/>
        <w:spacing w:before="0" w:line="312" w:lineRule="auto"/>
        <w:rPr>
          <w:rFonts w:eastAsia="Times New Roman" w:cs="Calibri"/>
          <w:b/>
          <w:color w:val="auto"/>
          <w:sz w:val="24"/>
          <w:szCs w:val="24"/>
          <w:lang w:val="fr-FR" w:eastAsia="fr-FR"/>
        </w:rPr>
      </w:pPr>
      <w:bookmarkStart w:id="87" w:name="_Toc59458288"/>
      <w:bookmarkStart w:id="88" w:name="_Toc79392941"/>
      <w:bookmarkStart w:id="89" w:name="_Toc111888577"/>
    </w:p>
    <w:p w:rsidR="0089405D" w:rsidRDefault="003468E2">
      <w:pPr>
        <w:pStyle w:val="Titre1"/>
        <w:spacing w:before="0" w:line="312" w:lineRule="auto"/>
        <w:rPr>
          <w:rFonts w:eastAsia="Times New Roman" w:cs="Calibri"/>
          <w:b/>
          <w:color w:val="auto"/>
          <w:sz w:val="24"/>
          <w:szCs w:val="24"/>
          <w:lang w:val="fr-FR" w:eastAsia="fr-FR"/>
        </w:rPr>
      </w:pPr>
      <w:bookmarkStart w:id="90" w:name="_Toc127187164"/>
      <w:bookmarkStart w:id="91" w:name="_Toc127187441"/>
      <w:bookmarkStart w:id="92" w:name="_Toc127432198"/>
      <w:r>
        <w:rPr>
          <w:rFonts w:eastAsia="Times New Roman" w:cs="Calibri"/>
          <w:b/>
          <w:color w:val="auto"/>
          <w:sz w:val="24"/>
          <w:szCs w:val="24"/>
          <w:lang w:val="fr-FR" w:eastAsia="fr-FR"/>
        </w:rPr>
        <w:t>1.1. INTRODUCTION</w:t>
      </w:r>
      <w:bookmarkEnd w:id="87"/>
      <w:bookmarkEnd w:id="88"/>
      <w:bookmarkEnd w:id="89"/>
      <w:bookmarkEnd w:id="90"/>
      <w:bookmarkEnd w:id="91"/>
      <w:bookmarkEnd w:id="92"/>
      <w:r>
        <w:rPr>
          <w:rFonts w:eastAsia="Times New Roman" w:cs="Calibri"/>
          <w:b/>
          <w:color w:val="auto"/>
          <w:sz w:val="24"/>
          <w:szCs w:val="24"/>
          <w:lang w:val="fr-FR" w:eastAsia="fr-FR"/>
        </w:rPr>
        <w:t xml:space="preserve"> </w:t>
      </w:r>
    </w:p>
    <w:p w:rsidR="0089405D" w:rsidRDefault="0089405D">
      <w:pPr>
        <w:pStyle w:val="Titre1"/>
        <w:spacing w:before="0" w:line="312" w:lineRule="auto"/>
        <w:rPr>
          <w:rFonts w:cs="Calibri"/>
          <w:color w:val="auto"/>
          <w:sz w:val="24"/>
          <w:szCs w:val="24"/>
          <w:lang w:val="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Les pays à ressources naturelles abondantes présentent des trajectoires contrastées en matière de développement. Des pays comme le Canada, l’Australie ou le Botswana ont su changer leur revenue en ressources naturelles en facteur de croissance profitable, puis en développement intégré. A l’inverse, des études comme celles de Costanza, R. (1992) ; Hamouchène, H. (2019) ; Mangambu, M. et al.(2021) ; Afundi, N et al. (2022) tendent à montrer que les problèmes de développement de certains pays comme la République démocratique du Congo (RDC), la Guinée ou le Venezuela trouvent, en partie, leurs explications dans la fortune en ressources naturelles (Dialga, S., 2015).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En désillusion de ces difficultés, de nouveaux pays miniers comme le Burkina Faso, des pays extrêmement pauvres comme le Niger fondent un espoir de développement dans l’exploitation de leurs ressources naturelles. Or, des études des cas liées à l’exploitation des ressources minières (Dialga, S., 2015) étalent la marque non soutenable à la fois des modes et des modèles économiques d’exploitation dans ces pays.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En outre, certains critères de soutenabilité économique (Daly H., 1990 ; Costanza, R., 1992) selon lesquels l’épuisement progressif de la ressource non renouvelable induirait un prix du marché élevé qui réduirait la demande de celle-ci, ne sont pas satisfaits dans ces pays tant les États détenteurs de la ressource ne sont pas ceux qui l’exploitent. Étudier ce paradoxe, en s’interrogeant sur les conditions de développement durable des pays miniers dans le contexte des pays d’Afrique sub-saharienne est une problématique majeure aux attentes énormes.</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D’après le rapport de durabilité de Newmont Gold Company, Beyond the Mine en Afrique subsaharienne</w:t>
      </w:r>
      <w:r>
        <w:rPr>
          <w:rStyle w:val="Appelnotedebasdep"/>
          <w:rFonts w:cs="Calibri"/>
          <w:sz w:val="24"/>
          <w:szCs w:val="24"/>
          <w:lang w:val="fr-FR" w:eastAsia="fr-FR"/>
        </w:rPr>
        <w:footnoteReference w:id="11"/>
      </w:r>
      <w:r>
        <w:rPr>
          <w:rFonts w:eastAsia="Times New Roman" w:cs="Calibri"/>
          <w:sz w:val="24"/>
          <w:szCs w:val="24"/>
          <w:lang w:val="fr-FR" w:eastAsia="fr-FR"/>
        </w:rPr>
        <w:t xml:space="preserve">, l’abondance des ressources en minerais peut accélérer le chemin </w:t>
      </w:r>
      <w:r>
        <w:rPr>
          <w:rFonts w:eastAsia="Times New Roman" w:cs="Calibri"/>
          <w:sz w:val="24"/>
          <w:szCs w:val="24"/>
          <w:lang w:val="fr-FR" w:eastAsia="fr-FR"/>
        </w:rPr>
        <w:lastRenderedPageBreak/>
        <w:t>qui mène à la pauvreté. Dans nombre des cas, la création et l’accumulation de capital humain sont négligées, les gouvernements ne sont pas réceptifs aux besoins des pauvres, les infrastructures sociales sont faibles, la politique économique est dysfonctionnelle, la recherche de la maximisation de la rente prévaut, la corruption règne, les recettes publiques sont dilapidées par l’élite au pouvoir et ses proches, et les guerres d’usure et les conflits sont courants</w:t>
      </w:r>
      <w:r>
        <w:rPr>
          <w:rFonts w:cs="Calibri"/>
          <w:sz w:val="24"/>
          <w:szCs w:val="24"/>
          <w:lang w:val="fr-FR"/>
        </w:rPr>
        <w:t xml:space="preserve"> (</w:t>
      </w:r>
      <w:r>
        <w:rPr>
          <w:rFonts w:eastAsia="Times New Roman" w:cs="Calibri"/>
          <w:sz w:val="24"/>
          <w:szCs w:val="24"/>
          <w:lang w:val="fr-FR" w:eastAsia="fr-FR"/>
        </w:rPr>
        <w:t xml:space="preserve">Marysse, S. &amp; André, C. 2001).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Les taux de croissance sont bas, le type de croissance et les structures des dépenses ne sont pas axés sur les pauvres et l’inégalité est élevée. Ceci complique la mise en œuvre des politiques génératrices de croissance, et la réduction de la pauvreté est un objectif difficile à atteindre</w:t>
      </w:r>
      <w:r>
        <w:rPr>
          <w:rFonts w:cs="Calibri"/>
          <w:sz w:val="24"/>
          <w:szCs w:val="24"/>
          <w:lang w:val="fr-FR"/>
        </w:rPr>
        <w:t xml:space="preserve"> (</w:t>
      </w:r>
      <w:r>
        <w:rPr>
          <w:rFonts w:eastAsia="Times New Roman" w:cs="Calibri"/>
          <w:sz w:val="24"/>
          <w:szCs w:val="24"/>
          <w:lang w:val="fr-FR" w:eastAsia="fr-FR"/>
        </w:rPr>
        <w:t>Hamouchène, H., 2019).  En outre, dans les pays riches en minerais, les pauvres sont plus vulnérables et davantage exposés aux risques car ces pays sont plus exposés aux chocs économiques en raison de leur manque de diversification et de la nature cyclique du prix des matières premières.</w:t>
      </w:r>
      <w:r>
        <w:rPr>
          <w:rFonts w:cs="Calibri"/>
          <w:sz w:val="24"/>
          <w:szCs w:val="24"/>
          <w:lang w:val="fr-FR"/>
        </w:rPr>
        <w:t xml:space="preserve"> (</w:t>
      </w:r>
      <w:r>
        <w:rPr>
          <w:rFonts w:eastAsia="Times New Roman" w:cs="Calibri"/>
          <w:sz w:val="24"/>
          <w:szCs w:val="24"/>
          <w:lang w:val="fr-FR" w:eastAsia="fr-FR"/>
        </w:rPr>
        <w:t xml:space="preserve">Schmitt, B., 2016 ; Hamouchène, H., 2019).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L’exploitation des ressources dans cette partie de la planète terre est à l’origine d’une détérioration de l’environnement qui peut localement bouleverser les conditions de vie des communautés d’habitants, notamment dans les pays sous-développés comme la République Démocratique du Congo (RDC), (Mazalto, M., 2009). L’exploitation des ressources peut alors donner lieu à des conflits où l’environnement est en quelque sorte « un champ de bataille entre les intérêts divergents » des firmes et des populations locales (Bebbington, A. et al., 2008 ; Deshaies M., 2009). L’étude des conflits environnementaux autour de l’exploitation des ressources constitue une orientation relativement récente de la recherche, à la charnière de la biologie de la société et de la géographie économique (Andre, P., 2006 ; Deshaies, M., 2009 &amp; 2013 ; Cyuzuzo, L., 2020).</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C’est ainsi que le Patriarche Bartholomée Ier de Constantinople</w:t>
      </w:r>
      <w:r>
        <w:rPr>
          <w:rStyle w:val="Appelnotedebasdep"/>
          <w:rFonts w:cs="Calibri"/>
          <w:sz w:val="24"/>
          <w:szCs w:val="24"/>
          <w:lang w:val="fr-FR" w:eastAsia="fr-FR"/>
        </w:rPr>
        <w:footnoteReference w:id="12"/>
      </w:r>
      <w:r>
        <w:rPr>
          <w:rFonts w:eastAsia="Times New Roman" w:cs="Calibri"/>
          <w:sz w:val="24"/>
          <w:szCs w:val="24"/>
          <w:lang w:val="fr-FR" w:eastAsia="fr-FR"/>
        </w:rPr>
        <w:t xml:space="preserve"> (2002) nous estime que  « les hommes dégradent l’intégrité de la terre en provoquant le changement climatique, en dépouillant la terre de ses forêts naturelles ou en détruisant ses zones humides. Les hommes portent préjudice à leurs semblables par des maladies en contaminant les eaux, le sol, l’air et l’environnement par des substances polluantes, tout cela, ce sont des péchés ». Ayant conscience que la destruction de l'environnement et la surexploitation des ressources </w:t>
      </w:r>
      <w:r>
        <w:rPr>
          <w:rFonts w:eastAsia="Times New Roman" w:cs="Calibri"/>
          <w:sz w:val="24"/>
          <w:szCs w:val="24"/>
          <w:lang w:val="fr-FR" w:eastAsia="fr-FR"/>
        </w:rPr>
        <w:lastRenderedPageBreak/>
        <w:t>constituent un grave danger, car elles menacent autant l'avenir de l'être humain que la « création de Dieu, (</w:t>
      </w:r>
      <w:r>
        <w:rPr>
          <w:rFonts w:cs="Calibri"/>
          <w:sz w:val="24"/>
          <w:szCs w:val="24"/>
          <w:lang w:val="fr-FR"/>
        </w:rPr>
        <w:t>Wakenge, C., 2019)</w:t>
      </w:r>
      <w:r>
        <w:rPr>
          <w:rFonts w:eastAsia="Times New Roman"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D’après </w:t>
      </w:r>
      <w:r>
        <w:rPr>
          <w:rFonts w:cs="Calibri"/>
          <w:sz w:val="24"/>
          <w:szCs w:val="24"/>
          <w:lang w:val="fr-FR"/>
        </w:rPr>
        <w:t xml:space="preserve">Wakenge, C., (2019), </w:t>
      </w:r>
      <w:r>
        <w:rPr>
          <w:rFonts w:eastAsia="Times New Roman" w:cs="Calibri"/>
          <w:sz w:val="24"/>
          <w:szCs w:val="24"/>
          <w:lang w:val="fr-FR" w:eastAsia="fr-FR"/>
        </w:rPr>
        <w:t xml:space="preserve">Interminablement centrée sur l’exploitation des ressources de la biosphère comme les forêts tropicales, elle trouve un champ d’application de plus en plus tragique dans l’exploitation des ressources minérales, où les grandes firmes multinationales jouent un rôle fondamental (Bebbington, A. et al., 2008 </w:t>
      </w:r>
      <w:r>
        <w:rPr>
          <w:rFonts w:cs="Calibri"/>
          <w:sz w:val="24"/>
          <w:szCs w:val="24"/>
          <w:lang w:val="fr-FR"/>
        </w:rPr>
        <w:t xml:space="preserve">;  </w:t>
      </w:r>
      <w:r>
        <w:rPr>
          <w:rFonts w:eastAsia="Times New Roman" w:cs="Calibri"/>
          <w:sz w:val="24"/>
          <w:szCs w:val="24"/>
          <w:lang w:val="fr-FR" w:eastAsia="fr-FR"/>
        </w:rPr>
        <w:t>Deshaies M., 2011) et oubliant que l’environnement constitue le patrimoine commun d’une nation.  L’environnement est une partie intégrante du patrimoine universel et sa protection est d’intérêt général</w:t>
      </w:r>
      <w:r>
        <w:rPr>
          <w:rStyle w:val="Appelnotedebasdep"/>
          <w:rFonts w:cs="Calibri"/>
          <w:sz w:val="24"/>
          <w:szCs w:val="24"/>
          <w:lang w:val="fr-FR" w:eastAsia="fr-FR"/>
        </w:rPr>
        <w:footnoteReference w:id="13"/>
      </w:r>
      <w:r>
        <w:rPr>
          <w:rFonts w:eastAsia="Times New Roman" w:cs="Calibri"/>
          <w:sz w:val="24"/>
          <w:szCs w:val="24"/>
          <w:lang w:val="fr-FR" w:eastAsia="fr-FR"/>
        </w:rPr>
        <w:t>. L’essor considérable de la demande mondiale de certains minerais depuis la fin du 20</w:t>
      </w:r>
      <w:r>
        <w:rPr>
          <w:rFonts w:eastAsia="Times New Roman" w:cs="Calibri"/>
          <w:b/>
          <w:sz w:val="24"/>
          <w:szCs w:val="24"/>
          <w:vertAlign w:val="superscript"/>
          <w:lang w:val="fr-FR" w:eastAsia="fr-FR"/>
        </w:rPr>
        <w:t>ième</w:t>
      </w:r>
      <w:r>
        <w:rPr>
          <w:rFonts w:eastAsia="Times New Roman" w:cs="Calibri"/>
          <w:sz w:val="24"/>
          <w:szCs w:val="24"/>
          <w:lang w:val="fr-FR" w:eastAsia="fr-FR"/>
        </w:rPr>
        <w:t xml:space="preserve"> Siècle a conduit à la multiplication des grands projets miniers, concernant notamment des métaux très convoités et de plus en plus rares comme l’or et le Diamant</w:t>
      </w:r>
      <w:r>
        <w:rPr>
          <w:rFonts w:cs="Calibri"/>
          <w:sz w:val="24"/>
          <w:szCs w:val="24"/>
          <w:lang w:val="fr-FR"/>
        </w:rPr>
        <w:t xml:space="preserve"> (</w:t>
      </w:r>
      <w:r>
        <w:rPr>
          <w:rFonts w:eastAsia="Times New Roman" w:cs="Calibri"/>
          <w:sz w:val="24"/>
          <w:szCs w:val="24"/>
          <w:lang w:val="fr-FR" w:eastAsia="fr-FR"/>
        </w:rPr>
        <w:t xml:space="preserve">Deshaies M., 2009 &amp; 2013).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Dans le même temps, les firmes qui veulent créer de nouvelles exploitations minières de grandes dimensions et à impact environnemental considérable, risquent de plus en plus de se heurter à une opposition résolue des populations locales soutenues par des ONG environnementalistes</w:t>
      </w:r>
      <w:r>
        <w:rPr>
          <w:rFonts w:cs="Calibri"/>
          <w:sz w:val="24"/>
          <w:szCs w:val="24"/>
          <w:lang w:val="fr-FR"/>
        </w:rPr>
        <w:t xml:space="preserve"> (</w:t>
      </w:r>
      <w:r>
        <w:rPr>
          <w:rFonts w:eastAsia="Times New Roman" w:cs="Calibri"/>
          <w:sz w:val="24"/>
          <w:szCs w:val="24"/>
          <w:lang w:val="fr-FR" w:eastAsia="fr-FR"/>
        </w:rPr>
        <w:t xml:space="preserve">André, P., 2006 ; </w:t>
      </w:r>
      <w:r>
        <w:rPr>
          <w:rFonts w:cs="Calibri"/>
          <w:sz w:val="24"/>
          <w:szCs w:val="24"/>
          <w:lang w:val="fr-FR"/>
        </w:rPr>
        <w:t>Hautereau-Boutonnet, M &amp; Saint-Pau J-C., 2016)</w:t>
      </w:r>
      <w:r>
        <w:rPr>
          <w:rFonts w:eastAsia="Times New Roman"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Face à la capacité de celles-ci à mobiliser les opinions publiques dans les pays occidentaux, certaines firmes conscientes de l’enjeu capital que constitue leur image environnementale, tentent de développer une stratégie, une communication et des actions permettant de rendre plus acceptables leurs projets miniers, même quand ceux-ci ont un impact considérable sur l’environnement (Deshaies, M., 2009</w:t>
      </w:r>
      <w:r>
        <w:rPr>
          <w:rFonts w:cs="Calibri"/>
          <w:sz w:val="24"/>
          <w:szCs w:val="24"/>
          <w:lang w:val="fr-FR"/>
        </w:rPr>
        <w:t xml:space="preserve"> </w:t>
      </w:r>
      <w:r>
        <w:rPr>
          <w:rFonts w:eastAsia="Times New Roman" w:cs="Calibri"/>
          <w:sz w:val="24"/>
          <w:szCs w:val="24"/>
          <w:lang w:val="fr-FR" w:eastAsia="fr-FR"/>
        </w:rPr>
        <w:t xml:space="preserve">; Butaré, I. &amp; Keita S., 2012 ; Mancinia, L. &amp; Sala, S., 2018).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Pour cette raison, les projets miniers sont souvent étudiés et critiqués à travers les sites internet des sociétés minières et des Organisation Non Gouvernementale Environnementale (ONGE</w:t>
      </w:r>
      <w:r>
        <w:rPr>
          <w:rStyle w:val="Appelnotedebasdep"/>
          <w:rFonts w:cs="Calibri"/>
          <w:sz w:val="24"/>
          <w:szCs w:val="24"/>
          <w:lang w:val="fr-FR" w:eastAsia="fr-FR"/>
        </w:rPr>
        <w:footnoteReference w:id="14"/>
      </w:r>
      <w:r>
        <w:rPr>
          <w:rFonts w:eastAsia="Times New Roman" w:cs="Calibri"/>
          <w:sz w:val="24"/>
          <w:szCs w:val="24"/>
          <w:lang w:val="fr-FR" w:eastAsia="fr-FR"/>
        </w:rPr>
        <w:t>) et pour certains d’entre eux, une étude de terrain donne toujours les informations souvent contradictoires diffusées par les différents acteurs</w:t>
      </w:r>
      <w:r>
        <w:rPr>
          <w:rFonts w:cs="Calibri"/>
          <w:sz w:val="24"/>
          <w:szCs w:val="24"/>
          <w:lang w:val="fr-FR"/>
        </w:rPr>
        <w:t xml:space="preserve"> après </w:t>
      </w:r>
      <w:r>
        <w:rPr>
          <w:rFonts w:eastAsia="Times New Roman" w:cs="Calibri"/>
          <w:sz w:val="24"/>
          <w:szCs w:val="24"/>
          <w:lang w:val="fr-FR" w:eastAsia="fr-FR"/>
        </w:rPr>
        <w:lastRenderedPageBreak/>
        <w:t>vérification. La confrontation de l’argumentation des ONGEs avec celle des entreprises dont les projets en question sont inégalement avancés permet d’interroger le concept du développement durable, généralement considéré comme inconciliable avec l’exploitation minière</w:t>
      </w:r>
      <w:r>
        <w:rPr>
          <w:rFonts w:cs="Calibri"/>
          <w:sz w:val="24"/>
          <w:szCs w:val="24"/>
          <w:lang w:val="fr-FR"/>
        </w:rPr>
        <w:t xml:space="preserve"> (</w:t>
      </w:r>
      <w:r>
        <w:rPr>
          <w:rFonts w:eastAsia="Times New Roman" w:cs="Calibri"/>
          <w:sz w:val="24"/>
          <w:szCs w:val="24"/>
          <w:lang w:val="fr-FR" w:eastAsia="fr-FR"/>
        </w:rPr>
        <w:t>Mancinia, L. &amp; Sala, S., 2018). L'expérience suggère cependant que faute d'une gestion prudente de ces ressources, ces opportunités pourraient être perdues. Pire encore, des conséquences environnementales et sociales catastrophiques pourraient survenir.</w:t>
      </w:r>
    </w:p>
    <w:p w:rsidR="0089405D" w:rsidRDefault="0089405D">
      <w:pPr>
        <w:spacing w:after="0" w:line="312" w:lineRule="auto"/>
        <w:ind w:firstLine="709"/>
        <w:jc w:val="both"/>
        <w:rPr>
          <w:rFonts w:cs="Calibri"/>
          <w:color w:val="FF0000"/>
          <w:sz w:val="24"/>
          <w:szCs w:val="24"/>
          <w:highlight w:val="yellow"/>
          <w:lang w:val="fr-FR"/>
        </w:rPr>
      </w:pPr>
    </w:p>
    <w:p w:rsidR="0089405D" w:rsidRDefault="003468E2">
      <w:pPr>
        <w:pStyle w:val="Titre1"/>
        <w:spacing w:before="0" w:line="312" w:lineRule="auto"/>
        <w:rPr>
          <w:rFonts w:cs="Calibri"/>
          <w:b/>
          <w:color w:val="auto"/>
          <w:sz w:val="24"/>
          <w:szCs w:val="24"/>
          <w:highlight w:val="yellow"/>
          <w:lang w:val="fr-FR"/>
        </w:rPr>
      </w:pPr>
      <w:bookmarkStart w:id="93" w:name="_Toc111888578"/>
      <w:bookmarkStart w:id="94" w:name="_Toc127187165"/>
      <w:bookmarkStart w:id="95" w:name="_Toc127187442"/>
      <w:bookmarkStart w:id="96" w:name="_Toc127432199"/>
      <w:r>
        <w:rPr>
          <w:rFonts w:eastAsia="Times New Roman" w:cs="Calibri"/>
          <w:b/>
          <w:color w:val="auto"/>
          <w:sz w:val="24"/>
          <w:szCs w:val="24"/>
          <w:lang w:val="fr-FR" w:eastAsia="fr-FR"/>
        </w:rPr>
        <w:t xml:space="preserve">1.2. </w:t>
      </w:r>
      <w:r>
        <w:rPr>
          <w:rFonts w:cs="Calibri"/>
          <w:b/>
          <w:color w:val="auto"/>
          <w:sz w:val="24"/>
          <w:szCs w:val="24"/>
          <w:lang w:val="fr-FR"/>
        </w:rPr>
        <w:t>L'IMPORTANCE DES MINERAUX ET DE LEURS UTILISATIONS PAR LES HUMAINS</w:t>
      </w:r>
      <w:bookmarkEnd w:id="93"/>
      <w:bookmarkEnd w:id="94"/>
      <w:bookmarkEnd w:id="95"/>
      <w:bookmarkEnd w:id="96"/>
    </w:p>
    <w:p w:rsidR="0089405D" w:rsidRDefault="0089405D">
      <w:pPr>
        <w:spacing w:after="0" w:line="312" w:lineRule="auto"/>
        <w:ind w:firstLine="709"/>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L'importance des minéraux et de leurs utilisations par les humains tout au long de leur histoire peut difficilement être surestimée. L'importance des minéraux est telle que des périodes préhistoriques en portent même le nom, comme l'Âge du cuivre et l'Âge du fer. La découverte de certaines mines remonte à 40 000 ans. Les Grecs, les Romains et les Égyptiens ont écrit des traités sur l'exploitation minière il y a des milliers d'années</w:t>
      </w:r>
      <w:r>
        <w:rPr>
          <w:rFonts w:cs="Calibri"/>
          <w:lang w:val="fr-FR"/>
        </w:rPr>
        <w:t xml:space="preserve"> (</w:t>
      </w:r>
      <w:r>
        <w:rPr>
          <w:rFonts w:cs="Calibri"/>
          <w:sz w:val="24"/>
          <w:szCs w:val="24"/>
          <w:lang w:val="fr-FR"/>
        </w:rPr>
        <w:t>Arezki, R. &amp; Gylfason, T., 2013).</w:t>
      </w:r>
    </w:p>
    <w:p w:rsidR="0089405D" w:rsidRDefault="003468E2">
      <w:pPr>
        <w:spacing w:after="0" w:line="312" w:lineRule="auto"/>
        <w:ind w:firstLine="709"/>
        <w:jc w:val="both"/>
        <w:rPr>
          <w:rFonts w:cs="Calibri"/>
          <w:sz w:val="24"/>
          <w:szCs w:val="24"/>
          <w:lang w:val="fr-FR"/>
        </w:rPr>
      </w:pPr>
      <w:r>
        <w:rPr>
          <w:rFonts w:cs="Calibri"/>
          <w:sz w:val="24"/>
          <w:szCs w:val="24"/>
          <w:lang w:val="fr-FR"/>
        </w:rPr>
        <w:t>Des nations se sont faites et défaites en conséquence des fluctuations du cours des matières premières minérales. Leur quête d'argent et d'or a entraîné bien des pays dans des contrées lointaines. Au cours de son histoire, chacun des continents a procédé à l'extraction des minerais sous une forme ou une autre, et au gré des modes.</w:t>
      </w:r>
    </w:p>
    <w:p w:rsidR="0089405D" w:rsidRDefault="003468E2">
      <w:pPr>
        <w:spacing w:after="0" w:line="312" w:lineRule="auto"/>
        <w:ind w:firstLine="709"/>
        <w:jc w:val="both"/>
        <w:rPr>
          <w:rFonts w:cs="Calibri"/>
          <w:sz w:val="24"/>
          <w:szCs w:val="24"/>
          <w:lang w:val="fr-FR"/>
        </w:rPr>
      </w:pPr>
      <w:r>
        <w:rPr>
          <w:rFonts w:cs="Calibri"/>
          <w:sz w:val="24"/>
          <w:szCs w:val="24"/>
          <w:lang w:val="fr-FR"/>
        </w:rPr>
        <w:t>L'exploitation minière est, à bien des égards, ancienne et universelle.</w:t>
      </w:r>
      <w:r>
        <w:rPr>
          <w:rFonts w:cs="Calibri"/>
          <w:lang w:val="fr-FR"/>
        </w:rPr>
        <w:t xml:space="preserve"> </w:t>
      </w:r>
      <w:r>
        <w:rPr>
          <w:rFonts w:cs="Calibri"/>
          <w:sz w:val="24"/>
          <w:szCs w:val="24"/>
          <w:lang w:val="fr-FR"/>
        </w:rPr>
        <w:t>Et elle reste d'une importance capitale aujourd'hui. Avec le développement des processus industriels dans de nombreuses parties du monde, les contrats miniers régissant ces processus se sont multipliés. Et la disponibilité de dépôts relativement « facile d'accès » se faisant de plus en plus rare et de moins en moins accessibles, les entreprises minières se tournent vers de nouveaux emplacements dans leur quête de gisements de minéraux.</w:t>
      </w:r>
    </w:p>
    <w:p w:rsidR="0089405D" w:rsidRDefault="003468E2">
      <w:pPr>
        <w:spacing w:after="0" w:line="312" w:lineRule="auto"/>
        <w:ind w:firstLine="709"/>
        <w:jc w:val="both"/>
        <w:rPr>
          <w:rFonts w:cs="Calibri"/>
          <w:sz w:val="24"/>
          <w:szCs w:val="24"/>
          <w:lang w:val="fr-FR"/>
        </w:rPr>
      </w:pPr>
      <w:r>
        <w:rPr>
          <w:rFonts w:cs="Calibri"/>
          <w:sz w:val="24"/>
          <w:szCs w:val="24"/>
          <w:lang w:val="fr-FR"/>
        </w:rPr>
        <w:t>Cette évolution a été la cause par l'importance croissante du secteur des ressources minérales dans l'économie globale. Une étude a récemment démontré que le nombre d'économies qui dépendent de l'exploitation minière est passé de 46 à 61 entre 1996 et 2011. Et d'après Oxford Policy Management, ces économies en dépendent de manière croissante. Certains de ces pays sont parmi les plus pauvres du monde tandis que d'autres se trouvent parmi les plus riches.</w:t>
      </w:r>
      <w:r>
        <w:rPr>
          <w:rFonts w:cs="Calibri"/>
          <w:lang w:val="fr-FR"/>
        </w:rPr>
        <w:t xml:space="preserve"> </w:t>
      </w:r>
      <w:r>
        <w:rPr>
          <w:rFonts w:cs="Calibri"/>
          <w:sz w:val="24"/>
          <w:szCs w:val="24"/>
          <w:lang w:val="fr-FR"/>
        </w:rPr>
        <w:t xml:space="preserve">Le développement minier se révèle être très prometteur pour les pays d'accueil en tant que catalyseur de croissance, par le biais de recettes d'exportation, d'expansion économique, d'une éventuelle diversification de l'économie, et de la réduction massive de la pauvreté. La demande fluctuante mais croissante de minerai semble fournir </w:t>
      </w:r>
      <w:r>
        <w:rPr>
          <w:rFonts w:cs="Calibri"/>
          <w:sz w:val="24"/>
          <w:szCs w:val="24"/>
          <w:lang w:val="fr-FR"/>
        </w:rPr>
        <w:lastRenderedPageBreak/>
        <w:t>une moyenne logique et économique de construire de nouvelles infrastructure dans les pays en développement rapide, et d'en remplacer les anciennes dans les économies parvenues à maturité.</w:t>
      </w:r>
    </w:p>
    <w:p w:rsidR="0089405D" w:rsidRDefault="003468E2">
      <w:pPr>
        <w:spacing w:after="0" w:line="312" w:lineRule="auto"/>
        <w:ind w:firstLine="709"/>
        <w:jc w:val="both"/>
        <w:rPr>
          <w:rFonts w:cs="Calibri"/>
          <w:sz w:val="24"/>
          <w:szCs w:val="24"/>
          <w:lang w:val="fr-FR"/>
        </w:rPr>
      </w:pPr>
      <w:r>
        <w:rPr>
          <w:rFonts w:cs="Calibri"/>
          <w:sz w:val="24"/>
          <w:szCs w:val="24"/>
          <w:lang w:val="fr-FR"/>
        </w:rPr>
        <w:t>Un aspect particulier des ressources minérales conduit la dynamique qui sous-tend une grande partie de ce livre : les minéraux sont des ressources qui s'épuisent et ne se renouvellent pas. Une fois épuisées, elles le sont pour toujours. Ce caractère limité des minéraux les rend uniques lorsqu'on les compare aux autres industries et aux autres sources de revenus des entreprises, gouvernements et citoyens des pays riches en ressources. L'expérience suggère cependant que faute d'une gestion prudente de ces ressources, ces opportunités pourraient être perdues. Pire encore, des conséquences environnementales et sociales catastrophiques pourraient survenir.</w:t>
      </w:r>
    </w:p>
    <w:p w:rsidR="0089405D" w:rsidRDefault="003468E2">
      <w:pPr>
        <w:spacing w:after="0" w:line="312" w:lineRule="auto"/>
        <w:ind w:firstLine="709"/>
        <w:jc w:val="both"/>
        <w:rPr>
          <w:rFonts w:cs="Calibri"/>
          <w:sz w:val="24"/>
          <w:szCs w:val="24"/>
          <w:lang w:val="fr-FR"/>
        </w:rPr>
      </w:pPr>
      <w:r>
        <w:rPr>
          <w:rFonts w:cs="Calibri"/>
          <w:sz w:val="24"/>
          <w:szCs w:val="24"/>
          <w:lang w:val="fr-FR"/>
        </w:rPr>
        <w:t>Prendre soin de bien comprendre la localité, ses routes, sa salubrité, son suzerain, et ses voisins. Aucune exploitation minière ne doit être entreprise dans une région opprimée par un tyran.  Ces conseils sont d'une pertinence absolue pour quiconque se lance dans un projet d'exploitation minière. Pourtant, des phénomènes tels qu'une baisse de la productivité des moyens de subsistance traditionnels, la corruption, la stagnation sociale et politique,</w:t>
      </w:r>
      <w:r>
        <w:rPr>
          <w:rFonts w:cs="Calibri"/>
          <w:lang w:val="fr-FR"/>
        </w:rPr>
        <w:t xml:space="preserve"> </w:t>
      </w:r>
      <w:r>
        <w:rPr>
          <w:rFonts w:cs="Calibri"/>
          <w:sz w:val="24"/>
          <w:szCs w:val="24"/>
          <w:lang w:val="fr-FR"/>
        </w:rPr>
        <w:t>et des conflits, conséquences directes d'énormes quantités d'or en provenance du Nouveau monde.</w:t>
      </w:r>
    </w:p>
    <w:p w:rsidR="0089405D" w:rsidRDefault="003468E2">
      <w:pPr>
        <w:spacing w:after="0" w:line="312" w:lineRule="auto"/>
        <w:ind w:firstLine="709"/>
        <w:jc w:val="both"/>
        <w:rPr>
          <w:rFonts w:cs="Calibri"/>
          <w:lang w:val="fr-FR"/>
        </w:rPr>
      </w:pPr>
      <w:r>
        <w:rPr>
          <w:rFonts w:cs="Calibri"/>
          <w:sz w:val="24"/>
          <w:szCs w:val="24"/>
          <w:lang w:val="fr-FR"/>
        </w:rPr>
        <w:t>L'industrie minière s'est bien entendu fortement industrialisée depuis le temps d'Agricola. Ce livre traite principalement d'une industrie minière que ce dernier aurait peine à reconnaître. Une industrie minière avec des engins de terrassement dont la taille dépasse celle des maisons. Des mines de plus d'un kilomètre de profondeur et des sites miniers d'une étendue telle qu'ils sont visibles de l'espace à l'œil nu. Une industrie dominée par les machines : des installations de traitement d'eau mécanisées, d'immenses sites gérés par une poignée d'ingénieurs opérant avec des machines, et non par une foule de personnes grattant le minerai à la main. Des mines géantes qui consomment avec autant de voracité qu'elles produisent. Des sites avec une centrale électrique suffisamment puissante pour alimenter une ville et une quantité d'eau qui assécherait une rivière sont nécessaires, avec des routes et des chemins de fer qui leurs sont propres, leurs bases-vie et, quelquefois aussi, leurs propres forces de sécurité.</w:t>
      </w:r>
      <w:r>
        <w:rPr>
          <w:rFonts w:cs="Calibri"/>
          <w:lang w:val="fr-FR"/>
        </w:rPr>
        <w:t xml:space="preserve">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Ces exploitations à grande échelle et toutes ces machines ont appelé des investissements d'une ampleur sans précédent, accompagnés de contrats de longue durée et de législations détaillées. Et à moins qu'Agricola n'ait également été un avocat, un détail qui </w:t>
      </w:r>
      <w:r>
        <w:rPr>
          <w:rFonts w:cs="Calibri"/>
          <w:sz w:val="24"/>
          <w:szCs w:val="24"/>
          <w:lang w:val="fr-FR"/>
        </w:rPr>
        <w:lastRenderedPageBreak/>
        <w:t>semble s'être perdu dans l'histoire, il ne saurait reconnaître le sujet de ce livre : les contrats miniers.</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Cet ouvrage ne se concentre pas principalement sur les contrats miniers et les cadres juridiques qui les entourent, mais sur l’impératif socio-environnemental au regard des exigences du développement durable des communautés locales. Mais ces contrats ne font que refléter les forces du marché et les réalités de l'offre et de la demande. Le contexte mondial est le véritable moteur de ce cadre juridique. Pour bien saisir toutes les implications de ces accords et leurs ramifications en terme de développement pour les pays d'accueil, il est bon d'examiner les opérations du secteur au niveau mondial et le fonctionnement des marchés, ainsi les liens entre les réserves et les chaînes de valeur dans le cadre d'un minerai type. Malheureusement pour les pays en développement  cette richesse est devenue comment une malédiction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color w:val="auto"/>
          <w:sz w:val="24"/>
          <w:szCs w:val="24"/>
          <w:lang w:val="fr-FR"/>
        </w:rPr>
      </w:pPr>
      <w:bookmarkStart w:id="97" w:name="_Toc59458289"/>
      <w:bookmarkStart w:id="98" w:name="_Toc79392942"/>
      <w:bookmarkStart w:id="99" w:name="_Toc111888579"/>
      <w:bookmarkStart w:id="100" w:name="_Toc127187166"/>
      <w:bookmarkStart w:id="101" w:name="_Toc127187443"/>
      <w:bookmarkStart w:id="102" w:name="_Toc127432200"/>
      <w:r>
        <w:rPr>
          <w:rFonts w:eastAsia="Times New Roman" w:cs="Calibri"/>
          <w:b/>
          <w:color w:val="auto"/>
          <w:sz w:val="24"/>
          <w:szCs w:val="24"/>
          <w:lang w:val="fr-FR" w:eastAsia="fr-FR"/>
        </w:rPr>
        <w:t>1.3.</w:t>
      </w:r>
      <w:bookmarkEnd w:id="97"/>
      <w:r>
        <w:rPr>
          <w:rFonts w:eastAsia="Times New Roman" w:cs="Calibri"/>
          <w:b/>
          <w:color w:val="auto"/>
          <w:sz w:val="24"/>
          <w:szCs w:val="24"/>
          <w:lang w:val="fr-FR" w:eastAsia="fr-FR"/>
        </w:rPr>
        <w:t xml:space="preserve"> PAYS AUX RICHESSES DES RESSOURCES NATURELLES</w:t>
      </w:r>
      <w:bookmarkEnd w:id="98"/>
      <w:bookmarkEnd w:id="99"/>
      <w:bookmarkEnd w:id="100"/>
      <w:bookmarkEnd w:id="101"/>
      <w:bookmarkEnd w:id="102"/>
      <w:r>
        <w:rPr>
          <w:rFonts w:eastAsia="Times New Roman" w:cs="Calibri"/>
          <w:b/>
          <w:color w:val="auto"/>
          <w:sz w:val="24"/>
          <w:szCs w:val="24"/>
          <w:lang w:val="fr-FR" w:eastAsia="fr-FR"/>
        </w:rPr>
        <w:t xml:space="preserve"> </w:t>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La République Démocratique du Congo (RDC) est un pays immense (le deuxième plus grand d’Afrique) aux ressources naturelles riches et variées</w:t>
      </w:r>
      <w:r>
        <w:rPr>
          <w:rFonts w:cs="Calibri"/>
          <w:sz w:val="24"/>
          <w:szCs w:val="24"/>
          <w:lang w:val="fr-FR"/>
        </w:rPr>
        <w:t xml:space="preserve"> </w:t>
      </w:r>
      <w:r>
        <w:rPr>
          <w:rFonts w:eastAsia="Times New Roman" w:cs="Calibri"/>
          <w:sz w:val="24"/>
          <w:szCs w:val="24"/>
          <w:lang w:val="fr-FR" w:eastAsia="fr-FR"/>
        </w:rPr>
        <w:t xml:space="preserve">(Wakenge, C., 2019). En plus d’une faune et d’une flore impressionnantes, un des plus grands domaines de forêt équatoriale au monde et d’importantes réserves en pétrole, le sous-sol de la RDC regorge de minerais et métaux (Coghlan, B. et al., 2007).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L'immense richesse minière du bassin du Congo résulte de l'histoire géologique et de  la position unique de bassin de sédimentation de la cuvette centrale. En effet, la République démocratique du Congo (RDC) immerge ²</w:t>
      </w:r>
      <w:r>
        <w:rPr>
          <w:rFonts w:eastAsia="Times New Roman" w:cs="Calibri"/>
          <w:sz w:val="24"/>
          <w:szCs w:val="24"/>
          <w:lang w:val="fr-FR" w:eastAsia="fr-FR"/>
        </w:rPr>
        <w:tab/>
        <w:t xml:space="preserve">une mer intérieure qui remplissait la cuvette centrale. Celle-ci avait recueilli en bassin de sédimentation, lors de la désertification du Sahara, des quantités incommensurables des débris organiques du Sahara. La riche faune et flore tropicale saharienne d'avant désertification. L'enfouissement massif des restes organiques dans ce bassin de sédimentation conjugué des activités sismiques de la région de graben Est-africain feront office d'une véritable 'gastronomie minière' qui vaudront à la RDC sa réputation de scandale géologique !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En outre, les mêmes riches matières organiques déposées sur la surface émergée de l'ancienne mer intérieure, en faveur d'une pédogenèse unique, créé un excellent champ pour le deuxième poumon de la planète : la forêt équatoriale. Cette forêt deviendra un véritable 'refuge environnemental des espèces tant fauniques que de la flore du Sahara en désertification ainsi que ceux du Kalahari au sud du continent. Même des 'espèces humaines' </w:t>
      </w:r>
      <w:r>
        <w:rPr>
          <w:rFonts w:eastAsia="Times New Roman" w:cs="Calibri"/>
          <w:sz w:val="24"/>
          <w:szCs w:val="24"/>
          <w:lang w:val="fr-FR" w:eastAsia="fr-FR"/>
        </w:rPr>
        <w:lastRenderedPageBreak/>
        <w:t xml:space="preserve">migreront de tout bord pour remplir ce paradis des pygmées, bantous, semi-bantous, soudanais et nilotiques.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L’agglomération humaine fera de la RDC, outre sa réputation de scandale géologique et de Paradis tropical une mosaïque culturelle qui se décline en plus de 450 tribus locutrices d'environ 250 langues ! Un véritable scandale culturel. Richesse culturelle à préserver jalousement aussi lorsqu'on aborde le sujet 'développement', ce qui nécessite impérativement l'implication des autochtones, préalablement et suffisamment éclairés de tout projet de développement. L'on se rappelle que le pays dispose par exemple de plus de la moitié des réserves mondiales en cobalt, minerai rare et extrêmement convoité car indispensable à la  fabrication de nombreux objets de haute technologie et à ce qu’on appelle la transition énergétique , du diamant, de l'or, du Coltan (Cobalt- tangusten), Cobalt, Cuivre, manganèse, Plomb, Zinc, Étain, Charbon, Pétrole, Uranium, etc...(Figure 1.1)</w:t>
      </w:r>
      <w:r>
        <w:rPr>
          <w:rStyle w:val="Appelnotedebasdep"/>
          <w:rFonts w:cs="Calibri"/>
          <w:sz w:val="24"/>
          <w:szCs w:val="24"/>
          <w:lang w:val="fr-FR" w:eastAsia="fr-FR"/>
        </w:rPr>
        <w:footnoteReference w:id="15"/>
      </w:r>
      <w:r>
        <w:rPr>
          <w:rFonts w:eastAsia="Times New Roman" w:cs="Calibri"/>
          <w:sz w:val="24"/>
          <w:szCs w:val="24"/>
          <w:lang w:val="fr-FR" w:eastAsia="fr-FR"/>
        </w:rPr>
        <w:t xml:space="preserv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Vu des toutes les convoitises qui naissent à la suite de la concentration dans le bassin du Congo de toutes ces richesses naturelles, singulièrement minières, plusieurs observateurs estiment qu'il est pratiquement impossible que la RDC vive en paix dans ses 2 345 010 Km</w:t>
      </w:r>
      <w:r>
        <w:rPr>
          <w:rFonts w:eastAsia="Times New Roman" w:cs="Calibri"/>
          <w:sz w:val="24"/>
          <w:szCs w:val="24"/>
          <w:vertAlign w:val="superscript"/>
          <w:lang w:val="fr-FR" w:eastAsia="fr-FR"/>
        </w:rPr>
        <w:t>2</w:t>
      </w:r>
      <w:r>
        <w:rPr>
          <w:rFonts w:eastAsia="Times New Roman" w:cs="Calibri"/>
          <w:sz w:val="24"/>
          <w:szCs w:val="24"/>
          <w:lang w:val="fr-FR" w:eastAsia="fr-FR"/>
        </w:rPr>
        <w:t xml:space="preserve"> de territoire. Si les congolais ne se prennent pas en charge, ou par le gouvernement ou par les communautés le font les populations de Basoko, les exploitants de tout peuvent avoir raison d’eux. Même les institutions financières en locomotive de l'équilibre économique mondial ne veulent être en marge de la gestion de cette richissime manne de la nature afin que les effets bénéfiques de tous ces 'scandales' puissent avoir un impact réel (C'est-à-dire la réduction de la pauvreté caractéristique) sur les peuples autochtones dont le bassin du Congo est le patrimoine.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Les   différentes   réformes   entreprises   au   cours   des   dernières   décennies   par   le   Fonds   Monétaire   International (FMI) et la Banque Mondiale pour les pays en voie de développement sont la suite des PAS (Programme d’Ajustement Structurel) amorcés vers les années 80 (Mac-Mahon, G., 2011 ; Kamundala, B.G., 2012). Ces programmes rentraient dans la logique de ces Institutions Financières Internationales (IFI)</w:t>
      </w:r>
      <w:r>
        <w:rPr>
          <w:rStyle w:val="Appelnotedebasdep"/>
          <w:sz w:val="24"/>
          <w:szCs w:val="24"/>
          <w:lang w:val="fr-FR" w:eastAsia="fr-FR"/>
        </w:rPr>
        <w:footnoteReference w:id="16"/>
      </w:r>
      <w:r>
        <w:rPr>
          <w:rFonts w:eastAsia="Times New Roman" w:cs="Calibri"/>
          <w:sz w:val="24"/>
          <w:szCs w:val="24"/>
          <w:lang w:val="fr-FR" w:eastAsia="fr-FR"/>
        </w:rPr>
        <w:t xml:space="preserve"> qui cherchaient à travers des </w:t>
      </w:r>
      <w:r>
        <w:rPr>
          <w:rFonts w:eastAsia="Times New Roman" w:cs="Calibri"/>
          <w:sz w:val="24"/>
          <w:szCs w:val="24"/>
          <w:lang w:val="fr-FR" w:eastAsia="fr-FR"/>
        </w:rPr>
        <w:lastRenderedPageBreak/>
        <w:t xml:space="preserve">programmes d’ajustement, un remède pour booster les économies des pays pauvres, en vue d’atteindre l’ultime objectif de réduction de la pauvreté. Dans ces programmes des institutions financières, certains secteurs clés de l’économie sont visés, avec comme objectif d’identifier les goulots d’étranglement qui empêchent leur développement.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Parmi  les  stratégies  adoptées  figure  la  libre  entrée  des  opérateurs  privés dans les secteurs stratégiques de l’économique. La  RDC  n’a  pas  échappé  à  attirer  l’attention  des  institutions  de  Bretton  Woods  qui  avaient  suspendu  la coopération avec le Zaïre vers l’année 1982, suite au manque de collaboration de la part du régime du  maréchal  Mobutu.  </w:t>
      </w:r>
    </w:p>
    <w:p w:rsidR="0089405D" w:rsidRDefault="0089405D">
      <w:pPr>
        <w:spacing w:after="0" w:line="312" w:lineRule="auto"/>
        <w:ind w:firstLine="709"/>
        <w:jc w:val="both"/>
        <w:rPr>
          <w:rFonts w:eastAsia="Times New Roman" w:cs="Calibri"/>
          <w:sz w:val="24"/>
          <w:szCs w:val="24"/>
          <w:lang w:val="fr-FR" w:eastAsia="fr-FR"/>
        </w:rPr>
      </w:pPr>
    </w:p>
    <w:p w:rsidR="0089405D" w:rsidRDefault="003468E2">
      <w:pPr>
        <w:spacing w:after="0" w:line="312" w:lineRule="auto"/>
        <w:jc w:val="center"/>
        <w:rPr>
          <w:rFonts w:cs="Calibri"/>
          <w:sz w:val="24"/>
          <w:szCs w:val="24"/>
          <w:lang w:val="fr-FR"/>
        </w:rPr>
      </w:pPr>
      <w:r>
        <w:rPr>
          <w:rFonts w:eastAsia="Times New Roman" w:cs="Calibri"/>
          <w:noProof/>
          <w:sz w:val="24"/>
          <w:szCs w:val="24"/>
          <w:lang w:val="fr-FR" w:eastAsia="fr-FR"/>
        </w:rPr>
        <w:drawing>
          <wp:inline distT="0" distB="0" distL="0" distR="0">
            <wp:extent cx="5130927" cy="4119322"/>
            <wp:effectExtent l="19050" t="19050" r="12700" b="14605"/>
            <wp:docPr id="1028" name="Image 4" descr="C:\Users\MANGAMBU J DE DIEU\Desktop\Sans titr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4"/>
                    <pic:cNvPicPr/>
                  </pic:nvPicPr>
                  <pic:blipFill>
                    <a:blip r:embed="rId21" cstate="print"/>
                    <a:srcRect/>
                    <a:stretch/>
                  </pic:blipFill>
                  <pic:spPr>
                    <a:xfrm>
                      <a:off x="0" y="0"/>
                      <a:ext cx="5130927" cy="4119322"/>
                    </a:xfrm>
                    <a:prstGeom prst="rect">
                      <a:avLst/>
                    </a:prstGeom>
                    <a:ln w="6350" cap="flat" cmpd="sng">
                      <a:solidFill>
                        <a:srgbClr val="000000"/>
                      </a:solidFill>
                      <a:prstDash val="solid"/>
                      <a:round/>
                      <a:headEnd/>
                      <a:tailEnd/>
                    </a:ln>
                  </pic:spPr>
                </pic:pic>
              </a:graphicData>
            </a:graphic>
          </wp:inline>
        </w:drawing>
      </w:r>
    </w:p>
    <w:p w:rsidR="0089405D" w:rsidRDefault="003468E2">
      <w:pPr>
        <w:spacing w:after="0" w:line="312" w:lineRule="auto"/>
        <w:jc w:val="both"/>
        <w:rPr>
          <w:rFonts w:cs="Calibri"/>
          <w:sz w:val="24"/>
          <w:szCs w:val="24"/>
          <w:lang w:val="fr-FR"/>
        </w:rPr>
      </w:pPr>
      <w:bookmarkStart w:id="103" w:name="_Toc80352011"/>
      <w:bookmarkStart w:id="104" w:name="_Toc111888803"/>
      <w:bookmarkStart w:id="105" w:name="_Toc125611939"/>
      <w:bookmarkStart w:id="106" w:name="_Toc127181689"/>
      <w:bookmarkStart w:id="107" w:name="_Toc127182084"/>
      <w:r>
        <w:rPr>
          <w:rFonts w:eastAsia="Times New Roman" w:cs="Calibri"/>
          <w:b/>
          <w:sz w:val="24"/>
          <w:szCs w:val="24"/>
          <w:lang w:val="fr-FR" w:eastAsia="fr-FR"/>
        </w:rPr>
        <w:t>Figure 1.1:</w:t>
      </w:r>
      <w:r>
        <w:rPr>
          <w:rFonts w:eastAsia="Times New Roman" w:cs="Calibri"/>
          <w:sz w:val="24"/>
          <w:szCs w:val="24"/>
          <w:lang w:val="fr-FR" w:eastAsia="fr-FR"/>
        </w:rPr>
        <w:t xml:space="preserve"> </w:t>
      </w:r>
      <w:r>
        <w:rPr>
          <w:rFonts w:eastAsia="Times New Roman" w:cs="Calibri"/>
          <w:b/>
          <w:i/>
          <w:sz w:val="24"/>
          <w:szCs w:val="24"/>
          <w:lang w:val="fr-FR" w:eastAsia="fr-FR"/>
        </w:rPr>
        <w:t>Répartition régionale des réserves minérales en République Démocratique du Congo (source :</w:t>
      </w:r>
      <w:r>
        <w:rPr>
          <w:rFonts w:cs="Calibri"/>
          <w:sz w:val="24"/>
          <w:szCs w:val="24"/>
          <w:lang w:val="fr-FR"/>
        </w:rPr>
        <w:t xml:space="preserve"> </w:t>
      </w:r>
      <w:r>
        <w:rPr>
          <w:rFonts w:eastAsia="Times New Roman" w:cs="Calibri"/>
          <w:b/>
          <w:i/>
          <w:sz w:val="24"/>
          <w:szCs w:val="24"/>
          <w:lang w:val="fr-FR" w:eastAsia="fr-FR"/>
        </w:rPr>
        <w:t>© 2015 Nations Unies).</w:t>
      </w:r>
      <w:bookmarkEnd w:id="103"/>
      <w:bookmarkEnd w:id="104"/>
      <w:bookmarkEnd w:id="105"/>
      <w:bookmarkEnd w:id="106"/>
      <w:bookmarkEnd w:id="107"/>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La  reprise  amorcée  vers  l’année  1997  témoigne  de  l’engagement  de  la  Banque  Mondiale  et  le  FMI  à  accompagner  la  RDC  dans  sa  reconstruction  et  le  rétablissement  </w:t>
      </w:r>
      <w:r>
        <w:rPr>
          <w:rFonts w:eastAsia="Times New Roman" w:cs="Calibri"/>
          <w:sz w:val="24"/>
          <w:szCs w:val="24"/>
          <w:lang w:val="fr-FR" w:eastAsia="fr-FR"/>
        </w:rPr>
        <w:lastRenderedPageBreak/>
        <w:t>de  la  paix.  Ce  pays  venait  traverse encore  des  conflits  qui  ne conduisent   pas  seulement  aux  catastrophes  humanitaires,  mais  aussi  à  la  dégradation  des  infrastructures  économiques  de  base  et  à  l’instabilité  macroéconomique.</w:t>
      </w:r>
    </w:p>
    <w:p w:rsidR="0089405D" w:rsidRDefault="003468E2">
      <w:pPr>
        <w:spacing w:after="0" w:line="312" w:lineRule="auto"/>
        <w:ind w:firstLine="709"/>
        <w:jc w:val="both"/>
        <w:rPr>
          <w:rFonts w:cs="Calibri"/>
          <w:sz w:val="24"/>
          <w:szCs w:val="24"/>
          <w:lang w:val="fr-FR"/>
        </w:rPr>
      </w:pPr>
      <w:r>
        <w:rPr>
          <w:rFonts w:cs="Calibri"/>
          <w:sz w:val="24"/>
          <w:szCs w:val="24"/>
          <w:lang w:val="fr-FR"/>
        </w:rPr>
        <w:t>L’heure n’est plus au monopole du secteur minier par les entreprises minières publiques qui se sont montrées moins performantes (McMahon, G., 2011), mais plutôt à la libéralisation de celui-ci, où la privatisation et la libre concurrence font partie des stratégies pour attirer les investisseurs qui ne  viennent pour le développement de la RDC, mais pour leur propre profit comme le démontre d’ailleurs le cas de Xiang Jiang mining à Basoko, qui détruit  l’environnement nature,  la culture jusqu'à tenter de bafouer la dignité humaine. Cela a créé une cohabitation difficile entre les sociétés minières ayant reçu des permis de recherches et/ou d’exploitation, avec la population autochtone et locale et fait naître des conflits aux risques et périls énormes.</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jc w:val="both"/>
        <w:rPr>
          <w:rFonts w:cs="Calibri"/>
          <w:color w:val="auto"/>
          <w:sz w:val="24"/>
          <w:szCs w:val="24"/>
          <w:lang w:val="fr-FR"/>
        </w:rPr>
      </w:pPr>
      <w:bookmarkStart w:id="108" w:name="_Toc59458290"/>
      <w:bookmarkStart w:id="109" w:name="_Toc79392944"/>
      <w:bookmarkStart w:id="110" w:name="_Toc111888581"/>
      <w:bookmarkStart w:id="111" w:name="_Toc127187167"/>
      <w:bookmarkStart w:id="112" w:name="_Toc127187444"/>
      <w:bookmarkStart w:id="113" w:name="_Toc127432201"/>
      <w:r>
        <w:rPr>
          <w:rFonts w:eastAsia="Times New Roman" w:cs="Calibri"/>
          <w:b/>
          <w:color w:val="auto"/>
          <w:sz w:val="24"/>
          <w:szCs w:val="24"/>
          <w:lang w:val="fr-FR" w:eastAsia="fr-FR"/>
        </w:rPr>
        <w:t xml:space="preserve">1.4. UNE RESPONSABILITE ETHIQUE : DEVOIR </w:t>
      </w:r>
      <w:bookmarkEnd w:id="108"/>
      <w:r>
        <w:rPr>
          <w:rFonts w:eastAsia="Times New Roman" w:cs="Calibri"/>
          <w:b/>
          <w:color w:val="auto"/>
          <w:sz w:val="24"/>
          <w:szCs w:val="24"/>
          <w:lang w:val="fr-FR" w:eastAsia="fr-FR"/>
        </w:rPr>
        <w:t>ET OBLIGATION LEGAUX</w:t>
      </w:r>
      <w:bookmarkEnd w:id="109"/>
      <w:bookmarkEnd w:id="110"/>
      <w:bookmarkEnd w:id="111"/>
      <w:bookmarkEnd w:id="112"/>
      <w:bookmarkEnd w:id="113"/>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Comme tous les pays du monde, l'Etat congolais a une responsabilité éthique qui est un devoir légal. C'est en effet une obligation légale de protéger ses citoyens contre toutes sortes d’agressions (à commencer par la protection de leur vie et intégrité), et d’assurer le respect de leurs droits, tant en termes d’accès à l’alimentation, à la pro­priété ou à l’éducation, que de liberté d’expression. En vertu de l’article 58 de la Constitution congolaise, l’Etat est tenu d’assurer à tous les citoyens la jouissance des richesses nationales, par une redistribution équitable et la garantie du droit au développement. Dans ce but, un contrôle des activités des acteurs présents sur le territoire (notamment entreprises et investisseurs) est indispensable</w:t>
      </w:r>
      <w:r>
        <w:rPr>
          <w:lang w:val="fr-FR"/>
        </w:rPr>
        <w:t xml:space="preserve"> (</w:t>
      </w:r>
      <w:r>
        <w:rPr>
          <w:rFonts w:eastAsia="Times New Roman" w:cs="Calibri"/>
          <w:sz w:val="24"/>
          <w:szCs w:val="24"/>
          <w:lang w:val="fr-FR" w:eastAsia="fr-FR"/>
        </w:rPr>
        <w:t>Mangambu, M. et al., 2021).</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Mais, malheureusement, le pays reste l’un des plus pauvres du monde et avec un indicateur de développement humain parmi les plus bas (avec un indice de 0,457 le pays était 179 </w:t>
      </w:r>
      <w:r>
        <w:rPr>
          <w:rFonts w:eastAsia="Times New Roman" w:cs="Calibri"/>
          <w:sz w:val="24"/>
          <w:szCs w:val="24"/>
          <w:vertAlign w:val="superscript"/>
          <w:lang w:val="fr-FR" w:eastAsia="fr-FR"/>
        </w:rPr>
        <w:t>ième</w:t>
      </w:r>
      <w:r>
        <w:rPr>
          <w:rFonts w:eastAsia="Times New Roman" w:cs="Calibri"/>
          <w:sz w:val="24"/>
          <w:szCs w:val="24"/>
          <w:lang w:val="fr-FR" w:eastAsia="fr-FR"/>
        </w:rPr>
        <w:t xml:space="preserve"> sur 189 en 2021</w:t>
      </w:r>
      <w:r>
        <w:rPr>
          <w:rStyle w:val="Appelnotedebasdep"/>
          <w:rFonts w:cs="Calibri"/>
          <w:sz w:val="24"/>
          <w:szCs w:val="24"/>
          <w:lang w:val="fr-FR" w:eastAsia="fr-FR"/>
        </w:rPr>
        <w:footnoteReference w:id="17"/>
      </w:r>
      <w:r>
        <w:rPr>
          <w:rFonts w:eastAsia="Times New Roman" w:cs="Calibri"/>
          <w:sz w:val="24"/>
          <w:szCs w:val="24"/>
          <w:lang w:val="fr-FR" w:eastAsia="fr-FR"/>
        </w:rPr>
        <w:t xml:space="preserve">).  La pression à laquelle fait face le pays croît de façon aussi impressionnante que la demande mondiale pour ces minerais. L’un des problèmes centraux de ce secteur extrêmement porteur qu’est l’exploitation minière pour la RDC en est sa </w:t>
      </w:r>
      <w:r>
        <w:rPr>
          <w:rFonts w:eastAsia="Times New Roman" w:cs="Calibri"/>
          <w:sz w:val="24"/>
          <w:szCs w:val="24"/>
          <w:lang w:val="fr-FR" w:eastAsia="fr-FR"/>
        </w:rPr>
        <w:lastRenderedPageBreak/>
        <w:t>gestion.  L’informalité, l’opacité et la mauvaise gouvernance du secteur minier, les exportations illégales ou encore la fraude fiscale, conjugués au fait que l’ancien code minier était très libéral, de nombreuses atteintes aux droits des populations locales ont été enregistrées.  Tous ces effets négatifs sont liées, entre autres raisons, à la fois à l’abondance des ressources naturelles et l’absence d’une application efficace des lois dans le secteur minier</w:t>
      </w:r>
      <w:r>
        <w:rPr>
          <w:rStyle w:val="Appelnotedebasdep"/>
          <w:rFonts w:cs="Calibri"/>
          <w:sz w:val="24"/>
          <w:szCs w:val="24"/>
          <w:lang w:val="fr-FR" w:eastAsia="fr-FR"/>
        </w:rPr>
        <w:footnoteReference w:id="18"/>
      </w:r>
      <w:r>
        <w:rPr>
          <w:rFonts w:eastAsia="Times New Roman" w:cs="Calibri"/>
          <w:sz w:val="24"/>
          <w:szCs w:val="24"/>
          <w:lang w:val="fr-FR" w:eastAsia="fr-FR"/>
        </w:rPr>
        <w:t xml:space="preserve">. Ce sont là quelques éléments qui expliquent que les ressources naturelles ne profitent, jusqu’à présent, que très peu/et ou pas à la population congolaise et au développement du pays (Cf. Kabue, L., 2008).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 xml:space="preserve">Le cadre législatif est fourni mais l’application des textes échoue à protéger les populations et à permettre des rentrées dans les caisses de l’Etat qui seraient proportionnelles à la taille du secteur. Celui-ci, géré de façon rigoureuse, pourrait pourtant contribuer à sortir le pays de la pauvreté (Kabue, L., 2008).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jc w:val="both"/>
        <w:rPr>
          <w:rFonts w:eastAsia="Times New Roman" w:cs="Calibri"/>
          <w:b/>
          <w:color w:val="auto"/>
          <w:sz w:val="24"/>
          <w:szCs w:val="24"/>
          <w:lang w:val="fr-FR" w:eastAsia="fr-FR"/>
        </w:rPr>
      </w:pPr>
      <w:bookmarkStart w:id="114" w:name="_Toc59458291"/>
      <w:bookmarkStart w:id="115" w:name="_Toc79392945"/>
      <w:bookmarkStart w:id="116" w:name="_Toc111888582"/>
      <w:bookmarkStart w:id="117" w:name="_Toc127187168"/>
      <w:bookmarkStart w:id="118" w:name="_Toc127187445"/>
      <w:bookmarkStart w:id="119" w:name="_Toc127432202"/>
      <w:r>
        <w:rPr>
          <w:rFonts w:eastAsia="Times New Roman" w:cs="Calibri"/>
          <w:b/>
          <w:color w:val="auto"/>
          <w:sz w:val="24"/>
          <w:szCs w:val="24"/>
          <w:lang w:val="fr-FR" w:eastAsia="fr-FR"/>
        </w:rPr>
        <w:lastRenderedPageBreak/>
        <w:t>1.5.</w:t>
      </w:r>
      <w:bookmarkEnd w:id="114"/>
      <w:r>
        <w:rPr>
          <w:rFonts w:eastAsia="Times New Roman" w:cs="Calibri"/>
          <w:b/>
          <w:color w:val="auto"/>
          <w:sz w:val="24"/>
          <w:szCs w:val="24"/>
          <w:lang w:val="fr-FR" w:eastAsia="fr-FR"/>
        </w:rPr>
        <w:t xml:space="preserve"> LE NON-RESPECT DE L’APPLICATION DES TEXTES SUR LA GESTION DES RESSOURCES NATURELLES</w:t>
      </w:r>
      <w:bookmarkEnd w:id="115"/>
      <w:bookmarkEnd w:id="116"/>
      <w:bookmarkEnd w:id="117"/>
      <w:bookmarkEnd w:id="118"/>
      <w:bookmarkEnd w:id="119"/>
    </w:p>
    <w:p w:rsidR="0089405D" w:rsidRDefault="0089405D">
      <w:pPr>
        <w:pStyle w:val="Titre1"/>
        <w:spacing w:before="0" w:line="312" w:lineRule="auto"/>
        <w:jc w:val="both"/>
        <w:rPr>
          <w:rFonts w:cs="Calibri"/>
          <w:color w:val="auto"/>
          <w:sz w:val="24"/>
          <w:szCs w:val="24"/>
          <w:lang w:val="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Les violations massives des droits fondamentaux en Afrique sont liées au commerce mondial des minerais. La Cour Pénale Internationale a très amplement fait la preuve de ce constat. Les enquêtes du Procureur dans la région des grands lacs – sur la situation en Ouganda, en situation en République démocratique du Congo (RDC), en République Centrafricaine, mais aussi au Soudan – ont clairement identifié le rôle primordial du trafic et du commerce international de matières premières dans la genèse des conflits en Afrique et à l’origine du plus grand massacre depuis la seconde guerre mondiale (plus de cinq millions de morts). Les différentes pour ce commerce, tant par l’ONU que par les industries minières ont échoué</w:t>
      </w:r>
      <w:r>
        <w:rPr>
          <w:rStyle w:val="Appelnotedebasdep"/>
          <w:sz w:val="24"/>
          <w:szCs w:val="24"/>
          <w:lang w:val="fr-FR" w:eastAsia="fr-FR"/>
        </w:rPr>
        <w:footnoteReference w:id="19"/>
      </w:r>
      <w:r>
        <w:rPr>
          <w:rFonts w:eastAsia="Times New Roman" w:cs="Calibri"/>
          <w:sz w:val="24"/>
          <w:szCs w:val="24"/>
          <w:lang w:val="fr-FR" w:eastAsia="fr-FR"/>
        </w:rPr>
        <w:t>.</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Le non-respect de l’application des textes sur la gestion des ressources naturelles, le mépris des populations locales, la violation de leur patrimoine naturel et autres pratiques qui foulent au pied la dignité d’un peuple sont des actes moralement  répréhensibles, et inacceptables. (Cf. Ekele, M. &amp; Mangambu M., 2020 ; </w:t>
      </w:r>
      <w:r>
        <w:rPr>
          <w:rFonts w:cs="Calibri"/>
          <w:sz w:val="24"/>
          <w:szCs w:val="24"/>
          <w:lang w:val="fr-FR"/>
        </w:rPr>
        <w:t>Mangambu, M. et al., 2021</w:t>
      </w:r>
      <w:r>
        <w:rPr>
          <w:rFonts w:eastAsia="Times New Roman" w:cs="Calibri"/>
          <w:sz w:val="24"/>
          <w:szCs w:val="24"/>
          <w:lang w:val="fr-FR" w:eastAsia="fr-FR"/>
        </w:rPr>
        <w:t>). L’exploitation minière semi-industrielle et/ou industrielle affecte la biodiversité tout au long du cycle de vie d’un projet, aussi bien de façon directe qu’indirecte</w:t>
      </w:r>
      <w:r>
        <w:rPr>
          <w:rFonts w:cs="Calibri"/>
          <w:sz w:val="24"/>
          <w:szCs w:val="24"/>
          <w:lang w:val="fr-FR"/>
        </w:rPr>
        <w:t xml:space="preserve"> (</w:t>
      </w:r>
      <w:r>
        <w:rPr>
          <w:rFonts w:eastAsia="Times New Roman" w:cs="Calibri"/>
          <w:sz w:val="24"/>
          <w:szCs w:val="24"/>
          <w:lang w:val="fr-FR" w:eastAsia="fr-FR"/>
        </w:rPr>
        <w:t>Andre, P., 2006). La marche de l'activité minière et métallurgique est largement tributaire des ressources en eau et de l’énergie nécessaire pour actionner les machines</w:t>
      </w:r>
      <w:r>
        <w:rPr>
          <w:rFonts w:cs="Calibri"/>
          <w:sz w:val="24"/>
          <w:szCs w:val="24"/>
          <w:lang w:val="fr-FR"/>
        </w:rPr>
        <w:t xml:space="preserve"> (</w:t>
      </w:r>
      <w:r>
        <w:rPr>
          <w:rFonts w:eastAsia="Times New Roman" w:cs="Calibri"/>
          <w:sz w:val="24"/>
          <w:szCs w:val="24"/>
          <w:lang w:val="fr-FR" w:eastAsia="fr-FR"/>
        </w:rPr>
        <w:t>Francis, P et al., 1993).</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La RDC est membre de l’Institut International du Développement durable (IISD, </w:t>
      </w:r>
      <w:r>
        <w:rPr>
          <w:rFonts w:eastAsia="Times New Roman" w:cs="Calibri"/>
          <w:i/>
          <w:sz w:val="24"/>
          <w:szCs w:val="24"/>
          <w:lang w:val="fr-FR" w:eastAsia="fr-FR"/>
        </w:rPr>
        <w:t>The International Institute for Sustainable Development</w:t>
      </w:r>
      <w:r>
        <w:rPr>
          <w:rFonts w:eastAsia="Times New Roman" w:cs="Calibri"/>
          <w:sz w:val="24"/>
          <w:szCs w:val="24"/>
          <w:lang w:val="fr-FR" w:eastAsia="fr-FR"/>
        </w:rPr>
        <w:t xml:space="preserve">). Cette institution a comme mission de promouvoir le développement humain et la durabilité environnementale et une vision globale d’aborder les causes profondes de certains des grands problèmes auxquels notre planète est confrontée aujourd’hui : la destruction de l'environnement, l'exclusion sociale, les lois et les règles économiques injustes, le changement climatique (Mancinia, L. &amp; Sala, S., 2018).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Malheureusement, en RDC lorsque le processus d’octroi des permis d’exploitation aux sociétés minières ne respecte pas tous les engagements des principes de l’Institut International du Développement durable ainsi du Code minier de 2018. Dans les phases </w:t>
      </w:r>
      <w:r>
        <w:rPr>
          <w:rFonts w:eastAsia="Times New Roman" w:cs="Calibri"/>
          <w:sz w:val="24"/>
          <w:szCs w:val="24"/>
          <w:lang w:val="fr-FR" w:eastAsia="fr-FR"/>
        </w:rPr>
        <w:lastRenderedPageBreak/>
        <w:t xml:space="preserve">initiales des projets miniers, les autorités ne font pas l’objet d’un suivi approprié. Cet état de chose se traduit souvent par des mines fonctionnant sans études d’impact environnemental et social (EIES) et les plans associés, à savoir les plans de gestion environnementale et sociale, les plans de fermeture et de réhabilitation et les éventuels Plans d’Action de Réinstallation (PAR).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 xml:space="preserve">D’après la même Institution, les pratiques modernes des sociétés minières ont radicalement changé en comparaison avec les pratiques observées au début du XX </w:t>
      </w:r>
      <w:r>
        <w:rPr>
          <w:rFonts w:eastAsia="Times New Roman" w:cs="Calibri"/>
          <w:sz w:val="24"/>
          <w:szCs w:val="24"/>
          <w:vertAlign w:val="superscript"/>
          <w:lang w:val="fr-FR" w:eastAsia="fr-FR"/>
        </w:rPr>
        <w:t>nième</w:t>
      </w:r>
      <w:r>
        <w:rPr>
          <w:rFonts w:eastAsia="Times New Roman" w:cs="Calibri"/>
          <w:sz w:val="24"/>
          <w:szCs w:val="24"/>
          <w:lang w:val="fr-FR" w:eastAsia="fr-FR"/>
        </w:rPr>
        <w:t xml:space="preserve"> siècle. D’une part, les lois et règlements ont évolué de façon à s’adapter aux valeurs de la collectivité. D’autre part, les sociétés minières ont embauché des spécialistes en environnement qui ont pour responsabilité de réduire l’empreinte écologique de la mine et de voir à la restauration du site minier après sa fermeture (ANDRE, P., 2006 ; Mancinia, L. &amp; Sala, S., 2018). Les exemples vécus dans d‘autre sites en RDC laissent à désirer, cela entraîne des conflits entre la population autochtone et les sociétés minières à un stade ultérieur de l’exploitation d’une mine ou à l’approche de la date d’arrêt prévue des opérations (Marysse, S. &amp; Tshimanga, C. 2012). Ces conflits conduisent parfois à des arbitrages juridiques résultant des ambiguïtés relatives au processus et au statut juridique des EIES pendant la phase de transition entre l’exploration et l’exploitation. Rien d’étonnant dès que ces conflits environnementaux opposant les communautés locales appuyées par les ONG aux sociétés minières se soient accrus au cours des années ultimes années qui ont vu un essor sans précédent des grands projets miniers dans les pays en voie de développement aux riches ressources comme les pays subsaharien, de l’Asie minière  et Sud-Américains, entre autres</w:t>
      </w:r>
      <w:r>
        <w:rPr>
          <w:rFonts w:cs="Calibri"/>
          <w:sz w:val="24"/>
          <w:szCs w:val="24"/>
          <w:lang w:val="fr-FR"/>
        </w:rPr>
        <w:t xml:space="preserve"> (Cf. </w:t>
      </w:r>
      <w:r>
        <w:rPr>
          <w:rFonts w:eastAsia="Times New Roman" w:cs="Calibri"/>
          <w:sz w:val="24"/>
          <w:szCs w:val="24"/>
          <w:lang w:val="fr-FR" w:eastAsia="fr-FR"/>
        </w:rPr>
        <w:t xml:space="preserve">Kilosho, J. et al., 2012).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Au Pérou par exemple, dont les deux tiers des ressources d’exportation proviennent de l’extraction des minerais, près de 90% des surfaces ayant fait l’objet de concessions minières l’ont été depuis 1990 et pour l’essentiel après 2000. En 2009, les concessions minières couvraient près de 14 000 km</w:t>
      </w:r>
      <w:r>
        <w:rPr>
          <w:rFonts w:eastAsia="Times New Roman" w:cs="Calibri"/>
          <w:sz w:val="24"/>
          <w:szCs w:val="24"/>
          <w:vertAlign w:val="superscript"/>
          <w:lang w:val="fr-FR" w:eastAsia="fr-FR"/>
        </w:rPr>
        <w:t>2</w:t>
      </w:r>
      <w:r>
        <w:rPr>
          <w:rFonts w:eastAsia="Times New Roman" w:cs="Calibri"/>
          <w:sz w:val="24"/>
          <w:szCs w:val="24"/>
          <w:lang w:val="fr-FR" w:eastAsia="fr-FR"/>
        </w:rPr>
        <w:t xml:space="preserve">, soit 11 % de la superficie du pays. Dans certaines régions comme celle de Cajamarca, les concessions minières qui ne couvraient que de petites surfaces en 1990, portaient en 2009 sur les deux tiers du bassin supérieur du Rio Jequetepeque. Aussi la multiplication des zones minières s’est-elle accompagnée d’une élévation du nombre des conflits, puisqu’on n’enregistrait depuis les années 2000 plusieurs conflits liés à l’exploitation des ressources minières à l’est de la RDC, en République centrafricaine, au Soudan, au Liberia... (Cf. Bebbington, A. &amp; Bury, 2009).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Les conflits autour de l’extension des mines d'or de kilo moto, de la Sokimo à Kibali, dans l'est de la RDC, sont emblématiques de cette pression environnementaliste qui pèse sur </w:t>
      </w:r>
      <w:r>
        <w:rPr>
          <w:rFonts w:eastAsia="Times New Roman" w:cs="Calibri"/>
          <w:sz w:val="24"/>
          <w:szCs w:val="24"/>
          <w:lang w:val="fr-FR" w:eastAsia="fr-FR"/>
        </w:rPr>
        <w:lastRenderedPageBreak/>
        <w:t xml:space="preserve">les sociétés minières. Par exemple, le   site   d’exploitation d’or de « </w:t>
      </w:r>
      <w:r>
        <w:rPr>
          <w:rFonts w:eastAsia="Times New Roman" w:cs="Calibri"/>
          <w:i/>
          <w:sz w:val="24"/>
          <w:szCs w:val="24"/>
          <w:lang w:val="fr-FR" w:eastAsia="fr-FR"/>
        </w:rPr>
        <w:t>Karagba Chauffeur Durba »</w:t>
      </w:r>
      <w:r>
        <w:rPr>
          <w:rFonts w:eastAsia="Times New Roman" w:cs="Calibri"/>
          <w:sz w:val="24"/>
          <w:szCs w:val="24"/>
          <w:lang w:val="fr-FR" w:eastAsia="fr-FR"/>
        </w:rPr>
        <w:t xml:space="preserve"> (KCD),  à  Doko  Durba  dans  le  territoire    de  Watsa (Province de Haut Uélé)   a exigé un déplacement de  14 villages d’environ 18 000 habitants  pour faire place au creusement d’une grande exploitation en découverte; les habitants étant réinstallés  sur  la  nouvelle  cité  de  Kokiza </w:t>
      </w:r>
      <w:r>
        <w:rPr>
          <w:rFonts w:cs="Calibri"/>
          <w:sz w:val="24"/>
          <w:szCs w:val="24"/>
          <w:lang w:val="fr-FR"/>
        </w:rPr>
        <w:t>( Cf. Ashanti Goldfields Kilo, 2015)</w:t>
      </w:r>
      <w:r>
        <w:rPr>
          <w:rFonts w:eastAsia="Times New Roman"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En fait, dans cette zone (précipitations annuelles d’environ 106 mm par an) où n’existait aucune activité minière et où l’essentiel de la population qui vivait de l’arboriculture fruitière irriguée, a surtout eu peur que le creusement d’une grande découverte ne provoque un assèchement partiel de quelques ruisseaux. En plus, l’exploitation minière génère des rejets massifs de déblais et de substances toxiques ruinant leur activité, tels sont le cas de </w:t>
      </w:r>
      <w:r>
        <w:rPr>
          <w:rFonts w:cs="Calibri"/>
          <w:sz w:val="24"/>
          <w:szCs w:val="24"/>
          <w:lang w:val="fr-FR"/>
        </w:rPr>
        <w:t>sur le site minier de</w:t>
      </w:r>
      <w:r>
        <w:rPr>
          <w:rFonts w:cs="Calibri"/>
          <w:i/>
          <w:sz w:val="24"/>
          <w:szCs w:val="24"/>
          <w:lang w:val="fr-FR"/>
        </w:rPr>
        <w:t>, Tenke   Fungurume   mining « TFM », mutanda mining « MUMI », Ruashi mining</w:t>
      </w:r>
      <w:r>
        <w:rPr>
          <w:rFonts w:cs="Calibri"/>
          <w:sz w:val="24"/>
          <w:szCs w:val="24"/>
          <w:lang w:val="fr-FR"/>
        </w:rPr>
        <w:t xml:space="preserve"> dans le Katanga et la société Banro Corporation en  2011   de   la  production  industrielle  d’or  par  la  société  Banro  Corporation  par  sa  filiale </w:t>
      </w:r>
      <w:r>
        <w:rPr>
          <w:rFonts w:cs="Calibri"/>
          <w:i/>
          <w:sz w:val="24"/>
          <w:szCs w:val="24"/>
          <w:lang w:val="fr-FR"/>
        </w:rPr>
        <w:t>Twangiza Mining</w:t>
      </w:r>
      <w:r>
        <w:rPr>
          <w:rFonts w:cs="Calibri"/>
          <w:sz w:val="24"/>
          <w:szCs w:val="24"/>
          <w:lang w:val="fr-FR"/>
        </w:rPr>
        <w:t xml:space="preserve"> SARL dans le Sud-Kivu en RDC</w:t>
      </w:r>
      <w:r>
        <w:rPr>
          <w:rStyle w:val="Appelnotedebasdep"/>
          <w:rFonts w:cs="Calibri"/>
          <w:sz w:val="24"/>
          <w:szCs w:val="24"/>
          <w:lang w:val="fr-FR"/>
        </w:rPr>
        <w:footnoteReference w:id="20"/>
      </w:r>
      <w:r>
        <w:rPr>
          <w:rFonts w:cs="Calibri"/>
          <w:sz w:val="24"/>
          <w:szCs w:val="24"/>
          <w:lang w:val="fr-FR"/>
        </w:rPr>
        <w:t>.</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A cela s’ajoute la contestation plus radicale, concernant les conséquences de l’exploitation minière pour le développement économique des pays et la constatation que bon nombre de pays du Tiers-monde possédant d’importantes ressources minières ou énergétiques ont connu un développement moins important que les pays dépourvus de ressources du sous-sol. Cette thèse de la malédiction des ressources (</w:t>
      </w:r>
      <w:r>
        <w:rPr>
          <w:rFonts w:eastAsia="Times New Roman" w:cs="Calibri"/>
          <w:i/>
          <w:sz w:val="24"/>
          <w:szCs w:val="24"/>
          <w:lang w:val="fr-FR" w:eastAsia="fr-FR"/>
        </w:rPr>
        <w:t>resource curse</w:t>
      </w:r>
      <w:r>
        <w:rPr>
          <w:rFonts w:eastAsia="Times New Roman" w:cs="Calibri"/>
          <w:sz w:val="24"/>
          <w:szCs w:val="24"/>
          <w:lang w:val="fr-FR" w:eastAsia="fr-FR"/>
        </w:rPr>
        <w:t xml:space="preserve">) a été beaucoup argumentée par tout un courant d’économistes qui se sont efforcés de montrer par quels mécanismes l’exploitation des ressources minérales abondantes pouvait avoir une influence négative sur le développement économique (Sachs, J. &amp; Warner, M., 1997).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 xml:space="preserve">Dans la mesure où l’exploitation des ressources minières apparaît ainsi comme négative à la fois pour l’environnement et le développement socio-économique, les ONGEs et les populations qu’elles soutiennent dans leur combat contre les projets miniers ont trouvé </w:t>
      </w:r>
      <w:r>
        <w:rPr>
          <w:rFonts w:eastAsia="Times New Roman" w:cs="Calibri"/>
          <w:sz w:val="24"/>
          <w:szCs w:val="24"/>
          <w:lang w:val="fr-FR" w:eastAsia="fr-FR"/>
        </w:rPr>
        <w:lastRenderedPageBreak/>
        <w:t xml:space="preserve">une certaine légitimation auprès de l’opinion. Certains conflits opposant les communautés locales aux sociétés minières ont reçu ainsi un important écho médiatique et les ONGEs ont développé des campagnes visant à attirer l’attention de l’opinion publique sur les nuisances environnementales et sociales des grands projets miniers. </w:t>
      </w:r>
      <w:bookmarkStart w:id="120" w:name="_Toc59458292"/>
    </w:p>
    <w:p w:rsidR="0089405D" w:rsidRDefault="0089405D">
      <w:pPr>
        <w:spacing w:after="0" w:line="312" w:lineRule="auto"/>
        <w:rPr>
          <w:rFonts w:eastAsia="Times New Roman" w:cs="Calibri"/>
          <w:sz w:val="24"/>
          <w:szCs w:val="24"/>
          <w:lang w:val="fr-FR" w:eastAsia="fr-FR"/>
        </w:rPr>
      </w:pPr>
    </w:p>
    <w:p w:rsidR="0089405D" w:rsidRDefault="003468E2">
      <w:pPr>
        <w:pStyle w:val="Titre1"/>
        <w:spacing w:before="0" w:line="312" w:lineRule="auto"/>
        <w:jc w:val="both"/>
        <w:rPr>
          <w:rFonts w:cs="Calibri"/>
          <w:color w:val="auto"/>
          <w:sz w:val="24"/>
          <w:szCs w:val="24"/>
          <w:lang w:val="fr-FR"/>
        </w:rPr>
      </w:pPr>
      <w:bookmarkStart w:id="121" w:name="_Toc127187169"/>
      <w:bookmarkStart w:id="122" w:name="_Toc127187446"/>
      <w:bookmarkStart w:id="123" w:name="_Toc127432203"/>
      <w:r>
        <w:rPr>
          <w:rFonts w:eastAsia="Times New Roman" w:cs="Calibri"/>
          <w:b/>
          <w:color w:val="auto"/>
          <w:sz w:val="24"/>
          <w:szCs w:val="24"/>
          <w:lang w:val="fr-FR" w:eastAsia="fr-FR"/>
        </w:rPr>
        <w:t>1.6. UNE AUDIENCE CROISSANTE SUR</w:t>
      </w:r>
      <w:bookmarkEnd w:id="120"/>
      <w:r>
        <w:rPr>
          <w:rFonts w:eastAsia="Times New Roman" w:cs="Calibri"/>
          <w:b/>
          <w:color w:val="auto"/>
          <w:sz w:val="24"/>
          <w:szCs w:val="24"/>
          <w:lang w:val="fr-FR" w:eastAsia="fr-FR"/>
        </w:rPr>
        <w:t xml:space="preserve"> LES EFFETS DIRECTS ET INDIRECTS DE L’EXPLOITATION MINIERE</w:t>
      </w:r>
      <w:bookmarkEnd w:id="121"/>
      <w:bookmarkEnd w:id="122"/>
      <w:bookmarkEnd w:id="123"/>
      <w:r>
        <w:rPr>
          <w:rFonts w:eastAsia="Times New Roman" w:cs="Calibri"/>
          <w:b/>
          <w:color w:val="auto"/>
          <w:sz w:val="24"/>
          <w:szCs w:val="24"/>
          <w:lang w:val="fr-FR" w:eastAsia="fr-FR"/>
        </w:rPr>
        <w:t xml:space="preserve"> </w:t>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Dans le contexte actuel où le concept de développement durable connaît une audience croissante, le fait qu’une activité par essence même temporaire, puisse transformer profondément le cadre naturel d’une région et compromettre peut-être définitivement une autre forme d’exploitation après la fermeture de la mine, apparaît de plus en plus difficile à accepter.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C’est dans cet esprit que les mouvements environnementalistes qui se réclament pour la plupart de l’alter-mondialisme combattent l’industrie minière dans laquelle ils voient une des formes les plus scandaleuses de l’exploitation du Sud par le Nord et même l’une des causes de l’absence de développement</w:t>
      </w:r>
      <w:r>
        <w:rPr>
          <w:rStyle w:val="Appelnotedebasdep"/>
          <w:rFonts w:cs="Calibri"/>
          <w:sz w:val="24"/>
          <w:szCs w:val="24"/>
          <w:lang w:val="fr-FR" w:eastAsia="fr-FR"/>
        </w:rPr>
        <w:footnoteReference w:id="21"/>
      </w:r>
      <w:r>
        <w:rPr>
          <w:rFonts w:eastAsia="Times New Roman"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Dans certains cas, les mines sont simplement abandonnées avec un lourd héritage environnemental, économique et social pour les communautés locales et les gouvernements (</w:t>
      </w:r>
      <w:r>
        <w:rPr>
          <w:rFonts w:cs="Calibri"/>
          <w:sz w:val="24"/>
          <w:szCs w:val="24"/>
          <w:lang w:val="fr-FR"/>
        </w:rPr>
        <w:t>Ricks, G. et al., 1999). Le</w:t>
      </w:r>
      <w:r>
        <w:rPr>
          <w:rFonts w:eastAsia="Times New Roman" w:cs="Calibri"/>
          <w:sz w:val="24"/>
          <w:szCs w:val="24"/>
          <w:lang w:val="fr-FR" w:eastAsia="fr-FR"/>
        </w:rPr>
        <w:t xml:space="preserve">s retombées directes ou primaires de l’exploitation minière peuvent résulter de toute activité impliquant le défrichement du terrain (le forage exploratoire…) ou de rejets directs dans les plans d’eau  (dépôt  de  résidus  miniers  dans  les  plans  d’eau,  par  exemple,  ou  rejet  dans l’environnement d’effluents provenant des parcs à résidus miniers) ou dans l’air (comme les poussières  ou  les  émissions  de  fonderie), selon Mancinia, L. &amp; Sala S. (2018).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Les effets directs sont en général facilement identifiables. Les effets indirects ou secondaires peuvent eux résulter des changements socio-économiques ou </w:t>
      </w:r>
      <w:r>
        <w:rPr>
          <w:rFonts w:eastAsia="Times New Roman" w:cs="Calibri"/>
          <w:sz w:val="24"/>
          <w:szCs w:val="24"/>
          <w:lang w:val="fr-FR" w:eastAsia="fr-FR"/>
        </w:rPr>
        <w:lastRenderedPageBreak/>
        <w:t xml:space="preserve">environnementaux  induits  par  les  opérations  minières  et  sont  souvent difficiles  à  identifier immédiatement.  Les  effets  cumulatifs  se  produisent  lorsque  des  projets  miniers  sont  mis  en place dans des environnements influencés par d’autres projets, miniers ou non miniers (Ekele, M. &amp; Mangambu, M., 2020). </w:t>
      </w:r>
    </w:p>
    <w:p w:rsidR="0089405D" w:rsidRDefault="003468E2">
      <w:pPr>
        <w:autoSpaceDE w:val="0"/>
        <w:autoSpaceDN w:val="0"/>
        <w:adjustRightInd w:val="0"/>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 code minier de la RDC (2018) prévoit l’obligation pour le titulaire de droit minier d’exploitation de constituer une dotation de minimum 0,3 % de son chiffre d’affaires pour contribuer aux projets de développement communautaire</w:t>
      </w:r>
      <w:r>
        <w:rPr>
          <w:rStyle w:val="Appelnotedebasdep"/>
          <w:rFonts w:cs="Calibri"/>
          <w:sz w:val="24"/>
          <w:szCs w:val="24"/>
          <w:lang w:val="fr-FR" w:eastAsia="fr-FR"/>
        </w:rPr>
        <w:footnoteReference w:id="22"/>
      </w:r>
      <w:r>
        <w:rPr>
          <w:rFonts w:eastAsia="Times New Roman" w:cs="Calibri"/>
          <w:sz w:val="24"/>
          <w:szCs w:val="24"/>
          <w:lang w:val="fr-FR" w:eastAsia="fr-FR"/>
        </w:rPr>
        <w:t>. Pour l’instant aucune entreprise n’a déclaré ces 0,3 %. Il faudra donc là aussi prévoir un organe de contrôle du paiement effectif de cette dotation</w:t>
      </w:r>
      <w:r>
        <w:rPr>
          <w:rFonts w:cs="Calibri"/>
          <w:sz w:val="24"/>
          <w:szCs w:val="24"/>
          <w:lang w:val="fr-FR"/>
        </w:rPr>
        <w:t xml:space="preserve"> (IFC. 2002 ; </w:t>
      </w:r>
      <w:r>
        <w:rPr>
          <w:rFonts w:eastAsia="Times New Roman" w:cs="Calibri"/>
          <w:sz w:val="24"/>
          <w:szCs w:val="24"/>
          <w:lang w:val="fr-FR" w:eastAsia="fr-FR"/>
        </w:rPr>
        <w:t xml:space="preserve">Wheeler, D. et al., 2002). Voilà pourquoi, la population locale de Basoko, pour ce qui est du cas du projet d'exploitation chinoise de Xiang Jiang, sous la houlette des leaders locaux et de ses autres fils à travers le monde, ont résolu de se prendre en charge. Ceci augure peut-être une ère nouvelle, un regard nouveau des populations et des leaders, en matière d'exploitation patrimoniale (Cf. </w:t>
      </w:r>
      <w:r>
        <w:rPr>
          <w:rFonts w:eastAsia="Calibri" w:cs="Calibri"/>
          <w:color w:val="000000"/>
          <w:sz w:val="24"/>
          <w:szCs w:val="24"/>
          <w:lang w:val="fr-FR" w:eastAsia="en-US"/>
        </w:rPr>
        <w:t>Maréchal, 2019 et 42 Centre d’Expertise, d’Evaluation et</w:t>
      </w:r>
      <w:r>
        <w:rPr>
          <w:rFonts w:cs="Calibri"/>
          <w:sz w:val="24"/>
          <w:szCs w:val="24"/>
          <w:lang w:val="fr-FR"/>
        </w:rPr>
        <w:t xml:space="preserve"> </w:t>
      </w:r>
      <w:r>
        <w:rPr>
          <w:rFonts w:eastAsia="Calibri" w:cs="Calibri"/>
          <w:color w:val="000000"/>
          <w:sz w:val="24"/>
          <w:szCs w:val="24"/>
          <w:lang w:val="fr-FR" w:eastAsia="en-US"/>
        </w:rPr>
        <w:t>de Certification, 2020).</w:t>
      </w:r>
    </w:p>
    <w:p w:rsidR="0089405D" w:rsidRDefault="0089405D">
      <w:pPr>
        <w:pStyle w:val="Titre1"/>
        <w:spacing w:before="0" w:line="312" w:lineRule="auto"/>
        <w:jc w:val="both"/>
        <w:rPr>
          <w:rFonts w:eastAsia="Times New Roman" w:cs="Calibri"/>
          <w:b/>
          <w:color w:val="auto"/>
          <w:sz w:val="24"/>
          <w:szCs w:val="24"/>
          <w:lang w:val="fr-FR" w:eastAsia="fr-FR"/>
        </w:rPr>
      </w:pPr>
      <w:bookmarkStart w:id="124" w:name="_Toc59458293"/>
      <w:bookmarkStart w:id="125" w:name="_Toc79392946"/>
      <w:bookmarkStart w:id="126" w:name="_Toc111888583"/>
    </w:p>
    <w:p w:rsidR="0089405D" w:rsidRDefault="003468E2">
      <w:pPr>
        <w:pStyle w:val="Titre1"/>
        <w:spacing w:before="0" w:line="312" w:lineRule="auto"/>
        <w:jc w:val="both"/>
        <w:rPr>
          <w:rFonts w:cs="Calibri"/>
          <w:color w:val="auto"/>
          <w:sz w:val="24"/>
          <w:szCs w:val="24"/>
          <w:lang w:val="fr-FR"/>
        </w:rPr>
      </w:pPr>
      <w:bookmarkStart w:id="127" w:name="_Toc127187170"/>
      <w:bookmarkStart w:id="128" w:name="_Toc127187447"/>
      <w:bookmarkStart w:id="129" w:name="_Toc127432204"/>
      <w:r>
        <w:rPr>
          <w:rFonts w:eastAsia="Times New Roman" w:cs="Calibri"/>
          <w:b/>
          <w:color w:val="auto"/>
          <w:sz w:val="24"/>
          <w:szCs w:val="24"/>
          <w:lang w:val="fr-FR" w:eastAsia="fr-FR"/>
        </w:rPr>
        <w:t>1.7. BASOKO EN AVANT-GARDE : ROLE DE LA POPULATION LOCALE ET DES LEADERS</w:t>
      </w:r>
      <w:bookmarkEnd w:id="124"/>
      <w:r>
        <w:rPr>
          <w:rFonts w:eastAsia="Times New Roman" w:cs="Calibri"/>
          <w:b/>
          <w:color w:val="auto"/>
          <w:sz w:val="24"/>
          <w:szCs w:val="24"/>
          <w:lang w:val="fr-FR" w:eastAsia="fr-FR"/>
        </w:rPr>
        <w:t xml:space="preserve"> LOCAUX</w:t>
      </w:r>
      <w:bookmarkEnd w:id="125"/>
      <w:bookmarkEnd w:id="126"/>
      <w:bookmarkEnd w:id="127"/>
      <w:bookmarkEnd w:id="128"/>
      <w:bookmarkEnd w:id="129"/>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La population locale et les leaders locaux considèrent cette exploitation comme une expropriation d'une partie de la rivière et de sa terre ferme au profit d’une société étrangère, alors que ces derniers ne vivent que de la pêche et de l’agriculture comme leurs aïeux, depuis la nuit de temps et depuis toujours. Selon cette population, le nouveau code minier semble protéger théoriquement les populations locales et leur environnement, alors qu’en réalité il n’en est pas question. Les exploitants se servent par exemple de l’avis environnemental par l’octroi d’un certificat environnemental comme condition d’obtention d’un permis d’exploitation (Figure 1.2.). Celui-ci doit être délivré par l’Agence Congolaise de l’Environnement et attester que le projet d’exploitation est conforme aux principes de sauvegarde environnementale et sociale.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Un cahier des charges</w:t>
      </w:r>
      <w:r>
        <w:rPr>
          <w:rStyle w:val="Appelnotedebasdep"/>
          <w:rFonts w:cs="Calibri"/>
          <w:sz w:val="24"/>
          <w:szCs w:val="24"/>
          <w:lang w:val="fr-FR" w:eastAsia="fr-FR"/>
        </w:rPr>
        <w:footnoteReference w:id="23"/>
      </w:r>
      <w:r>
        <w:rPr>
          <w:rFonts w:eastAsia="Times New Roman" w:cs="Calibri"/>
          <w:sz w:val="24"/>
          <w:szCs w:val="24"/>
          <w:lang w:val="fr-FR" w:eastAsia="fr-FR"/>
        </w:rPr>
        <w:t xml:space="preserve"> qui définit les obligations socio-environnementales des exploitants miniers vis-à-vis des communautés locales affectées par les activités minières, a </w:t>
      </w:r>
      <w:r>
        <w:rPr>
          <w:rFonts w:eastAsia="Times New Roman" w:cs="Calibri"/>
          <w:sz w:val="24"/>
          <w:szCs w:val="24"/>
          <w:lang w:val="fr-FR" w:eastAsia="fr-FR"/>
        </w:rPr>
        <w:lastRenderedPageBreak/>
        <w:t>également fait son apparition</w:t>
      </w:r>
      <w:r>
        <w:rPr>
          <w:rStyle w:val="Appelnotedebasdep"/>
          <w:rFonts w:cs="Calibri"/>
          <w:sz w:val="24"/>
          <w:szCs w:val="24"/>
          <w:lang w:val="fr-FR" w:eastAsia="fr-FR"/>
        </w:rPr>
        <w:footnoteReference w:id="24"/>
      </w:r>
      <w:r>
        <w:rPr>
          <w:rFonts w:eastAsia="Times New Roman" w:cs="Calibri"/>
          <w:sz w:val="24"/>
          <w:szCs w:val="24"/>
          <w:lang w:val="fr-FR" w:eastAsia="fr-FR"/>
        </w:rPr>
        <w:t>. Il vise à servir d’accord- cadre devant «</w:t>
      </w:r>
      <w:r>
        <w:rPr>
          <w:rFonts w:eastAsia="Times New Roman" w:cs="Calibri"/>
          <w:i/>
          <w:sz w:val="24"/>
          <w:szCs w:val="24"/>
          <w:lang w:val="fr-FR" w:eastAsia="fr-FR"/>
        </w:rPr>
        <w:t>permettre la concrétisation des actions du développement durable afin d’améliorer le bien-être économique, social et culturel des populations locales affectées par les activités minières</w:t>
      </w:r>
      <w:r>
        <w:rPr>
          <w:rFonts w:eastAsia="Times New Roman" w:cs="Calibri"/>
          <w:sz w:val="24"/>
          <w:szCs w:val="24"/>
          <w:lang w:val="fr-FR" w:eastAsia="fr-FR"/>
        </w:rPr>
        <w:t xml:space="preserve"> ».</w:t>
      </w:r>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jc w:val="center"/>
        <w:rPr>
          <w:rFonts w:eastAsia="Times New Roman" w:cs="Calibri"/>
          <w:sz w:val="24"/>
          <w:szCs w:val="24"/>
          <w:lang w:val="fr-FR" w:eastAsia="fr-FR"/>
        </w:rPr>
      </w:pPr>
      <w:r>
        <w:rPr>
          <w:rFonts w:eastAsia="Times New Roman" w:cs="Calibri"/>
          <w:noProof/>
          <w:sz w:val="24"/>
          <w:szCs w:val="24"/>
          <w:lang w:val="fr-FR" w:eastAsia="fr-FR"/>
        </w:rPr>
        <w:drawing>
          <wp:inline distT="0" distB="0" distL="0" distR="0">
            <wp:extent cx="5486400" cy="3209544"/>
            <wp:effectExtent l="0" t="0" r="0" b="0"/>
            <wp:docPr id="1029" name="Image 3" descr="C:\Users\MANGAMBU MOKOSO JD\Desktop\Nouveau dossier\IMG_20220629_090034_9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3"/>
                    <pic:cNvPicPr/>
                  </pic:nvPicPr>
                  <pic:blipFill>
                    <a:blip r:embed="rId22" cstate="print"/>
                    <a:srcRect t="9667" b="31834"/>
                    <a:stretch/>
                  </pic:blipFill>
                  <pic:spPr>
                    <a:xfrm>
                      <a:off x="0" y="0"/>
                      <a:ext cx="5486400" cy="3209544"/>
                    </a:xfrm>
                    <a:prstGeom prst="rect">
                      <a:avLst/>
                    </a:prstGeom>
                    <a:ln>
                      <a:noFill/>
                    </a:ln>
                  </pic:spPr>
                </pic:pic>
              </a:graphicData>
            </a:graphic>
          </wp:inline>
        </w:drawing>
      </w:r>
    </w:p>
    <w:p w:rsidR="0089405D" w:rsidRDefault="003468E2">
      <w:pPr>
        <w:spacing w:after="0" w:line="312" w:lineRule="auto"/>
        <w:jc w:val="both"/>
        <w:rPr>
          <w:rFonts w:cs="Calibri"/>
          <w:sz w:val="24"/>
          <w:szCs w:val="24"/>
          <w:lang w:val="fr-FR"/>
        </w:rPr>
      </w:pPr>
      <w:bookmarkStart w:id="130" w:name="_Toc80352015"/>
      <w:bookmarkStart w:id="131" w:name="_Toc111888807"/>
      <w:bookmarkStart w:id="132" w:name="_Toc125611944"/>
      <w:bookmarkStart w:id="133" w:name="_Toc127181694"/>
      <w:bookmarkStart w:id="134" w:name="_Toc127182089"/>
      <w:r>
        <w:rPr>
          <w:rFonts w:eastAsia="Times New Roman" w:cs="Calibri"/>
          <w:b/>
          <w:i/>
          <w:sz w:val="24"/>
          <w:szCs w:val="24"/>
          <w:lang w:val="fr-FR" w:eastAsia="fr-FR"/>
        </w:rPr>
        <w:t>Figure 1.2 : Les dragues robots de la société « Xiang Jiang Mining SARL » dans l’exploration sur la rivière Aruwimi, Territoire de Basoko (Photo M. Makwatu, 2020).</w:t>
      </w:r>
      <w:bookmarkEnd w:id="130"/>
      <w:bookmarkEnd w:id="131"/>
      <w:bookmarkEnd w:id="132"/>
      <w:bookmarkEnd w:id="133"/>
      <w:bookmarkEnd w:id="134"/>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 xml:space="preserve">Ce sont de bons éléments pour les communautés locales et la protection de l’environnement. La réhabilitation et fermeture du site doivent être prises en compte en amont du projet. Mais pour l’instant aucune communauté locale ne semble avoir été </w:t>
      </w:r>
      <w:r>
        <w:rPr>
          <w:rFonts w:eastAsia="Times New Roman" w:cs="Calibri"/>
          <w:sz w:val="24"/>
          <w:szCs w:val="24"/>
          <w:lang w:val="fr-FR" w:eastAsia="fr-FR"/>
        </w:rPr>
        <w:lastRenderedPageBreak/>
        <w:t xml:space="preserve">consultée. Par ailleurs, il n’est pas toujours clairement établi qui sera en charge du contrôle de ces règles (Sachs, J.D. &amp; Warner, A., 1997 ; Butaré, I. &amp; Keita, S., 2012). </w:t>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jc w:val="both"/>
        <w:rPr>
          <w:rFonts w:eastAsia="Times New Roman" w:cs="Calibri"/>
          <w:sz w:val="24"/>
          <w:szCs w:val="24"/>
          <w:lang w:val="fr-FR" w:eastAsia="fr-FR"/>
        </w:rPr>
      </w:pPr>
      <w:r>
        <w:rPr>
          <w:rFonts w:eastAsia="Times New Roman" w:cs="Calibri"/>
          <w:noProof/>
          <w:sz w:val="24"/>
          <w:szCs w:val="24"/>
          <w:lang w:val="fr-FR" w:eastAsia="fr-FR"/>
        </w:rPr>
        <w:drawing>
          <wp:inline distT="0" distB="0" distL="0" distR="0">
            <wp:extent cx="5333365" cy="2599509"/>
            <wp:effectExtent l="19050" t="19050" r="19685" b="10795"/>
            <wp:docPr id="1030" name="Image 24" descr="C:\Users\MANGAMBU J DE DIEU\Downloads\IMG-20210104-WA005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24"/>
                    <pic:cNvPicPr/>
                  </pic:nvPicPr>
                  <pic:blipFill>
                    <a:blip r:embed="rId23" cstate="print"/>
                    <a:srcRect l="1209" t="1" b="3143"/>
                    <a:stretch/>
                  </pic:blipFill>
                  <pic:spPr>
                    <a:xfrm>
                      <a:off x="0" y="0"/>
                      <a:ext cx="5333365" cy="2599509"/>
                    </a:xfrm>
                    <a:prstGeom prst="rect">
                      <a:avLst/>
                    </a:prstGeom>
                    <a:ln w="9525" cap="flat" cmpd="sng">
                      <a:solidFill>
                        <a:srgbClr val="000000"/>
                      </a:solidFill>
                      <a:prstDash val="solid"/>
                      <a:round/>
                      <a:headEnd/>
                      <a:tailEnd/>
                    </a:ln>
                  </pic:spPr>
                </pic:pic>
              </a:graphicData>
            </a:graphic>
          </wp:inline>
        </w:drawing>
      </w:r>
    </w:p>
    <w:p w:rsidR="0089405D" w:rsidRDefault="003468E2">
      <w:pPr>
        <w:spacing w:after="0" w:line="312" w:lineRule="auto"/>
        <w:jc w:val="both"/>
        <w:rPr>
          <w:rFonts w:cs="Calibri"/>
          <w:sz w:val="24"/>
          <w:szCs w:val="24"/>
          <w:lang w:val="fr-FR"/>
        </w:rPr>
      </w:pPr>
      <w:bookmarkStart w:id="135" w:name="_Toc80352016"/>
      <w:bookmarkStart w:id="136" w:name="_Toc111888808"/>
      <w:bookmarkStart w:id="137" w:name="_Toc125611945"/>
      <w:bookmarkStart w:id="138" w:name="_Toc127181695"/>
      <w:bookmarkStart w:id="139" w:name="_Toc127182090"/>
      <w:r>
        <w:rPr>
          <w:rFonts w:eastAsia="Times New Roman" w:cs="Calibri"/>
          <w:b/>
          <w:i/>
          <w:sz w:val="24"/>
          <w:szCs w:val="24"/>
          <w:lang w:val="fr-FR" w:eastAsia="fr-FR"/>
        </w:rPr>
        <w:t>Figure 1.3 : Détecteur aurifère installé dans des dragues robots de la société « Xiang Jiang Mining SARL » dans le port de Yangoma, territoire de Basoko (Photo M. Silencieuse, 2019).</w:t>
      </w:r>
      <w:bookmarkEnd w:id="135"/>
      <w:bookmarkEnd w:id="136"/>
      <w:bookmarkEnd w:id="137"/>
      <w:bookmarkEnd w:id="138"/>
      <w:bookmarkEnd w:id="139"/>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Cette exploitation conduira</w:t>
      </w:r>
      <w:r>
        <w:rPr>
          <w:rFonts w:cs="Calibri"/>
          <w:sz w:val="24"/>
          <w:szCs w:val="24"/>
          <w:lang w:val="fr-FR"/>
        </w:rPr>
        <w:t xml:space="preserve"> </w:t>
      </w:r>
      <w:r>
        <w:rPr>
          <w:rFonts w:eastAsia="Times New Roman" w:cs="Calibri"/>
          <w:sz w:val="24"/>
          <w:szCs w:val="24"/>
          <w:lang w:val="fr-FR" w:eastAsia="fr-FR"/>
        </w:rPr>
        <w:t>à la transformation des paysages, au dépôt de déchets solides et au rejet d'effluents liquides et atmosphériques et aussi au déplacement des populations. Selon l’Institut International pour l’Environnement et le Développement « Le déplacement des communautés établies est une cause importante de ressentiment et de conflits associés aux grands développements miniers ». Selon le même Institut, en plus de perdre leurs maisons, les communautés peuvent également perdre leurs terres et donc leurs moyens de subsistance. Les institutions communautaires et les relations de pouvoir peuvent également être perturbées (Marysse, S. &amp; Geenen, S., 2008 ; Bottin, J. A, 2009 ;  Butaré I., Keita S., 2012 ; Cf. Ekele, M. &amp; Mangambu M., 2020)</w:t>
      </w:r>
    </w:p>
    <w:p w:rsidR="0089405D" w:rsidRDefault="003468E2">
      <w:pPr>
        <w:spacing w:after="0" w:line="312" w:lineRule="auto"/>
        <w:jc w:val="both"/>
        <w:rPr>
          <w:rFonts w:cs="Calibri"/>
          <w:sz w:val="24"/>
          <w:szCs w:val="24"/>
          <w:lang w:val="fr-FR"/>
        </w:rPr>
      </w:pPr>
      <w:r>
        <w:rPr>
          <w:rFonts w:cs="Calibri"/>
          <w:sz w:val="24"/>
          <w:szCs w:val="24"/>
          <w:lang w:val="fr-FR"/>
        </w:rPr>
        <w:tab/>
        <w:t>Malheureusement, les activités minières n’assurent pas les droits fondamentaux de l’individu et les communautés affectées ne sont pas toujours respectées et ni écoutées. Les exploitants doivent inclure le droit des autochtones à contrôler et à utiliser des terres ; le droit d’accès à l’eau potable, à un environnement sûr et à des moyens d’existence ; le droit d’être protégés de l’intimidation et de la violence ; et le droit d’être équitablement indemnisés pour les pertes subies (Butaré I. &amp; Keita S., 2012 ; Arezki, R. &amp; Gylfason, T., 2013).</w:t>
      </w:r>
    </w:p>
    <w:p w:rsidR="0089405D" w:rsidRDefault="003468E2">
      <w:pPr>
        <w:spacing w:after="0" w:line="312" w:lineRule="auto"/>
        <w:rPr>
          <w:rFonts w:eastAsia="Times New Roman" w:cs="Calibri"/>
          <w:b/>
          <w:sz w:val="24"/>
          <w:szCs w:val="24"/>
          <w:lang w:val="fr-FR" w:eastAsia="fr-FR"/>
        </w:rPr>
      </w:pPr>
      <w:bookmarkStart w:id="140" w:name="_Toc59458294"/>
      <w:bookmarkStart w:id="141" w:name="_Toc79392949"/>
      <w:bookmarkStart w:id="142" w:name="_Toc111888586"/>
      <w:bookmarkStart w:id="143" w:name="_Toc127187171"/>
      <w:bookmarkStart w:id="144" w:name="_Toc127187448"/>
      <w:bookmarkStart w:id="145" w:name="_Toc127432205"/>
      <w:r>
        <w:rPr>
          <w:rFonts w:eastAsia="Times New Roman" w:cs="Calibri"/>
          <w:b/>
          <w:sz w:val="24"/>
          <w:szCs w:val="24"/>
          <w:lang w:val="fr-FR" w:eastAsia="fr-FR"/>
        </w:rPr>
        <w:br w:type="page"/>
      </w:r>
    </w:p>
    <w:p w:rsidR="0089405D" w:rsidRDefault="003468E2">
      <w:pPr>
        <w:pStyle w:val="Titre1"/>
        <w:spacing w:before="0" w:line="312" w:lineRule="auto"/>
        <w:rPr>
          <w:rFonts w:cs="Calibri"/>
          <w:color w:val="auto"/>
          <w:sz w:val="24"/>
          <w:szCs w:val="24"/>
          <w:lang w:val="fr-FR"/>
        </w:rPr>
      </w:pPr>
      <w:r>
        <w:rPr>
          <w:rFonts w:eastAsia="Times New Roman" w:cs="Calibri"/>
          <w:b/>
          <w:color w:val="auto"/>
          <w:sz w:val="24"/>
          <w:szCs w:val="24"/>
          <w:lang w:val="fr-FR" w:eastAsia="fr-FR"/>
        </w:rPr>
        <w:lastRenderedPageBreak/>
        <w:t>1.8.</w:t>
      </w:r>
      <w:bookmarkEnd w:id="140"/>
      <w:r>
        <w:rPr>
          <w:rFonts w:eastAsia="Times New Roman" w:cs="Calibri"/>
          <w:b/>
          <w:color w:val="auto"/>
          <w:sz w:val="24"/>
          <w:szCs w:val="24"/>
          <w:lang w:val="fr-FR" w:eastAsia="fr-FR"/>
        </w:rPr>
        <w:t xml:space="preserve"> CONCLUSION</w:t>
      </w:r>
      <w:bookmarkEnd w:id="141"/>
      <w:bookmarkEnd w:id="142"/>
      <w:bookmarkEnd w:id="143"/>
      <w:bookmarkEnd w:id="144"/>
      <w:bookmarkEnd w:id="145"/>
      <w:r>
        <w:rPr>
          <w:rFonts w:eastAsia="Times New Roman" w:cs="Calibri"/>
          <w:b/>
          <w:color w:val="auto"/>
          <w:sz w:val="24"/>
          <w:szCs w:val="24"/>
          <w:lang w:val="fr-FR" w:eastAsia="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En vertu de ce qui précède, , au contrecoup de l’exploitation minière industrielle ou semi-industrielle dans les zones ciblées par l’exploitation minière de </w:t>
      </w:r>
      <w:r>
        <w:rPr>
          <w:rFonts w:eastAsia="Times New Roman" w:cs="Calibri"/>
          <w:i/>
          <w:sz w:val="24"/>
          <w:szCs w:val="24"/>
          <w:lang w:val="fr-FR" w:eastAsia="fr-FR"/>
        </w:rPr>
        <w:t>Liambe, Likombe, Ilongo-Mbutu, Ilongo-Koki, Yangonde-Lioto, Yakoyo, Bomane, Baonde</w:t>
      </w:r>
      <w:r>
        <w:rPr>
          <w:rFonts w:eastAsia="Times New Roman" w:cs="Calibri"/>
          <w:sz w:val="24"/>
          <w:szCs w:val="24"/>
          <w:lang w:val="fr-FR" w:eastAsia="fr-FR"/>
        </w:rPr>
        <w:t xml:space="preserve">,…, il a été constaté que les villages et les clans pourraient se démembrer et se désintégrer pour s’implanter en amont, en aval ou en face du site ancestral. Il y a un afflux de travailleurs et de personnes à la recherche d’un emploi qui submergent les infrastructures locales. Les comportements délictueux et la prostitution sont en hausse. Le personnel de sécurité qui est sollicité pour protéger les infrastructures du développement ne comprend pas ou ne respecte pas les coutumes et les leaders locaux.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Il y a une recrudescence des incidents violents, les opposants au développement semblent attirer de plus en plus l’attention et bénéficier de plus d’avantages que les leaders traditionnels et ceux qui adoptent une approche plus constructive à la résolution des problèmes multiples. Les voix plus modérées sont couvertes par celles qui expriment des opinions plus extrêmes et ceux qui sont en faveur du développement peinent à se faire entendre - Nombreux dans la communauté se sentent désormais brimés par le « développement ». Et les mouvements politiques plus radicaux gagnent en popularité.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En plus, il s’en suit des occupations anarchiques des forêts et rives des rivières à exploiter et les conflits sanglants avec les autochtones (anciens occupants) sont inévitables. Leur réinstallation loin des terres ancestrales a des fois été particulièrement désastreuse pour les communautés autochtones qui ont tissé des liens culturels et spirituels étroits avec les terres de leurs ancêtres et qui peuvent avoir des difficultés à survivre lorsque ces liens sont rompus. C’est peut-être là une des raisons de la montée de la haine tribale, qui du reste condamnable.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Nous pensons également qu’une fois cette exploitation décriée est déclenchée, les voies vers les exploitations anarchiques des mines s’ouvriraient alors grandement dans la province de la Tshopo.  Comprendre et dire vrai, avoir une vision et un esprit d’anticipation, être avec le peuple souffrant, être constamment à son écoute, faire écho de ses aspirations, et l’accompagner dans sa lutte pour un mieux-être, préserver sa dignité en agissant sans compromission avec les forces du mal et, partant, ne pas participer au processus d’auto-asservissement, tels sont, à notre humble avis, plus que jamais, le comportement à adopter pour sauver Basoko de cette exploitation braconnière des Chinois.</w:t>
      </w:r>
      <w:r>
        <w:rPr>
          <w:rFonts w:cs="Calibri"/>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146" w:name="_Toc127187172"/>
      <w:bookmarkStart w:id="147" w:name="_Toc127187449"/>
      <w:bookmarkStart w:id="148" w:name="_Toc127432206"/>
      <w:r>
        <w:rPr>
          <w:rFonts w:cs="Calibri"/>
          <w:b/>
          <w:color w:val="auto"/>
          <w:sz w:val="24"/>
          <w:szCs w:val="24"/>
          <w:lang w:val="fr-FR"/>
        </w:rPr>
        <w:lastRenderedPageBreak/>
        <w:t>RÉFÉRENCES BIBLIOGRAPHIQUES</w:t>
      </w:r>
      <w:bookmarkEnd w:id="146"/>
      <w:bookmarkEnd w:id="147"/>
      <w:bookmarkEnd w:id="148"/>
    </w:p>
    <w:p w:rsidR="0089405D" w:rsidRDefault="0089405D">
      <w:pPr>
        <w:pStyle w:val="Titre1"/>
        <w:spacing w:before="0" w:line="312" w:lineRule="auto"/>
        <w:rPr>
          <w:rFonts w:cs="Calibri"/>
          <w:color w:val="auto"/>
          <w:sz w:val="24"/>
          <w:szCs w:val="24"/>
          <w:lang w:val="fr-FR"/>
        </w:rPr>
      </w:pP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Andre, P. ; Delisle C.-E., &amp; Reveret, J.-P. (2010). L’évaluation des impacts sur l’environnement. Processus, acteurs et pratique pour un développement durable. Montréal: Presses internationales Polytechnique, 3e édition ;</w:t>
      </w:r>
    </w:p>
    <w:p w:rsidR="0089405D" w:rsidRDefault="003468E2">
      <w:pPr>
        <w:pStyle w:val="Paragraphedeliste"/>
        <w:numPr>
          <w:ilvl w:val="0"/>
          <w:numId w:val="37"/>
        </w:numPr>
        <w:spacing w:line="312" w:lineRule="auto"/>
        <w:jc w:val="both"/>
        <w:rPr>
          <w:rStyle w:val="Lienhypertexte"/>
          <w:rFonts w:cs="Calibri"/>
          <w:color w:val="auto"/>
          <w:sz w:val="24"/>
          <w:szCs w:val="24"/>
          <w:u w:val="none"/>
        </w:rPr>
      </w:pPr>
      <w:r>
        <w:rPr>
          <w:rFonts w:cs="Calibri"/>
          <w:sz w:val="24"/>
          <w:szCs w:val="24"/>
        </w:rPr>
        <w:t xml:space="preserve">Arezki, R. &amp; Gylfason, T. (2013). Resource Rents, Democracy, Corruption and Conflict: Evidence from Sub-Saharan Africa’, Journal of African Economies, 22(4), pp. 552-569, </w:t>
      </w:r>
      <w:hyperlink r:id="rId24" w:history="1">
        <w:r>
          <w:rPr>
            <w:rStyle w:val="Lienhypertexte"/>
            <w:rFonts w:cs="Calibri"/>
            <w:sz w:val="24"/>
            <w:szCs w:val="24"/>
          </w:rPr>
          <w:t>https://doi.org/10.1093/jae/ejs036</w:t>
        </w:r>
      </w:hyperlink>
    </w:p>
    <w:p w:rsidR="0089405D" w:rsidRDefault="003468E2">
      <w:pPr>
        <w:pStyle w:val="Paragraphedeliste"/>
        <w:numPr>
          <w:ilvl w:val="0"/>
          <w:numId w:val="37"/>
        </w:numPr>
        <w:spacing w:line="312" w:lineRule="auto"/>
        <w:jc w:val="both"/>
        <w:rPr>
          <w:rFonts w:cs="Calibri"/>
          <w:sz w:val="24"/>
          <w:szCs w:val="24"/>
        </w:rPr>
      </w:pPr>
      <w:r>
        <w:rPr>
          <w:rFonts w:cs="Calibri"/>
          <w:sz w:val="24"/>
          <w:szCs w:val="24"/>
        </w:rPr>
        <w:t>Arezki, R. &amp; Gylfason, T. (2013). Resource Rents, Democracy, Corruption and Conflict: Evidence from Sub-Saharan Africa’, Journal of African Economies, 22(4), pp. 552-569, DOI: 10.1093/jae/ejs036;</w:t>
      </w:r>
    </w:p>
    <w:p w:rsidR="0089405D" w:rsidRDefault="003468E2">
      <w:pPr>
        <w:pStyle w:val="Paragraphedeliste"/>
        <w:numPr>
          <w:ilvl w:val="0"/>
          <w:numId w:val="37"/>
        </w:numPr>
        <w:spacing w:line="312" w:lineRule="auto"/>
        <w:jc w:val="both"/>
        <w:rPr>
          <w:rStyle w:val="Lienhypertexte"/>
          <w:rFonts w:cs="Calibri"/>
          <w:color w:val="auto"/>
          <w:sz w:val="24"/>
          <w:szCs w:val="24"/>
          <w:u w:val="none"/>
          <w:lang w:val="fr-FR"/>
        </w:rPr>
      </w:pPr>
      <w:r>
        <w:rPr>
          <w:rFonts w:cs="Calibri"/>
          <w:sz w:val="24"/>
          <w:szCs w:val="24"/>
        </w:rPr>
        <w:t xml:space="preserve">Bebbington, A.;  Hinojosa, L.; Humphreys-Bebbington, D.; Burneo M L. &amp; Warnaars X, (2008). Contention and Ambiguity: Mining and the Possibilities of Development, Brooks World Poverty Institute Working Paper No. 57, Manchester: Brooks World Poverty Institute. </w:t>
      </w:r>
      <w:hyperlink r:id="rId25" w:history="1">
        <w:r>
          <w:rPr>
            <w:rStyle w:val="Lienhypertexte"/>
            <w:rFonts w:cs="Calibri"/>
            <w:sz w:val="24"/>
            <w:szCs w:val="24"/>
          </w:rPr>
          <w:t>https://doi.org/10.2139/ssrn.1297212</w:t>
        </w:r>
      </w:hyperlink>
    </w:p>
    <w:p w:rsidR="0089405D" w:rsidRDefault="003468E2">
      <w:pPr>
        <w:pStyle w:val="Paragraphedeliste"/>
        <w:numPr>
          <w:ilvl w:val="0"/>
          <w:numId w:val="37"/>
        </w:numPr>
        <w:spacing w:line="312" w:lineRule="auto"/>
        <w:jc w:val="both"/>
        <w:rPr>
          <w:rFonts w:cs="Calibri"/>
          <w:sz w:val="24"/>
          <w:szCs w:val="24"/>
        </w:rPr>
      </w:pPr>
      <w:r>
        <w:rPr>
          <w:rFonts w:cs="Calibri"/>
          <w:sz w:val="24"/>
          <w:szCs w:val="24"/>
        </w:rPr>
        <w:t xml:space="preserve">Bottin, J. A. (2009). “Integrating sustainability down to the operational levels of a mining company”, </w:t>
      </w:r>
      <w:r>
        <w:rPr>
          <w:rStyle w:val="Accentuation"/>
          <w:rFonts w:cs="Calibri"/>
          <w:sz w:val="24"/>
          <w:szCs w:val="24"/>
        </w:rPr>
        <w:t>Dyna</w:t>
      </w:r>
      <w:r>
        <w:rPr>
          <w:rFonts w:cs="Calibri"/>
          <w:sz w:val="24"/>
          <w:szCs w:val="24"/>
        </w:rPr>
        <w:t>, 77 (161): 43-49;</w:t>
      </w:r>
    </w:p>
    <w:p w:rsidR="0089405D" w:rsidRDefault="003468E2">
      <w:pPr>
        <w:pStyle w:val="Paragraphedeliste"/>
        <w:numPr>
          <w:ilvl w:val="0"/>
          <w:numId w:val="37"/>
        </w:numPr>
        <w:spacing w:line="312" w:lineRule="auto"/>
        <w:jc w:val="both"/>
        <w:rPr>
          <w:rStyle w:val="Lienhypertexte"/>
          <w:rFonts w:cs="Calibri"/>
          <w:color w:val="auto"/>
          <w:sz w:val="24"/>
          <w:szCs w:val="24"/>
          <w:u w:val="none"/>
          <w:lang w:val="fr-FR"/>
        </w:rPr>
      </w:pPr>
      <w:r>
        <w:rPr>
          <w:rFonts w:cs="Calibri"/>
          <w:sz w:val="24"/>
          <w:szCs w:val="24"/>
          <w:lang w:val="fr-FR"/>
        </w:rPr>
        <w:t xml:space="preserve">Butaré, I., &amp; Keita, S. (2012). Aspects environnementaux liés au développement du secteur minier en Afrique de l’Ouest. </w:t>
      </w:r>
      <w:hyperlink r:id="rId26" w:history="1">
        <w:r>
          <w:rPr>
            <w:rStyle w:val="Lienhypertexte"/>
            <w:rFonts w:cs="Calibri"/>
            <w:sz w:val="24"/>
            <w:szCs w:val="24"/>
            <w:lang w:val="fr-FR"/>
          </w:rPr>
          <w:t>http://www.africabusinessmarket.com/fichier/1290108564aspect.pdf</w:t>
        </w:r>
      </w:hyperlink>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 xml:space="preserve">Centre d’Expertise, d’Evaluation et de Certification. (2020). C.E.E.C / Certificat de CIRGL. CEEC. </w:t>
      </w:r>
      <w:hyperlink r:id="rId27" w:history="1">
        <w:r>
          <w:rPr>
            <w:rStyle w:val="Lienhypertexte"/>
            <w:rFonts w:cs="Calibri"/>
            <w:sz w:val="24"/>
            <w:szCs w:val="24"/>
            <w:lang w:val="fr-FR"/>
          </w:rPr>
          <w:t>http://ceecertification.org/cert_icgl.html42</w:t>
        </w:r>
      </w:hyperlink>
      <w:r>
        <w:rPr>
          <w:rFonts w:cs="Calibri"/>
          <w:sz w:val="24"/>
          <w:szCs w:val="24"/>
          <w:lang w:val="fr-FR"/>
        </w:rPr>
        <w:t xml:space="preserve"> </w:t>
      </w:r>
    </w:p>
    <w:p w:rsidR="0089405D" w:rsidRDefault="003468E2">
      <w:pPr>
        <w:pStyle w:val="Paragraphedeliste"/>
        <w:numPr>
          <w:ilvl w:val="0"/>
          <w:numId w:val="37"/>
        </w:numPr>
        <w:spacing w:line="312" w:lineRule="auto"/>
        <w:jc w:val="both"/>
        <w:rPr>
          <w:rFonts w:cs="Calibri"/>
          <w:sz w:val="24"/>
          <w:szCs w:val="24"/>
        </w:rPr>
      </w:pPr>
      <w:r>
        <w:rPr>
          <w:rFonts w:cs="Calibri"/>
          <w:sz w:val="24"/>
          <w:szCs w:val="24"/>
        </w:rPr>
        <w:t xml:space="preserve">Coghlan, B.; Ngoy, P.; Mulumba, F.; Hardy, C.; Bemo, V. N.; Stewart, T. &amp; Lewis, J. (2007). Mortality in the Democratic Republic of Congo: An ongoing crisis. New York: International Rescue. </w:t>
      </w:r>
      <w:hyperlink r:id="rId28" w:history="1">
        <w:r>
          <w:rPr>
            <w:rStyle w:val="Lienhypertexte"/>
            <w:rFonts w:cs="Calibri"/>
            <w:sz w:val="24"/>
            <w:szCs w:val="24"/>
          </w:rPr>
          <w:t>http://www.theirc.org/sites/default/files/resourcefile/20067_congoMortalitySurvey.pdf</w:t>
        </w:r>
      </w:hyperlink>
      <w:r>
        <w:rPr>
          <w:rFonts w:cs="Calibri"/>
          <w:sz w:val="24"/>
          <w:szCs w:val="24"/>
        </w:rPr>
        <w:t>.</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Cyuzuzo L. (2020). L’exploitation minière à l’Est de la République Démocratique du Congo(RDC): Réflexions sur les enjeux économiques, politiques et environnementaux d’une enquête ethnographique. Mémoire de Master 1, École des hautes études en sciences sociales, EHESS, Paris, France</w:t>
      </w:r>
    </w:p>
    <w:p w:rsidR="0089405D" w:rsidRDefault="003468E2">
      <w:pPr>
        <w:pStyle w:val="Paragraphedeliste"/>
        <w:numPr>
          <w:ilvl w:val="0"/>
          <w:numId w:val="37"/>
        </w:numPr>
        <w:spacing w:line="312" w:lineRule="auto"/>
        <w:jc w:val="both"/>
        <w:rPr>
          <w:rStyle w:val="Lienhypertexte"/>
          <w:rFonts w:cs="Calibri"/>
          <w:color w:val="auto"/>
          <w:sz w:val="24"/>
          <w:szCs w:val="24"/>
          <w:u w:val="none"/>
          <w:lang w:val="fr-FR"/>
        </w:rPr>
      </w:pPr>
      <w:r>
        <w:rPr>
          <w:rFonts w:cs="Calibri"/>
          <w:sz w:val="24"/>
          <w:szCs w:val="24"/>
          <w:lang w:val="fr-FR"/>
        </w:rPr>
        <w:t xml:space="preserve">Deshaies, M. (2009). « L’or controversé de Transylvanie », Revue Géographique de l'Est, 49 (1) :1-4: </w:t>
      </w:r>
      <w:hyperlink r:id="rId29" w:history="1">
        <w:r>
          <w:rPr>
            <w:rStyle w:val="Lienhypertexte"/>
            <w:rFonts w:cs="Calibri"/>
            <w:sz w:val="24"/>
            <w:szCs w:val="24"/>
            <w:lang w:val="fr-FR"/>
          </w:rPr>
          <w:t>https://doi.org/10.4000/rge.1838</w:t>
        </w:r>
      </w:hyperlink>
    </w:p>
    <w:p w:rsidR="0089405D" w:rsidRDefault="003468E2">
      <w:pPr>
        <w:pStyle w:val="Paragraphedeliste"/>
        <w:numPr>
          <w:ilvl w:val="0"/>
          <w:numId w:val="37"/>
        </w:numPr>
        <w:spacing w:line="312" w:lineRule="auto"/>
        <w:jc w:val="both"/>
        <w:rPr>
          <w:rStyle w:val="Lienhypertexte"/>
          <w:rFonts w:cs="Calibri"/>
          <w:color w:val="auto"/>
          <w:sz w:val="24"/>
          <w:szCs w:val="24"/>
          <w:u w:val="none"/>
          <w:lang w:val="fr-FR"/>
        </w:rPr>
      </w:pPr>
      <w:r>
        <w:rPr>
          <w:rFonts w:eastAsia="Times New Roman" w:cs="Calibri"/>
          <w:sz w:val="24"/>
          <w:szCs w:val="24"/>
          <w:lang w:val="fr-FR" w:eastAsia="fr-FR"/>
        </w:rPr>
        <w:lastRenderedPageBreak/>
        <w:t xml:space="preserve">Deshaies, M. (2013). Grands projets d’exploitation minière et stratégie des firmes pour se rendre environnementalement acceptables. </w:t>
      </w:r>
      <w:hyperlink r:id="rId30" w:history="1">
        <w:r>
          <w:rPr>
            <w:rStyle w:val="Lienhypertexte"/>
            <w:rFonts w:eastAsia="Times New Roman" w:cs="Calibri"/>
            <w:sz w:val="24"/>
            <w:szCs w:val="24"/>
            <w:lang w:val="fr-FR" w:eastAsia="fr-FR"/>
          </w:rPr>
          <w:t>https://doi.org/10.4000/espacepolitique.2113$</w:t>
        </w:r>
      </w:hyperlink>
    </w:p>
    <w:p w:rsidR="0089405D" w:rsidRDefault="003468E2">
      <w:pPr>
        <w:pStyle w:val="Paragraphedeliste"/>
        <w:numPr>
          <w:ilvl w:val="0"/>
          <w:numId w:val="37"/>
        </w:numPr>
        <w:spacing w:line="312" w:lineRule="auto"/>
        <w:jc w:val="both"/>
        <w:rPr>
          <w:rFonts w:cs="Calibri"/>
          <w:sz w:val="24"/>
          <w:szCs w:val="24"/>
          <w:lang w:val="fr-FR"/>
        </w:rPr>
      </w:pPr>
      <w:r>
        <w:rPr>
          <w:sz w:val="24"/>
          <w:szCs w:val="24"/>
          <w:lang w:val="fr-FR"/>
        </w:rPr>
        <w:t xml:space="preserve">Deveaux, J. (2021). L’Union européenne impose le traçage des métaux rares pour lutter contre le trafic des « minerais du conflit ». Franceinfo. </w:t>
      </w:r>
      <w:hyperlink r:id="rId31" w:history="1">
        <w:r>
          <w:rPr>
            <w:rStyle w:val="Lienhypertexte"/>
            <w:sz w:val="24"/>
            <w:szCs w:val="24"/>
            <w:lang w:val="fr-FR"/>
          </w:rPr>
          <w:t>https://www.francetvinfo.fr/monde/afrique/rwanda/l-union-europeenneimpose-le-tracage-des-metaux-rares-pour-lutter-contre-le-trafic-des-minerais-du-conflit_4259099.html</w:t>
        </w:r>
      </w:hyperlink>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Ekele, M. &amp; Mangambu, M. (2020). Feuilleton sur l’exploitation des minerais par la société Xiang Jiang Mining sarl, une entreprise chinoise a Basoko (Province de la Tshopo, RD Congo). Edition les Ekeles, Kinshansa</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 xml:space="preserve">Fonds Monétaire International, Bulletin du FMI (2015) : La République Démocratique du Congo excelle en matière de croissance, mais reste à la traîne sur le front de la réduction de la pauvreté, Bulletin du FMI, </w:t>
      </w:r>
      <w:hyperlink r:id="rId32" w:history="1">
        <w:r>
          <w:rPr>
            <w:rStyle w:val="Lienhypertexte"/>
            <w:rFonts w:cs="Calibri"/>
            <w:sz w:val="24"/>
            <w:szCs w:val="24"/>
            <w:lang w:val="fr-FR"/>
          </w:rPr>
          <w:t>https://www.imf.org/en/Publications/CR/Issues/2016/12/31/Democratic‐Republic‐of‐the‐Congo‐2015‐Article‐IV‐Consultation‐Press‐Release‐Staff‐Report‐and‐43335</w:t>
        </w:r>
      </w:hyperlink>
      <w:r>
        <w:rPr>
          <w:rFonts w:cs="Calibri"/>
          <w:sz w:val="24"/>
          <w:szCs w:val="24"/>
          <w:lang w:val="fr-FR"/>
        </w:rPr>
        <w:t>.</w:t>
      </w:r>
    </w:p>
    <w:p w:rsidR="0089405D" w:rsidRDefault="003468E2">
      <w:pPr>
        <w:pStyle w:val="Paragraphedeliste"/>
        <w:numPr>
          <w:ilvl w:val="0"/>
          <w:numId w:val="37"/>
        </w:numPr>
        <w:spacing w:line="312" w:lineRule="auto"/>
        <w:jc w:val="both"/>
        <w:rPr>
          <w:rStyle w:val="Lienhypertexte"/>
          <w:rFonts w:cs="Calibri"/>
          <w:color w:val="auto"/>
          <w:sz w:val="24"/>
          <w:szCs w:val="24"/>
          <w:u w:val="none"/>
          <w:lang w:val="fr-FR"/>
        </w:rPr>
      </w:pPr>
      <w:r>
        <w:rPr>
          <w:rFonts w:cs="Calibri"/>
          <w:sz w:val="24"/>
          <w:szCs w:val="24"/>
          <w:lang w:val="fr-FR"/>
        </w:rPr>
        <w:t xml:space="preserve">Hamouchène, H.(2019).  Extractivisme et résistance en Afrique du Nord, </w:t>
      </w:r>
      <w:hyperlink r:id="rId33" w:history="1">
        <w:r>
          <w:rPr>
            <w:rStyle w:val="Lienhypertexte"/>
            <w:rFonts w:cs="Calibri"/>
            <w:sz w:val="24"/>
            <w:szCs w:val="24"/>
            <w:lang w:val="fr-FR"/>
          </w:rPr>
          <w:t>https://www.tni.org/files/publication</w:t>
        </w:r>
      </w:hyperlink>
    </w:p>
    <w:p w:rsidR="0089405D" w:rsidRDefault="003468E2">
      <w:pPr>
        <w:pStyle w:val="Paragraphedeliste"/>
        <w:numPr>
          <w:ilvl w:val="0"/>
          <w:numId w:val="37"/>
        </w:numPr>
        <w:spacing w:line="312" w:lineRule="auto"/>
        <w:jc w:val="both"/>
        <w:rPr>
          <w:rStyle w:val="Lienhypertexte"/>
          <w:rFonts w:cs="Calibri"/>
          <w:color w:val="auto"/>
          <w:sz w:val="24"/>
          <w:szCs w:val="24"/>
          <w:u w:val="none"/>
          <w:lang w:val="fr-FR"/>
        </w:rPr>
      </w:pPr>
      <w:r>
        <w:rPr>
          <w:rFonts w:cs="Calibri"/>
          <w:sz w:val="24"/>
          <w:szCs w:val="24"/>
          <w:lang w:val="fr-FR"/>
        </w:rPr>
        <w:t xml:space="preserve">Hautereau-Boutonnet, M &amp; Saint-Paul J-C. (2016). L’influence du principe de précaution sur le droit de la responsabilité civile et pénale comparé. Recherche réalisée avec le soutien de la Mission de recherche Droit et Justice, Ed. Paris, 836 p. </w:t>
      </w:r>
      <w:hyperlink r:id="rId34" w:history="1">
        <w:r>
          <w:rPr>
            <w:rStyle w:val="Lienhypertexte"/>
            <w:rFonts w:cs="Calibri"/>
            <w:sz w:val="24"/>
            <w:szCs w:val="24"/>
            <w:lang w:val="fr-FR"/>
          </w:rPr>
          <w:t>https://halshs.archives-ouvertes.fr/halshs-01480326/document</w:t>
        </w:r>
      </w:hyperlink>
    </w:p>
    <w:p w:rsidR="0089405D" w:rsidRDefault="003468E2">
      <w:pPr>
        <w:pStyle w:val="Paragraphedeliste"/>
        <w:numPr>
          <w:ilvl w:val="0"/>
          <w:numId w:val="37"/>
        </w:numPr>
        <w:spacing w:line="312" w:lineRule="auto"/>
        <w:jc w:val="both"/>
        <w:rPr>
          <w:rFonts w:cs="Calibri"/>
          <w:sz w:val="24"/>
          <w:szCs w:val="24"/>
        </w:rPr>
      </w:pPr>
      <w:r>
        <w:rPr>
          <w:rFonts w:cs="Calibri"/>
          <w:sz w:val="24"/>
          <w:szCs w:val="24"/>
        </w:rPr>
        <w:t xml:space="preserve">IFC (2002). Handbook for Preparing a Resettlement Action Plan. Washington DC: International Finance Corporation. </w:t>
      </w:r>
      <w:r>
        <w:rPr>
          <w:rStyle w:val="Lienhypertexte"/>
          <w:rFonts w:cs="Calibri"/>
          <w:color w:val="005EA4"/>
          <w:sz w:val="24"/>
          <w:szCs w:val="24"/>
        </w:rPr>
        <w:t>http://www1.ifc.org/wps/wcm/connect/22ad720048855b25880cda6a6515bb18/ResettlementHandbook.PDF?MOD=AJPERES&amp;CACHEID=22ad720048855b25880cda6a6515bb18</w:t>
      </w:r>
      <w:r>
        <w:rPr>
          <w:rFonts w:cs="Calibri"/>
          <w:color w:val="0070C0"/>
          <w:sz w:val="24"/>
          <w:szCs w:val="24"/>
        </w:rPr>
        <w:t xml:space="preserve"> </w:t>
      </w:r>
    </w:p>
    <w:p w:rsidR="0089405D" w:rsidRDefault="003468E2">
      <w:pPr>
        <w:pStyle w:val="Paragraphedeliste"/>
        <w:numPr>
          <w:ilvl w:val="0"/>
          <w:numId w:val="37"/>
        </w:numPr>
        <w:spacing w:line="312" w:lineRule="auto"/>
        <w:jc w:val="both"/>
        <w:rPr>
          <w:rFonts w:cs="Calibri"/>
          <w:sz w:val="24"/>
          <w:szCs w:val="24"/>
        </w:rPr>
      </w:pPr>
      <w:r>
        <w:rPr>
          <w:rFonts w:cs="Calibri"/>
          <w:sz w:val="24"/>
          <w:szCs w:val="24"/>
        </w:rPr>
        <w:t xml:space="preserve">Iraj, M.M. &amp; Mehrdad, M. (2005). The Role of Environmental Non-Governmental Organizations in Natural Resources Management Extension (Case Study in Iran). American Journal of Environmental Sciences, 1 (3): 221-229 </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rPr>
        <w:t xml:space="preserve">Kabuya, K.F. &amp; Tshiunza, M.O. (2009). </w:t>
      </w:r>
      <w:r>
        <w:rPr>
          <w:rFonts w:cs="Calibri"/>
          <w:sz w:val="24"/>
          <w:szCs w:val="24"/>
          <w:lang w:val="fr-FR"/>
        </w:rPr>
        <w:t>« Ressources naturelles, gouvernance et défis d’une croissance soutenue en RDC ». In F. Reyntjens &amp; S. Marysse (éd.), L’Afrique des Grands Lacs. Annuaire 2008-2009. Paris : L’Harmattan, 141-158</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lastRenderedPageBreak/>
        <w:t>Kamundala, B.G. (2012). Exploitation minière industrielle et artisanale au Sud-Kivu Possibilités d’une cohabitation pacifique? Anvers, Presse de l’Université d’Anvers</w:t>
      </w:r>
    </w:p>
    <w:p w:rsidR="0089405D" w:rsidRDefault="003468E2">
      <w:pPr>
        <w:pStyle w:val="Paragraphedeliste"/>
        <w:numPr>
          <w:ilvl w:val="0"/>
          <w:numId w:val="37"/>
        </w:numPr>
        <w:spacing w:line="312" w:lineRule="auto"/>
        <w:jc w:val="both"/>
        <w:rPr>
          <w:rFonts w:cs="Calibri"/>
          <w:sz w:val="24"/>
          <w:szCs w:val="24"/>
        </w:rPr>
      </w:pPr>
      <w:r>
        <w:rPr>
          <w:rFonts w:cs="Calibri"/>
          <w:sz w:val="24"/>
          <w:szCs w:val="24"/>
        </w:rPr>
        <w:t>Kennes, E. (2005). « The mining sector in Congo; the victim or the orphan of globalization? ». In S. Marysse &amp; F. Reyntjens (éd.), The Political Economy of the Great Lakes Region in Africa. The Pitfalls of Enforced Democracy and Globalization. New York : Palgrave Macmillan, 152-89</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rPr>
        <w:t xml:space="preserve">Kilosho, J., Ndungu, A. &amp; Kamundala, G. (2012). </w:t>
      </w:r>
      <w:r>
        <w:rPr>
          <w:rFonts w:cs="Calibri"/>
          <w:sz w:val="24"/>
          <w:szCs w:val="24"/>
          <w:lang w:val="fr-FR"/>
        </w:rPr>
        <w:t>« Quel processus de traçabilité du secteur minier au Sud Kivu », Cahiers africains, Conjonctures congolaises ;</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 xml:space="preserve">Loi n°18/001 du 09 mars 2018 modifiant et complétant la Loi n° 007/2002 du 11 juillet 2002 portant Code minier de la RDC ; </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 xml:space="preserve">MacMahon, G. (2011). « Quels impacts de la libération du secteur minier africain ? », La Revue de la PRORARCO Numéro 8. Janvier 2011 - Le secteur un levier de croissance pour l’Afrique ? </w:t>
      </w:r>
    </w:p>
    <w:p w:rsidR="0089405D" w:rsidRDefault="003468E2">
      <w:pPr>
        <w:pStyle w:val="Paragraphedeliste"/>
        <w:numPr>
          <w:ilvl w:val="0"/>
          <w:numId w:val="37"/>
        </w:numPr>
        <w:spacing w:line="312" w:lineRule="auto"/>
        <w:jc w:val="both"/>
        <w:rPr>
          <w:rFonts w:cs="Calibri"/>
          <w:sz w:val="24"/>
          <w:szCs w:val="24"/>
          <w:lang w:val="fr-FR"/>
        </w:rPr>
      </w:pPr>
      <w:r>
        <w:rPr>
          <w:sz w:val="24"/>
          <w:szCs w:val="24"/>
          <w:lang w:val="fr-FR"/>
        </w:rPr>
        <w:t xml:space="preserve">Malchair, L. (2016). Les études d’impact environnemental en République Démocratique du Congo : outil pour qui, pour quoi ? Valériane, 122. </w:t>
      </w:r>
      <w:hyperlink r:id="rId35" w:history="1">
        <w:r>
          <w:rPr>
            <w:rStyle w:val="Lienhypertexte"/>
            <w:sz w:val="24"/>
            <w:szCs w:val="24"/>
            <w:lang w:val="fr-FR"/>
          </w:rPr>
          <w:t>https://demop.netbaz.be/2021/jp/wp-content/uploads/2016/11/pdf_2016-11_revue_valeriane_les_etudes_d_impact_environnemental_en_rd_congo.pdf</w:t>
        </w:r>
      </w:hyperlink>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rPr>
        <w:t xml:space="preserve">Mancinia, L. &amp; Sala, S. (2018). Social impact assessment in the mining sector: Review and comparison of indicators frameworks. </w:t>
      </w:r>
      <w:r>
        <w:rPr>
          <w:rFonts w:cs="Calibri"/>
          <w:sz w:val="24"/>
          <w:szCs w:val="24"/>
          <w:lang w:val="fr-FR"/>
        </w:rPr>
        <w:t>Resources Policy, 57(C), 98–111.</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 xml:space="preserve">Mangambu, M. ; Asimbo, B. &amp; Ekele, M. (2021). regards sur les impacts environnementaux de projet d’exploitation minière semi - industrielle dans le bassin du Congo : cas de la rivière Aruwimi (Territoire De Basoko, RD Congo). European Scientific Journal, Sciences Humaines, 17 (29) : 330-363,  </w:t>
      </w:r>
      <w:hyperlink r:id="rId36" w:history="1">
        <w:r>
          <w:rPr>
            <w:rStyle w:val="Lienhypertexte"/>
            <w:rFonts w:cs="Calibri"/>
            <w:sz w:val="24"/>
            <w:szCs w:val="24"/>
            <w:lang w:val="fr-FR"/>
          </w:rPr>
          <w:t>https://doi.org/10.19044/esj.2021.v17n29p328</w:t>
        </w:r>
      </w:hyperlink>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 xml:space="preserve">Maréchal, L. (2019). Les chaînes d’approvisionnement responsables en minerais issus de la région des Grands Lacs, quelles initiatives pour quels progrès ? Annales des Mines - Réalités industrielles, Août 2019(3), 46-49. </w:t>
      </w:r>
      <w:hyperlink r:id="rId37" w:history="1">
        <w:r>
          <w:rPr>
            <w:rStyle w:val="Lienhypertexte"/>
            <w:rFonts w:cs="Calibri"/>
            <w:sz w:val="24"/>
            <w:szCs w:val="24"/>
            <w:lang w:val="fr-FR"/>
          </w:rPr>
          <w:t>https://doi.org/10.3917/rindu1.193.0046</w:t>
        </w:r>
      </w:hyperlink>
      <w:r>
        <w:rPr>
          <w:rFonts w:cs="Calibri"/>
          <w:sz w:val="24"/>
          <w:szCs w:val="24"/>
          <w:lang w:val="fr-FR"/>
        </w:rPr>
        <w:t xml:space="preserve"> </w:t>
      </w:r>
    </w:p>
    <w:p w:rsidR="0089405D" w:rsidRDefault="003468E2">
      <w:pPr>
        <w:pStyle w:val="Paragraphedeliste"/>
        <w:numPr>
          <w:ilvl w:val="0"/>
          <w:numId w:val="37"/>
        </w:numPr>
        <w:spacing w:line="312" w:lineRule="auto"/>
        <w:jc w:val="both"/>
        <w:rPr>
          <w:rFonts w:cs="Calibri"/>
          <w:sz w:val="24"/>
          <w:szCs w:val="24"/>
          <w:lang w:val="fr-FR"/>
        </w:rPr>
      </w:pPr>
      <w:r>
        <w:rPr>
          <w:rFonts w:eastAsia="Times New Roman" w:cs="Calibri"/>
          <w:sz w:val="24"/>
          <w:szCs w:val="24"/>
          <w:lang w:val="fr-FR" w:eastAsia="fr-FR"/>
        </w:rPr>
        <w:t>Marysse, S. &amp; André, C. (2001). « Guerre et pillage économique en République démocratique du Congo ».In F. Reyntjens &amp; S. Marysse (éd.), L’Afrique des Grands Lacs. Annuaire 2000-2001. Paris : L’Harmattan, 307-332</w:t>
      </w:r>
    </w:p>
    <w:p w:rsidR="0089405D" w:rsidRDefault="003468E2">
      <w:pPr>
        <w:pStyle w:val="Paragraphedeliste"/>
        <w:numPr>
          <w:ilvl w:val="0"/>
          <w:numId w:val="37"/>
        </w:numPr>
        <w:spacing w:line="312" w:lineRule="auto"/>
        <w:jc w:val="both"/>
        <w:rPr>
          <w:rFonts w:cs="Calibri"/>
          <w:sz w:val="24"/>
          <w:szCs w:val="24"/>
          <w:lang w:val="fr-FR"/>
        </w:rPr>
      </w:pPr>
      <w:r>
        <w:rPr>
          <w:rFonts w:eastAsia="Times New Roman" w:cs="Calibri"/>
          <w:sz w:val="24"/>
          <w:szCs w:val="24"/>
          <w:lang w:val="fr-FR" w:eastAsia="fr-FR"/>
        </w:rPr>
        <w:t>Marysse, S. &amp; Geenen, S. (2008). « Les contrats chinois en RDC :  l’impérialisme rouge en marche ? ». InF. Reyntjens &amp; S. Marysse (éd.), L’Afrique des Grands Lacs. Annuaire 2007-2008. Paris : L’Harmattan, 287-314</w:t>
      </w:r>
    </w:p>
    <w:p w:rsidR="0089405D" w:rsidRDefault="003468E2">
      <w:pPr>
        <w:pStyle w:val="Paragraphedeliste"/>
        <w:numPr>
          <w:ilvl w:val="0"/>
          <w:numId w:val="37"/>
        </w:numPr>
        <w:spacing w:line="312" w:lineRule="auto"/>
        <w:jc w:val="both"/>
        <w:rPr>
          <w:rFonts w:cs="Calibri"/>
          <w:sz w:val="24"/>
          <w:szCs w:val="24"/>
          <w:lang w:val="fr-FR"/>
        </w:rPr>
      </w:pPr>
      <w:r>
        <w:rPr>
          <w:rFonts w:eastAsia="Times New Roman" w:cs="Calibri"/>
          <w:sz w:val="24"/>
          <w:szCs w:val="24"/>
          <w:lang w:val="fr-FR" w:eastAsia="fr-FR"/>
        </w:rPr>
        <w:lastRenderedPageBreak/>
        <w:t xml:space="preserve">Marysse, S. &amp; Tshimanga, C. (2012). « La renaissance spectaculaire du secteur minier en RDC : où va la rente minière ? ». Cahiers Africains, Conjonctures congolaises </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Marysse, S. (2001). Audition publique. In Rapport de la commission d’enquête, dit « Lutundula » ; cité par la Commission spéciale de l’Assemblée nationale chargée de l’examen de la validité des conventions à caractère économique et financier conclues pendant les guerres de 1996-1997 et de 1998 </w:t>
      </w:r>
    </w:p>
    <w:p w:rsidR="0089405D" w:rsidRDefault="003468E2">
      <w:pPr>
        <w:pStyle w:val="Paragraphedeliste"/>
        <w:numPr>
          <w:ilvl w:val="0"/>
          <w:numId w:val="37"/>
        </w:numPr>
        <w:spacing w:line="312" w:lineRule="auto"/>
        <w:jc w:val="both"/>
        <w:rPr>
          <w:rFonts w:cs="Calibri"/>
          <w:sz w:val="24"/>
          <w:szCs w:val="24"/>
          <w:lang w:val="fr-FR"/>
        </w:rPr>
      </w:pPr>
      <w:r>
        <w:rPr>
          <w:rFonts w:eastAsia="Times New Roman" w:cs="Calibri"/>
          <w:sz w:val="24"/>
          <w:szCs w:val="24"/>
          <w:lang w:eastAsia="fr-FR"/>
        </w:rPr>
        <w:t xml:space="preserve">Mazalto, M. (2009). « Governance, human rights and mining in the Democratic Republic of Congo ». In B. Campbell (éd.), Mining in Africa. Regulation and Development. </w:t>
      </w:r>
      <w:r>
        <w:rPr>
          <w:rFonts w:eastAsia="Times New Roman" w:cs="Calibri"/>
          <w:sz w:val="24"/>
          <w:szCs w:val="24"/>
          <w:lang w:val="fr-FR" w:eastAsia="fr-FR"/>
        </w:rPr>
        <w:t>London and New York : Pluto Press, 187-242</w:t>
      </w:r>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rPr>
        <w:t xml:space="preserve">Ranveig, D. F., &amp; Soysa, I. (2012). </w:t>
      </w:r>
      <w:r>
        <w:rPr>
          <w:rFonts w:cs="Calibri"/>
          <w:sz w:val="24"/>
          <w:szCs w:val="24"/>
          <w:lang w:val="fr-FR"/>
        </w:rPr>
        <w:t>Globalization and Political Violence, 1970–2008. International Interactions 38(5): 622-646</w:t>
      </w:r>
    </w:p>
    <w:p w:rsidR="0089405D" w:rsidRDefault="003468E2">
      <w:pPr>
        <w:pStyle w:val="Paragraphedeliste"/>
        <w:numPr>
          <w:ilvl w:val="0"/>
          <w:numId w:val="37"/>
        </w:numPr>
        <w:spacing w:line="312" w:lineRule="auto"/>
        <w:jc w:val="both"/>
        <w:rPr>
          <w:rFonts w:cs="Calibri"/>
          <w:sz w:val="24"/>
          <w:szCs w:val="24"/>
          <w:lang w:val="fr-FR"/>
        </w:rPr>
      </w:pPr>
      <w:r>
        <w:rPr>
          <w:rFonts w:eastAsia="Times New Roman" w:cs="Calibri"/>
          <w:sz w:val="24"/>
          <w:szCs w:val="24"/>
          <w:lang w:eastAsia="fr-FR"/>
        </w:rPr>
        <w:t xml:space="preserve">Sachs, J.D. &amp; Warner, A.M. (1997). Sources of slow growth in African economies. </w:t>
      </w:r>
      <w:r>
        <w:rPr>
          <w:rFonts w:eastAsia="Times New Roman" w:cs="Calibri"/>
          <w:sz w:val="24"/>
          <w:szCs w:val="24"/>
          <w:lang w:val="fr-FR" w:eastAsia="fr-FR"/>
        </w:rPr>
        <w:t>Journal of AfricanEconomies 6 (3): 335-376</w:t>
      </w:r>
    </w:p>
    <w:p w:rsidR="0089405D" w:rsidRDefault="003468E2">
      <w:pPr>
        <w:pStyle w:val="Paragraphedeliste"/>
        <w:numPr>
          <w:ilvl w:val="0"/>
          <w:numId w:val="37"/>
        </w:numPr>
        <w:spacing w:line="312" w:lineRule="auto"/>
        <w:jc w:val="both"/>
        <w:rPr>
          <w:rStyle w:val="Lienhypertexte"/>
          <w:rFonts w:cs="Calibri"/>
          <w:color w:val="auto"/>
          <w:sz w:val="24"/>
          <w:szCs w:val="24"/>
          <w:u w:val="none"/>
          <w:lang w:val="fr-FR"/>
        </w:rPr>
      </w:pPr>
      <w:r>
        <w:rPr>
          <w:rFonts w:cs="Calibri"/>
          <w:sz w:val="24"/>
          <w:szCs w:val="24"/>
          <w:lang w:val="fr-FR"/>
        </w:rPr>
        <w:t xml:space="preserve">Schmitt B. (2016). Exploitation des ressources et échange écologique inégal : une approche globale de la dette écologique » , Vertigo, </w:t>
      </w:r>
      <w:hyperlink r:id="rId38" w:anchor="bodyftn20" w:history="1">
        <w:r>
          <w:rPr>
            <w:rStyle w:val="Lienhypertexte"/>
            <w:rFonts w:cs="Calibri"/>
            <w:sz w:val="24"/>
            <w:szCs w:val="24"/>
            <w:lang w:val="fr-FR"/>
          </w:rPr>
          <w:t>https://journals.openedition.org/vertigo/17522#bodyftn20</w:t>
        </w:r>
      </w:hyperlink>
    </w:p>
    <w:p w:rsidR="0089405D" w:rsidRDefault="003468E2">
      <w:pPr>
        <w:pStyle w:val="Paragraphedeliste"/>
        <w:numPr>
          <w:ilvl w:val="0"/>
          <w:numId w:val="37"/>
        </w:numPr>
        <w:spacing w:line="312" w:lineRule="auto"/>
        <w:jc w:val="both"/>
        <w:rPr>
          <w:rFonts w:cs="Calibri"/>
          <w:sz w:val="24"/>
          <w:szCs w:val="24"/>
          <w:lang w:val="fr-FR"/>
        </w:rPr>
      </w:pPr>
      <w:r>
        <w:rPr>
          <w:rFonts w:cs="Calibri"/>
          <w:sz w:val="24"/>
          <w:szCs w:val="24"/>
          <w:lang w:val="fr-FR"/>
        </w:rPr>
        <w:t>Wakenge, C., (2019). Stade Coltan: extraction minière artisanale, réformes et changement social à l’Est de la RDC », L’harmattan, Collection Etudes Africaines.</w:t>
      </w:r>
    </w:p>
    <w:p w:rsidR="0089405D" w:rsidRDefault="003468E2">
      <w:pPr>
        <w:pStyle w:val="Paragraphedeliste"/>
        <w:numPr>
          <w:ilvl w:val="0"/>
          <w:numId w:val="37"/>
        </w:numPr>
        <w:spacing w:line="312" w:lineRule="auto"/>
        <w:jc w:val="both"/>
        <w:rPr>
          <w:rFonts w:cs="Calibri"/>
          <w:sz w:val="24"/>
          <w:szCs w:val="24"/>
        </w:rPr>
      </w:pPr>
      <w:r>
        <w:rPr>
          <w:rFonts w:cs="Calibri"/>
          <w:sz w:val="24"/>
          <w:szCs w:val="24"/>
        </w:rPr>
        <w:t>Wheeler, D.; Fabig, H. &amp; Boele R. (2002). “Paradoxes and dilemmas for stakeholder responsive firms in extractive sector: lesions from the case of Shell and the Ogoni”, Journal of Business Ethic, 39 (3) 297-318.</w:t>
      </w:r>
    </w:p>
    <w:p w:rsidR="0089405D" w:rsidRDefault="003468E2">
      <w:pPr>
        <w:spacing w:after="0" w:line="312" w:lineRule="auto"/>
        <w:rPr>
          <w:rFonts w:cs="Calibri"/>
          <w:sz w:val="24"/>
          <w:szCs w:val="24"/>
        </w:rPr>
      </w:pPr>
      <w:r>
        <w:rPr>
          <w:rFonts w:cs="Calibri"/>
          <w:sz w:val="24"/>
          <w:szCs w:val="24"/>
        </w:rPr>
        <w:br w:type="page"/>
      </w:r>
    </w:p>
    <w:p w:rsidR="0089405D" w:rsidRDefault="003468E2">
      <w:pPr>
        <w:spacing w:after="0" w:line="312" w:lineRule="auto"/>
        <w:jc w:val="center"/>
        <w:rPr>
          <w:rFonts w:eastAsia="Times New Roman" w:cs="Calibri"/>
          <w:b/>
          <w:sz w:val="32"/>
          <w:szCs w:val="32"/>
          <w:lang w:val="fr-FR" w:eastAsia="fr-FR"/>
        </w:rPr>
      </w:pPr>
      <w:bookmarkStart w:id="149" w:name="_Toc79392951"/>
      <w:bookmarkStart w:id="150" w:name="_Toc111888588"/>
      <w:bookmarkStart w:id="151" w:name="_Toc127187173"/>
      <w:bookmarkStart w:id="152" w:name="_Toc127187450"/>
      <w:bookmarkStart w:id="153" w:name="_Toc127432207"/>
      <w:bookmarkStart w:id="154" w:name="_Toc59458312"/>
      <w:r>
        <w:rPr>
          <w:rFonts w:eastAsia="Times New Roman" w:cs="Calibri"/>
          <w:b/>
          <w:sz w:val="32"/>
          <w:szCs w:val="32"/>
          <w:lang w:val="fr-FR" w:eastAsia="fr-FR"/>
        </w:rPr>
        <w:lastRenderedPageBreak/>
        <w:t xml:space="preserve">LES ACTIVITES SEMI-INDUSTRIELLES MINIERES ET MODIFICATION DE L’ENVIRONNEMENT : </w:t>
      </w:r>
      <w:bookmarkStart w:id="155" w:name="_Toc71470210"/>
      <w:bookmarkEnd w:id="149"/>
      <w:r>
        <w:rPr>
          <w:rFonts w:eastAsia="Times New Roman" w:cs="Calibri"/>
          <w:b/>
          <w:sz w:val="32"/>
          <w:szCs w:val="32"/>
          <w:lang w:val="fr-FR" w:eastAsia="fr-FR"/>
        </w:rPr>
        <w:t>CONTEXTE JUSTIFICATIF</w:t>
      </w:r>
      <w:bookmarkEnd w:id="150"/>
      <w:bookmarkEnd w:id="151"/>
      <w:bookmarkEnd w:id="152"/>
      <w:bookmarkEnd w:id="153"/>
    </w:p>
    <w:p w:rsidR="0089405D" w:rsidRDefault="0089405D">
      <w:pPr>
        <w:keepNext/>
        <w:keepLines/>
        <w:widowControl w:val="0"/>
        <w:spacing w:after="0" w:line="312" w:lineRule="auto"/>
        <w:outlineLvl w:val="0"/>
        <w:rPr>
          <w:rFonts w:cs="Calibri"/>
          <w:b/>
          <w:sz w:val="28"/>
          <w:szCs w:val="28"/>
          <w:lang w:val="fr-FR" w:eastAsia="fr-FR"/>
        </w:rPr>
      </w:pPr>
    </w:p>
    <w:p w:rsidR="0089405D" w:rsidRDefault="003468E2">
      <w:pPr>
        <w:keepNext/>
        <w:keepLines/>
        <w:widowControl w:val="0"/>
        <w:spacing w:after="0" w:line="312" w:lineRule="auto"/>
        <w:jc w:val="both"/>
        <w:outlineLvl w:val="0"/>
        <w:rPr>
          <w:rFonts w:cs="Calibri"/>
          <w:b/>
          <w:sz w:val="28"/>
          <w:szCs w:val="28"/>
          <w:lang w:val="fr-FR" w:eastAsia="fr-FR"/>
        </w:rPr>
      </w:pPr>
      <w:bookmarkStart w:id="156" w:name="_Toc127182094"/>
      <w:bookmarkStart w:id="157" w:name="_Toc127186999"/>
      <w:bookmarkStart w:id="158" w:name="_Toc127187174"/>
      <w:bookmarkStart w:id="159" w:name="_Toc127187451"/>
      <w:bookmarkStart w:id="160" w:name="_Toc127432208"/>
      <w:r>
        <w:rPr>
          <w:rFonts w:cs="Calibri"/>
          <w:b/>
          <w:sz w:val="28"/>
          <w:szCs w:val="28"/>
          <w:lang w:val="fr-FR" w:eastAsia="fr-FR"/>
        </w:rPr>
        <w:t>Asimbo Bondoo</w:t>
      </w:r>
      <w:r>
        <w:rPr>
          <w:lang w:val="fr-FR"/>
        </w:rPr>
        <w:t xml:space="preserve"> </w:t>
      </w:r>
      <w:r>
        <w:rPr>
          <w:rFonts w:cs="Calibri"/>
          <w:b/>
          <w:sz w:val="28"/>
          <w:szCs w:val="28"/>
          <w:lang w:val="fr-FR" w:eastAsia="fr-FR"/>
        </w:rPr>
        <w:t>Norbert,  Makumi Motosia</w:t>
      </w:r>
      <w:r>
        <w:rPr>
          <w:lang w:val="fr-FR"/>
        </w:rPr>
        <w:t xml:space="preserve"> </w:t>
      </w:r>
      <w:r>
        <w:rPr>
          <w:rFonts w:cs="Calibri"/>
          <w:b/>
          <w:sz w:val="28"/>
          <w:szCs w:val="28"/>
          <w:lang w:val="fr-FR" w:eastAsia="fr-FR"/>
        </w:rPr>
        <w:t>Willy &amp; Mangambu Mokoso Jean De Dieu</w:t>
      </w:r>
      <w:bookmarkEnd w:id="156"/>
      <w:bookmarkEnd w:id="157"/>
      <w:bookmarkEnd w:id="158"/>
      <w:bookmarkEnd w:id="159"/>
      <w:bookmarkEnd w:id="160"/>
    </w:p>
    <w:p w:rsidR="0089405D" w:rsidRDefault="0089405D">
      <w:pPr>
        <w:keepNext/>
        <w:keepLines/>
        <w:widowControl w:val="0"/>
        <w:spacing w:after="0" w:line="312" w:lineRule="auto"/>
        <w:jc w:val="center"/>
        <w:outlineLvl w:val="0"/>
        <w:rPr>
          <w:rFonts w:cs="Calibri"/>
          <w:b/>
          <w:sz w:val="28"/>
          <w:szCs w:val="28"/>
          <w:lang w:val="fr-FR" w:eastAsia="fr-FR"/>
        </w:rPr>
      </w:pPr>
    </w:p>
    <w:p w:rsidR="0089405D" w:rsidRDefault="003468E2">
      <w:pPr>
        <w:pStyle w:val="Titre1"/>
        <w:spacing w:before="0" w:line="312" w:lineRule="auto"/>
        <w:rPr>
          <w:rFonts w:cs="Calibri"/>
          <w:color w:val="auto"/>
          <w:sz w:val="24"/>
          <w:szCs w:val="24"/>
          <w:lang w:val="fr-FR"/>
        </w:rPr>
      </w:pPr>
      <w:bookmarkStart w:id="161" w:name="_Toc59458298"/>
      <w:bookmarkStart w:id="162" w:name="_Toc79392954"/>
      <w:bookmarkStart w:id="163" w:name="_Toc111888591"/>
      <w:bookmarkStart w:id="164" w:name="_Toc127187175"/>
      <w:bookmarkStart w:id="165" w:name="_Toc127187452"/>
      <w:bookmarkStart w:id="166" w:name="_Toc127432209"/>
      <w:bookmarkEnd w:id="155"/>
      <w:r>
        <w:rPr>
          <w:rFonts w:eastAsia="Times New Roman" w:cs="Calibri"/>
          <w:b/>
          <w:color w:val="auto"/>
          <w:sz w:val="24"/>
          <w:szCs w:val="24"/>
          <w:lang w:val="fr-FR" w:eastAsia="fr-FR"/>
        </w:rPr>
        <w:t>2.1. INTRODUCTION</w:t>
      </w:r>
      <w:bookmarkEnd w:id="161"/>
      <w:bookmarkEnd w:id="162"/>
      <w:bookmarkEnd w:id="163"/>
      <w:bookmarkEnd w:id="164"/>
      <w:bookmarkEnd w:id="165"/>
      <w:bookmarkEnd w:id="166"/>
      <w:r>
        <w:rPr>
          <w:rFonts w:eastAsia="Times New Roman" w:cs="Calibri"/>
          <w:b/>
          <w:color w:val="auto"/>
          <w:sz w:val="24"/>
          <w:szCs w:val="24"/>
          <w:lang w:val="fr-FR" w:eastAsia="fr-FR"/>
        </w:rPr>
        <w:t xml:space="preserve"> </w:t>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Au-delà des fonctions traditionnelles de survie ou de vitalité ou encore de maintien des équilibres biologiques qu’assurent certaines Ressources Naturelles comme l’eau, la forêt, les gisements pétroliers, etc., les Ressources Naturelles peuvent s’avérer déterminantes dans le développement économique d’un pays</w:t>
      </w:r>
      <w:r>
        <w:rPr>
          <w:rFonts w:cs="Calibri"/>
          <w:sz w:val="24"/>
          <w:szCs w:val="24"/>
          <w:lang w:val="fr-FR"/>
        </w:rPr>
        <w:t xml:space="preserve"> (</w:t>
      </w:r>
      <w:r>
        <w:rPr>
          <w:rFonts w:eastAsia="Times New Roman" w:cs="Calibri"/>
          <w:sz w:val="24"/>
          <w:szCs w:val="24"/>
          <w:lang w:val="fr-FR" w:eastAsia="fr-FR"/>
        </w:rPr>
        <w:t>Szablowski, D., 2002). Toutefois, des trajectoires différentes de développement observées de par le monde, légitiment la question sur le rôle des Ressources Naturelles comme facteur de développement économique (Zott , C. &amp; Amit R., 2010).</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Selon Campbell, B. (2009), les pays à ressources naturelles épuisables (gaz, pétrole, diamant, or,…) font face à plusieurs défis sociétaux : comment concilier l’exploitation d’une ressource épuisable avec la vision du développement durable. Comment s’opposer aux impacts négatifs cumulatifs de cette extraction à la fois sur l’environnement et sur les populations riveraines ?   Sans oublier les profits de quelques- uns, payés par le sang des autres…</w:t>
      </w:r>
      <w:r>
        <w:rPr>
          <w:rFonts w:cs="Calibri"/>
          <w:sz w:val="24"/>
          <w:szCs w:val="24"/>
          <w:lang w:val="fr-FR"/>
        </w:rPr>
        <w:t xml:space="preserve"> « Faut-il s’enrichir par le travail ou par la conquête des richesses d’autrui ? ».</w:t>
      </w:r>
      <w:r>
        <w:rPr>
          <w:rFonts w:eastAsia="Times New Roman"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A l’opposé, les pays africains, qui détiennent environ 52 % des Ressources Naturelles mondiales éprouvent encore des difficultés à bâtir un socle solide et cohérent de développement économique. Face à ces contrastes, il devient intéressant de questionner à nouveau ce qu’est le rôle des Ressources Naturelles dans un processus de développement</w:t>
      </w:r>
      <w:r>
        <w:rPr>
          <w:rFonts w:cs="Calibri"/>
          <w:sz w:val="24"/>
          <w:szCs w:val="24"/>
          <w:lang w:val="fr-FR"/>
        </w:rPr>
        <w:t xml:space="preserve"> (</w:t>
      </w:r>
      <w:r>
        <w:rPr>
          <w:rFonts w:eastAsia="Times New Roman" w:cs="Calibri"/>
          <w:sz w:val="24"/>
          <w:szCs w:val="24"/>
          <w:lang w:val="fr-FR" w:eastAsia="fr-FR"/>
        </w:rPr>
        <w:t>Caron-Malenfant J. &amp; Conraud T., 2009).</w:t>
      </w:r>
    </w:p>
    <w:p w:rsidR="0089405D" w:rsidRDefault="003468E2">
      <w:pPr>
        <w:spacing w:after="0" w:line="312" w:lineRule="auto"/>
        <w:jc w:val="both"/>
        <w:rPr>
          <w:rFonts w:cs="Calibri"/>
          <w:sz w:val="24"/>
          <w:szCs w:val="24"/>
          <w:lang w:val="fr-FR"/>
        </w:rPr>
      </w:pPr>
      <w:r>
        <w:rPr>
          <w:rFonts w:cs="Calibri"/>
          <w:sz w:val="24"/>
          <w:szCs w:val="24"/>
          <w:lang w:val="fr-FR"/>
        </w:rPr>
        <w:tab/>
      </w:r>
      <w:r>
        <w:rPr>
          <w:rFonts w:cs="Calibri"/>
          <w:sz w:val="24"/>
          <w:szCs w:val="24"/>
          <w:lang w:val="fr-FR" w:eastAsia="fr-FR"/>
        </w:rPr>
        <w:t xml:space="preserve">Un projet minier qui est développé, exploité et fermé avec une acceptabilité écologique et sociale pourrait être considéré comme contribuant au développement durable » (Sachs, J.D. &amp; Warner, A., 1997 ; PNUE, 2002). Ainsi, le concept de développement durable dans l’industrie minière se réfère à « l’approche de gestion qui intègre efficacement les questions économiques, environnementales et sociales dans les opérations, visant à créer des avantages à long terme pour les parties prenantes […] et à assurer le soutien, la </w:t>
      </w:r>
      <w:r>
        <w:rPr>
          <w:rFonts w:cs="Calibri"/>
          <w:sz w:val="24"/>
          <w:szCs w:val="24"/>
          <w:lang w:val="fr-FR" w:eastAsia="fr-FR"/>
        </w:rPr>
        <w:lastRenderedPageBreak/>
        <w:t xml:space="preserve">coopération et la confiance des communautés locales dans lesquelles l’entreprise évolue » (Bottin, J., 2009). </w:t>
      </w:r>
    </w:p>
    <w:p w:rsidR="0089405D" w:rsidRDefault="003468E2">
      <w:pPr>
        <w:spacing w:after="0" w:line="312" w:lineRule="auto"/>
        <w:jc w:val="both"/>
        <w:rPr>
          <w:rFonts w:cs="Calibri"/>
          <w:sz w:val="24"/>
          <w:szCs w:val="24"/>
          <w:lang w:val="fr-FR" w:eastAsia="fr-FR"/>
        </w:rPr>
      </w:pPr>
      <w:r>
        <w:rPr>
          <w:rFonts w:cs="Calibri"/>
          <w:sz w:val="24"/>
          <w:szCs w:val="24"/>
          <w:lang w:val="fr-FR" w:eastAsia="fr-FR"/>
        </w:rPr>
        <w:tab/>
        <w:t>Or, la problématique du développement durable dans les pays à faible revenu comme la RDC, se heurte à des inégalités importantes de pouvoir entre, d’un côté, des firmes généralement puissantes, de l’autre côté, des populations et des acteurs locaux peu préparés à intégrer le développement durable comme objectif en soi. On peut alors s’interroger sur la capacité des programmes de développement durable portés par les firmes à prendre véritablement en compte les enjeux de terrain et les préoccupations locales</w:t>
      </w:r>
      <w:r>
        <w:rPr>
          <w:rFonts w:cs="Calibri"/>
          <w:sz w:val="24"/>
          <w:szCs w:val="24"/>
          <w:lang w:val="fr-FR"/>
        </w:rPr>
        <w:t xml:space="preserve"> </w:t>
      </w:r>
      <w:r>
        <w:rPr>
          <w:rFonts w:cs="Calibri"/>
          <w:sz w:val="24"/>
          <w:szCs w:val="24"/>
          <w:lang w:val="fr-FR" w:eastAsia="fr-FR"/>
        </w:rPr>
        <w:t xml:space="preserve">(Zott C. &amp; Amit; R., 2010 ; Quairel, F. &amp; Capron M., 2013). </w:t>
      </w:r>
    </w:p>
    <w:p w:rsidR="0089405D" w:rsidRDefault="003468E2">
      <w:pPr>
        <w:spacing w:after="0" w:line="312" w:lineRule="auto"/>
        <w:jc w:val="both"/>
        <w:rPr>
          <w:rFonts w:cs="Calibri"/>
          <w:sz w:val="24"/>
          <w:szCs w:val="24"/>
          <w:lang w:val="fr-FR"/>
        </w:rPr>
      </w:pPr>
      <w:r>
        <w:rPr>
          <w:rFonts w:cs="Calibri"/>
          <w:sz w:val="24"/>
          <w:szCs w:val="24"/>
          <w:lang w:val="fr-FR" w:eastAsia="fr-FR"/>
        </w:rPr>
        <w:tab/>
        <w:t>Une telle prise en compte est étroitement liée à la façon dont les différents acteurs seront associés au programme de développement durable. Parmi les leviers d’une implication des acteurs locaux, figure en bonne place la reconnaissance de leur vision spécifique et de leur conception du développement durable. Cette reconnaissance est en effet un gage de l’inclusion des communautés, elle-même au cœur du concept de développement durable</w:t>
      </w:r>
      <w:r>
        <w:rPr>
          <w:rFonts w:cs="Calibri"/>
          <w:sz w:val="24"/>
          <w:szCs w:val="24"/>
          <w:lang w:val="fr-FR"/>
        </w:rPr>
        <w:t xml:space="preserve"> (</w:t>
      </w:r>
      <w:r>
        <w:rPr>
          <w:rFonts w:cs="Calibri"/>
          <w:sz w:val="24"/>
          <w:szCs w:val="24"/>
          <w:lang w:val="fr-FR" w:eastAsia="fr-FR"/>
        </w:rPr>
        <w:t>Gendron, C., 2014).</w:t>
      </w:r>
    </w:p>
    <w:p w:rsidR="0089405D" w:rsidRDefault="003468E2">
      <w:pPr>
        <w:spacing w:after="0" w:line="312" w:lineRule="auto"/>
        <w:jc w:val="both"/>
        <w:rPr>
          <w:rFonts w:cs="Calibri"/>
          <w:sz w:val="24"/>
          <w:szCs w:val="24"/>
          <w:lang w:val="fr-FR"/>
        </w:rPr>
      </w:pPr>
      <w:r>
        <w:rPr>
          <w:rFonts w:cs="Calibri"/>
          <w:sz w:val="24"/>
          <w:szCs w:val="24"/>
          <w:lang w:val="fr-FR"/>
        </w:rPr>
        <w:tab/>
      </w:r>
      <w:r>
        <w:rPr>
          <w:rFonts w:cs="Calibri"/>
          <w:sz w:val="24"/>
          <w:szCs w:val="24"/>
          <w:lang w:val="fr-FR" w:eastAsia="fr-FR"/>
        </w:rPr>
        <w:t xml:space="preserve">Ainsi, la compréhension des perceptions que les acteurs (entreprises, population locale, acteurs publics, ONG…) ont sur des programmes de développement durable des industries minières et les conséquences des activités semi-industrielles minières sur l’environnement, sont visées dans ce chapitre. A cet effet, nous comparerons les différentes perceptions des acteurs locaux, en nous appuyant sur nos expériences vécues dans le secteur des mines. Dès le point de départ, on note que le développement durable n’est appréhendé de la même façon et selon les mêmes objectifs par tous les acteurs. Il s’en suit donc des écarts dans les perceptions respectives des communautés villageoises et rurales, des gouvernements, des acteurs de développement et des entreprises suivant le </w:t>
      </w:r>
      <w:r>
        <w:rPr>
          <w:rFonts w:eastAsia="Times New Roman" w:cs="Calibri"/>
          <w:sz w:val="24"/>
          <w:szCs w:val="24"/>
          <w:lang w:val="fr-FR" w:eastAsia="fr-FR"/>
        </w:rPr>
        <w:t>quid des codes et lois des principes fondamentaux à la protection de l’environnement et des mines</w:t>
      </w:r>
      <w:r>
        <w:rPr>
          <w:rFonts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p>
    <w:p w:rsidR="0089405D" w:rsidRDefault="003468E2">
      <w:pPr>
        <w:pStyle w:val="Titre1"/>
        <w:spacing w:before="0" w:line="312" w:lineRule="auto"/>
        <w:rPr>
          <w:rFonts w:eastAsia="Calibri" w:cs="Calibri"/>
          <w:b/>
          <w:color w:val="auto"/>
          <w:sz w:val="24"/>
          <w:szCs w:val="24"/>
          <w:lang w:val="fr-FR" w:eastAsia="en-US"/>
        </w:rPr>
      </w:pPr>
      <w:bookmarkStart w:id="167" w:name="_Toc111888592"/>
      <w:bookmarkStart w:id="168" w:name="_Toc127187176"/>
      <w:bookmarkStart w:id="169" w:name="_Toc127187453"/>
      <w:bookmarkStart w:id="170" w:name="_Toc127432210"/>
      <w:bookmarkStart w:id="171" w:name="_Toc59458299"/>
      <w:bookmarkStart w:id="172" w:name="_Toc79392955"/>
      <w:r>
        <w:rPr>
          <w:rFonts w:eastAsia="Calibri" w:cs="Calibri"/>
          <w:b/>
          <w:color w:val="auto"/>
          <w:sz w:val="24"/>
          <w:szCs w:val="24"/>
          <w:lang w:val="fr-FR" w:eastAsia="en-US"/>
        </w:rPr>
        <w:t>2.1. LES ÉTUDES D’IMPACT ENVIRONNEMENTAL (EIE)</w:t>
      </w:r>
      <w:bookmarkEnd w:id="167"/>
      <w:bookmarkEnd w:id="168"/>
      <w:bookmarkEnd w:id="169"/>
      <w:bookmarkEnd w:id="170"/>
    </w:p>
    <w:p w:rsidR="0089405D" w:rsidRDefault="0089405D">
      <w:pPr>
        <w:autoSpaceDE w:val="0"/>
        <w:autoSpaceDN w:val="0"/>
        <w:adjustRightInd w:val="0"/>
        <w:spacing w:after="0" w:line="312" w:lineRule="auto"/>
        <w:jc w:val="both"/>
        <w:rPr>
          <w:rFonts w:eastAsia="Calibri" w:cs="Calibri"/>
          <w:sz w:val="24"/>
          <w:szCs w:val="24"/>
          <w:lang w:val="fr-FR" w:eastAsia="en-US"/>
        </w:rPr>
      </w:pP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L’étude d’impact environnemental est un processus mis en place pour identifier, prévoir et évaluer les impacts des activités minières sur l’environnement. Selon le Code minier de 2018, l’EIE est définie comme le « processus systématique d’identification, de prévision, d’évaluation et de réduction des effets physiques, écologiques, esthétiques et sociaux préalable au projet d’aménagement, d’ouvrage, d’équipement, d’installation ou d’implantation d’une exploitation minière ou de carrière permanente, ou d’une entité de </w:t>
      </w:r>
      <w:r>
        <w:rPr>
          <w:rFonts w:eastAsia="Calibri" w:cs="Calibri"/>
          <w:sz w:val="24"/>
          <w:szCs w:val="24"/>
          <w:lang w:val="fr-FR" w:eastAsia="en-US"/>
        </w:rPr>
        <w:lastRenderedPageBreak/>
        <w:t xml:space="preserve">traitement, et permettant d’en apprécier les conséquences directes ou indirectes sur </w:t>
      </w:r>
      <w:r>
        <w:rPr>
          <w:rFonts w:eastAsia="Calibri" w:cs="Calibri"/>
          <w:color w:val="000000"/>
          <w:sz w:val="24"/>
          <w:szCs w:val="24"/>
          <w:lang w:val="fr-FR" w:eastAsia="en-US"/>
        </w:rPr>
        <w:t xml:space="preserve">l’environnement »(Mangambu, M. et al., 2021). </w:t>
      </w:r>
      <w:r>
        <w:rPr>
          <w:rFonts w:eastAsia="Calibri" w:cs="Calibri"/>
          <w:sz w:val="24"/>
          <w:szCs w:val="24"/>
          <w:lang w:val="fr-FR" w:eastAsia="en-US"/>
        </w:rPr>
        <w:t>Le but est donc de réduire tout effet négatif en appliquant ce projet avant de débuter des projets miniers importants, c’est-à-dire préalablement à l’octroi d’un permis d’exploitation. Au sein de cette étude doivent se trouver des informations concernant l’entreprise minière elle-même, son statut, son plan de développement durable, ainsi que d’autres données importantes, en plus d’un cahier des charges environnementales du projet minier nommé Plan de Gestion Environnementale et Sociale (PGES)</w:t>
      </w:r>
      <w:r>
        <w:rPr>
          <w:rFonts w:eastAsia="Calibri" w:cs="Calibri"/>
          <w:sz w:val="24"/>
          <w:szCs w:val="24"/>
          <w:vertAlign w:val="superscript"/>
          <w:lang w:val="fr-FR" w:eastAsia="en-US"/>
        </w:rPr>
        <w:footnoteReference w:id="25"/>
      </w:r>
      <w:r>
        <w:rPr>
          <w:rFonts w:eastAsia="Calibri" w:cs="Calibri"/>
          <w:sz w:val="24"/>
          <w:szCs w:val="24"/>
          <w:lang w:val="fr-FR" w:eastAsia="en-US"/>
        </w:rPr>
        <w:t>.</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Reconnu par la Conférence de Rio de 1992 comme outil privilégié du développement durable, le projet est inscrit dans le Code minier et met l’environnement au centre des préoccupations, en plus de prendre en considération les impacts sur la santé des populations, la société et la culture. Étant donné qu’un projet de développement durable a pour but de répondre aux besoins du présent sans compromettre la capacité des générations futures à répondre aux leurs</w:t>
      </w:r>
      <w:r>
        <w:rPr>
          <w:rFonts w:eastAsia="Calibri" w:cs="Calibri"/>
          <w:sz w:val="24"/>
          <w:szCs w:val="24"/>
          <w:vertAlign w:val="superscript"/>
          <w:lang w:val="fr-FR" w:eastAsia="en-US"/>
        </w:rPr>
        <w:footnoteReference w:id="26"/>
      </w:r>
      <w:r>
        <w:rPr>
          <w:rFonts w:eastAsia="Calibri" w:cs="Calibri"/>
          <w:sz w:val="24"/>
          <w:szCs w:val="24"/>
          <w:lang w:val="fr-FR" w:eastAsia="en-US"/>
        </w:rPr>
        <w:t xml:space="preserve">, l’avis des habitants doit être pris en compte. De ce fait, les populations sont consultées préalablement et participent au processus d’évaluation environnementale. </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Les EIE comprennent normalement deux parties distinctes : la première concerne la récupération et l’analyse d’informations sur les écosystèmes ainsi que sur les milieux culturels et sociaux et la seconde relève du suivi institutionnel, c’est-à-dire la vérification de la mise en œuvre des politiques environnementales mais également la bonne transmission des informations entre les administrations afin de mettre en place une meilleure coordination</w:t>
      </w:r>
      <w:r>
        <w:rPr>
          <w:rFonts w:ascii="Calibri Light" w:hAnsi="Calibri Light" w:cs="Calibri Light"/>
          <w:lang w:val="fr-FR"/>
        </w:rPr>
        <w:t xml:space="preserve"> </w:t>
      </w:r>
      <w:r>
        <w:rPr>
          <w:rFonts w:cs="Calibri"/>
          <w:sz w:val="24"/>
          <w:szCs w:val="24"/>
          <w:lang w:val="fr-FR"/>
        </w:rPr>
        <w:t xml:space="preserve">(Malchair, L. 2016). </w:t>
      </w:r>
      <w:r>
        <w:rPr>
          <w:rFonts w:eastAsia="Calibri" w:cs="Calibri"/>
          <w:sz w:val="24"/>
          <w:szCs w:val="24"/>
          <w:vertAlign w:val="superscript"/>
          <w:lang w:val="fr-FR" w:eastAsia="en-US"/>
        </w:rPr>
        <w:footnoteReference w:id="27"/>
      </w:r>
      <w:r>
        <w:rPr>
          <w:rFonts w:eastAsia="Calibri" w:cs="Calibri"/>
          <w:sz w:val="24"/>
          <w:szCs w:val="24"/>
          <w:lang w:val="fr-FR" w:eastAsia="en-US"/>
        </w:rPr>
        <w:t xml:space="preserve">. </w:t>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C’est à la suite de l’élaboration de cette étude que l’ACE remet un certificat environnemental à l’exploitant minier concerné. Cependant, la réalité des EIE en RD Congo diffère de celle prescrite dans les règlements. Tout d’abord, l’obligation juridique d’élaboration d’une EIE n’est pas très contraignante, si bien qu’il arrive que seul un résumé soit rédigé. En ce qui concerne la publication, il y a un réel problème d’accessibilité en RD Congo. En effet, seulement une petite partie des EIE menées vont finir par être publiées sur internet. Contrairement à ce qui est prévu dans le fonctionnement des EIE, les populations </w:t>
      </w:r>
      <w:r>
        <w:rPr>
          <w:rFonts w:eastAsia="Calibri" w:cs="Calibri"/>
          <w:sz w:val="24"/>
          <w:szCs w:val="24"/>
          <w:lang w:val="fr-FR" w:eastAsia="en-US"/>
        </w:rPr>
        <w:lastRenderedPageBreak/>
        <w:t>locales ne sont pas assez prises en compte en RDC et elles souffrent de violations de leurs droits tels que des délocalisations non compensées ou plus généralement les impacts environnementaux des activités minières qui ne respectent pas les</w:t>
      </w:r>
      <w:r>
        <w:rPr>
          <w:rFonts w:eastAsia="Calibri" w:cs="Calibri"/>
          <w:lang w:val="fr-FR" w:eastAsia="en-US"/>
        </w:rPr>
        <w:t xml:space="preserve"> </w:t>
      </w:r>
      <w:r>
        <w:rPr>
          <w:rFonts w:eastAsia="Calibri" w:cs="Calibri"/>
          <w:sz w:val="24"/>
          <w:szCs w:val="24"/>
          <w:lang w:val="fr-FR" w:eastAsia="en-US"/>
        </w:rPr>
        <w:t>normes environnementales</w:t>
      </w:r>
      <w:r>
        <w:rPr>
          <w:lang w:val="fr-FR"/>
        </w:rPr>
        <w:t xml:space="preserve"> </w:t>
      </w:r>
      <w:r>
        <w:rPr>
          <w:rFonts w:eastAsia="Calibri" w:cs="Calibri"/>
          <w:sz w:val="24"/>
          <w:szCs w:val="24"/>
          <w:lang w:val="fr-FR" w:eastAsia="en-US"/>
        </w:rPr>
        <w:t>(Malchair, L., 2016). En réalité, si les EIE sont réalisées dans la plupart des cas, les lacunes demeurent nombreuses que ce soit au sein de leur élaboration ou concernant le suivi que les autorités sont censées mener.</w:t>
      </w:r>
    </w:p>
    <w:p w:rsidR="0089405D" w:rsidRDefault="0089405D">
      <w:pPr>
        <w:pStyle w:val="Titre1"/>
        <w:spacing w:before="0" w:line="312" w:lineRule="auto"/>
        <w:jc w:val="both"/>
        <w:rPr>
          <w:rFonts w:eastAsia="Times New Roman" w:cs="Calibri"/>
          <w:b/>
          <w:color w:val="auto"/>
          <w:sz w:val="24"/>
          <w:szCs w:val="24"/>
          <w:lang w:val="fr-FR" w:eastAsia="fr-FR"/>
        </w:rPr>
      </w:pPr>
    </w:p>
    <w:p w:rsidR="0089405D" w:rsidRDefault="003468E2">
      <w:pPr>
        <w:pStyle w:val="Titre1"/>
        <w:spacing w:before="0" w:line="312" w:lineRule="auto"/>
        <w:jc w:val="both"/>
        <w:rPr>
          <w:rFonts w:cs="Calibri"/>
          <w:color w:val="auto"/>
          <w:sz w:val="24"/>
          <w:szCs w:val="24"/>
          <w:lang w:val="fr-FR"/>
        </w:rPr>
      </w:pPr>
      <w:bookmarkStart w:id="173" w:name="_Toc111888593"/>
      <w:bookmarkStart w:id="174" w:name="_Toc127187177"/>
      <w:bookmarkStart w:id="175" w:name="_Toc127187454"/>
      <w:bookmarkStart w:id="176" w:name="_Toc127432211"/>
      <w:r>
        <w:rPr>
          <w:rFonts w:eastAsia="Times New Roman" w:cs="Calibri"/>
          <w:b/>
          <w:color w:val="auto"/>
          <w:sz w:val="24"/>
          <w:szCs w:val="24"/>
          <w:lang w:val="fr-FR" w:eastAsia="fr-FR"/>
        </w:rPr>
        <w:t>2.3. QUID</w:t>
      </w:r>
      <w:bookmarkEnd w:id="171"/>
      <w:r>
        <w:rPr>
          <w:rFonts w:eastAsia="Times New Roman" w:cs="Calibri"/>
          <w:b/>
          <w:color w:val="auto"/>
          <w:sz w:val="24"/>
          <w:szCs w:val="24"/>
          <w:lang w:val="fr-FR" w:eastAsia="fr-FR"/>
        </w:rPr>
        <w:t xml:space="preserve"> DES CODES ET LOIS : PRINCIPES FONDAMENTAUX A LA PROTECTION DE L’ENVIRONNEMENT ET DES MINES</w:t>
      </w:r>
      <w:bookmarkEnd w:id="172"/>
      <w:bookmarkEnd w:id="173"/>
      <w:bookmarkEnd w:id="174"/>
      <w:bookmarkEnd w:id="175"/>
      <w:bookmarkEnd w:id="176"/>
      <w:r>
        <w:rPr>
          <w:rFonts w:eastAsia="Times New Roman" w:cs="Calibri"/>
          <w:b/>
          <w:color w:val="auto"/>
          <w:sz w:val="24"/>
          <w:szCs w:val="24"/>
          <w:lang w:val="fr-FR" w:eastAsia="fr-FR"/>
        </w:rPr>
        <w:t xml:space="preserve">  </w:t>
      </w:r>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La République Démocratique du Congo (RDC) regorge d’importantes ressources naturelles et biologiques. Elle regorge aussi d’importantes potentialités des ressources en eau et en écosystèmes aquatiques dont la gestion, la protection et la mise en valeur sont tributaires de nouveaux défis qu’imposent le développement durable, notamment dans ses volets de lutte contre la pauvreté et le changement climatique.</w:t>
      </w:r>
      <w:r>
        <w:rPr>
          <w:rFonts w:cs="Calibri"/>
          <w:sz w:val="24"/>
          <w:szCs w:val="24"/>
          <w:lang w:val="fr-FR"/>
        </w:rPr>
        <w:t xml:space="preserve"> </w:t>
      </w:r>
      <w:r>
        <w:rPr>
          <w:rFonts w:eastAsia="Times New Roman" w:cs="Calibri"/>
          <w:sz w:val="24"/>
          <w:szCs w:val="24"/>
          <w:lang w:val="fr-FR" w:eastAsia="fr-FR"/>
        </w:rPr>
        <w:t>Les conséquences de la pollution des milieux aquatiques sont multiples. Elle cause une mortalité massive d’espèces, elle entraine aussi beaucoup d’autres effets nocifs moins visibles tels que : l’eutrophisation des milieux, les effets toxiques à plus ou moins long terme, les maladies ou des perturbations endocriniennes. En RDC, de manière encore théorique, le ministère de l’Environnement se penche sur la question de la pollution des eaux, mais sur le terrain, en dépit de l’existence d’une législation claire en la matière, on note une léthargie qui ne dit pas son nom quant au rôle régulateur du pouvoir public</w:t>
      </w:r>
      <w:r>
        <w:rPr>
          <w:rStyle w:val="Accentuation"/>
          <w:rFonts w:cs="Calibri"/>
          <w:sz w:val="24"/>
          <w:szCs w:val="24"/>
          <w:lang w:val="fr-FR"/>
        </w:rPr>
        <w:t xml:space="preserve"> (</w:t>
      </w:r>
      <w:r>
        <w:rPr>
          <w:rStyle w:val="Accentuation"/>
          <w:rFonts w:cs="Calibri"/>
          <w:i w:val="0"/>
          <w:sz w:val="24"/>
          <w:szCs w:val="24"/>
          <w:lang w:val="fr-FR"/>
        </w:rPr>
        <w:t>Dmoergue, C. &amp; Mpoyi M., 2012</w:t>
      </w:r>
      <w:r>
        <w:rPr>
          <w:rStyle w:val="Accentuation"/>
          <w:rFonts w:cs="Calibri"/>
          <w:sz w:val="24"/>
          <w:szCs w:val="24"/>
          <w:lang w:val="fr-FR"/>
        </w:rPr>
        <w:t>).</w:t>
      </w:r>
      <w:r>
        <w:rPr>
          <w:rFonts w:eastAsia="Times New Roman" w:cs="Calibri"/>
          <w:sz w:val="24"/>
          <w:szCs w:val="24"/>
          <w:lang w:val="fr-FR" w:eastAsia="fr-FR"/>
        </w:rPr>
        <w:t xml:space="preserv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En Août 2021, les populations riveraines du bassin de la rivière Kasaï, précisément le long des rivières Tshikapa et Kasaï, vivent une catastrophe environnementale due à la pollution de ces rivières à la suite des activités minières en amont du bassin versant de la rivière Tshikapa dans la partie angolaise, des animaux morts… Tous ces signes de pollution ont été constatés par les riverains. Mais il a fallu plusieurs semaines, douze morts et plus de 4.500 malades dans le sud de la RDC avant que les responsables de la mine de diamants de Catoca en Angola reconnaissent leur responsabilité dans la pollution des rivières Tshikapa et Kasaï</w:t>
      </w:r>
      <w:r>
        <w:rPr>
          <w:rStyle w:val="Appelnotedebasdep"/>
          <w:rFonts w:cs="Calibri"/>
          <w:sz w:val="24"/>
          <w:szCs w:val="24"/>
          <w:lang w:val="fr-FR" w:eastAsia="fr-FR"/>
        </w:rPr>
        <w:footnoteReference w:id="28"/>
      </w:r>
      <w:r>
        <w:rPr>
          <w:rFonts w:eastAsia="Times New Roman" w:cs="Calibri"/>
          <w:sz w:val="24"/>
          <w:szCs w:val="24"/>
          <w:lang w:val="fr-FR" w:eastAsia="fr-FR"/>
        </w:rPr>
        <w:t xml:space="preserve">.  </w:t>
      </w:r>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pStyle w:val="Titre1"/>
        <w:spacing w:before="0" w:line="312" w:lineRule="auto"/>
        <w:rPr>
          <w:rFonts w:eastAsia="Times New Roman" w:cs="Calibri"/>
          <w:b/>
          <w:color w:val="auto"/>
          <w:sz w:val="24"/>
          <w:szCs w:val="24"/>
          <w:lang w:val="fr-FR" w:eastAsia="fr-FR"/>
        </w:rPr>
      </w:pPr>
      <w:bookmarkStart w:id="177" w:name="_Toc59458300"/>
      <w:bookmarkStart w:id="178" w:name="_Toc79392956"/>
      <w:bookmarkStart w:id="179" w:name="_Toc111888594"/>
      <w:bookmarkStart w:id="180" w:name="_Toc127187178"/>
      <w:bookmarkStart w:id="181" w:name="_Toc127187455"/>
      <w:bookmarkStart w:id="182" w:name="_Toc127432212"/>
      <w:r>
        <w:rPr>
          <w:rFonts w:eastAsia="Times New Roman" w:cs="Calibri"/>
          <w:b/>
          <w:color w:val="auto"/>
          <w:sz w:val="24"/>
          <w:szCs w:val="24"/>
          <w:lang w:val="fr-FR" w:eastAsia="fr-FR"/>
        </w:rPr>
        <w:t>2.3.1. CODE</w:t>
      </w:r>
      <w:bookmarkEnd w:id="177"/>
      <w:r>
        <w:rPr>
          <w:rFonts w:eastAsia="Times New Roman" w:cs="Calibri"/>
          <w:b/>
          <w:color w:val="auto"/>
          <w:sz w:val="24"/>
          <w:szCs w:val="24"/>
          <w:lang w:val="fr-FR" w:eastAsia="fr-FR"/>
        </w:rPr>
        <w:t xml:space="preserve"> RELATIF A LA PROTECTION DE L’ENVIRONNEMENT ET DU CODE MINIER</w:t>
      </w:r>
      <w:bookmarkEnd w:id="178"/>
      <w:bookmarkEnd w:id="179"/>
      <w:bookmarkEnd w:id="180"/>
      <w:bookmarkEnd w:id="181"/>
      <w:bookmarkEnd w:id="182"/>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La RDC est dotée de la Loi n°011/2002 du 29 août 2002 portant code forestier. Elle définit le régime applicable à la conservation, à l’exploitation et à la mise en valeur des ressources forestières sur l’ensemble du territoire national. Le régime forestier vise à promouvoir une gestion rationnelle et durable des ressources forestières de nature à accroître leur contribution au développement économique, social et culturel des générations présentes, tout en préservant les écosystèmes forestiers et la biodiversité forestière au profit des générations futures. La République démocratique du Congo dispose de la Loi n°11/009 du 09 juillet 2011 portant principes fondamentaux relatifs à la protection de l’environnement.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C’est une loi-cadre destinée à définir les grandes orientations en  matière de protection de l’environnement ; orienter la gestion de l’immense potentiel dont dispose le pays en ressources naturelles, dans la perspective d’un  développement durable au profit de sa population ; prévenir les risques et lutter contre toutes les formes de pollutions et nuisances. Il y a nécessité de servir de socle aux législations spécifiques régissant la conduite des secteurs certes distincts de l’environnement mais dont les incidences directes ou indirectes sont indéniables.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Cette loi édicte les principes généraux qui servent de base aux lois particulières pour régir les différents secteurs de l’environnement. Elle s’inspire essentiellement des principes fondamentaux et universels. Il s’agit du principe du développement durable ; d’information et de participation du public au processus de prise des décisions en matière d’environnement ; d’action préventive et de correction ; du principe de précaution ; du principe de pollueur-payeur ; celui de coopération entre Etats en matière d’environnement ; et du principe d’intégration.</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Cette loi a le mérite d’apporter quelques innovations, notamment l’obligation d’une étude d’impact environnemental et social, d’un audit environnemental, d’une évaluation environnementale des politiques, plans et programmes, la création d’un cadre institutionnel et d’un Fonds d’intervention pour l’environnement et le renforcement des dispositions </w:t>
      </w:r>
      <w:r>
        <w:rPr>
          <w:rFonts w:eastAsia="Times New Roman" w:cs="Calibri"/>
          <w:sz w:val="24"/>
          <w:szCs w:val="24"/>
          <w:lang w:val="fr-FR" w:eastAsia="fr-FR"/>
        </w:rPr>
        <w:lastRenderedPageBreak/>
        <w:t>pénales. En plus de l’objet et des définitions, elle parle des obligations ; des principes fondamentaux ; du cadre institutionnel ; des mécanismes procéduraux ; de l’évaluation environnementale des politiques, plans et programmes ; de l’étude d’impact environnemental et social ; de l’audit environnemental ; de l’enquête publique ; des mécanismes de financement ; de la gestion et de la conservation des ressources naturelles.</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D’autres chapitres et sections  de cette loi s’intéressent à la prévention des risques et à la lutte contre les pollutions et nuisances des installations classées ; à la protection des milieux récepteurs ; à la gestion des produits chimiques, des déchets, des organes génétiquement modifiés, des catastrophes naturelles et situations d’urgence, de la responsabilité civile, des infractions et des peines, des dispositions transitoires, abrogatoires et finales.</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eastAsia="Times New Roman" w:cs="Calibri"/>
          <w:b/>
          <w:color w:val="auto"/>
          <w:sz w:val="24"/>
          <w:szCs w:val="24"/>
          <w:lang w:val="fr-FR" w:eastAsia="fr-FR"/>
        </w:rPr>
      </w:pPr>
      <w:bookmarkStart w:id="183" w:name="_Toc59458301"/>
      <w:bookmarkStart w:id="184" w:name="_Toc79392957"/>
      <w:bookmarkStart w:id="185" w:name="_Toc111888595"/>
      <w:bookmarkStart w:id="186" w:name="_Toc127187179"/>
      <w:bookmarkStart w:id="187" w:name="_Toc127187456"/>
      <w:bookmarkStart w:id="188" w:name="_Toc127432213"/>
      <w:r>
        <w:rPr>
          <w:rFonts w:eastAsia="Times New Roman" w:cs="Calibri"/>
          <w:b/>
          <w:color w:val="auto"/>
          <w:sz w:val="24"/>
          <w:szCs w:val="24"/>
          <w:lang w:val="fr-FR" w:eastAsia="fr-FR"/>
        </w:rPr>
        <w:t>2.3.2.</w:t>
      </w:r>
      <w:bookmarkEnd w:id="183"/>
      <w:r>
        <w:rPr>
          <w:rFonts w:eastAsia="Times New Roman" w:cs="Calibri"/>
          <w:b/>
          <w:color w:val="auto"/>
          <w:sz w:val="24"/>
          <w:szCs w:val="24"/>
          <w:lang w:val="fr-FR" w:eastAsia="fr-FR"/>
        </w:rPr>
        <w:t xml:space="preserve"> DE LA LOI SUR LA CONSERVATION DE LA NATURE</w:t>
      </w:r>
      <w:bookmarkEnd w:id="184"/>
      <w:bookmarkEnd w:id="185"/>
      <w:bookmarkEnd w:id="186"/>
      <w:bookmarkEnd w:id="187"/>
      <w:bookmarkEnd w:id="188"/>
    </w:p>
    <w:p w:rsidR="0089405D" w:rsidRDefault="0089405D">
      <w:pPr>
        <w:pStyle w:val="Titre1"/>
        <w:spacing w:before="0" w:line="312" w:lineRule="auto"/>
        <w:rPr>
          <w:rFonts w:eastAsia="Times New Roman" w:cs="Calibri"/>
          <w:b/>
          <w:color w:val="auto"/>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Il y a aussi la Loi n° 15/012 du 1er août 2015 portant régime général des hydrocarbures. En plus des dispositions générales, l’économie de cette loi parle des activités d’hydrocarbures en amont; des activités d’hydrocarbures en aval; du régime fiscal, douanier et de change des activités d’hydrocarbures en amont; du régime fiscal, douanier et de change des activités d’hydrocarbures en aval; de la protection de l’environnement, du patrimoine culturel, de la sécurité et de l’hygiène ; du règlement des différends, des manquements aux obligations, des sanctions et des dispositions pénales; ainsi que des dispositions transitoires, abrogatoires et finales.</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La RDC est aussi dotée de la Loi n°14/003 du 11 février 2014 relative à la conservation de la nature. La quelle fixe, conformément à l’article 202, point 36, litera, de la Constitution, les règles relatives à la conservation de la diversité biologique, à l’utilisation durable de ses éléments constitutifs ainsi qu’à l’accès et au partage juste et équitable des avantages découlant de l’exploitation des ressources biologiques et génétiques. Cette loi, selon le législateur, concourt à assurer notamment la conservation des écosystèmes et des habitats naturels, la protection des espèces de faune et de flore sauvages ainsi que le développement durable dans les aires protégées. Elle apporte ainsi plusieurs innovations majeures, premièrement la définition des mesures générales de conservation de la diversité biologique et de l’utilisation de ses éléments constitutifs.</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 xml:space="preserve">Ensuite, l’obligation faite aux pouvoirs publics de définir les mécanismes de sensibilisation, d’information et de participation du public au processus d’élaboration et de </w:t>
      </w:r>
      <w:r>
        <w:rPr>
          <w:rFonts w:eastAsia="Times New Roman" w:cs="Calibri"/>
          <w:sz w:val="24"/>
          <w:szCs w:val="24"/>
          <w:lang w:val="fr-FR" w:eastAsia="fr-FR"/>
        </w:rPr>
        <w:lastRenderedPageBreak/>
        <w:t>mise en œuvre de la politique nationale de conservation de la diversité biologique ; et l’obligation des études d’impact environnemental et social préalable à tout projet de création des aires protégées et la nécessité de l’implication des communautés locales dans ce processus. Mais aussi, l’obligation faite au Gouvernement d’assurer le financement de la stratégie nationale et plan d’action de la diversité biologique, de la stratégie nationale de conservation dans les aires protégées, de la recherche scientifique et de plans de gestion des aires protégées à travers, notamment, les ressources provenant du fonds fiduciaire créé à cet effet.</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Cette loi sur la conservation de la nature innove également sur la définition des conditions d’accès aux ressources biologiques et génétiques, la valorisation des savoirs traditionnels associés à ces ressources, ainsi que le partage juste et équitable des avantages découlant de leur exploitation ; et l’implication de la province et de l’Entité Territoriale Décentralisée (ETD) dans la conservation de la diversité biologique. Aussi, sur la consultation préalable des populations riveraines avant tout projet de création d’une aire protégée en vue de recueillir des informations sur la nature et l’étendue des droits que ces dernières pourraient détenir sur le site ou espace concerné ainsi que les modalités d’indemnisation ou de compensation équitable et préalable en cas d’éventuelles expropriations ou déplacements des populations.</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Et enfin, sur le renforcement du régime répressif en vue d’assurer la protection des espèces, écosystèmes et habitats naturels. Cette loi s’articule autour de six titres répartis en chapitres. Le premier sur les dispositions générales à deux chapitres : l’objet et les définitions, et les obligations. Le deuxième titre parle des mesures de conservation et comporte six chapitres : des dispositions communes de conservation, de la protection des espèces de faune, de la protection des espèces de flore, des dérogations aux mesures de conservation, des aires protégées, et de la protection contre les espèces exotiques. Le titre 3 repose sur les ressources biologiques et génétiques et les savoirs traditionnels. Il y a enfin, l’Ordonnance-loi n°68/074 du 8 mars 1968 relative à la protection des crocodiles et portant modification de la législation sur la chasse et la pêche.</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Ces chapitres parlent des principes de base, de la protection des ressources biologiques et génétiques et des savoirs traditionnels, de l’accès aux ressources biologiques et génétiques et aux savoirs traditionnels, du partage des avantages découlant de l’utilisation des ressources biologiques et génétiques et des savoirs traditionnels associés et du commerce des espèces de faune et de flore sauvages menacées d’extinction.  Quant au </w:t>
      </w:r>
      <w:r>
        <w:rPr>
          <w:rFonts w:eastAsia="Times New Roman" w:cs="Calibri"/>
          <w:sz w:val="24"/>
          <w:szCs w:val="24"/>
          <w:lang w:val="fr-FR" w:eastAsia="fr-FR"/>
        </w:rPr>
        <w:lastRenderedPageBreak/>
        <w:t xml:space="preserve">quatrième titre, il clarifie les mécanismes de financement. Le cinquième s’occupe des infractions et des peines, et le sixième, des dispositions abrogatoires et finales. </w:t>
      </w:r>
    </w:p>
    <w:p w:rsidR="0089405D" w:rsidRDefault="0089405D">
      <w:pPr>
        <w:spacing w:after="0" w:line="312" w:lineRule="auto"/>
        <w:rPr>
          <w:rFonts w:cs="Calibri"/>
          <w:sz w:val="24"/>
          <w:szCs w:val="24"/>
          <w:lang w:val="fr-FR"/>
        </w:rPr>
      </w:pPr>
    </w:p>
    <w:p w:rsidR="0089405D" w:rsidRDefault="003468E2">
      <w:pPr>
        <w:pStyle w:val="Titre1"/>
        <w:spacing w:before="0" w:line="312" w:lineRule="auto"/>
        <w:rPr>
          <w:rFonts w:cs="Calibri"/>
          <w:color w:val="auto"/>
          <w:sz w:val="24"/>
          <w:szCs w:val="24"/>
          <w:lang w:val="fr-FR"/>
        </w:rPr>
      </w:pPr>
      <w:bookmarkStart w:id="189" w:name="_Toc59458302"/>
      <w:bookmarkStart w:id="190" w:name="_Toc79392958"/>
      <w:bookmarkStart w:id="191" w:name="_Toc111888596"/>
      <w:bookmarkStart w:id="192" w:name="_Toc127187180"/>
      <w:bookmarkStart w:id="193" w:name="_Toc127187457"/>
      <w:bookmarkStart w:id="194" w:name="_Toc127432214"/>
      <w:r>
        <w:rPr>
          <w:rFonts w:eastAsia="Times New Roman" w:cs="Calibri"/>
          <w:b/>
          <w:color w:val="auto"/>
          <w:sz w:val="24"/>
          <w:szCs w:val="24"/>
          <w:lang w:val="fr-FR" w:eastAsia="fr-FR"/>
        </w:rPr>
        <w:t>2.3.3. QUID DU CODE FORESTIER</w:t>
      </w:r>
      <w:bookmarkEnd w:id="189"/>
      <w:bookmarkEnd w:id="190"/>
      <w:bookmarkEnd w:id="191"/>
      <w:bookmarkEnd w:id="192"/>
      <w:bookmarkEnd w:id="193"/>
      <w:bookmarkEnd w:id="194"/>
      <w:r>
        <w:rPr>
          <w:rStyle w:val="Appelnotedebasdep"/>
          <w:b/>
          <w:color w:val="auto"/>
          <w:sz w:val="24"/>
          <w:szCs w:val="24"/>
          <w:lang w:val="fr-FR" w:eastAsia="fr-FR"/>
        </w:rPr>
        <w:footnoteReference w:id="29"/>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Le Code forestier, comme stipulé en son article 3, est l’ensemble qui définit également les règles juridiques applicables à la sylviculture, à la recherche forestière, à la transformation et au commerce des produits forestiers. Le Code forestier contribue également à la valorisation de la biodiversité, à la protection de l’habitat naturel de la faune sauvage et au tourisme.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Le Code forestier parle du statut des forêts, du cadre juridique des forêts, de la classification des forêts, de la recherche forestière, des droits d’usage forestiers, du principe général, des droits d’usage dans les forêts classées, des droits d’usage dans les forêts protégées, de la protection des forêts, des mesures générales de protection et des essences protégées, du contrôle des feux de forêts et de brousse, de l’inventaire, de l’aménagement et de la reconstitution des forêts, de la concession forestière, des principes généraux, du contrat de concession forestière, de l’exploitation forestière, des droits et obligations de l’exploitant forestier, de l’exploitation des forêts des communautés locales, de la déchéance des droits de l’exploitant forestier, de la fiscalité forestière, des dispositions pénales, et des dispositions transitoires et finales</w:t>
      </w:r>
      <w:r>
        <w:rPr>
          <w:rStyle w:val="Appelnotedebasdep"/>
          <w:sz w:val="24"/>
          <w:szCs w:val="24"/>
          <w:lang w:val="fr-FR" w:eastAsia="fr-FR"/>
        </w:rPr>
        <w:footnoteReference w:id="30"/>
      </w:r>
      <w:r>
        <w:rPr>
          <w:rFonts w:eastAsia="Times New Roman" w:cs="Calibri"/>
          <w:sz w:val="24"/>
          <w:szCs w:val="24"/>
          <w:lang w:val="fr-FR" w:eastAsia="fr-FR"/>
        </w:rPr>
        <w:t>.</w:t>
      </w:r>
    </w:p>
    <w:p w:rsidR="0089405D" w:rsidRDefault="0089405D">
      <w:pPr>
        <w:spacing w:after="0" w:line="312" w:lineRule="auto"/>
        <w:rPr>
          <w:rFonts w:cs="Calibri"/>
          <w:sz w:val="24"/>
          <w:szCs w:val="24"/>
          <w:lang w:val="fr-FR"/>
        </w:rPr>
      </w:pPr>
    </w:p>
    <w:p w:rsidR="0089405D" w:rsidRDefault="003468E2">
      <w:pPr>
        <w:pStyle w:val="Titre1"/>
        <w:spacing w:before="0" w:line="312" w:lineRule="auto"/>
        <w:rPr>
          <w:rFonts w:cs="Calibri"/>
          <w:color w:val="auto"/>
          <w:sz w:val="24"/>
          <w:szCs w:val="24"/>
          <w:lang w:val="fr-FR"/>
        </w:rPr>
      </w:pPr>
      <w:bookmarkStart w:id="195" w:name="_Toc59458303"/>
      <w:bookmarkStart w:id="196" w:name="_Toc79392959"/>
      <w:bookmarkStart w:id="197" w:name="_Toc111888597"/>
      <w:bookmarkStart w:id="198" w:name="_Toc127187181"/>
      <w:bookmarkStart w:id="199" w:name="_Toc127187458"/>
      <w:bookmarkStart w:id="200" w:name="_Toc127432215"/>
      <w:r>
        <w:rPr>
          <w:rFonts w:eastAsia="Times New Roman" w:cs="Calibri"/>
          <w:b/>
          <w:color w:val="auto"/>
          <w:sz w:val="24"/>
          <w:szCs w:val="24"/>
          <w:lang w:val="fr-FR" w:eastAsia="fr-FR"/>
        </w:rPr>
        <w:t>2.3.4. LE CODE MINIER : UNE NOUVELLE LEGISLATION</w:t>
      </w:r>
      <w:bookmarkEnd w:id="195"/>
      <w:bookmarkEnd w:id="196"/>
      <w:bookmarkEnd w:id="197"/>
      <w:bookmarkEnd w:id="198"/>
      <w:bookmarkEnd w:id="199"/>
      <w:bookmarkEnd w:id="200"/>
    </w:p>
    <w:p w:rsidR="0089405D" w:rsidRDefault="0089405D">
      <w:pPr>
        <w:spacing w:after="0" w:line="312" w:lineRule="auto"/>
        <w:ind w:firstLine="708"/>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Une autre loi qui concerne l’environnement, c’est le nouveau Code minier de 2018. A travers ce code, le législateur a tenu à mettre sur pied une nouvelle législation incitative avec des procédures d’octroi des droits miniers ou de carrières objectives, rapides et transparentes dans laquelle sont organisés des régimes fiscal, douanier et de change. Le champ d’application du nouveau Code porte sur la prospection, la recherche, l’exploitation, la transformation, le transport et la commercialisation des substances minérales classées en </w:t>
      </w:r>
      <w:r>
        <w:rPr>
          <w:rFonts w:eastAsia="Times New Roman" w:cs="Calibri"/>
          <w:sz w:val="24"/>
          <w:szCs w:val="24"/>
          <w:lang w:val="fr-FR" w:eastAsia="fr-FR"/>
        </w:rPr>
        <w:lastRenderedPageBreak/>
        <w:t xml:space="preserve">mines ou en produits de carrières ainsi que sur l’exploitation artisanale des substances minérales et à la commercialisation de celles-ci.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 nouveau Code ne régit pas la reconnaissance, l’exploration et l’exploitation des hydrocarbures liquides ou gazeux ainsi que les activités ou opérations concernant les eaux thermales ou minérales qui relèvent des législations particulières. Pour son application, le nouveau Code minier pose le principe de l’application intégrale de toutes ses dispositions. S’agissant de la propriété étatique sur les substances minérales contenues dans les gîtes minéraux, le nouveau Code minier, à l’instar de l’ancien réaffirme le principe de la propriété de l’Etat sur ces substances minérales dans les gîtes minérales, notamment les gîtes minéraux naturels, artificiels, géothermiques et les eaux souterraines se trouvant sur la surface du sol ou dans le sous-sol</w:t>
      </w:r>
      <w:r>
        <w:rPr>
          <w:rStyle w:val="Appelnotedebasdep"/>
          <w:sz w:val="24"/>
          <w:szCs w:val="24"/>
          <w:lang w:val="fr-FR" w:eastAsia="fr-FR"/>
        </w:rPr>
        <w:footnoteReference w:id="31"/>
      </w:r>
      <w:r>
        <w:rPr>
          <w:rFonts w:eastAsia="Times New Roman" w:cs="Calibri"/>
          <w:sz w:val="24"/>
          <w:szCs w:val="24"/>
          <w:lang w:val="fr-FR" w:eastAsia="fr-FR"/>
        </w:rPr>
        <w:t>.</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Cependant, il est reconnu au titulaire d’un droit minier ou de carrières d’exploitation la propriété des produits marchands, c’est à-dire les substances minérales, sous quelque forme que ce soit, extraites en vertu des droits miniers ou de carrières d’exploitation et/ou tout produit élaboré à partir de ces substances dans les usines de concentration, de traitement ou de transformation à des fins commerciales.</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 nouveau Code a le mérite de réaffirmer le principe que les droits découlant de la concession minière sont distincts de ceux des concessions foncières de sorte qu’un concessionnaire foncier ne peut se prévaloir de son titre pour revendiquer un droit de propriété quelconque sur les substances minérales contenues dans le sous-sol.</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xml:space="preserve">Par ailleurs, le nouveau Code procède à un classement des gîtes minéraux en mines et carrières. Il précise que le Président de la République peut déclasser ou reclasser une substance des mines en produit de carrières et inversement. </w:t>
      </w:r>
    </w:p>
    <w:p w:rsidR="0089405D" w:rsidRDefault="0089405D">
      <w:pPr>
        <w:spacing w:after="0" w:line="312" w:lineRule="auto"/>
        <w:jc w:val="both"/>
        <w:rPr>
          <w:rFonts w:cs="Calibri"/>
          <w:sz w:val="24"/>
          <w:szCs w:val="24"/>
          <w:lang w:val="fr-FR"/>
        </w:rPr>
      </w:pPr>
    </w:p>
    <w:p w:rsidR="0089405D" w:rsidRDefault="003468E2">
      <w:pPr>
        <w:autoSpaceDE w:val="0"/>
        <w:autoSpaceDN w:val="0"/>
        <w:adjustRightInd w:val="0"/>
        <w:spacing w:after="0" w:line="312" w:lineRule="auto"/>
        <w:jc w:val="both"/>
        <w:rPr>
          <w:rFonts w:eastAsia="Calibri" w:cs="Calibri"/>
          <w:b/>
          <w:bCs/>
          <w:sz w:val="24"/>
          <w:szCs w:val="24"/>
          <w:lang w:val="fr-FR" w:eastAsia="en-US"/>
        </w:rPr>
      </w:pPr>
      <w:bookmarkStart w:id="201" w:name="_Toc59458304"/>
      <w:bookmarkStart w:id="202" w:name="_Toc79392960"/>
      <w:r>
        <w:rPr>
          <w:rFonts w:eastAsia="Calibri" w:cs="Calibri"/>
          <w:b/>
          <w:bCs/>
          <w:sz w:val="24"/>
          <w:szCs w:val="24"/>
          <w:lang w:val="fr-FR" w:eastAsia="en-US"/>
        </w:rPr>
        <w:t>2.3.5. CADRE REGLEMENTAIRE ET INSTITUTIONNEL DU SECTEUR MINIER ET SES LACUNES EN RDC</w:t>
      </w:r>
    </w:p>
    <w:p w:rsidR="0089405D" w:rsidRDefault="0089405D">
      <w:pPr>
        <w:autoSpaceDE w:val="0"/>
        <w:autoSpaceDN w:val="0"/>
        <w:adjustRightInd w:val="0"/>
        <w:spacing w:after="0" w:line="312" w:lineRule="auto"/>
        <w:ind w:firstLine="709"/>
        <w:jc w:val="both"/>
        <w:rPr>
          <w:rFonts w:eastAsia="Calibri" w:cs="Calibri"/>
          <w:color w:val="FF0000"/>
          <w:sz w:val="24"/>
          <w:szCs w:val="24"/>
          <w:lang w:val="fr-FR" w:eastAsia="en-US"/>
        </w:rPr>
      </w:pP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Le Code minier représente le document officiel régissant les normes et règlementations à respecter dans le secteur minier et octroyant le permis de recherche, le permis d’exploitation, le permis d’exploitation des rejets et le permis d’exploitation de petites mines. Ce Code distingue l’exploitation minière industrielle, semi-industrielle et artisanale et </w:t>
      </w:r>
      <w:r>
        <w:rPr>
          <w:rFonts w:eastAsia="Calibri" w:cs="Calibri"/>
          <w:sz w:val="24"/>
          <w:szCs w:val="24"/>
          <w:lang w:val="fr-FR" w:eastAsia="en-US"/>
        </w:rPr>
        <w:lastRenderedPageBreak/>
        <w:t>consacre une partie au rejet des mines. Au niveau du champ d’application, les dispositions « s’appliquent, dans leur intégralité et dans leur ensemble, aux opérations de recherches, d’exploitation industrielle, semi-industrielle et artisanale ainsi que de traitement, de stockage, de détention, de transport, de commercialisation et d’exportation des substances minérales ». C’est au gouvernement d’appliquer le Code minier, plus particulièrement au ministère des Mines, mais le ministère de l’Environnement, le ministère des  Bien que les États acquièrent une certaine certitude par le biais de l'utilisation de ce type de disposition, celles-ci peuvent créer une incertitude proportionnelle de la part des investisseurs, soucieux d'être à la merci du cadre législatif du pays d'accueil, et tout particulièrement si les relations entre les parties en venaient à se détériorer. Les préoccupations en matière de corruption et Finances ainsi que les gouvernements provinciaux et les services publics ont également compétence dans le domaine.</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Le Code minier régissant les droits miniers en RDC aujourd’hui a été promulgué en 2018 et vient modifier et compléter l’ancien Code minier entré en vigueur le 11 juillet 2002. Ce dernier a été élaboré sous l’égide de la Banque mondiale pendant la Deuxième guerre du Congo et avait pour but d’attirer les investisseurs étrangers afin d’augmenter les rendements de manière significative et de libéraliser le secteur minier. Véritable tournant dans la régulation du secteur minier en RDC, le rôle de l’État s’est trouvé complètement modifié en passant d’un modèle de producteur à un modèle de régulateur seulement. Les nouvelles mesures ont complexifié l’administration du secteur minier alors que l’État ne possédait pas les compétences pour gérer une telle institution, notamment en période de guerre. </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Cette contradiction a cependant été soutenue par la Banque mondiale qui a poussé les pays riches en ressources naturelles à modifier leurs Code miniers afin d’intensifier les investissements dans le secteur industriel et minier, si bien que dans les années 1990 et 2000, plus de 90 pays, dont la majorité en Afrique, ont procédé à la réécriture de leur Code minier sous la pression de l’organisme de financement international20. Censées permettre aux pays de profiter des bénéfices de l’industrie minière pour leur développement économique, les nouvelles règlementations négligent le développement socio-économique et le développement des communautés locales. Très favorable aux capitaux étrangers, le Code minier de 2002 ne permettait donc pas au pays de bénéficier pleinement des avantages de son abondance en ressources naturelles.</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C’est dans le but de changer cet aspect qu’il a été modifié pour augmenter les recettes   fiscales du gouvernement. Le nouveau code minier de 2018, mis en place sous Joseph Kabila, avait également pour but de profiter des flambées des prix du cuivre et du cobalt. Les </w:t>
      </w:r>
      <w:r>
        <w:rPr>
          <w:rFonts w:eastAsia="Calibri" w:cs="Calibri"/>
          <w:sz w:val="24"/>
          <w:szCs w:val="24"/>
          <w:lang w:val="fr-FR" w:eastAsia="en-US"/>
        </w:rPr>
        <w:lastRenderedPageBreak/>
        <w:t>nouvelles règlementations comprennent une hausse de la fiscalité au niveau de la redevance, des droits d’entrée, du taux d’importation et des impôts sur les bénéfices, une plus grande mainmise de l’État congolais sur le secteur et une obligation pour les sociétés minières de contribuer au financement des projets de développement communautaire. Si l’environnement s’avère être menacé par un projet minier, le manque d'indépendance judiciaire peuvent intensifier le désir d'un investisseur de trouver un décideur isolé des pressions internes.</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Le Premier Ministre peut décider de rendre une zone interdite à l’exploitation ou délimiter une partie du territoire afin de la classer en aire protégée. L’article 6 du Code minier de 2018 stipule bien que les exploitants miniers ont l’interdiction d’exploiter une zone déjà classée comme protégée. À la suite de la publication du Code minier, un service spécial a été créé en 2003 dans le but d’encadrer les exploitants miniers artisanaux et de mettre en place un cadre pour la protection de l’environnement dans les zones d’exploitation artisanale : le Service d’Assistance et d’Encadrement de l’Exploitation Minière à Petite Échelle (SAEMAPE).</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Déjà dans le Code minier de 2002, la loi mentionnait la protection de l’environnement et un service chargé de la protection de l’environnement minier avait vu le jour au sein du ministère des Mines.</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Il était stipulé que les exploitants miniers étaient dans l’obligation de respecter les normes en termes de sécurité, d’hygiène, ainsi que de protection et de conservation de la nature, que ce soit avant, pendant, ou après l’exploitation minière</w:t>
      </w:r>
      <w:r>
        <w:rPr>
          <w:rFonts w:eastAsia="Calibri" w:cs="Calibri"/>
          <w:sz w:val="14"/>
          <w:szCs w:val="14"/>
          <w:lang w:val="fr-FR" w:eastAsia="en-US"/>
        </w:rPr>
        <w:t>21</w:t>
      </w:r>
      <w:r>
        <w:rPr>
          <w:rFonts w:eastAsia="Calibri" w:cs="Calibri"/>
          <w:sz w:val="24"/>
          <w:szCs w:val="24"/>
          <w:lang w:val="fr-FR" w:eastAsia="en-US"/>
        </w:rPr>
        <w:t>. La modification du Code minier en 2018 apporte la confirmation d’une prise en compte de l’environnement dans le déroulement des activités minières.</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Les changements concernent l’introduction d’un certificat environnemental comme condition à l’octroi d’un permis d’exploitation et l’instauration d’une réelle collaboration entre l’Agence Congolaise de l’Environnement (ACE) et la Direction de la protection de l’environnement</w:t>
      </w:r>
      <w:r>
        <w:rPr>
          <w:rFonts w:eastAsia="Calibri" w:cs="Calibri"/>
          <w:sz w:val="14"/>
          <w:szCs w:val="14"/>
          <w:lang w:val="fr-FR" w:eastAsia="en-US"/>
        </w:rPr>
        <w:t>22</w:t>
      </w:r>
      <w:r>
        <w:rPr>
          <w:rFonts w:eastAsia="Calibri" w:cs="Calibri"/>
          <w:sz w:val="24"/>
          <w:szCs w:val="24"/>
          <w:lang w:val="fr-FR" w:eastAsia="en-US"/>
        </w:rPr>
        <w:t xml:space="preserve">. Selon le Code minier de 2018, le certificat environnemental est un « document administratif délivré par l’Agence Congolaise de l’Environnement à l’issue de l’instruction environnementale et sociale attestant que l’exécution du projet ainsi que l’exploitation de l’ouvrage se conforment aux principes de sauvegarde environnementale et sociale ». Créée en 2014 avec la Loi portant principes fondamentaux relatifs à la protection de l’environnement, cette agence publique possède un rôle crucial au niveau de la protection de l’environnement et a pour missions d’évaluer les études environnementales menées au niveau national et de veiller à leur respect ainsi qu’à leur mise en œuvre. Cette loi sert de base pour toute autre législation concernant l’environnement en RDC et la gestion ainsi que </w:t>
      </w:r>
      <w:r>
        <w:rPr>
          <w:rFonts w:eastAsia="Calibri" w:cs="Calibri"/>
          <w:sz w:val="24"/>
          <w:szCs w:val="24"/>
          <w:lang w:val="fr-FR" w:eastAsia="en-US"/>
        </w:rPr>
        <w:lastRenderedPageBreak/>
        <w:t xml:space="preserve">la protection de celui-ci sont considérées d’intérêt général. Le développement durable est au cœur de la loi et représente le fil rouge que les autorités congolaises compétentes doivent suivre. L’environnement doit être pris en compte par tous et dans toutes les situations, autrement dit toute activité artisanale ou industrielle. Cependant, ces aspects théoriques ne sont pas implantés sur le terrain. </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L’environnement n’est pas protégé comme il devrait l’être et le pays est loin d’avoir implanté un système de développement durable. Une autre réforme importante apportée par la modification du Code minier correspond à l’ajout de l’or sur la liste des minerais stratégiques. L’orpaillage est une activité fructueuse mais elle demeure informelle car elle est très peu contrôlée</w:t>
      </w:r>
      <w:r>
        <w:rPr>
          <w:rStyle w:val="Appelnotedebasdep"/>
          <w:rFonts w:cs="Calibri"/>
          <w:sz w:val="24"/>
          <w:szCs w:val="24"/>
          <w:lang w:val="fr-FR" w:eastAsia="en-US"/>
        </w:rPr>
        <w:footnoteReference w:id="32"/>
      </w:r>
      <w:r>
        <w:rPr>
          <w:rFonts w:eastAsia="Calibri" w:cs="Calibri"/>
          <w:sz w:val="24"/>
          <w:szCs w:val="24"/>
          <w:lang w:val="fr-FR" w:eastAsia="en-US"/>
        </w:rPr>
        <w:t xml:space="preserve">. Ce changement de statut permet la reconnaissance d’une situation qui échappe au gouvernement et pourrait contribuer à l’amélioration du secteur, notamment à travers la mise en place d’un système de contrôle efficace des exportations. Contrairement au Code minier de 2002, toutes les entreprises minières ont l’obligation de respecter le code et les régimes particuliers n’existent plus. </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De fait, lorsque les titulaires de droits miniers manquent à leurs obligations administratives et sociales, les sanctions reviennent à leur supprimer leurs droits et leur retirer leurs titres miniers, les interdisant ainsi d’obtenir de nouveaux droits pendant une durée de cinq ans. Cela peut se traduire par un gel du périmètre autorisé d’exploitation et de recherche ou par la suppression du permis d’exploitation et de recherche. Des problèmes se posent lors de l’application des sanctions étant donné que l’État congolais fait face à de fortes difficultés structurelles, en plus d’une forte corruption et d’un manque de bonne gouvernance et de transparence</w:t>
      </w:r>
      <w:r>
        <w:rPr>
          <w:lang w:val="fr-FR"/>
        </w:rPr>
        <w:t xml:space="preserve"> (</w:t>
      </w:r>
      <w:r>
        <w:rPr>
          <w:rFonts w:eastAsia="Calibri" w:cs="Calibri"/>
          <w:sz w:val="24"/>
          <w:szCs w:val="24"/>
          <w:lang w:val="fr-FR" w:eastAsia="en-US"/>
        </w:rPr>
        <w:t>Saumet, C., 2018).</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Pour autant, de nombreux exploitants miniers ne respectent pas les règlementations concernant la protection de l’environnement, notamment en raison de l’incapacité des autorités congolaises compétentes à faire respecter la loi. Il n’y a pas de contrôles efficaces du respect du Code minier ni de la publication des études et le suivi de la mise en œuvre des politiques environnementales et sociales n’est pas mené correctement. L’encadrement légal et institutionnel des activités minières</w:t>
      </w:r>
      <w:r>
        <w:rPr>
          <w:rFonts w:cs="Calibri"/>
          <w:lang w:val="fr-FR"/>
        </w:rPr>
        <w:t xml:space="preserve"> </w:t>
      </w:r>
      <w:r>
        <w:rPr>
          <w:rFonts w:eastAsia="Calibri" w:cs="Calibri"/>
          <w:sz w:val="24"/>
          <w:szCs w:val="24"/>
          <w:lang w:val="fr-FR" w:eastAsia="en-US"/>
        </w:rPr>
        <w:t>possède une construction théorique très solide, bien meilleure que dans la plupart des pays africains riches en ressources naturelles, mais des problèmes se posent au niveau de son application et du respect des modalités de réparation et de sanction</w:t>
      </w:r>
      <w:r>
        <w:rPr>
          <w:rFonts w:cs="Calibri"/>
          <w:sz w:val="24"/>
          <w:szCs w:val="24"/>
          <w:lang w:val="fr-FR"/>
        </w:rPr>
        <w:t xml:space="preserve"> (Kahilu, M., 2015)</w:t>
      </w:r>
      <w:r>
        <w:rPr>
          <w:rFonts w:eastAsia="Calibri" w:cs="Calibri"/>
          <w:sz w:val="24"/>
          <w:szCs w:val="24"/>
          <w:lang w:val="fr-FR" w:eastAsia="en-US"/>
        </w:rPr>
        <w:t xml:space="preserve">. Le Code minier accorde également de l’importance à la </w:t>
      </w:r>
      <w:r>
        <w:rPr>
          <w:rFonts w:eastAsia="Calibri" w:cs="Calibri"/>
          <w:sz w:val="24"/>
          <w:szCs w:val="24"/>
          <w:lang w:val="fr-FR" w:eastAsia="en-US"/>
        </w:rPr>
        <w:lastRenderedPageBreak/>
        <w:t xml:space="preserve">remise en état des lieux de l’exploitation après les prélèvements. Toutefois, les mines sont généralement laissées en état et certains déchets miniers ne sont pas nettoyés. </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De ce fait, même fermées, les anciennes mines continuent de polluer l’environnement et les populations en paient le prix fort. Les analyses des contaminations en métaux lourds dans les sols, les eaux et les sédiments prouvent que les règlementations concernant la protection de l’environnement ne sont pas appliquées, mettant directement en danger la nature, les écosystèmes et la population. </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En réalité, le code minier n’est pas respecté, aussi bien par le gouvernement que par les sociétés minières, notamment parce que les agents de l’État présents sur les mines profitent également de la situation pour leur enrichissement personnel. En d’autres mots, si les entreprises minières ne respectent pas leurs obligations, leurs titres miniers ne leur sont souvent pas retirés, leur permettant ainsi de continuer leur exploitation ou leur recherche en toute impunité.</w:t>
      </w:r>
    </w:p>
    <w:p w:rsidR="0089405D" w:rsidRDefault="0089405D">
      <w:pPr>
        <w:spacing w:after="0" w:line="312" w:lineRule="auto"/>
        <w:rPr>
          <w:rFonts w:eastAsia="Calibri" w:cs="Calibri"/>
          <w:sz w:val="24"/>
          <w:szCs w:val="24"/>
          <w:lang w:val="fr-FR" w:eastAsia="en-US"/>
        </w:rPr>
      </w:pPr>
    </w:p>
    <w:p w:rsidR="0089405D" w:rsidRDefault="003468E2">
      <w:pPr>
        <w:pStyle w:val="Titre1"/>
        <w:spacing w:before="0" w:line="312" w:lineRule="auto"/>
        <w:rPr>
          <w:rFonts w:eastAsia="Times New Roman" w:cs="Calibri"/>
          <w:b/>
          <w:sz w:val="24"/>
          <w:szCs w:val="24"/>
          <w:lang w:val="fr-FR" w:eastAsia="fr-FR"/>
        </w:rPr>
      </w:pPr>
      <w:bookmarkStart w:id="203" w:name="_Toc111888598"/>
      <w:bookmarkStart w:id="204" w:name="_Toc127187182"/>
      <w:bookmarkStart w:id="205" w:name="_Toc127187459"/>
      <w:bookmarkStart w:id="206" w:name="_Toc127432216"/>
      <w:r>
        <w:rPr>
          <w:rFonts w:eastAsia="Times New Roman" w:cs="Calibri"/>
          <w:b/>
          <w:color w:val="auto"/>
          <w:sz w:val="24"/>
          <w:szCs w:val="24"/>
          <w:lang w:val="fr-FR" w:eastAsia="fr-FR"/>
        </w:rPr>
        <w:t>2.4. INTENTION SUR LE TERRAIN</w:t>
      </w:r>
      <w:r>
        <w:rPr>
          <w:rFonts w:cs="Calibri"/>
          <w:b/>
          <w:color w:val="auto"/>
          <w:sz w:val="24"/>
          <w:szCs w:val="24"/>
          <w:lang w:val="fr-FR"/>
        </w:rPr>
        <w:t xml:space="preserve"> ET</w:t>
      </w:r>
      <w:r>
        <w:rPr>
          <w:rFonts w:cs="Calibri"/>
          <w:color w:val="auto"/>
          <w:sz w:val="24"/>
          <w:szCs w:val="24"/>
          <w:lang w:val="fr-FR"/>
        </w:rPr>
        <w:t xml:space="preserve"> </w:t>
      </w:r>
      <w:r>
        <w:rPr>
          <w:rFonts w:eastAsia="Times New Roman" w:cs="Calibri"/>
          <w:b/>
          <w:color w:val="auto"/>
          <w:sz w:val="24"/>
          <w:szCs w:val="24"/>
          <w:lang w:val="fr-FR" w:eastAsia="fr-FR"/>
        </w:rPr>
        <w:t>MODIFICATION DE L’ENVIRONNEMENT</w:t>
      </w:r>
      <w:bookmarkEnd w:id="201"/>
      <w:bookmarkEnd w:id="202"/>
      <w:bookmarkEnd w:id="203"/>
      <w:bookmarkEnd w:id="204"/>
      <w:bookmarkEnd w:id="205"/>
      <w:bookmarkEnd w:id="206"/>
    </w:p>
    <w:p w:rsidR="0089405D" w:rsidRDefault="0089405D">
      <w:pPr>
        <w:spacing w:after="0" w:line="312" w:lineRule="auto"/>
        <w:jc w:val="both"/>
        <w:rPr>
          <w:rFonts w:eastAsia="Calibri" w:cs="Calibri"/>
          <w:lang w:val="fr-FR" w:eastAsia="en-US"/>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Vu les différents codes et lois portants principes fondamentaux à la protection de l’environnement et des mines, la terre est et a toujours constitué, de tous les temps, la source de revenus de subsistance des communautés locales. Privées de leurs terres, les communautés locales deviennent vulnérables.</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L’exploitation minière artisanale comme industrielle arrache des terres aux producteurs agricoles.</w:t>
      </w:r>
      <w:r>
        <w:rPr>
          <w:rFonts w:cs="Calibri"/>
          <w:sz w:val="24"/>
          <w:szCs w:val="24"/>
          <w:lang w:val="fr-FR"/>
        </w:rPr>
        <w:t xml:space="preserve"> </w:t>
      </w:r>
      <w:r>
        <w:rPr>
          <w:rFonts w:eastAsia="Times New Roman" w:cs="Calibri"/>
          <w:sz w:val="24"/>
          <w:szCs w:val="24"/>
          <w:lang w:val="fr-FR" w:eastAsia="fr-FR"/>
        </w:rPr>
        <w:t>L’avènement du boom minier de 2006-2012 dans le Sud-Est du Katanga, l’ancien Kivu et les provinces de l’Ituri et Haut-Uélé n’ont fait qu’aggraver la situation de précarité des producteurs agricoles et des prédations de terres des autochtones sans leur avis. Pire, le pays n’en tire quasiment profit ni bénéfice pour son développement.</w:t>
      </w:r>
      <w:r>
        <w:rPr>
          <w:rFonts w:cs="Calibri"/>
          <w:sz w:val="24"/>
          <w:szCs w:val="24"/>
          <w:lang w:val="fr-FR"/>
        </w:rPr>
        <w:t xml:space="preserve"> Les firmes étrangères en profitent énormément.</w:t>
      </w:r>
    </w:p>
    <w:p w:rsidR="0089405D" w:rsidRDefault="003468E2">
      <w:pPr>
        <w:spacing w:after="0" w:line="312" w:lineRule="auto"/>
        <w:jc w:val="both"/>
        <w:rPr>
          <w:rFonts w:cs="Calibri"/>
          <w:sz w:val="24"/>
          <w:szCs w:val="24"/>
          <w:lang w:val="fr-FR"/>
        </w:rPr>
      </w:pPr>
      <w:r>
        <w:rPr>
          <w:rFonts w:cs="Calibri"/>
          <w:sz w:val="24"/>
          <w:szCs w:val="24"/>
          <w:lang w:val="fr-FR"/>
        </w:rPr>
        <w:tab/>
        <w:t xml:space="preserve">Le pays arrive au presque dernier rang dans le </w:t>
      </w:r>
      <w:r>
        <w:rPr>
          <w:rFonts w:eastAsia="Times New Roman" w:cs="Calibri"/>
          <w:sz w:val="24"/>
          <w:szCs w:val="24"/>
          <w:lang w:val="fr-FR" w:eastAsia="fr-FR"/>
        </w:rPr>
        <w:t xml:space="preserve">classement de l’indice de développement humain des Nations Unies, pourtant il regorge de ressources naturelles, de minerais stratégiques qui font le boom de l’économie mondiale aujourd’hui, notamment le coltan et l’uranium (dont il est la première réserve mondiale), sans compter le cuivre, le diamant, l’or, d’énormes étendues en terres arables (80.000 hectares), du quart des réserves </w:t>
      </w:r>
      <w:r>
        <w:rPr>
          <w:rFonts w:eastAsia="Times New Roman" w:cs="Calibri"/>
          <w:sz w:val="24"/>
          <w:szCs w:val="24"/>
          <w:lang w:val="fr-FR" w:eastAsia="fr-FR"/>
        </w:rPr>
        <w:lastRenderedPageBreak/>
        <w:t>africaines en eau et du deuxième grand massif  de forêts tropicales au monde, de gigantesques surfaces de terres arables très fertiles</w:t>
      </w:r>
      <w:r>
        <w:rPr>
          <w:rStyle w:val="Appelnotedebasdep"/>
          <w:rFonts w:cs="Calibri"/>
          <w:sz w:val="24"/>
          <w:szCs w:val="24"/>
          <w:lang w:val="fr-FR" w:eastAsia="fr-FR"/>
        </w:rPr>
        <w:footnoteReference w:id="33"/>
      </w:r>
      <w:r>
        <w:rPr>
          <w:rFonts w:eastAsia="Times New Roman" w:cs="Calibri"/>
          <w:sz w:val="24"/>
          <w:szCs w:val="24"/>
          <w:lang w:val="fr-FR" w:eastAsia="fr-FR"/>
        </w:rPr>
        <w:t>.</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t>Au regard de ce tableau en même temps reluisant et sombre</w:t>
      </w:r>
      <w:r>
        <w:rPr>
          <w:rFonts w:eastAsia="Times New Roman" w:cs="Calibri"/>
          <w:sz w:val="24"/>
          <w:szCs w:val="24"/>
          <w:lang w:val="fr-FR" w:eastAsia="fr-FR"/>
        </w:rPr>
        <w:t>, nous pensons qu’il serait donc primordial de sensibiliser les communautés locales sur leurs droits et de les informer quant aux recours possibles pour pouvoir revendiquer le respect des normes et aller vers l’approche d’une nouvelle recherche de vision d’économie écologique</w:t>
      </w:r>
      <w:r>
        <w:rPr>
          <w:rStyle w:val="Appelnotedebasdep"/>
          <w:rFonts w:cs="Calibri"/>
          <w:sz w:val="24"/>
          <w:szCs w:val="24"/>
          <w:lang w:val="fr-FR" w:eastAsia="fr-FR"/>
        </w:rPr>
        <w:footnoteReference w:id="34"/>
      </w:r>
      <w:r>
        <w:rPr>
          <w:rFonts w:eastAsia="Times New Roman" w:cs="Calibri"/>
          <w:sz w:val="24"/>
          <w:szCs w:val="24"/>
          <w:lang w:val="fr-FR" w:eastAsia="fr-FR"/>
        </w:rPr>
        <w:t xml:space="preserve"> qui contribue  à définir un nouveau mode de gestion de la nature (Figure 2.1).</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Aux critères écologiques viennent s'ajouter des critères économiques qui constituent assez vite un argument majeur de la prise de décision collective.  Elle est sommairement distincte sur quatre spécificités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la nature y est représentée en tant que bien rare et objet d'une demande sociale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la problématique de l'action collective revient à mettre en valeur les ressources et à les gérer avec efficacité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les instruments de politique utilisés sont les mécanismes, les incitations et les contrats économiques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les sciences de l'économie et de la gestion sont les disciplines employées.</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xml:space="preserve">Dans cette évolution et considération, la gestion économique de la nature consiste à arbitrer entre différents projets d'utilisation des ressources pour déterminer, sur une base monétaire, celui susceptible de fournir le plus grand bien-être aux communautés humaines (Mercier, J. &amp; Bekhechi, M., 2003).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Un tel arbitrage, qui analyse les coûts et les avantages économiques de chaque alternative, repose néanmoins sur la fiabilité des valeurs économiques associées aux actifs naturels. Ainsi les problèmes environnementaux d’un type nouveau ont émergé : aux problèmes de pollution très localisés (pollution des rivières, érosion du sol, etc.</w:t>
      </w:r>
      <w:r>
        <w:rPr>
          <w:rFonts w:cs="Calibri"/>
          <w:sz w:val="24"/>
          <w:szCs w:val="24"/>
          <w:lang w:val="fr-FR"/>
        </w:rPr>
        <w:t xml:space="preserve"> </w:t>
      </w:r>
      <w:r>
        <w:rPr>
          <w:rFonts w:eastAsia="Times New Roman" w:cs="Calibri"/>
          <w:sz w:val="24"/>
          <w:szCs w:val="24"/>
          <w:lang w:val="fr-FR" w:eastAsia="fr-FR"/>
        </w:rPr>
        <w:t xml:space="preserve">Brunson, M.W. 1996), et pour lesquels les sources et les effets étaient clairement déterminés, s’ajoutent des problèmes de nature plus globale (augmentation de l’effet de serre, perte de biodiversité, etc.). </w:t>
      </w:r>
    </w:p>
    <w:p w:rsidR="0089405D" w:rsidRDefault="003468E2">
      <w:pPr>
        <w:spacing w:after="0" w:line="312" w:lineRule="auto"/>
        <w:jc w:val="center"/>
        <w:rPr>
          <w:rFonts w:cs="Calibri"/>
          <w:sz w:val="24"/>
          <w:szCs w:val="24"/>
          <w:lang w:val="fr-FR"/>
        </w:rPr>
      </w:pPr>
      <w:r>
        <w:rPr>
          <w:rFonts w:cs="Calibri"/>
          <w:sz w:val="24"/>
          <w:szCs w:val="24"/>
          <w:lang w:val="fr-FR"/>
        </w:rPr>
        <w:lastRenderedPageBreak/>
        <w:tab/>
      </w:r>
      <w:r>
        <w:rPr>
          <w:rFonts w:eastAsia="Times New Roman" w:cs="Calibri"/>
          <w:b/>
          <w:i/>
          <w:noProof/>
          <w:sz w:val="24"/>
          <w:szCs w:val="24"/>
          <w:lang w:val="fr-FR" w:eastAsia="fr-FR"/>
        </w:rPr>
        <w:drawing>
          <wp:inline distT="0" distB="0" distL="0" distR="0">
            <wp:extent cx="4834952" cy="4076700"/>
            <wp:effectExtent l="19050" t="19050" r="22860" b="19050"/>
            <wp:docPr id="1031"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12"/>
                    <pic:cNvPicPr/>
                  </pic:nvPicPr>
                  <pic:blipFill>
                    <a:blip r:embed="rId39" cstate="print"/>
                    <a:srcRect/>
                    <a:stretch/>
                  </pic:blipFill>
                  <pic:spPr>
                    <a:xfrm>
                      <a:off x="0" y="0"/>
                      <a:ext cx="4834952" cy="4076700"/>
                    </a:xfrm>
                    <a:prstGeom prst="rect">
                      <a:avLst/>
                    </a:prstGeom>
                    <a:ln w="3175" cap="flat" cmpd="sng">
                      <a:solidFill>
                        <a:srgbClr val="000000"/>
                      </a:solidFill>
                      <a:prstDash val="solid"/>
                      <a:round/>
                      <a:headEnd/>
                      <a:tailEnd/>
                    </a:ln>
                  </pic:spPr>
                </pic:pic>
              </a:graphicData>
            </a:graphic>
          </wp:inline>
        </w:drawing>
      </w:r>
    </w:p>
    <w:p w:rsidR="0089405D" w:rsidRDefault="003468E2">
      <w:pPr>
        <w:pStyle w:val="Titre1"/>
        <w:spacing w:before="0" w:line="312" w:lineRule="auto"/>
        <w:jc w:val="both"/>
        <w:rPr>
          <w:rFonts w:cs="Calibri"/>
          <w:color w:val="auto"/>
          <w:sz w:val="24"/>
          <w:szCs w:val="24"/>
          <w:lang w:val="fr-FR"/>
        </w:rPr>
      </w:pPr>
      <w:bookmarkStart w:id="207" w:name="_Toc80352139"/>
      <w:bookmarkStart w:id="208" w:name="_Toc111888538"/>
      <w:bookmarkStart w:id="209" w:name="_Toc111888947"/>
      <w:bookmarkStart w:id="210" w:name="_Toc125612072"/>
      <w:bookmarkStart w:id="211" w:name="_Toc127181825"/>
      <w:bookmarkStart w:id="212" w:name="_Toc127182220"/>
      <w:bookmarkStart w:id="213" w:name="_Toc127182767"/>
      <w:bookmarkStart w:id="214" w:name="_Toc127182942"/>
      <w:bookmarkStart w:id="215" w:name="_Toc127187125"/>
      <w:bookmarkStart w:id="216" w:name="_Toc127187300"/>
      <w:bookmarkStart w:id="217" w:name="_Toc127187577"/>
      <w:bookmarkStart w:id="218" w:name="_Toc127432334"/>
      <w:r>
        <w:rPr>
          <w:rFonts w:eastAsia="Times New Roman" w:cs="Calibri"/>
          <w:b/>
          <w:i/>
          <w:color w:val="auto"/>
          <w:sz w:val="24"/>
          <w:szCs w:val="24"/>
          <w:lang w:val="fr-FR" w:eastAsia="fr-FR"/>
        </w:rPr>
        <w:t>Figure 2.1. : Voyage de sensibilisation des leaders locaux sur les conséquences d’exploitation minières pour la sauvegarde de l’écosystème aquatique et ses services (Photo M. Silencieuse, 2009).</w:t>
      </w:r>
      <w:bookmarkEnd w:id="207"/>
      <w:bookmarkEnd w:id="208"/>
      <w:bookmarkEnd w:id="209"/>
      <w:bookmarkEnd w:id="210"/>
      <w:bookmarkEnd w:id="211"/>
      <w:bookmarkEnd w:id="212"/>
      <w:bookmarkEnd w:id="213"/>
      <w:bookmarkEnd w:id="214"/>
      <w:bookmarkEnd w:id="215"/>
      <w:bookmarkEnd w:id="216"/>
      <w:bookmarkEnd w:id="217"/>
      <w:bookmarkEnd w:id="218"/>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Ce petit ouvrage se donne le devoir de</w:t>
      </w:r>
      <w:r>
        <w:rPr>
          <w:rFonts w:cs="Calibri"/>
          <w:sz w:val="24"/>
          <w:szCs w:val="24"/>
          <w:lang w:val="fr-FR"/>
        </w:rPr>
        <w:t xml:space="preserve"> </w:t>
      </w:r>
      <w:r>
        <w:rPr>
          <w:rFonts w:eastAsia="Times New Roman" w:cs="Calibri"/>
          <w:sz w:val="24"/>
          <w:szCs w:val="24"/>
          <w:lang w:val="fr-FR" w:eastAsia="fr-FR"/>
        </w:rPr>
        <w:t>sensibiliser les communautés locales à leurs droits et aux recours possibles (Issaka, D., 2017), en prenant le cas de Basoko comme illustration au regard des   dispositions du nouveau code minier. L'économie écologique que nous promouvons est une vision où les conséquences négatives des systèmes de productions ne sont plus considérées comme des "externalités". Ce serait comme si l'environnement et la population humaine y vivant n'étaient pas inclus dans le système économique (Malte F., 2008). L'économie opère au sein d'une société faite de relations sociales et cet ensemble prend place au sein de l'environnement et tient compte de la voix et de la tonalité de la population autochtones (Abadie, J.C., 2008 ; Malte, F., 2008).</w:t>
      </w:r>
    </w:p>
    <w:p w:rsidR="0089405D" w:rsidRDefault="003468E2">
      <w:pPr>
        <w:spacing w:after="0" w:line="312" w:lineRule="auto"/>
        <w:rPr>
          <w:rFonts w:cs="Calibri"/>
          <w:sz w:val="24"/>
          <w:szCs w:val="24"/>
          <w:lang w:val="fr-FR"/>
        </w:rPr>
      </w:pPr>
      <w:r>
        <w:rPr>
          <w:rFonts w:cs="Calibri"/>
          <w:sz w:val="24"/>
          <w:szCs w:val="24"/>
          <w:lang w:val="fr-FR"/>
        </w:rPr>
        <w:br w:type="page"/>
      </w:r>
    </w:p>
    <w:p w:rsidR="0089405D" w:rsidRDefault="003468E2">
      <w:pPr>
        <w:pStyle w:val="Titre1"/>
        <w:spacing w:before="0" w:line="312" w:lineRule="auto"/>
        <w:jc w:val="both"/>
        <w:rPr>
          <w:rFonts w:cs="Calibri"/>
          <w:color w:val="auto"/>
          <w:sz w:val="24"/>
          <w:szCs w:val="24"/>
          <w:lang w:val="fr-FR"/>
        </w:rPr>
      </w:pPr>
      <w:bookmarkStart w:id="219" w:name="_Toc59458305"/>
      <w:bookmarkStart w:id="220" w:name="_Toc79392961"/>
      <w:bookmarkStart w:id="221" w:name="_Toc111888599"/>
      <w:bookmarkStart w:id="222" w:name="_Toc127187183"/>
      <w:bookmarkStart w:id="223" w:name="_Toc127187460"/>
      <w:bookmarkStart w:id="224" w:name="_Toc127432217"/>
      <w:r>
        <w:rPr>
          <w:rFonts w:eastAsia="Times New Roman" w:cs="Calibri"/>
          <w:b/>
          <w:color w:val="auto"/>
          <w:sz w:val="24"/>
          <w:szCs w:val="24"/>
          <w:lang w:val="fr-FR" w:eastAsia="fr-FR"/>
        </w:rPr>
        <w:lastRenderedPageBreak/>
        <w:t>2.5. L’EXPLOITATION MINIERE : UNE ACTIVITE SOUS PRESSION ENVIRONNEMENTALISTE</w:t>
      </w:r>
      <w:bookmarkEnd w:id="219"/>
      <w:bookmarkEnd w:id="220"/>
      <w:bookmarkEnd w:id="221"/>
      <w:bookmarkEnd w:id="222"/>
      <w:bookmarkEnd w:id="223"/>
      <w:bookmarkEnd w:id="224"/>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Les services environnementaux de la rivière Aruwimi et ses envions portent sur quatre types de services environnementaux délivrés par ce biotope : (i) l’eau, (ii) la séquestration du carbone de sa végétation planétaire, (ii) la protection des bassins versants et (iv) la fertilité des sols. Le cadre d’analyse des potentielles retombées économiques de ces services est celui des Paiements des Services Environnementaux (PSE) où les utilisateurs de la terre belge et du cours d’eau reçoivent de façon contractuelle et volontaire des incitations financières des bénéficiaires desdits services pour adopter des comportements susceptibles d’assurer la fourniture à terme des services environnementaux. La lecture de la littérature révèle que la fertilité des sols et la protection des bassins versants bien qu’ayant des valeurs économiques théoriquement élevées pour la population de Basoko (Ekele,  M. &amp; Mangambu,  M., 2020), celle-ci ne tire encore rien de l’exploitation de ses terres.</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L’exploitation minière est une des activités ayant le plus fort impact environnemental et à ce titre elle est fortement contestée par les ONG environnementalistes et les communautés locales qui en subissent directement les nuisances. Celles-ci sont en effet multiples et d’une échelle sans précédent du fait de l’accroissement des dimensions de l’exploitation (Deshaies, M.,  2013). Les mines de minerais métallifères, en particulier de cuivre et d’or, atteignent des dimensions particulièrement importantes en raison de la faible teneur des minerais exploités (Brunson, M.W.et al, 2018).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C’est surtout à partir des années quatre-vingt que les grandes exploitations à ciel ouvert se sont multipliés afin de permettre l’extraction de l’or, de l’argent ou du cuivre dans des minerais à très faible teneur (moins de 5 grammes par tonnes) comme au Nevada ou au Pérou. En effet, la forte augmentation des cours de l’or et de l’argent au cours des années soixante-dix et plus encore depuis le début du XXI </w:t>
      </w:r>
      <w:r>
        <w:rPr>
          <w:rFonts w:eastAsia="Times New Roman" w:cs="Calibri"/>
          <w:sz w:val="24"/>
          <w:szCs w:val="24"/>
          <w:vertAlign w:val="superscript"/>
          <w:lang w:val="fr-FR" w:eastAsia="fr-FR"/>
        </w:rPr>
        <w:t xml:space="preserve">nième </w:t>
      </w:r>
      <w:r>
        <w:rPr>
          <w:rFonts w:eastAsia="Times New Roman" w:cs="Calibri"/>
          <w:sz w:val="24"/>
          <w:szCs w:val="24"/>
          <w:lang w:val="fr-FR" w:eastAsia="fr-FR"/>
        </w:rPr>
        <w:t xml:space="preserve">Siècle assure la rentabilité des investissements considérables que nécessitent le creusement de grandes exploitations et le traitement par cyanuration sur une large échelle, de gigantesques volumes de minerais, afin de récupérer des quantités limitées de métaux précieux (Sala, S., 2018 ; Brunson, M.W.et al., 2018).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Les plus grandes mines d’or actuelles exploitent des minerais dont les teneurs moyennes n’excèdent pas un ou deux grammes par tonne. Mais comme elles sont en mesure d’extraire des millions de tonnes de minerai par an, leur production s’élève à plusieurs dizaines de tonnes d’or pur et l’environnement se trouve dérobé et les conséquences surviennent, et l’homme en subit les effets (Mancinia, L. &amp; Sala, S., 2018).</w:t>
      </w:r>
    </w:p>
    <w:p w:rsidR="0089405D" w:rsidRDefault="003468E2">
      <w:pPr>
        <w:pStyle w:val="Titre1"/>
        <w:spacing w:before="0" w:line="312" w:lineRule="auto"/>
        <w:rPr>
          <w:rFonts w:eastAsia="Times New Roman" w:cs="Calibri"/>
          <w:b/>
          <w:color w:val="auto"/>
          <w:sz w:val="24"/>
          <w:szCs w:val="24"/>
          <w:lang w:val="fr-FR" w:eastAsia="fr-FR"/>
        </w:rPr>
      </w:pPr>
      <w:bookmarkStart w:id="225" w:name="_Toc59458306"/>
      <w:bookmarkStart w:id="226" w:name="_Toc79392962"/>
      <w:bookmarkStart w:id="227" w:name="_Toc111888600"/>
      <w:bookmarkStart w:id="228" w:name="_Toc127187184"/>
      <w:bookmarkStart w:id="229" w:name="_Toc127187461"/>
      <w:bookmarkStart w:id="230" w:name="_Toc127432218"/>
      <w:r>
        <w:rPr>
          <w:rFonts w:eastAsia="Times New Roman" w:cs="Calibri"/>
          <w:b/>
          <w:color w:val="auto"/>
          <w:sz w:val="24"/>
          <w:szCs w:val="24"/>
          <w:lang w:val="fr-FR" w:eastAsia="fr-FR"/>
        </w:rPr>
        <w:lastRenderedPageBreak/>
        <w:t>2.5.1. LES</w:t>
      </w:r>
      <w:bookmarkEnd w:id="225"/>
      <w:r>
        <w:rPr>
          <w:rFonts w:eastAsia="Times New Roman" w:cs="Calibri"/>
          <w:b/>
          <w:color w:val="auto"/>
          <w:sz w:val="24"/>
          <w:szCs w:val="24"/>
          <w:lang w:val="fr-FR" w:eastAsia="fr-FR"/>
        </w:rPr>
        <w:t xml:space="preserve"> ACTIVITES MINIERES AU CENTRE DES ENJEUX INDUSTRIELS</w:t>
      </w:r>
      <w:bookmarkEnd w:id="226"/>
      <w:bookmarkEnd w:id="227"/>
      <w:bookmarkEnd w:id="228"/>
      <w:bookmarkEnd w:id="229"/>
      <w:bookmarkEnd w:id="230"/>
    </w:p>
    <w:p w:rsidR="0089405D" w:rsidRDefault="0089405D">
      <w:pPr>
        <w:pStyle w:val="Titre1"/>
        <w:spacing w:before="0" w:line="312" w:lineRule="auto"/>
        <w:rPr>
          <w:rFonts w:cs="Calibri"/>
          <w:color w:val="auto"/>
          <w:sz w:val="24"/>
          <w:szCs w:val="24"/>
          <w:lang w:val="fr-FR"/>
        </w:rPr>
      </w:pP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 xml:space="preserve">Les activités minières sont au centre des enjeux industriels depuis plusieurs siècles au monde, et elles seront encore, sans aucun doute, pour la suite des temps… Ces activités, si elles apportent des perspectives économiques aux populations locales, entraînent également une modification profonde de l’environnement (Brunson, M.W.et al, 2018).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Aujourd’hui, la conscience environnementale qui se développe dans les pays industrialisés a entraîné de profondes refontes du droit de l’environnement, obligeant les entreprises à exploiter la terre dans un certain respect de la nature</w:t>
      </w:r>
      <w:r>
        <w:rPr>
          <w:rFonts w:cs="Calibri"/>
          <w:sz w:val="24"/>
          <w:szCs w:val="24"/>
          <w:lang w:val="fr-FR"/>
        </w:rPr>
        <w:t xml:space="preserve"> (</w:t>
      </w:r>
      <w:r>
        <w:rPr>
          <w:rFonts w:eastAsia="Times New Roman" w:cs="Calibri"/>
          <w:sz w:val="24"/>
          <w:szCs w:val="24"/>
          <w:lang w:val="fr-FR" w:eastAsia="fr-FR"/>
        </w:rPr>
        <w:t>Francis, P. et al., 1993). D’après Piette, J. (1991), de nouvelles lois obligent ainsi les industriels à effectuer une remédiation de l’environnement à la fin de la période d’extraction, à préserver les sols lors du début de l’exploitation, etc…Ceci n’est malheureusement pas le cas dans nombre de pays en voie développement, et la RDC en est un triste exemple.  Paul Ruzok, évêque de Kigoma en Tanzanie, considère cette manière comme « péché contre la terre », et un péché social ou structurel.</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Plusieurs pays d'Afrique renforcent de plus en plus leur législation dans le domaine de l’environnement en sauvegardant la culture des peuples autochtones. Progressivement ils prennent vite conscience qu'une catastrophe naturelle provoquée par une mauvaise gestion de l'environnement peut anéantir en quelques jours les efforts de développement accomplis durant de nombreuses années (</w:t>
      </w:r>
      <w:r>
        <w:rPr>
          <w:rFonts w:cs="Calibri"/>
          <w:sz w:val="24"/>
          <w:szCs w:val="24"/>
          <w:lang w:val="fr-FR"/>
        </w:rPr>
        <w:t>Jean-Paul II, 1979</w:t>
      </w:r>
      <w:r>
        <w:rPr>
          <w:rFonts w:eastAsia="Times New Roman" w:cs="Calibri"/>
          <w:sz w:val="24"/>
          <w:szCs w:val="24"/>
          <w:lang w:val="fr-FR" w:eastAsia="fr-FR"/>
        </w:rPr>
        <w:t>). </w:t>
      </w:r>
    </w:p>
    <w:p w:rsidR="0089405D" w:rsidRDefault="003468E2">
      <w:pPr>
        <w:spacing w:after="0" w:line="312" w:lineRule="auto"/>
        <w:ind w:firstLine="709"/>
        <w:jc w:val="both"/>
        <w:rPr>
          <w:rFonts w:cs="Calibri"/>
          <w:sz w:val="24"/>
          <w:szCs w:val="24"/>
          <w:lang w:val="fr-FR"/>
        </w:rPr>
      </w:pPr>
      <w:r>
        <w:rPr>
          <w:rFonts w:eastAsia="Times New Roman" w:cs="Calibri"/>
          <w:sz w:val="24"/>
          <w:szCs w:val="24"/>
          <w:lang w:val="fr-FR" w:eastAsia="fr-FR"/>
        </w:rPr>
        <w:t>Dans un secteur comme celui de l’exploitation minière, le principe de prévention</w:t>
      </w:r>
      <w:r>
        <w:rPr>
          <w:rStyle w:val="Appelnotedebasdep"/>
          <w:rFonts w:cs="Calibri"/>
          <w:sz w:val="24"/>
          <w:szCs w:val="24"/>
          <w:lang w:val="fr-FR" w:eastAsia="fr-FR"/>
        </w:rPr>
        <w:footnoteReference w:id="35"/>
      </w:r>
      <w:r>
        <w:rPr>
          <w:rFonts w:eastAsia="Times New Roman" w:cs="Calibri"/>
          <w:sz w:val="24"/>
          <w:szCs w:val="24"/>
          <w:lang w:val="fr-FR" w:eastAsia="fr-FR"/>
        </w:rPr>
        <w:t xml:space="preserve"> s’appuie sur des procédures d’autorisation préalable qui, inscrites en droit interne et complétées par l’imposition de normes règlementaires, permettent à l’Etat d’intervenir en amont de la réalisation d’un projet pour l’interdire ou en modifier certains aspects, afin d’en limiter les conséquences négatives (</w:t>
      </w:r>
      <w:r>
        <w:rPr>
          <w:rFonts w:cs="Calibri"/>
          <w:sz w:val="24"/>
          <w:szCs w:val="24"/>
          <w:lang w:val="fr-FR"/>
        </w:rPr>
        <w:t>Hautereau-Boutonnet, M. &amp; Paul J-C., 2016)</w:t>
      </w:r>
      <w:r>
        <w:rPr>
          <w:rFonts w:eastAsia="Times New Roman"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Divers instrument existent pour tenter de limiter les impacts néfastes des activités industrielles ou économiques au sens large. L’un d’eux est l’étude d’impact environnemental (EIE), qui a été inscrite par la Conférence de Rio de 1992 comme un outil privilégié du développement durable</w:t>
      </w:r>
      <w:r>
        <w:rPr>
          <w:rStyle w:val="Appelnotedebasdep"/>
          <w:rFonts w:cs="Calibri"/>
          <w:sz w:val="24"/>
          <w:szCs w:val="24"/>
          <w:lang w:val="fr-FR" w:eastAsia="fr-FR"/>
        </w:rPr>
        <w:footnoteReference w:id="36"/>
      </w:r>
      <w:r>
        <w:rPr>
          <w:rFonts w:eastAsia="Times New Roman" w:cs="Calibri"/>
          <w:sz w:val="24"/>
          <w:szCs w:val="24"/>
          <w:lang w:val="fr-FR" w:eastAsia="fr-FR"/>
        </w:rPr>
        <w:t xml:space="preserve">. En RDC, la protection de l'environnement est loin des </w:t>
      </w:r>
      <w:r>
        <w:rPr>
          <w:rFonts w:eastAsia="Times New Roman" w:cs="Calibri"/>
          <w:sz w:val="24"/>
          <w:szCs w:val="24"/>
          <w:lang w:val="fr-FR" w:eastAsia="fr-FR"/>
        </w:rPr>
        <w:lastRenderedPageBreak/>
        <w:t>préoccupations des autorités, des partis politiques et des hommes politiques, voire de l’Etat</w:t>
      </w:r>
      <w:r>
        <w:rPr>
          <w:rStyle w:val="Appelnotedebasdep"/>
          <w:rFonts w:cs="Calibri"/>
          <w:sz w:val="24"/>
          <w:szCs w:val="24"/>
          <w:lang w:val="fr-FR" w:eastAsia="fr-FR"/>
        </w:rPr>
        <w:footnoteReference w:id="37"/>
      </w:r>
      <w:r>
        <w:rPr>
          <w:rFonts w:eastAsia="Times New Roman" w:cs="Calibri"/>
          <w:sz w:val="24"/>
          <w:szCs w:val="24"/>
          <w:lang w:val="fr-FR" w:eastAsia="fr-FR"/>
        </w:rPr>
        <w:t>. Les autorités se contentent activement de signer des contrats de développement et de relance économique dans le domaine de construction ou de réhabilitation des infrastructures routières et surtout dans celui d'exploitation minière sans beaucoup de considération sur les questions liées à la protection de l'environnement. Qu'importe ! dit-on souvent : le développement entraîne nécessairement la destruction des milieux naturels et des espèces qui les composent. C'est peut-être regrettable, mais c'est inévitable et sans grandes conséquences</w:t>
      </w:r>
      <w:r>
        <w:rPr>
          <w:rFonts w:cs="Calibri"/>
          <w:sz w:val="24"/>
          <w:szCs w:val="24"/>
          <w:lang w:val="fr-FR"/>
        </w:rPr>
        <w:t xml:space="preserve"> (</w:t>
      </w:r>
      <w:r>
        <w:rPr>
          <w:rFonts w:eastAsia="Times New Roman" w:cs="Calibri"/>
          <w:sz w:val="24"/>
          <w:szCs w:val="24"/>
          <w:lang w:val="fr-FR" w:eastAsia="fr-FR"/>
        </w:rPr>
        <w:t>Bonneuil, C., 2006).</w:t>
      </w:r>
      <w:r>
        <w:rPr>
          <w:rFonts w:cs="Calibri"/>
          <w:sz w:val="24"/>
          <w:szCs w:val="24"/>
          <w:lang w:val="fr-FR"/>
        </w:rPr>
        <w:t xml:space="preserve">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Se limiter à cette perspective serait tout simplement une manière de tronquer le sens complet du concept développement et le limiter la dimension industrialisation où l’homme n’est pas au centre des enjeux. Un vrai effort de développement s’inscrit dans une perspective essentiellement humaniste.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jc w:val="both"/>
        <w:rPr>
          <w:rFonts w:cs="Calibri"/>
          <w:color w:val="auto"/>
          <w:sz w:val="24"/>
          <w:szCs w:val="24"/>
          <w:lang w:val="fr-FR"/>
        </w:rPr>
      </w:pPr>
      <w:bookmarkStart w:id="231" w:name="_Toc59458307"/>
      <w:bookmarkStart w:id="232" w:name="_Toc79392963"/>
      <w:bookmarkStart w:id="233" w:name="_Toc111888601"/>
      <w:bookmarkStart w:id="234" w:name="_Toc127187185"/>
      <w:bookmarkStart w:id="235" w:name="_Toc127187462"/>
      <w:bookmarkStart w:id="236" w:name="_Toc127432219"/>
      <w:r>
        <w:rPr>
          <w:rFonts w:eastAsia="Times New Roman" w:cs="Calibri"/>
          <w:b/>
          <w:color w:val="auto"/>
          <w:sz w:val="24"/>
          <w:szCs w:val="24"/>
          <w:lang w:val="fr-FR" w:eastAsia="fr-FR"/>
        </w:rPr>
        <w:t>2.5.2. LES</w:t>
      </w:r>
      <w:bookmarkEnd w:id="231"/>
      <w:r>
        <w:rPr>
          <w:rFonts w:eastAsia="Times New Roman" w:cs="Calibri"/>
          <w:b/>
          <w:color w:val="auto"/>
          <w:sz w:val="24"/>
          <w:szCs w:val="24"/>
          <w:lang w:val="fr-FR" w:eastAsia="fr-FR"/>
        </w:rPr>
        <w:t xml:space="preserve"> IMPACTS DRAMATIQUES DES OPERATIONS MINIERES : DESTRUCTION DE L’ECOSYSTEME ET DES HABITATS NATURELS DES ESPECES</w:t>
      </w:r>
      <w:bookmarkEnd w:id="232"/>
      <w:bookmarkEnd w:id="233"/>
      <w:bookmarkEnd w:id="234"/>
      <w:bookmarkEnd w:id="235"/>
      <w:bookmarkEnd w:id="236"/>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Tout en cachant aux pays en développement les impacts dramatiques des opérations minières qui détruisent l’écosystème et les habitats naturels des espèces, plusieurs entreprises minières décrochent des contrats mielleux sur fond des promesses de développer la contrée. Malheureusement du point de vue écologique, la réhabilitation d'un écosystème pollué est une opération aléatoire. Du point de vue économique, la réparation ou la remise en état est souvent hors de prix (Francis, P. et al., 1993 ; </w:t>
      </w:r>
      <w:r>
        <w:rPr>
          <w:rStyle w:val="acopre"/>
          <w:rFonts w:cs="Calibri"/>
          <w:sz w:val="24"/>
          <w:szCs w:val="24"/>
          <w:lang w:val="fr-FR"/>
        </w:rPr>
        <w:t>Charbonneau, J-P. 2005</w:t>
      </w:r>
      <w:r>
        <w:rPr>
          <w:rFonts w:eastAsia="Times New Roman" w:cs="Calibri"/>
          <w:sz w:val="24"/>
          <w:szCs w:val="24"/>
          <w:lang w:val="fr-FR" w:eastAsia="fr-FR"/>
        </w:rPr>
        <w:t>).</w:t>
      </w:r>
      <w:r>
        <w:rPr>
          <w:rFonts w:cs="Calibri"/>
          <w:sz w:val="24"/>
          <w:szCs w:val="24"/>
          <w:lang w:val="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La plupart du temps, c’est à cause de leur impact sur les communautés humaines (risques liés à l’environnement) que l’on s’est préoccupé des polluants qui présentent un </w:t>
      </w:r>
      <w:r>
        <w:rPr>
          <w:rFonts w:eastAsia="Times New Roman" w:cs="Calibri"/>
          <w:sz w:val="24"/>
          <w:szCs w:val="24"/>
          <w:lang w:val="fr-FR" w:eastAsia="fr-FR"/>
        </w:rPr>
        <w:lastRenderedPageBreak/>
        <w:t>danger pour les travailleurs, les collectivités et le milieu physique (Charbonneau, J-P. (2005). Même si ce sont souvent les travailleurs qui sont le plus fortement exposés pendant leur activité (pollution du lieu du travail), ce ne sont pas eux qui sont jusqu’à présent les principales cibles des mesures de prévention. Pour un scientifique, la prévention est l'action de devancer, d’anticiper. C’est prendre des mesures pour éviter, empêcher ou au moins limiter la réalisation d'un risque, la production d'un dommage, l'accomplissement d'actes nuisibles en s'efforçant d'en supprimer les causes et les moyens</w:t>
      </w:r>
      <w:r>
        <w:rPr>
          <w:rFonts w:cs="Calibri"/>
          <w:sz w:val="24"/>
          <w:szCs w:val="24"/>
          <w:lang w:val="fr-FR"/>
        </w:rPr>
        <w:t xml:space="preserve"> (</w:t>
      </w:r>
      <w:r>
        <w:rPr>
          <w:rFonts w:eastAsia="Times New Roman" w:cs="Calibri"/>
          <w:sz w:val="24"/>
          <w:szCs w:val="24"/>
          <w:lang w:val="fr-FR" w:eastAsia="fr-FR"/>
        </w:rPr>
        <w:t xml:space="preserve">Cialdini, R.B. et al., 1990 ; Malu-Malu, J., 2018).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Très regardant dans tout ce qui concerne le développement de Basoko, un territoire de la Province de la Tshopo issu du démembrement de l’ex Province orientale, nous lançons  dans les sections qui suivent, un cri d’alarme pour dénoncer en amont les impacts dramatiques prévisibles et évitables à la suite  de l’exploitation minière dans la rivière Aruwimi, en l’occurrence, le projet imminent de la société « Xiang Jiang Mining SARL ».</w:t>
      </w:r>
    </w:p>
    <w:p w:rsidR="0089405D" w:rsidRDefault="0089405D">
      <w:pPr>
        <w:spacing w:after="0" w:line="312" w:lineRule="auto"/>
        <w:rPr>
          <w:rFonts w:eastAsia="Times New Roman" w:cs="Calibri"/>
          <w:b/>
          <w:sz w:val="24"/>
          <w:szCs w:val="24"/>
          <w:lang w:val="fr-FR" w:eastAsia="fr-FR"/>
        </w:rPr>
      </w:pPr>
      <w:bookmarkStart w:id="237" w:name="_Toc59458308"/>
      <w:bookmarkStart w:id="238" w:name="_Toc79392964"/>
      <w:bookmarkStart w:id="239" w:name="_Toc111888602"/>
      <w:bookmarkStart w:id="240" w:name="_Toc127187186"/>
      <w:bookmarkStart w:id="241" w:name="_Toc127187463"/>
      <w:bookmarkStart w:id="242" w:name="_Toc127432220"/>
    </w:p>
    <w:p w:rsidR="0089405D" w:rsidRDefault="003468E2">
      <w:pPr>
        <w:pStyle w:val="Titre1"/>
        <w:spacing w:before="0" w:line="312" w:lineRule="auto"/>
        <w:jc w:val="both"/>
        <w:rPr>
          <w:rFonts w:eastAsia="Times New Roman" w:cs="Calibri"/>
          <w:b/>
          <w:color w:val="auto"/>
          <w:sz w:val="24"/>
          <w:szCs w:val="24"/>
          <w:lang w:val="fr-FR" w:eastAsia="fr-FR"/>
        </w:rPr>
      </w:pPr>
      <w:r>
        <w:rPr>
          <w:rFonts w:eastAsia="Times New Roman" w:cs="Calibri"/>
          <w:b/>
          <w:color w:val="auto"/>
          <w:sz w:val="24"/>
          <w:szCs w:val="24"/>
          <w:lang w:val="fr-FR" w:eastAsia="fr-FR"/>
        </w:rPr>
        <w:t>2.6. LES PROCEDURES DES ETUDES D’IMPACT ENVIRONNEMENTAL ET SOCIAL DES PROJETS D'EXPLOITATION</w:t>
      </w:r>
      <w:bookmarkEnd w:id="237"/>
      <w:r>
        <w:rPr>
          <w:rFonts w:eastAsia="Times New Roman" w:cs="Calibri"/>
          <w:b/>
          <w:color w:val="auto"/>
          <w:sz w:val="24"/>
          <w:szCs w:val="24"/>
          <w:lang w:val="fr-FR" w:eastAsia="fr-FR"/>
        </w:rPr>
        <w:t xml:space="preserve"> MINIERE</w:t>
      </w:r>
      <w:bookmarkEnd w:id="238"/>
      <w:bookmarkEnd w:id="239"/>
      <w:bookmarkEnd w:id="240"/>
      <w:bookmarkEnd w:id="241"/>
      <w:bookmarkEnd w:id="242"/>
      <w:r>
        <w:rPr>
          <w:rFonts w:eastAsia="Times New Roman" w:cs="Calibri"/>
          <w:b/>
          <w:color w:val="auto"/>
          <w:sz w:val="24"/>
          <w:szCs w:val="24"/>
          <w:lang w:val="fr-FR" w:eastAsia="fr-FR"/>
        </w:rPr>
        <w:t xml:space="preserve"> </w:t>
      </w:r>
    </w:p>
    <w:p w:rsidR="0089405D" w:rsidRDefault="0089405D">
      <w:pPr>
        <w:pStyle w:val="Titre1"/>
        <w:spacing w:before="0" w:line="312" w:lineRule="auto"/>
        <w:jc w:val="both"/>
        <w:rPr>
          <w:rFonts w:cs="Calibri"/>
          <w:color w:val="auto"/>
          <w:sz w:val="24"/>
          <w:szCs w:val="24"/>
          <w:lang w:val="fr-FR"/>
        </w:rPr>
      </w:pPr>
    </w:p>
    <w:p w:rsidR="0089405D" w:rsidRDefault="003468E2">
      <w:pPr>
        <w:spacing w:after="0" w:line="312" w:lineRule="auto"/>
        <w:ind w:firstLine="709"/>
        <w:jc w:val="both"/>
        <w:rPr>
          <w:rFonts w:cs="Calibri"/>
          <w:sz w:val="24"/>
          <w:szCs w:val="24"/>
          <w:lang w:val="fr-FR"/>
        </w:rPr>
      </w:pPr>
      <w:r>
        <w:rPr>
          <w:rFonts w:eastAsia="Times New Roman" w:cs="Calibri"/>
          <w:sz w:val="24"/>
          <w:szCs w:val="24"/>
          <w:lang w:val="fr-FR" w:eastAsia="fr-FR"/>
        </w:rPr>
        <w:t>Le nouveau code contient trente-deux innovations. Parmi ces innovations, toutes les opérations d'exploitation minière, hormis l'exploitation des carrières temporaires, doivent faire l'objet d'une étude d'impact environnemental du projet et d'un plan de gestion environnementale du projet.  Tout demandeur d'un permis d'exploitation, d'un permis d'exploitation de rejets, d'un permis d'exploitation de petite mine ou d'autorisation d'exploitation des carrières est tenu de présenter une étude d'impact environnemental accompagné d'un plan de gestion environnementale du projet et d'obtenir l'approbation de son EIES et Plan de Gestion Environnementale et Sociale (PGES) qu’il est tenu de mettre en œuvre.</w:t>
      </w:r>
      <w:r>
        <w:rPr>
          <w:rFonts w:cs="Calibri"/>
          <w:sz w:val="24"/>
          <w:szCs w:val="24"/>
          <w:lang w:val="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Selon la Loi n°18/001 modifiant et complétant la Loi n° 007/2002 du 11 juillet 2002 portant Code minier dans son Article 71 literas b, c et d, il est exigé en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xml:space="preserve">Litera b, de démontrer l’existence des ressources financières nécessaires pour mener à bien son projet selon un plan de financement des travaux de développement, de construction et d’exploitation de la mine ainsi que le plan de réhabilitation du site à sa fermeture. Ce plan précise chaque type de financement, les sources de financement visées et les justifications de leur disponibilité probable. Dans tous les cas, le capital social apporté par le requérant ne </w:t>
      </w:r>
      <w:r>
        <w:rPr>
          <w:rFonts w:eastAsia="Times New Roman" w:cs="Calibri"/>
          <w:sz w:val="24"/>
          <w:szCs w:val="24"/>
          <w:lang w:val="fr-FR" w:eastAsia="fr-FR"/>
        </w:rPr>
        <w:lastRenderedPageBreak/>
        <w:t>peut être inférieur à 40% desdites ressources. Et pourtant cette société chinoise ne présente qu’un chiffre d’affaires de dix mille dollars américains selon la loi ci-haut citée.</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Litera c, de démontrer l’existence des ressources financières nécessaires pour continuer à mener à bien son projet selon le plan de financement et des travaux d’exploitation de la mine ainsi que le plan de réhabilitation du site à sa fermeture.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xml:space="preserve">Ce plan précise chaque type de financement visé et les justifications de leur disponibilité probable ;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Litera d, d’obtenir l’approbation de la mise à jour de l’EIES et du PGES etc. Le requérant d'un droit minier d'exploitation pour lequel une étude d'impact environnemental est exigée peut demander par lettre adressée à la direction chargée de la protection de l'environnement minier une clarification de l'envergure de l'étude d'impact environnemental à préparer pour son projet. Le requérant prospectif joint à sa lettre soit une proposition, soit des questions auxquelles il demande la réponse à la direction chargée de la protection de l'environnement minier.</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La lettre de demande de clarification préalable est déposée au cadastre minier</w:t>
      </w:r>
      <w:r>
        <w:rPr>
          <w:rStyle w:val="Appelnotedebasdep"/>
          <w:rFonts w:cs="Calibri"/>
          <w:sz w:val="24"/>
          <w:szCs w:val="24"/>
          <w:lang w:val="fr-FR" w:eastAsia="fr-FR"/>
        </w:rPr>
        <w:footnoteReference w:id="38"/>
      </w:r>
      <w:r>
        <w:rPr>
          <w:rFonts w:eastAsia="Times New Roman" w:cs="Calibri"/>
          <w:sz w:val="24"/>
          <w:szCs w:val="24"/>
          <w:lang w:val="fr-FR" w:eastAsia="fr-FR"/>
        </w:rPr>
        <w:t xml:space="preserve"> central. Au moment du dépôt, le requérant paie les frais de dépôt et le cadastre minier central lui délivre un récépissé signé indiquant son nom, la date, la nature de la demande, le montant et le lieu du paiement. Le cadastre minier central transmet la lettre à la direction chargée de la protection de l'environnement minier, qui la porte à l'attention du comité permanent d'évaluation des plans environnementaux.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lastRenderedPageBreak/>
        <w:tab/>
      </w:r>
      <w:r>
        <w:rPr>
          <w:rFonts w:eastAsia="Times New Roman" w:cs="Calibri"/>
          <w:sz w:val="24"/>
          <w:szCs w:val="24"/>
          <w:lang w:val="fr-FR" w:eastAsia="fr-FR"/>
        </w:rPr>
        <w:t xml:space="preserve">Le comité permanent d'évaluation peut inviter le requérant en vue de clarifier la question et conclure avec lui un mémorandum d'accord sur les thèmes, les territoires et les populations qui feront l'objet de l'EIES. Dans ce cas, le requérant peut considérer qu'il n'est pas obligé de couvrir des questions en dehors des limites ainsi établies ; et son étude d'impact environnemental ne peut pas être rejetée pour défaut de couverture des éléments ainsi exclus.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jc w:val="both"/>
        <w:rPr>
          <w:rFonts w:eastAsia="Times New Roman" w:cs="Calibri"/>
          <w:b/>
          <w:color w:val="auto"/>
          <w:sz w:val="24"/>
          <w:szCs w:val="24"/>
          <w:lang w:val="fr-FR" w:eastAsia="fr-FR"/>
        </w:rPr>
      </w:pPr>
      <w:bookmarkStart w:id="243" w:name="_Toc59458309"/>
      <w:bookmarkStart w:id="244" w:name="_Toc79392965"/>
      <w:bookmarkStart w:id="245" w:name="_Toc111888603"/>
      <w:bookmarkStart w:id="246" w:name="_Toc127187187"/>
      <w:bookmarkStart w:id="247" w:name="_Toc127187464"/>
      <w:bookmarkStart w:id="248" w:name="_Toc127432221"/>
      <w:r>
        <w:rPr>
          <w:rFonts w:eastAsia="Times New Roman" w:cs="Calibri"/>
          <w:b/>
          <w:color w:val="auto"/>
          <w:sz w:val="24"/>
          <w:szCs w:val="24"/>
          <w:lang w:val="fr-FR" w:eastAsia="fr-FR"/>
        </w:rPr>
        <w:t>2.7.</w:t>
      </w:r>
      <w:bookmarkEnd w:id="243"/>
      <w:r>
        <w:rPr>
          <w:rFonts w:eastAsia="Times New Roman" w:cs="Calibri"/>
          <w:b/>
          <w:color w:val="auto"/>
          <w:sz w:val="24"/>
          <w:szCs w:val="24"/>
          <w:lang w:val="fr-FR" w:eastAsia="fr-FR"/>
        </w:rPr>
        <w:t xml:space="preserve"> RESPONSABILITE LOCALE AU PROBLEME D’EXPLOITATION INDUSTRIELLE ILLICITE DES MINERAIS</w:t>
      </w:r>
      <w:bookmarkEnd w:id="244"/>
      <w:bookmarkEnd w:id="245"/>
      <w:bookmarkEnd w:id="246"/>
      <w:bookmarkEnd w:id="247"/>
      <w:bookmarkEnd w:id="248"/>
    </w:p>
    <w:p w:rsidR="0089405D" w:rsidRDefault="0089405D">
      <w:pPr>
        <w:pStyle w:val="Titre1"/>
        <w:spacing w:before="0" w:line="312" w:lineRule="auto"/>
        <w:jc w:val="both"/>
        <w:rPr>
          <w:rFonts w:cs="Calibri"/>
          <w:color w:val="auto"/>
          <w:sz w:val="24"/>
          <w:szCs w:val="24"/>
          <w:lang w:val="fr-FR"/>
        </w:rPr>
      </w:pP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À la suite des élections et à l’avènement d’un nouveau gouvernement en République Démocratique du Congo, de nombreuses incertitudes subsistent. Si les entreprises minières ont progressivement mis en œuvre certaines dispositions du code minier, d’autres dispositions positives pour les communautés locales ne sont toujours pas mises en œuvre actuellement, car des textes d’application gouvernementaux traînent (par exemple la dotation pour le développement communautaire).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Les bénéfices pour les populations locales se font donc toujours attendre. C’est ainsi que l’Organisation de la Société Civile se mobilise autour de la question, pour se positionner ensemble sur le nouveau code minier et identifier leurs priorités communes. Celles-ci sont claires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Il faut exiger avant tout que les dispositions du code minier soient effectivement mises en œuvre dans leur intégralité (Malu-Malu, J., 2018). Ceci est surtout vrai concernant certaines dispositions bénéficiant aux communautés locales qui doivent être mises en œuvre le plus rapidement possible notamment : le fonds pour les générations futures, la dotation pour le développement communautaire, l’établissement des cahiers des charges. Pour cela, les textes d’application gouvernementaux doivent être développés rapidement, en évitant surtout le traitement « au cas par cas » des entreprises minières</w:t>
      </w:r>
      <w:r>
        <w:rPr>
          <w:rStyle w:val="Appelnotedebasdep"/>
          <w:rFonts w:cs="Calibri"/>
          <w:sz w:val="24"/>
          <w:szCs w:val="24"/>
          <w:lang w:val="fr-FR" w:eastAsia="fr-FR"/>
        </w:rPr>
        <w:footnoteReference w:id="39"/>
      </w:r>
      <w:r>
        <w:rPr>
          <w:rFonts w:eastAsia="Times New Roman" w:cs="Calibri"/>
          <w:sz w:val="24"/>
          <w:szCs w:val="24"/>
          <w:lang w:val="fr-FR" w:eastAsia="fr-FR"/>
        </w:rPr>
        <w:t>.</w:t>
      </w:r>
    </w:p>
    <w:p w:rsidR="0089405D" w:rsidRDefault="003468E2">
      <w:pPr>
        <w:spacing w:after="0" w:line="312" w:lineRule="auto"/>
        <w:jc w:val="both"/>
        <w:rPr>
          <w:rFonts w:cs="Calibri"/>
          <w:sz w:val="24"/>
          <w:szCs w:val="24"/>
          <w:lang w:val="fr-FR"/>
        </w:rPr>
      </w:pPr>
      <w:r>
        <w:rPr>
          <w:rFonts w:cs="Calibri"/>
          <w:sz w:val="24"/>
          <w:szCs w:val="24"/>
          <w:lang w:val="fr-FR"/>
        </w:rPr>
        <w:t xml:space="preserve">- </w:t>
      </w:r>
      <w:r>
        <w:rPr>
          <w:rFonts w:eastAsia="Times New Roman" w:cs="Calibri"/>
          <w:sz w:val="24"/>
          <w:szCs w:val="24"/>
          <w:lang w:val="fr-FR" w:eastAsia="fr-FR"/>
        </w:rPr>
        <w:t xml:space="preserve">Ensuite, un travail rigoureux de suivi du respect par les entreprises des nouvelles dispositions du code minier est également prioritaire. Cela permettrait d’éviter qu’elles créent des nouveaux instruments financiers en vue de contourner les dispositions du nouveau code minier, et de décourager tout octroi par le gouvernement congolais de </w:t>
      </w:r>
      <w:r>
        <w:rPr>
          <w:rFonts w:eastAsia="Times New Roman" w:cs="Calibri"/>
          <w:sz w:val="24"/>
          <w:szCs w:val="24"/>
          <w:lang w:val="fr-FR" w:eastAsia="fr-FR"/>
        </w:rPr>
        <w:lastRenderedPageBreak/>
        <w:t>mesures incitatives préférentielles à telle ou telle entreprise minière. Le suivi de la mise en œuvre du code minier passe également par l’installation de comités locaux de suivi, l’adoption des arrêtés ministériels ou des décrets qui permettent la création effective des institutions et mécanismes prévus par le code minier, par exemple, les mécanismes relatifs à la gestion de la redevance minière, de la dotation pour le développement communautaire, du fonds pour les générations futures.</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 En plus, il est crucial que les organisations de la société civile puissent accompagner les communautés locales en les informant de leurs droits liés au nouveau code minier via une vulgarisation de ce dernier, que ce soit concernant le fonds pour les générations futures, leur quote-part de la redevance minière, la dotation pour le développement communautaire, les cahiers des charges, etc.</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 xml:space="preserve">Notre rôle, en tant que Société Civile, c’est aussi le renforcement des capacités des entités territoriales décentralisées (ETD) et autres autorités locales. Le cas échéant, ce rôle doit aussi être privilégié afin que ces dernières puissent gérer adéquatement et de manière transparente les nouvelles sources financières mises sur pied par le code minier, telles que la répartition des 15% de la redevance minière. Pour cela, des mécanismes de contrôle qui puissent assurer la bonne gestion par les ETD, et des plans locaux de développement pour chaque ETD sont cruciaux (Mack-Dumba J., 2015). </w:t>
      </w:r>
    </w:p>
    <w:p w:rsidR="0089405D" w:rsidRDefault="0089405D">
      <w:pPr>
        <w:spacing w:after="0" w:line="312" w:lineRule="auto"/>
        <w:jc w:val="both"/>
        <w:rPr>
          <w:rFonts w:eastAsia="Times New Roman" w:cs="Calibri"/>
          <w:sz w:val="24"/>
          <w:szCs w:val="24"/>
          <w:lang w:val="fr-FR" w:eastAsia="fr-FR"/>
        </w:rPr>
      </w:pPr>
    </w:p>
    <w:p w:rsidR="0089405D" w:rsidRDefault="003468E2">
      <w:pPr>
        <w:pStyle w:val="Titre1"/>
        <w:spacing w:before="0" w:line="312" w:lineRule="auto"/>
        <w:rPr>
          <w:rFonts w:eastAsia="Times New Roman" w:cs="Calibri"/>
          <w:b/>
          <w:color w:val="auto"/>
          <w:sz w:val="24"/>
          <w:szCs w:val="24"/>
          <w:lang w:val="fr-FR" w:eastAsia="fr-FR"/>
        </w:rPr>
      </w:pPr>
      <w:bookmarkStart w:id="249" w:name="_Toc59458310"/>
      <w:bookmarkStart w:id="250" w:name="_Toc79392966"/>
      <w:bookmarkStart w:id="251" w:name="_Toc111888604"/>
      <w:bookmarkStart w:id="252" w:name="_Toc127187188"/>
      <w:bookmarkStart w:id="253" w:name="_Toc127187465"/>
      <w:bookmarkStart w:id="254" w:name="_Toc127432222"/>
      <w:r>
        <w:rPr>
          <w:rFonts w:eastAsia="Times New Roman" w:cs="Calibri"/>
          <w:b/>
          <w:color w:val="auto"/>
          <w:sz w:val="24"/>
          <w:szCs w:val="24"/>
          <w:lang w:val="fr-FR" w:eastAsia="fr-FR"/>
        </w:rPr>
        <w:t>2.8.</w:t>
      </w:r>
      <w:bookmarkEnd w:id="249"/>
      <w:r>
        <w:rPr>
          <w:rFonts w:eastAsia="Times New Roman" w:cs="Calibri"/>
          <w:b/>
          <w:color w:val="auto"/>
          <w:sz w:val="24"/>
          <w:szCs w:val="24"/>
          <w:lang w:val="fr-FR" w:eastAsia="fr-FR"/>
        </w:rPr>
        <w:t xml:space="preserve"> CONCLUSION</w:t>
      </w:r>
      <w:bookmarkEnd w:id="250"/>
      <w:bookmarkEnd w:id="251"/>
      <w:bookmarkEnd w:id="252"/>
      <w:bookmarkEnd w:id="253"/>
      <w:bookmarkEnd w:id="254"/>
      <w:r>
        <w:rPr>
          <w:rFonts w:eastAsia="Times New Roman" w:cs="Calibri"/>
          <w:b/>
          <w:color w:val="auto"/>
          <w:sz w:val="24"/>
          <w:szCs w:val="24"/>
          <w:lang w:val="fr-FR" w:eastAsia="fr-FR"/>
        </w:rPr>
        <w:t xml:space="preserve"> </w:t>
      </w:r>
    </w:p>
    <w:p w:rsidR="0089405D" w:rsidRDefault="0089405D">
      <w:pPr>
        <w:pStyle w:val="Titre1"/>
        <w:spacing w:before="0" w:line="312" w:lineRule="auto"/>
        <w:rPr>
          <w:rFonts w:eastAsia="Times New Roman" w:cs="Calibri"/>
          <w:b/>
          <w:color w:val="auto"/>
          <w:sz w:val="24"/>
          <w:szCs w:val="24"/>
          <w:lang w:val="fr-FR" w:eastAsia="fr-FR"/>
        </w:rPr>
      </w:pPr>
    </w:p>
    <w:p w:rsidR="0089405D" w:rsidRDefault="003468E2">
      <w:pPr>
        <w:spacing w:after="0" w:line="312" w:lineRule="auto"/>
        <w:ind w:firstLine="708"/>
        <w:jc w:val="both"/>
        <w:rPr>
          <w:rFonts w:cs="Calibri"/>
          <w:color w:val="FFFF00"/>
          <w:sz w:val="24"/>
          <w:szCs w:val="24"/>
          <w:lang w:val="fr-FR"/>
        </w:rPr>
      </w:pPr>
      <w:bookmarkStart w:id="255" w:name="_Toc79392967"/>
      <w:bookmarkStart w:id="256" w:name="_Toc80352035"/>
      <w:r>
        <w:rPr>
          <w:rFonts w:cs="Calibri"/>
          <w:sz w:val="24"/>
          <w:szCs w:val="24"/>
          <w:lang w:val="fr-FR"/>
        </w:rPr>
        <w:t>L’objectif de ce chapitre n’est pas de dresser la liste exhaustive des recommandations spécifiques établies dans l’ensemble du document, mais de proposer quelques pistes selon les différentes lois aux réformes de la conservation de la nature et de la protection de la biodiversité et la protection des cours d’eaux.</w:t>
      </w:r>
      <w:bookmarkEnd w:id="255"/>
      <w:bookmarkEnd w:id="256"/>
      <w:r>
        <w:rPr>
          <w:rFonts w:cs="Calibri"/>
          <w:sz w:val="24"/>
          <w:szCs w:val="24"/>
          <w:lang w:val="fr-FR"/>
        </w:rPr>
        <w:t xml:space="preserve"> </w:t>
      </w:r>
    </w:p>
    <w:p w:rsidR="0089405D" w:rsidRDefault="003468E2">
      <w:pPr>
        <w:spacing w:after="0" w:line="312" w:lineRule="auto"/>
        <w:ind w:firstLine="708"/>
        <w:jc w:val="both"/>
        <w:rPr>
          <w:rFonts w:eastAsia="Times New Roman" w:cs="Calibri"/>
          <w:sz w:val="24"/>
          <w:szCs w:val="24"/>
          <w:lang w:val="fr-FR" w:eastAsia="fr-FR"/>
        </w:rPr>
      </w:pPr>
      <w:r>
        <w:rPr>
          <w:rFonts w:cs="Calibri"/>
          <w:sz w:val="24"/>
          <w:szCs w:val="24"/>
          <w:lang w:val="fr-FR"/>
        </w:rPr>
        <w:t>Cette</w:t>
      </w:r>
      <w:r>
        <w:rPr>
          <w:rFonts w:eastAsia="Times New Roman" w:cs="Calibri"/>
          <w:sz w:val="24"/>
          <w:szCs w:val="24"/>
          <w:lang w:val="fr-FR" w:eastAsia="fr-FR"/>
        </w:rPr>
        <w:t xml:space="preserve"> analyse du projet d’exploitation minière dans la rivière Aruwimi, à la hauteur de la localité de Liambe et de ses environs, ainsi que les expériences vécues d’autres milieux déjà exploités comme Banalia et ses localités, démontrent suffisamment que l’activité du secteur minier en RDC se borne actuellement plus sur l’exploitation de gîtes aurifères, diamantifères et autres, sans aucun souci de préserver l’environnement physique, économique et social.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En conséquence, pour le cas du territoire de Basoko, une guéguerre naît au point de fissurer dangereusement la cohésion sociale au sein de l’élite ressortissant de cette contrée. On s’accuse à tort ou à raison, on se vilipende, on se conspue, on se soupçonne…les uns  de soutiennent ce projet, « maffieux » et « suicidaire », à la faveur des pots de vin ou de la </w:t>
      </w:r>
      <w:r>
        <w:rPr>
          <w:rFonts w:eastAsia="Times New Roman" w:cs="Calibri"/>
          <w:sz w:val="24"/>
          <w:szCs w:val="24"/>
          <w:lang w:val="fr-FR" w:eastAsia="fr-FR"/>
        </w:rPr>
        <w:lastRenderedPageBreak/>
        <w:t xml:space="preserve">corruption et ce, au détriment de la population.  Un climat très délétère s’installe et corrompt les efforts de bien-commun et de progrès social en faveur du milieu. Les autorités politico administratives tant locales que provinciales semblent se mettre à porte-à-faux avec la base locale qui considère cette exploitation autorisée comme illicite et nuisible pour la génération présente et pour les générations à venir comme les études d’impacts environnementaux et socioéconomiques les illustrent dans cette étude.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Nous souhaitons que l’autorité compétente s’emploie à remettre la quiétude et l’harmonie au sein de cette population, dans le sens du bien-être du peuple, car le salut du peuple est la loi suprême (Felix-Antoine Tshsisekedi).  Un passage en force au nom de l’établissement de l’autorité de l’Etat serait incendiaire. Ici, le pouvoir public doit jouer correctement son rôle régulateur et prévenir les conflits en amont plutôt que d’attendre à jouer, en aval,  au sapeur-pompier. Les conflits inter ou intracommunautaires se rependent souvent timidement et à petit feu au risque de prendre une envergure incontrôlable si on n’y fait pas attention. Mieux vaut prévenir que guérir ! </w:t>
      </w: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La gestion durable et l’exploitation des ressources non renouvelables est, certes, un concept nouveau pour beaucoup, peu importe les domaines de spécialisation. Mais une de ses composantes fondamentales a une longue tradition dans la gestion des ressources naturelles. La gestion durable des massifs forestiers, des ressources fluviales et aquatiques est un principe appliqué depuis plusieurs décennies, voire des siècles, dans les pays de l’hémisphère Nord, celle des forêts denses tropicales humides, des cours d’eau et des côtes marines, en particulier en Afrique Centrale et surtout en RDC, apparaît encore plus comme un MYTHE plutôt qu’une réalité.</w:t>
      </w:r>
      <w:r>
        <w:rPr>
          <w:rFonts w:cs="Calibri"/>
          <w:sz w:val="24"/>
          <w:szCs w:val="24"/>
          <w:lang w:val="fr-FR"/>
        </w:rPr>
        <w:t xml:space="preserve"> Il est temps de la démystifier, car notre développement et notre avenir en dépendent. Aujourd’hui, des réflexions philosophiques, théologiques et même l’Enseignement doctrinal de l’Eglise Catholique  lancent la sonnette d’alarme pour interpeler et appeler à une gestion durable de l’environnement et des ressources naturelles.</w:t>
      </w:r>
    </w:p>
    <w:p w:rsidR="0089405D" w:rsidRDefault="0089405D">
      <w:pPr>
        <w:spacing w:after="0" w:line="312" w:lineRule="auto"/>
        <w:ind w:left="851" w:hanging="851"/>
        <w:jc w:val="both"/>
        <w:rPr>
          <w:rFonts w:cs="Calibri"/>
          <w:b/>
          <w:sz w:val="24"/>
          <w:szCs w:val="24"/>
          <w:lang w:val="fr-FR"/>
        </w:rPr>
      </w:pPr>
    </w:p>
    <w:p w:rsidR="0089405D" w:rsidRDefault="003468E2">
      <w:pPr>
        <w:spacing w:after="0" w:line="312" w:lineRule="auto"/>
        <w:rPr>
          <w:rFonts w:cs="Calibri"/>
          <w:b/>
          <w:color w:val="000000"/>
          <w:sz w:val="24"/>
          <w:szCs w:val="24"/>
          <w:lang w:val="fr-FR"/>
        </w:rPr>
      </w:pPr>
      <w:r>
        <w:rPr>
          <w:rFonts w:cs="Calibri"/>
          <w:b/>
          <w:color w:val="000000"/>
          <w:sz w:val="24"/>
          <w:szCs w:val="24"/>
          <w:lang w:val="fr-FR"/>
        </w:rPr>
        <w:br w:type="page"/>
      </w:r>
    </w:p>
    <w:p w:rsidR="0089405D" w:rsidRDefault="003468E2">
      <w:pPr>
        <w:pStyle w:val="Titre1"/>
        <w:spacing w:before="0" w:line="312" w:lineRule="auto"/>
        <w:rPr>
          <w:rFonts w:cs="Calibri"/>
          <w:b/>
          <w:color w:val="000000"/>
          <w:sz w:val="24"/>
          <w:szCs w:val="24"/>
          <w:lang w:val="fr-FR"/>
        </w:rPr>
      </w:pPr>
      <w:r>
        <w:rPr>
          <w:rFonts w:cs="Calibri"/>
          <w:b/>
          <w:color w:val="000000"/>
          <w:sz w:val="24"/>
          <w:szCs w:val="24"/>
          <w:lang w:val="fr-FR"/>
        </w:rPr>
        <w:lastRenderedPageBreak/>
        <w:t>RÉFÉRENCES BIBLIOGRAPHIQUES</w:t>
      </w:r>
    </w:p>
    <w:p w:rsidR="0089405D" w:rsidRDefault="0089405D">
      <w:pPr>
        <w:spacing w:after="0" w:line="312" w:lineRule="auto"/>
        <w:ind w:left="851" w:hanging="851"/>
        <w:jc w:val="both"/>
        <w:rPr>
          <w:rFonts w:cs="Calibri"/>
          <w:sz w:val="24"/>
          <w:szCs w:val="24"/>
          <w:lang w:val="fr-FR"/>
        </w:rPr>
      </w:pP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rPr>
        <w:t>Abadie, J.C. (2008). La nature ordinaire face aux pressions humaines : le cas des plantes communes. Méthodes de suivis et évaluation de l’impact des activités humaines, Paris, Musée national d’histoire naturelle </w:t>
      </w:r>
    </w:p>
    <w:p w:rsidR="0089405D" w:rsidRDefault="003468E2">
      <w:pPr>
        <w:pStyle w:val="Paragraphedeliste"/>
        <w:numPr>
          <w:ilvl w:val="0"/>
          <w:numId w:val="38"/>
        </w:numPr>
        <w:spacing w:line="312" w:lineRule="auto"/>
        <w:jc w:val="both"/>
        <w:rPr>
          <w:rFonts w:cs="Calibri"/>
          <w:sz w:val="24"/>
          <w:szCs w:val="24"/>
        </w:rPr>
      </w:pPr>
      <w:r>
        <w:rPr>
          <w:rFonts w:cs="Calibri"/>
          <w:sz w:val="24"/>
          <w:szCs w:val="24"/>
          <w:lang w:eastAsia="fr-FR"/>
        </w:rPr>
        <w:t>Bottin, J. A. (2009). “Integrating sustainability down to the operational levels of a mining company”, Dyna, 77 (161): 43-49</w:t>
      </w:r>
    </w:p>
    <w:p w:rsidR="0089405D" w:rsidRDefault="003468E2">
      <w:pPr>
        <w:pStyle w:val="Paragraphedeliste"/>
        <w:numPr>
          <w:ilvl w:val="0"/>
          <w:numId w:val="38"/>
        </w:numPr>
        <w:spacing w:line="312" w:lineRule="auto"/>
        <w:jc w:val="both"/>
        <w:rPr>
          <w:rStyle w:val="acopre"/>
          <w:rFonts w:cs="Calibri"/>
          <w:sz w:val="24"/>
          <w:szCs w:val="24"/>
        </w:rPr>
      </w:pPr>
      <w:r>
        <w:rPr>
          <w:rStyle w:val="acopre"/>
          <w:rFonts w:cs="Calibri"/>
          <w:sz w:val="24"/>
          <w:szCs w:val="24"/>
        </w:rPr>
        <w:t>Brunson, M.W. (1996). A definition of “social acceptability” in ecosystem management. In : Brunson, M.W. ; Kruger, L.E. ; Tyler, C.B. ; Schroeder, S.A., tech. eds. Defining social acceptability in ecosystem management : a workshop proceedings. Gen. Tech. Rep. PNW-GTR-369. Portland, OR: U.S. Department of Agriculture, Forest Service, Pacific Northwest Research Station : 7-16</w:t>
      </w:r>
    </w:p>
    <w:p w:rsidR="0089405D" w:rsidRDefault="003468E2">
      <w:pPr>
        <w:pStyle w:val="Paragraphedeliste"/>
        <w:numPr>
          <w:ilvl w:val="0"/>
          <w:numId w:val="38"/>
        </w:numPr>
        <w:spacing w:line="312" w:lineRule="auto"/>
        <w:jc w:val="both"/>
        <w:rPr>
          <w:rStyle w:val="acopre"/>
          <w:rFonts w:cs="Calibri"/>
          <w:sz w:val="24"/>
          <w:szCs w:val="24"/>
        </w:rPr>
      </w:pPr>
      <w:r>
        <w:rPr>
          <w:rStyle w:val="acopre"/>
          <w:rFonts w:cs="Calibri"/>
          <w:sz w:val="24"/>
          <w:szCs w:val="24"/>
        </w:rPr>
        <w:t>Brunson, M.W.; Kruger, L.E. ; Tyler, C.B. ; Schroeder, S.A.&amp; tech.A (2018). Defining social acceptability in ecosystem management: workshop proceedings. Gen. Tech. Rep. PNW-GTR-369. Portland, OR: U.S. Department of Agriculture, Forest Service, Pacific Northwest Research Station</w:t>
      </w:r>
    </w:p>
    <w:p w:rsidR="0089405D" w:rsidRDefault="003468E2">
      <w:pPr>
        <w:pStyle w:val="Paragraphedeliste"/>
        <w:numPr>
          <w:ilvl w:val="0"/>
          <w:numId w:val="38"/>
        </w:numPr>
        <w:spacing w:line="312" w:lineRule="auto"/>
        <w:jc w:val="both"/>
        <w:rPr>
          <w:rFonts w:cs="Calibri"/>
          <w:sz w:val="24"/>
          <w:szCs w:val="24"/>
        </w:rPr>
      </w:pPr>
      <w:r>
        <w:rPr>
          <w:rFonts w:cs="Calibri"/>
          <w:sz w:val="24"/>
          <w:szCs w:val="24"/>
        </w:rPr>
        <w:t>Campbell, B. (2009). « Introduction ». In B. Campbell (éd.), Mining in Africa. Regulation and Development. London and New York: Pluto Press, 1-24</w:t>
      </w:r>
      <w:r>
        <w:rPr>
          <w:rFonts w:cs="Calibri"/>
          <w:sz w:val="24"/>
          <w:szCs w:val="24"/>
          <w:lang w:eastAsia="fr-FR"/>
        </w:rPr>
        <w:t xml:space="preserve"> </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eastAsia="fr-FR"/>
        </w:rPr>
        <w:t>Caron-Malenfant, J. &amp; Conraud T. (2009)</w:t>
      </w:r>
      <w:r>
        <w:rPr>
          <w:rFonts w:eastAsia="Times New Roman" w:cs="Calibri"/>
          <w:sz w:val="24"/>
          <w:szCs w:val="24"/>
          <w:lang w:val="fr-FR" w:eastAsia="fr-FR"/>
        </w:rPr>
        <w:t xml:space="preserve"> Guide pratique de l'acceptabilité sociale : pistes de réflexion et d'action, DPRM EDITIONS, Québec,  ISBN : 9782981069412</w:t>
      </w:r>
    </w:p>
    <w:p w:rsidR="0089405D" w:rsidRDefault="003468E2">
      <w:pPr>
        <w:pStyle w:val="Paragraphedeliste"/>
        <w:numPr>
          <w:ilvl w:val="0"/>
          <w:numId w:val="38"/>
        </w:numPr>
        <w:spacing w:line="312" w:lineRule="auto"/>
        <w:jc w:val="both"/>
        <w:rPr>
          <w:rStyle w:val="acopre"/>
          <w:rFonts w:cs="Calibri"/>
          <w:sz w:val="24"/>
          <w:szCs w:val="24"/>
          <w:lang w:val="fr-FR"/>
        </w:rPr>
      </w:pPr>
      <w:r>
        <w:rPr>
          <w:rStyle w:val="acopre"/>
          <w:rFonts w:cs="Calibri"/>
          <w:sz w:val="24"/>
          <w:szCs w:val="24"/>
          <w:lang w:val="fr-FR"/>
        </w:rPr>
        <w:t xml:space="preserve">Charbonneau, J-P. (2005). De la démocratie dans le peuple à la démocratie avec le peuple. In Éthique publique, Nouvelles formes de la démocratie, Montréal : Éditions Liber;7(1) : 11-23 </w:t>
      </w:r>
    </w:p>
    <w:p w:rsidR="0089405D" w:rsidRDefault="003468E2">
      <w:pPr>
        <w:pStyle w:val="Paragraphedeliste"/>
        <w:numPr>
          <w:ilvl w:val="0"/>
          <w:numId w:val="38"/>
        </w:numPr>
        <w:spacing w:line="312" w:lineRule="auto"/>
        <w:jc w:val="both"/>
        <w:rPr>
          <w:rStyle w:val="Lienhypertexte"/>
          <w:rFonts w:cs="Calibri"/>
          <w:color w:val="auto"/>
          <w:sz w:val="24"/>
          <w:szCs w:val="24"/>
          <w:u w:val="none"/>
          <w:lang w:val="fr-FR"/>
        </w:rPr>
      </w:pPr>
      <w:r>
        <w:rPr>
          <w:rStyle w:val="acopre"/>
          <w:rFonts w:cs="Calibri"/>
          <w:sz w:val="24"/>
          <w:szCs w:val="24"/>
          <w:lang w:val="fr-FR"/>
        </w:rPr>
        <w:t xml:space="preserve">Cialdini, R.B. ; Reno, R.R. &amp; Kallgren, C.A. (1990). </w:t>
      </w:r>
      <w:r>
        <w:rPr>
          <w:rStyle w:val="acopre"/>
          <w:rFonts w:cs="Calibri"/>
          <w:sz w:val="24"/>
          <w:szCs w:val="24"/>
        </w:rPr>
        <w:t xml:space="preserve">A focus theory of normative conduct : recycling the concept of norms to reduce littering in public places. </w:t>
      </w:r>
      <w:r>
        <w:rPr>
          <w:rStyle w:val="acopre"/>
          <w:rFonts w:cs="Calibri"/>
          <w:sz w:val="24"/>
          <w:szCs w:val="24"/>
          <w:lang w:val="fr-FR"/>
        </w:rPr>
        <w:t>Journal of Personality and Social Psychology., 58 : 1015-1026.</w:t>
      </w:r>
      <w:r>
        <w:rPr>
          <w:rFonts w:cs="Calibri"/>
          <w:sz w:val="24"/>
          <w:szCs w:val="24"/>
          <w:lang w:val="fr-FR"/>
        </w:rPr>
        <w:t xml:space="preserve"> </w:t>
      </w:r>
      <w:hyperlink r:id="rId40" w:history="1">
        <w:r>
          <w:rPr>
            <w:rStyle w:val="Lienhypertexte"/>
            <w:rFonts w:cs="Calibri"/>
            <w:sz w:val="24"/>
            <w:szCs w:val="24"/>
            <w:lang w:val="fr-FR"/>
          </w:rPr>
          <w:t>https://doi.org/10.1037/0022-3514.58.6.1015</w:t>
        </w:r>
      </w:hyperlink>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rPr>
        <w:t>Dmoergue, C. &amp; Mpoyi M. A. (2012). « La gestion des ressources naturelles pour une croissancedurable ». In J. Herderschee, D. Mukoko Samba &amp; M. Tshimenga Tshibangu (éd.), Résilience d’un géant africain : accélerer la croissance et promouvoir l’emploi en République démocratique du Congo. Études sectorielles, volume 2. Kinshasa : Médiaspaul, 99-183 </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rPr>
        <w:lastRenderedPageBreak/>
        <w:t>Ekele, M. &amp; Mangambu, M. (2020). Feuilleton sur l’exploitation des minerais par la société Xiang Jiang Mining sarl, une entreprise chinoise a Basoko (Province de la Tshopo, RD Congo). Edition les Ekeles, Kinshansa, 1- 6 p </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rPr>
        <w:t>Francis P. ; Galmiche J-P. ; Manet I. &amp; Weber A.  (1993). Les conséquences d'une activité minière sur l'environnement : l'exemple de la haute vallée de la Moselle au début des temps modernes. In: L'homme et la nature au Moyen Âge. Paléoenvironnement des sociétés occidentales. Actes du Ve Congrès international d'Archéologie Médiévale (Grenoble, 6-9 octobre 1993) </w:t>
      </w:r>
    </w:p>
    <w:p w:rsidR="0089405D" w:rsidRDefault="003468E2">
      <w:pPr>
        <w:pStyle w:val="Paragraphedeliste"/>
        <w:numPr>
          <w:ilvl w:val="0"/>
          <w:numId w:val="38"/>
        </w:numPr>
        <w:spacing w:line="312" w:lineRule="auto"/>
        <w:jc w:val="both"/>
        <w:rPr>
          <w:rStyle w:val="Lienhypertexte"/>
          <w:rFonts w:cs="Calibri"/>
          <w:color w:val="auto"/>
          <w:sz w:val="24"/>
          <w:szCs w:val="24"/>
          <w:u w:val="none"/>
          <w:lang w:val="fr-FR"/>
        </w:rPr>
      </w:pPr>
      <w:r>
        <w:rPr>
          <w:rFonts w:cs="Calibri"/>
          <w:sz w:val="24"/>
          <w:szCs w:val="24"/>
          <w:lang w:val="fr-FR" w:eastAsia="fr-FR"/>
        </w:rPr>
        <w:t xml:space="preserve">Gendron, C. (2014), « Penser l’acceptabilité sociale : au-delà de l’intérêt, les valeurs. Revue de Communication Sociale et Publique, Journals Openedition, 11 : 117- 129. </w:t>
      </w:r>
      <w:hyperlink r:id="rId41" w:history="1">
        <w:r>
          <w:rPr>
            <w:rStyle w:val="Lienhypertexte"/>
            <w:rFonts w:cs="Calibri"/>
            <w:sz w:val="24"/>
            <w:szCs w:val="24"/>
            <w:lang w:val="fr-FR" w:eastAsia="fr-FR"/>
          </w:rPr>
          <w:t>https://doi.org/10.4000/communiquer.584</w:t>
        </w:r>
      </w:hyperlink>
    </w:p>
    <w:p w:rsidR="0089405D" w:rsidRDefault="003468E2">
      <w:pPr>
        <w:pStyle w:val="Paragraphedeliste"/>
        <w:numPr>
          <w:ilvl w:val="0"/>
          <w:numId w:val="38"/>
        </w:numPr>
        <w:spacing w:line="312" w:lineRule="auto"/>
        <w:jc w:val="both"/>
        <w:rPr>
          <w:rFonts w:cs="Calibri"/>
          <w:sz w:val="24"/>
          <w:szCs w:val="24"/>
          <w:lang w:val="fr-FR"/>
        </w:rPr>
      </w:pPr>
      <w:r>
        <w:rPr>
          <w:rFonts w:eastAsia="Times New Roman" w:cs="Calibri"/>
          <w:sz w:val="24"/>
          <w:szCs w:val="24"/>
          <w:lang w:val="fr-FR" w:eastAsia="fr-FR"/>
        </w:rPr>
        <w:t xml:space="preserve">Gilles, L. (2013).Minerais de guerre. Une nouvelle théorie de la mondialisation du droit, </w:t>
      </w:r>
      <w:r>
        <w:rPr>
          <w:rFonts w:ascii="ACaslonPro-Regular" w:eastAsia="Calibri" w:hAnsi="ACaslonPro-Regular" w:cs="ACaslonPro-Regular"/>
          <w:sz w:val="24"/>
          <w:szCs w:val="24"/>
          <w:lang w:val="fr-FR" w:eastAsia="en-US"/>
        </w:rPr>
        <w:t>FMSH-WP-2013-36 </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eastAsia="fr-FR"/>
        </w:rPr>
        <w:t>Issaka, D. (2017) : Un développement durable fondé sur l’exploitation minière est-il envisageable ? Élaboration d’un Indice de Soutenabilité des Pays Miniers appliqué au Burkina Faso et au Niger, Thèse de Doctorant, Université Bretagne Loire</w:t>
      </w:r>
    </w:p>
    <w:p w:rsidR="0089405D" w:rsidRDefault="003468E2">
      <w:pPr>
        <w:pStyle w:val="Paragraphedeliste"/>
        <w:numPr>
          <w:ilvl w:val="0"/>
          <w:numId w:val="38"/>
        </w:numPr>
        <w:spacing w:line="312" w:lineRule="auto"/>
        <w:jc w:val="both"/>
        <w:rPr>
          <w:rStyle w:val="acopre"/>
          <w:rFonts w:cs="Calibri"/>
          <w:sz w:val="24"/>
          <w:szCs w:val="24"/>
          <w:lang w:val="fr-FR"/>
        </w:rPr>
      </w:pPr>
      <w:r>
        <w:rPr>
          <w:rStyle w:val="acopre"/>
          <w:rFonts w:cs="Calibri"/>
          <w:sz w:val="24"/>
          <w:szCs w:val="24"/>
          <w:lang w:val="fr-FR"/>
        </w:rPr>
        <w:t xml:space="preserve">Jean-Paul II (1979). </w:t>
      </w:r>
      <w:r>
        <w:rPr>
          <w:rStyle w:val="Accentuation"/>
          <w:rFonts w:cs="Calibri"/>
          <w:sz w:val="24"/>
          <w:szCs w:val="24"/>
          <w:lang w:val="fr-FR"/>
        </w:rPr>
        <w:t>Redemptor Hominis «</w:t>
      </w:r>
      <w:r>
        <w:rPr>
          <w:rStyle w:val="acopre"/>
          <w:rFonts w:cs="Calibri"/>
          <w:sz w:val="24"/>
          <w:szCs w:val="24"/>
          <w:lang w:val="fr-FR"/>
        </w:rPr>
        <w:t xml:space="preserve"> Le Rédempteur de l'homme », Première de lettre encyclique, Vatican, Rome </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eastAsia="fr-FR"/>
        </w:rPr>
        <w:t>Loi n°011/2002 du 29 août 2002 portant code forestier</w:t>
      </w:r>
      <w:r>
        <w:rPr>
          <w:rFonts w:cs="Calibri"/>
          <w:sz w:val="24"/>
          <w:szCs w:val="24"/>
          <w:lang w:val="fr-FR"/>
        </w:rPr>
        <w:t xml:space="preserve"> </w:t>
      </w:r>
      <w:r>
        <w:rPr>
          <w:rFonts w:cs="Calibri"/>
          <w:sz w:val="24"/>
          <w:szCs w:val="24"/>
          <w:lang w:val="fr-FR" w:eastAsia="fr-FR"/>
        </w:rPr>
        <w:t>en République Démocratique du Congo </w:t>
      </w:r>
    </w:p>
    <w:p w:rsidR="0089405D" w:rsidRDefault="003468E2">
      <w:pPr>
        <w:pStyle w:val="Paragraphedeliste"/>
        <w:numPr>
          <w:ilvl w:val="0"/>
          <w:numId w:val="38"/>
        </w:numPr>
        <w:spacing w:line="312" w:lineRule="auto"/>
        <w:jc w:val="both"/>
        <w:rPr>
          <w:rFonts w:cs="Calibri"/>
          <w:sz w:val="24"/>
          <w:szCs w:val="24"/>
          <w:lang w:val="fr-FR"/>
        </w:rPr>
      </w:pPr>
      <w:r>
        <w:rPr>
          <w:rFonts w:eastAsia="Times New Roman" w:cs="Calibri"/>
          <w:sz w:val="24"/>
          <w:szCs w:val="24"/>
          <w:lang w:val="fr-FR" w:eastAsia="fr-FR"/>
        </w:rPr>
        <w:t>Loi n°11/009 du 09 juillet 2011 portant principes fondamentaux relatifs à la protection de l’environnement en</w:t>
      </w:r>
      <w:r>
        <w:rPr>
          <w:rFonts w:cs="Calibri"/>
          <w:sz w:val="24"/>
          <w:szCs w:val="24"/>
          <w:lang w:val="fr-FR" w:eastAsia="fr-FR"/>
        </w:rPr>
        <w:t xml:space="preserve"> République Démocratique du Congo</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eastAsia="fr-FR"/>
        </w:rPr>
        <w:t>Loi n°14/003 du 11 février 2014 relative à la conservation de la nature en République Démocratique du Congo</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eastAsia="fr-FR"/>
        </w:rPr>
        <w:t>Loi n° 15/012 du 1er août 2015 portant régime général des hydrocarbures</w:t>
      </w:r>
      <w:r>
        <w:rPr>
          <w:rFonts w:cs="Calibri"/>
          <w:sz w:val="24"/>
          <w:szCs w:val="24"/>
          <w:lang w:val="fr-FR"/>
        </w:rPr>
        <w:t xml:space="preserve"> </w:t>
      </w:r>
      <w:r>
        <w:rPr>
          <w:rFonts w:cs="Calibri"/>
          <w:sz w:val="24"/>
          <w:szCs w:val="24"/>
          <w:lang w:val="fr-FR" w:eastAsia="fr-FR"/>
        </w:rPr>
        <w:t>de la République Démocratique du Congo</w:t>
      </w:r>
    </w:p>
    <w:p w:rsidR="0089405D" w:rsidRDefault="003468E2">
      <w:pPr>
        <w:pStyle w:val="Paragraphedeliste"/>
        <w:numPr>
          <w:ilvl w:val="0"/>
          <w:numId w:val="38"/>
        </w:numPr>
        <w:spacing w:line="312" w:lineRule="auto"/>
        <w:jc w:val="both"/>
        <w:rPr>
          <w:rFonts w:cs="Calibri"/>
          <w:sz w:val="24"/>
          <w:szCs w:val="24"/>
          <w:lang w:val="fr-FR"/>
        </w:rPr>
      </w:pPr>
      <w:r>
        <w:rPr>
          <w:rFonts w:eastAsia="Times New Roman" w:cs="Calibri"/>
          <w:sz w:val="24"/>
          <w:szCs w:val="24"/>
          <w:lang w:val="fr-FR" w:eastAsia="fr-FR"/>
        </w:rPr>
        <w:t xml:space="preserve">Mack-Dumba, J. (2015). Rapport de l’auditeur indépendant sur l’étude de cadrage de la couverture de l’exploitation minière artisanale à l’Est de la République Démocratique du Congo. Initiative pour la transparence des industries extractives. </w:t>
      </w:r>
      <w:hyperlink r:id="rId42" w:history="1">
        <w:r>
          <w:rPr>
            <w:rStyle w:val="Lienhypertexte"/>
            <w:rFonts w:eastAsia="Times New Roman" w:cs="Calibri"/>
            <w:sz w:val="24"/>
            <w:szCs w:val="24"/>
            <w:lang w:val="fr-FR" w:eastAsia="fr-FR"/>
          </w:rPr>
          <w:t>https://eiti.org/files/documents/itie_rapaudind_cadragcouverexploitmin_estrdc_1.pdf</w:t>
        </w:r>
      </w:hyperlink>
    </w:p>
    <w:p w:rsidR="0089405D" w:rsidRDefault="003468E2">
      <w:pPr>
        <w:pStyle w:val="Paragraphedeliste"/>
        <w:numPr>
          <w:ilvl w:val="0"/>
          <w:numId w:val="38"/>
        </w:numPr>
        <w:spacing w:line="312" w:lineRule="auto"/>
        <w:jc w:val="both"/>
        <w:rPr>
          <w:rStyle w:val="Lienhypertexte"/>
          <w:rFonts w:cs="Calibri"/>
          <w:color w:val="auto"/>
          <w:sz w:val="24"/>
          <w:szCs w:val="24"/>
          <w:u w:val="none"/>
          <w:lang w:val="fr-FR"/>
        </w:rPr>
      </w:pPr>
      <w:r>
        <w:rPr>
          <w:rFonts w:eastAsia="Times New Roman" w:cs="Calibri"/>
          <w:sz w:val="24"/>
          <w:szCs w:val="24"/>
          <w:lang w:val="fr-FR" w:eastAsia="fr-FR"/>
        </w:rPr>
        <w:t xml:space="preserve">Malchair, L. (2016). Les études d’impact environnemental en République Démocratique du Congo : outil pour qui, pour quoi ? Valériane, 122. </w:t>
      </w:r>
      <w:hyperlink r:id="rId43" w:history="1">
        <w:r>
          <w:rPr>
            <w:rStyle w:val="Lienhypertexte"/>
            <w:rFonts w:eastAsia="Times New Roman" w:cs="Calibri"/>
            <w:sz w:val="24"/>
            <w:szCs w:val="24"/>
            <w:lang w:val="fr-FR" w:eastAsia="fr-FR"/>
          </w:rPr>
          <w:t>https://demop.netbaz.be/2021/jp/wp-content/uploads/2016/11/pdf_2016-11_revue_valeriane_les_etudes_d_impact_environnemental_en_rd_congo.pdf</w:t>
        </w:r>
      </w:hyperlink>
      <w:r>
        <w:rPr>
          <w:rStyle w:val="Lienhypertexte"/>
          <w:rFonts w:eastAsia="Times New Roman" w:cs="Calibri"/>
          <w:sz w:val="24"/>
          <w:szCs w:val="24"/>
          <w:lang w:val="fr-FR" w:eastAsia="fr-FR"/>
        </w:rPr>
        <w:t xml:space="preserve"> </w:t>
      </w:r>
      <w:r>
        <w:rPr>
          <w:rStyle w:val="Lienhypertexte"/>
          <w:rFonts w:eastAsia="Times New Roman" w:cs="Calibri"/>
          <w:color w:val="auto"/>
          <w:sz w:val="24"/>
          <w:szCs w:val="24"/>
          <w:lang w:val="fr-FR" w:eastAsia="fr-FR"/>
        </w:rPr>
        <w:t>;</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eastAsia="fr-FR"/>
        </w:rPr>
        <w:t xml:space="preserve">Malte, F. (2008). How to be an ecological economist. </w:t>
      </w:r>
      <w:r>
        <w:rPr>
          <w:rFonts w:cs="Calibri"/>
          <w:sz w:val="24"/>
          <w:szCs w:val="24"/>
          <w:lang w:val="fr-FR" w:eastAsia="fr-FR"/>
        </w:rPr>
        <w:t>Ecological Economics 66(1):1-7.</w:t>
      </w:r>
    </w:p>
    <w:p w:rsidR="0089405D" w:rsidRDefault="003468E2">
      <w:pPr>
        <w:pStyle w:val="Paragraphedeliste"/>
        <w:numPr>
          <w:ilvl w:val="0"/>
          <w:numId w:val="38"/>
        </w:numPr>
        <w:spacing w:line="312" w:lineRule="auto"/>
        <w:jc w:val="both"/>
        <w:rPr>
          <w:rFonts w:cs="Calibri"/>
          <w:sz w:val="24"/>
          <w:szCs w:val="24"/>
          <w:lang w:val="fr-FR"/>
        </w:rPr>
      </w:pPr>
      <w:r>
        <w:rPr>
          <w:rFonts w:eastAsia="Times New Roman" w:cs="Calibri"/>
          <w:sz w:val="24"/>
          <w:szCs w:val="24"/>
          <w:lang w:val="fr-FR" w:eastAsia="fr-FR"/>
        </w:rPr>
        <w:t xml:space="preserve">Malu-Malu, J.J.A. (2018). Mines de RDC - Jamal Usseni : « Relever l’immense défi de la canalisation des exportations ». Le Point. </w:t>
      </w:r>
      <w:hyperlink r:id="rId44" w:history="1">
        <w:r>
          <w:rPr>
            <w:rStyle w:val="Lienhypertexte"/>
            <w:rFonts w:eastAsia="Times New Roman" w:cs="Calibri"/>
            <w:sz w:val="24"/>
            <w:szCs w:val="24"/>
            <w:lang w:val="fr-FR" w:eastAsia="fr-FR"/>
          </w:rPr>
          <w:t>https://www.lepoint.fr/economie/mines-de-rdc-jamal-usseni-relever-l-immense-defi-de-lacanalisation-des-exportations-03-05-2018-2215486_28.php</w:t>
        </w:r>
      </w:hyperlink>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rPr>
        <w:t xml:space="preserve">Mancinia, L. &amp; Sala, S. (2018). Social impact assessment in the mining sector: Review and comparison of indicators frameworks. </w:t>
      </w:r>
      <w:r>
        <w:rPr>
          <w:rFonts w:cs="Calibri"/>
          <w:sz w:val="24"/>
          <w:szCs w:val="24"/>
          <w:lang w:val="fr-FR"/>
        </w:rPr>
        <w:t>Resources Policy, 57(3), 98–111 </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rPr>
        <w:t xml:space="preserve">Mercier, J.R. &amp; Bekhechi M. A. (2003). L’évaluation environnementale: un outil majeur du développement durable. Revue africaine de gestion et d’évaluation environnementales 5, 102–139. </w:t>
      </w:r>
      <w:hyperlink r:id="rId45" w:history="1">
        <w:r>
          <w:rPr>
            <w:rStyle w:val="Lienhypertexte"/>
            <w:rFonts w:cs="Calibri"/>
            <w:sz w:val="24"/>
            <w:szCs w:val="24"/>
            <w:lang w:val="fr-FR"/>
          </w:rPr>
          <w:t>http://www.ajeam-ragee.org/vol5p102t139.htm</w:t>
        </w:r>
      </w:hyperlink>
      <w:r>
        <w:rPr>
          <w:rFonts w:cs="Calibri"/>
          <w:sz w:val="24"/>
          <w:szCs w:val="24"/>
          <w:u w:val="single"/>
          <w:lang w:val="fr-FR"/>
        </w:rPr>
        <w:t>;</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rPr>
        <w:t xml:space="preserve">Piette, J. (1991)  l'environnement, une préoccupation incontournable pour l'industrie minière, moderne et organique. Ed. Sainte-Foy, Québec </w:t>
      </w:r>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val="fr-FR" w:eastAsia="fr-FR"/>
        </w:rPr>
        <w:t xml:space="preserve">PNUE (2002). Rapport annuel du PNUE, 64 p., consultable en ligne : </w:t>
      </w:r>
      <w:hyperlink r:id="rId46" w:history="1">
        <w:r>
          <w:rPr>
            <w:rStyle w:val="Lienhypertexte"/>
            <w:rFonts w:cs="Calibri"/>
            <w:sz w:val="24"/>
            <w:szCs w:val="24"/>
            <w:lang w:val="fr-FR" w:eastAsia="fr-FR"/>
          </w:rPr>
          <w:t>http://www.unep.org/french/pdf/PNUEen2002.pdf</w:t>
        </w:r>
      </w:hyperlink>
    </w:p>
    <w:p w:rsidR="0089405D" w:rsidRDefault="003468E2">
      <w:pPr>
        <w:pStyle w:val="Paragraphedeliste"/>
        <w:numPr>
          <w:ilvl w:val="0"/>
          <w:numId w:val="38"/>
        </w:numPr>
        <w:spacing w:line="312" w:lineRule="auto"/>
        <w:jc w:val="both"/>
        <w:rPr>
          <w:rStyle w:val="Lienhypertexte"/>
          <w:rFonts w:cs="Calibri"/>
          <w:color w:val="auto"/>
          <w:sz w:val="24"/>
          <w:szCs w:val="24"/>
          <w:u w:val="none"/>
          <w:lang w:val="fr-FR"/>
        </w:rPr>
      </w:pPr>
      <w:r>
        <w:rPr>
          <w:rFonts w:cs="Calibri"/>
          <w:sz w:val="24"/>
          <w:szCs w:val="24"/>
          <w:lang w:val="fr-FR" w:eastAsia="fr-FR"/>
        </w:rPr>
        <w:t xml:space="preserve">Quairel F., Capron M. (2013). « Le couplage "responsabilité sociale des entreprises" et "développement durable" : mise en perspective, enjeux et limites », Revue Française de Socio-Économie, 1 (11) : 125-144. </w:t>
      </w:r>
      <w:hyperlink r:id="rId47" w:history="1">
        <w:r>
          <w:rPr>
            <w:rStyle w:val="Lienhypertexte"/>
            <w:rFonts w:cs="Calibri"/>
            <w:sz w:val="24"/>
            <w:szCs w:val="24"/>
            <w:lang w:val="fr-FR" w:eastAsia="fr-FR"/>
          </w:rPr>
          <w:t>https://doi.org/10.3917/rfse.011.0125</w:t>
        </w:r>
      </w:hyperlink>
    </w:p>
    <w:p w:rsidR="0089405D" w:rsidRDefault="003468E2">
      <w:pPr>
        <w:pStyle w:val="Paragraphedeliste"/>
        <w:numPr>
          <w:ilvl w:val="0"/>
          <w:numId w:val="38"/>
        </w:numPr>
        <w:spacing w:line="312" w:lineRule="auto"/>
        <w:jc w:val="both"/>
        <w:rPr>
          <w:rStyle w:val="Lienhypertexte"/>
          <w:rFonts w:cs="Calibri"/>
          <w:color w:val="auto"/>
          <w:sz w:val="24"/>
          <w:szCs w:val="24"/>
          <w:u w:val="none"/>
          <w:lang w:val="fr-FR"/>
        </w:rPr>
      </w:pPr>
      <w:r>
        <w:rPr>
          <w:rFonts w:cs="Calibri"/>
          <w:sz w:val="24"/>
          <w:szCs w:val="24"/>
          <w:lang w:val="fr-FR" w:eastAsia="fr-FR"/>
        </w:rPr>
        <w:t>Quairel F., Capron M., 2013, « Le couplage "responsabilité sociale des entreprises" et "développement durable" : mise en perspective, enjeux et limites », Revue Française de Socio-Économie, vol. 1, n° 11, p. 125-144.</w:t>
      </w:r>
      <w:r>
        <w:rPr>
          <w:rFonts w:cs="Calibri"/>
          <w:sz w:val="24"/>
          <w:szCs w:val="24"/>
          <w:lang w:val="fr-FR"/>
        </w:rPr>
        <w:t xml:space="preserve"> </w:t>
      </w:r>
      <w:hyperlink r:id="rId48" w:history="1">
        <w:r>
          <w:rPr>
            <w:rStyle w:val="Lienhypertexte"/>
            <w:rFonts w:cs="Calibri"/>
            <w:sz w:val="24"/>
            <w:szCs w:val="24"/>
            <w:lang w:val="fr-FR" w:eastAsia="fr-FR"/>
          </w:rPr>
          <w:t>https://doi.org/10.3917/rfse.011.0125</w:t>
        </w:r>
      </w:hyperlink>
    </w:p>
    <w:p w:rsidR="0089405D" w:rsidRDefault="003468E2">
      <w:pPr>
        <w:pStyle w:val="Paragraphedeliste"/>
        <w:numPr>
          <w:ilvl w:val="0"/>
          <w:numId w:val="38"/>
        </w:numPr>
        <w:spacing w:line="312" w:lineRule="auto"/>
        <w:jc w:val="both"/>
        <w:rPr>
          <w:rFonts w:cs="Calibri"/>
          <w:sz w:val="24"/>
          <w:szCs w:val="24"/>
          <w:lang w:val="fr-FR"/>
        </w:rPr>
      </w:pPr>
      <w:r>
        <w:rPr>
          <w:rFonts w:eastAsia="Times New Roman" w:cs="Calibri"/>
          <w:sz w:val="24"/>
          <w:szCs w:val="24"/>
          <w:lang w:val="fr-FR" w:eastAsia="fr-FR"/>
        </w:rPr>
        <w:t xml:space="preserve">RDC Code minier Loi n°2002-07 du 11 juillet 2002. (2002). Droit Afrique. </w:t>
      </w:r>
      <w:hyperlink r:id="rId49" w:history="1">
        <w:r>
          <w:rPr>
            <w:rStyle w:val="Lienhypertexte"/>
            <w:rFonts w:eastAsia="Times New Roman" w:cs="Calibri"/>
            <w:sz w:val="24"/>
            <w:szCs w:val="24"/>
            <w:lang w:val="fr-FR" w:eastAsia="fr-FR"/>
          </w:rPr>
          <w:t>http://www.droitafrique.com/uploads/RDC-Code-minier-MAJ-2018.pdf</w:t>
        </w:r>
      </w:hyperlink>
    </w:p>
    <w:p w:rsidR="0089405D" w:rsidRDefault="003468E2">
      <w:pPr>
        <w:pStyle w:val="Paragraphedeliste"/>
        <w:numPr>
          <w:ilvl w:val="0"/>
          <w:numId w:val="38"/>
        </w:numPr>
        <w:spacing w:line="312" w:lineRule="auto"/>
        <w:jc w:val="both"/>
        <w:rPr>
          <w:rFonts w:cs="Calibri"/>
          <w:sz w:val="24"/>
          <w:szCs w:val="24"/>
          <w:lang w:val="fr-FR"/>
        </w:rPr>
      </w:pPr>
      <w:r>
        <w:rPr>
          <w:rFonts w:cs="Calibri"/>
          <w:sz w:val="24"/>
          <w:szCs w:val="24"/>
          <w:lang w:eastAsia="fr-FR"/>
        </w:rPr>
        <w:t xml:space="preserve">Sachs, J.D. &amp; Warner, A.M., 1997. Sources of slow growth in African economies. </w:t>
      </w:r>
      <w:r>
        <w:rPr>
          <w:rFonts w:cs="Calibri"/>
          <w:sz w:val="24"/>
          <w:szCs w:val="24"/>
          <w:lang w:val="fr-FR" w:eastAsia="fr-FR"/>
        </w:rPr>
        <w:t>Journal of AfricanEconomies 6 (3): 335-376</w:t>
      </w:r>
    </w:p>
    <w:p w:rsidR="0089405D" w:rsidRDefault="003468E2">
      <w:pPr>
        <w:pStyle w:val="Paragraphedeliste"/>
        <w:numPr>
          <w:ilvl w:val="0"/>
          <w:numId w:val="38"/>
        </w:numPr>
        <w:spacing w:line="312" w:lineRule="auto"/>
        <w:jc w:val="both"/>
        <w:rPr>
          <w:rFonts w:cs="Calibri"/>
          <w:sz w:val="24"/>
          <w:szCs w:val="24"/>
          <w:lang w:val="fr-FR"/>
        </w:rPr>
      </w:pPr>
      <w:r>
        <w:rPr>
          <w:rFonts w:eastAsia="Times New Roman" w:cs="Calibri"/>
          <w:sz w:val="24"/>
          <w:szCs w:val="24"/>
          <w:lang w:val="fr-FR" w:eastAsia="fr-FR"/>
        </w:rPr>
        <w:t>Sadeleer, N. (1994). Essai sur la genèse des principes du droit de l’environnement : l’exemple du droit communautaire, Ministère de l’environnement, France</w:t>
      </w:r>
    </w:p>
    <w:p w:rsidR="0089405D" w:rsidRDefault="003468E2">
      <w:pPr>
        <w:pStyle w:val="Paragraphedeliste"/>
        <w:numPr>
          <w:ilvl w:val="0"/>
          <w:numId w:val="38"/>
        </w:numPr>
        <w:spacing w:line="312" w:lineRule="auto"/>
        <w:jc w:val="both"/>
        <w:rPr>
          <w:rFonts w:cs="Calibri"/>
          <w:sz w:val="24"/>
          <w:szCs w:val="24"/>
          <w:lang w:val="fr-FR"/>
        </w:rPr>
      </w:pPr>
      <w:r>
        <w:rPr>
          <w:rFonts w:eastAsia="Times New Roman" w:cs="Calibri"/>
          <w:sz w:val="24"/>
          <w:szCs w:val="24"/>
          <w:lang w:val="fr-FR" w:eastAsia="fr-FR"/>
        </w:rPr>
        <w:t xml:space="preserve">Saumet, C. (2018). La République du Congo à l’horizon 2020. IRIS. </w:t>
      </w:r>
      <w:hyperlink r:id="rId50" w:history="1">
        <w:r>
          <w:rPr>
            <w:rStyle w:val="Lienhypertexte"/>
            <w:rFonts w:eastAsia="Times New Roman" w:cs="Calibri"/>
            <w:sz w:val="24"/>
            <w:szCs w:val="24"/>
            <w:lang w:val="fr-FR" w:eastAsia="fr-FR"/>
          </w:rPr>
          <w:t>https://www.iris-france.org/wpcontent/uploads/2018/04/ObsProspecHuma-RDC-Avril.pdf</w:t>
        </w:r>
      </w:hyperlink>
    </w:p>
    <w:p w:rsidR="0089405D" w:rsidRDefault="003468E2">
      <w:pPr>
        <w:pStyle w:val="Paragraphedeliste"/>
        <w:numPr>
          <w:ilvl w:val="0"/>
          <w:numId w:val="38"/>
        </w:numPr>
        <w:spacing w:line="312" w:lineRule="auto"/>
        <w:jc w:val="both"/>
        <w:rPr>
          <w:rFonts w:cs="Calibri"/>
          <w:sz w:val="24"/>
          <w:szCs w:val="24"/>
        </w:rPr>
      </w:pPr>
      <w:r>
        <w:rPr>
          <w:rFonts w:eastAsia="Times New Roman" w:cs="Calibri"/>
          <w:sz w:val="24"/>
          <w:szCs w:val="24"/>
          <w:lang w:eastAsia="fr-FR"/>
        </w:rPr>
        <w:t>Zott, C. &amp; Amit, R. (2010). “Business Model Design: An Activity Perspective”, Long Range Planning, 43 (263), 216-226;</w:t>
      </w:r>
    </w:p>
    <w:p w:rsidR="0089405D" w:rsidRDefault="0089405D">
      <w:pPr>
        <w:spacing w:after="0" w:line="312" w:lineRule="auto"/>
        <w:jc w:val="both"/>
        <w:rPr>
          <w:rFonts w:eastAsia="Times New Roman" w:cs="Calibri"/>
          <w:sz w:val="24"/>
          <w:szCs w:val="24"/>
          <w:lang w:eastAsia="fr-FR"/>
        </w:rPr>
      </w:pPr>
    </w:p>
    <w:p w:rsidR="0089405D" w:rsidRDefault="003468E2">
      <w:pPr>
        <w:spacing w:after="0" w:line="312" w:lineRule="auto"/>
        <w:jc w:val="center"/>
        <w:rPr>
          <w:rFonts w:cs="Calibri"/>
          <w:b/>
          <w:sz w:val="32"/>
          <w:szCs w:val="32"/>
          <w:lang w:val="fr-FR"/>
        </w:rPr>
      </w:pPr>
      <w:bookmarkStart w:id="257" w:name="_Toc59458346"/>
      <w:bookmarkStart w:id="258" w:name="_Toc71470252"/>
      <w:bookmarkStart w:id="259" w:name="_Toc79393007"/>
      <w:bookmarkStart w:id="260" w:name="_Toc111888606"/>
      <w:bookmarkStart w:id="261" w:name="_Toc127187189"/>
      <w:bookmarkStart w:id="262" w:name="_Toc127187466"/>
      <w:bookmarkStart w:id="263" w:name="_Toc127432223"/>
      <w:bookmarkStart w:id="264" w:name="_Toc59458322"/>
      <w:bookmarkEnd w:id="154"/>
      <w:r>
        <w:rPr>
          <w:rFonts w:cs="Calibri"/>
          <w:b/>
          <w:sz w:val="36"/>
          <w:szCs w:val="36"/>
          <w:lang w:val="fr-FR"/>
        </w:rPr>
        <w:br w:type="page"/>
      </w:r>
      <w:r>
        <w:rPr>
          <w:rFonts w:cs="Calibri"/>
          <w:b/>
          <w:sz w:val="32"/>
          <w:szCs w:val="32"/>
          <w:lang w:val="fr-FR"/>
        </w:rPr>
        <w:lastRenderedPageBreak/>
        <w:t xml:space="preserve">CONSIDERATIONS GENERALES SUR L'EXPLOITATION MINIERE SEMI – INDUSTRIELLE : </w:t>
      </w:r>
      <w:bookmarkEnd w:id="257"/>
      <w:bookmarkEnd w:id="258"/>
      <w:r>
        <w:rPr>
          <w:rFonts w:cs="Calibri"/>
          <w:b/>
          <w:sz w:val="32"/>
          <w:szCs w:val="32"/>
          <w:lang w:val="fr-FR"/>
        </w:rPr>
        <w:t>ENVIRONNEMENTALE SECTORIELLE</w:t>
      </w:r>
      <w:bookmarkEnd w:id="259"/>
      <w:bookmarkEnd w:id="260"/>
      <w:bookmarkEnd w:id="261"/>
      <w:bookmarkEnd w:id="262"/>
      <w:bookmarkEnd w:id="263"/>
    </w:p>
    <w:p w:rsidR="0089405D" w:rsidRDefault="0089405D">
      <w:pPr>
        <w:pStyle w:val="Titre1"/>
        <w:spacing w:before="0" w:line="312" w:lineRule="auto"/>
        <w:jc w:val="center"/>
        <w:rPr>
          <w:rFonts w:cs="Calibri"/>
          <w:b/>
          <w:color w:val="auto"/>
          <w:sz w:val="28"/>
          <w:szCs w:val="28"/>
          <w:lang w:val="fr-FR"/>
        </w:rPr>
      </w:pPr>
    </w:p>
    <w:p w:rsidR="0089405D" w:rsidRDefault="003468E2">
      <w:pPr>
        <w:pStyle w:val="Titre1"/>
        <w:spacing w:before="0" w:line="312" w:lineRule="auto"/>
        <w:rPr>
          <w:rFonts w:cs="Calibri"/>
          <w:b/>
          <w:color w:val="auto"/>
          <w:sz w:val="28"/>
          <w:szCs w:val="28"/>
          <w:lang w:val="fr-FR"/>
        </w:rPr>
      </w:pPr>
      <w:bookmarkStart w:id="265" w:name="_Toc127182110"/>
      <w:bookmarkStart w:id="266" w:name="_Toc127182833"/>
      <w:bookmarkStart w:id="267" w:name="_Toc127187015"/>
      <w:bookmarkStart w:id="268" w:name="_Toc127187190"/>
      <w:bookmarkStart w:id="269" w:name="_Toc127187467"/>
      <w:bookmarkStart w:id="270" w:name="_Toc127432224"/>
      <w:r>
        <w:rPr>
          <w:rFonts w:cs="Calibri"/>
          <w:b/>
          <w:color w:val="auto"/>
          <w:sz w:val="28"/>
          <w:szCs w:val="28"/>
          <w:lang w:val="fr-FR"/>
        </w:rPr>
        <w:t>Mangambu Mokoso Jean De Dieu</w:t>
      </w:r>
      <w:bookmarkEnd w:id="265"/>
      <w:bookmarkEnd w:id="266"/>
      <w:bookmarkEnd w:id="267"/>
      <w:bookmarkEnd w:id="268"/>
      <w:bookmarkEnd w:id="269"/>
      <w:bookmarkEnd w:id="270"/>
    </w:p>
    <w:p w:rsidR="0089405D" w:rsidRDefault="0089405D">
      <w:pPr>
        <w:pStyle w:val="Titre1"/>
        <w:spacing w:before="0" w:line="312" w:lineRule="auto"/>
        <w:rPr>
          <w:rFonts w:cs="Calibri"/>
          <w:b/>
          <w:color w:val="auto"/>
          <w:sz w:val="28"/>
          <w:szCs w:val="28"/>
          <w:lang w:val="fr-FR"/>
        </w:rPr>
      </w:pPr>
    </w:p>
    <w:p w:rsidR="0089405D" w:rsidRDefault="003468E2">
      <w:pPr>
        <w:pStyle w:val="Titre1"/>
        <w:spacing w:before="0" w:line="312" w:lineRule="auto"/>
        <w:rPr>
          <w:rFonts w:cs="Calibri"/>
          <w:b/>
          <w:color w:val="auto"/>
          <w:sz w:val="24"/>
          <w:szCs w:val="24"/>
          <w:lang w:val="fr-FR"/>
        </w:rPr>
      </w:pPr>
      <w:bookmarkStart w:id="271" w:name="_Toc71470254"/>
      <w:bookmarkStart w:id="272" w:name="_Toc79393009"/>
      <w:bookmarkStart w:id="273" w:name="_Toc111888609"/>
      <w:bookmarkStart w:id="274" w:name="_Toc127187191"/>
      <w:bookmarkStart w:id="275" w:name="_Toc127187468"/>
      <w:bookmarkStart w:id="276" w:name="_Toc127432225"/>
      <w:r>
        <w:rPr>
          <w:rFonts w:cs="Calibri"/>
          <w:b/>
          <w:color w:val="auto"/>
          <w:sz w:val="24"/>
          <w:szCs w:val="24"/>
          <w:lang w:val="fr-FR"/>
        </w:rPr>
        <w:t>3.1. INTRODUCTION</w:t>
      </w:r>
      <w:bookmarkEnd w:id="271"/>
      <w:bookmarkEnd w:id="272"/>
      <w:bookmarkEnd w:id="273"/>
      <w:bookmarkEnd w:id="274"/>
      <w:bookmarkEnd w:id="275"/>
      <w:bookmarkEnd w:id="276"/>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La destruction de l’environnement humain est très grave, parce que non seulement Dieu a confié le monde à l’être humain, mais encore la vie de celui-ci est un don qui doit être protégé de diverses formes de dégradation. Toute volonté de protéger et d’améliorer le monde suppose de profonds changements dans « les styles de vie, les modèles de production et  de  consommation,  les  structures  de  pouvoir  établies qui régissent aujourd’hui les sociétés » (Jean Paul, 1991).  Dans les pays en voie de développement </w:t>
      </w:r>
      <w:r>
        <w:rPr>
          <w:rStyle w:val="Appelnotedebasdep"/>
          <w:rFonts w:cs="Calibri"/>
          <w:sz w:val="24"/>
          <w:szCs w:val="24"/>
          <w:lang w:val="fr-FR"/>
        </w:rPr>
        <w:footnoteReference w:id="40"/>
      </w:r>
      <w:r>
        <w:rPr>
          <w:rFonts w:cs="Calibri"/>
          <w:sz w:val="24"/>
          <w:szCs w:val="24"/>
          <w:lang w:val="fr-FR"/>
        </w:rPr>
        <w:t>(PNUD, 2010), les opérations minières dé</w:t>
      </w:r>
      <w:r>
        <w:rPr>
          <w:rFonts w:cs="Calibri"/>
          <w:i/>
          <w:sz w:val="24"/>
          <w:szCs w:val="24"/>
          <w:lang w:val="fr-FR"/>
        </w:rPr>
        <w:t>tr</w:t>
      </w:r>
      <w:r>
        <w:rPr>
          <w:rFonts w:cs="Calibri"/>
          <w:sz w:val="24"/>
          <w:szCs w:val="24"/>
          <w:lang w:val="fr-FR"/>
        </w:rPr>
        <w:t xml:space="preserve">uisent l’écosystème naturel et l’habitat natif des hommes, elles consomment une grande quantité d’eau et d’énergie et perturbent des nombreux écosystèmes et terrains naturels qui constituent l’habitat de nombreuses espèces animales et végétales (Canivet, G. et al., 2006).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 secteur minier en République Démocratique du Congo (RDC) en général et dans la province de la Tshopo en particulier, alimente toujours les débats tant au niveau local qu’au niveau national. Présenté sous plusieurs facettes,  ce  secteur dans la Tshopo  a  été  dans  le  temps  artisanal,  puis  industriel  et  aujourd’hui  il  est  en  même temps artisanal et industriel. </w:t>
      </w:r>
    </w:p>
    <w:p w:rsidR="0089405D" w:rsidRDefault="003468E2">
      <w:pPr>
        <w:spacing w:after="0" w:line="312" w:lineRule="auto"/>
        <w:jc w:val="both"/>
        <w:rPr>
          <w:rFonts w:cs="Calibri"/>
          <w:sz w:val="24"/>
          <w:szCs w:val="24"/>
          <w:lang w:val="fr-FR"/>
        </w:rPr>
      </w:pPr>
      <w:r>
        <w:rPr>
          <w:rFonts w:cs="Calibri"/>
          <w:sz w:val="24"/>
          <w:szCs w:val="24"/>
          <w:lang w:val="fr-FR"/>
        </w:rPr>
        <w:tab/>
        <w:t xml:space="preserve">Le retour en force, ces dernières années, des sociétés industrielles dans  le  paysage  minier  de la  Tshopo  coïncide  avec  l’accélération  des  dynamiques  minières,  grâce  aux  opportunités  qu’offre  la  RDC  en  matière  d’investissements  privés  et  aux  réformes  amorcées  du  cadre  législatif  et  réglementaire  du  secteur  minier  congolais.  Ces  réformes  ont  abouti  à  la  mise  en  place  du  nouveau Code minier en 2002 et modifié en 2018  et du Règlement minier en 2003. Les  deux  modes  d’exploitation  minière  de la Tshopo,  à  savoir  </w:t>
      </w:r>
      <w:r>
        <w:rPr>
          <w:rFonts w:cs="Calibri"/>
          <w:sz w:val="24"/>
          <w:szCs w:val="24"/>
          <w:lang w:val="fr-FR"/>
        </w:rPr>
        <w:lastRenderedPageBreak/>
        <w:t>l’exploitation  artisanale  et  l’exploitation  industrielle,  semblent  être  en  compétition.  En  effet,  ces  deux  modes  connaissent  déjà  quelques  difficultés  de  cohabitation.  D’où  notre  questionnement  sur  les  conditions  de l’exploitation minière semi - industrielle d’une vision scientifique du début des prospections minérales à la période d’après-clôture de la mine, on distingue différentes phases dans un projet minier. Ce qui suit représente les phases typiques d’un projet minier. Chaque phase d’exploitation minière est associée à différents groupes d’impacts environnementaux (Poulard F. et al., 2017)</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277" w:name="_Toc71470255"/>
      <w:bookmarkStart w:id="278" w:name="_Toc79393010"/>
      <w:bookmarkStart w:id="279" w:name="_Toc111888610"/>
      <w:bookmarkStart w:id="280" w:name="_Toc127187192"/>
      <w:bookmarkStart w:id="281" w:name="_Toc127187469"/>
      <w:bookmarkStart w:id="282" w:name="_Toc127432226"/>
      <w:r>
        <w:rPr>
          <w:rFonts w:cs="Calibri"/>
          <w:b/>
          <w:color w:val="auto"/>
          <w:sz w:val="24"/>
          <w:szCs w:val="24"/>
          <w:lang w:val="fr-FR"/>
        </w:rPr>
        <w:t>3.2. LES PHASES DES PROSPECTIONS MINIERES</w:t>
      </w:r>
      <w:bookmarkEnd w:id="277"/>
      <w:bookmarkEnd w:id="278"/>
      <w:bookmarkEnd w:id="279"/>
      <w:bookmarkEnd w:id="280"/>
      <w:bookmarkEnd w:id="281"/>
      <w:bookmarkEnd w:id="282"/>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Un projet minier peut commencer seulement quand on connaît l’extension et la valeur du dépôt des minerais. Les informations sur la localisation et la valeur du dépôt des minerais s’obtiennent durant la phase de prospection (Butaré, I., &amp; Keita, S., 2012). Cette phase comprend les enquêtes socio-économiques, les études de terrain, les essais de sondage, d’autres excavations exploratoires. La phase de prospection peut entraîner le nettoyage de vastes aires de végétation  pour faciliter la circulation de véhicules lourds transportant les équipements  de forages (Failly, D., 2001).</w:t>
      </w:r>
    </w:p>
    <w:p w:rsidR="0089405D" w:rsidRDefault="003468E2">
      <w:pPr>
        <w:spacing w:after="0" w:line="312" w:lineRule="auto"/>
        <w:jc w:val="both"/>
        <w:rPr>
          <w:rFonts w:cs="Calibri"/>
          <w:sz w:val="24"/>
          <w:szCs w:val="24"/>
          <w:highlight w:val="yellow"/>
          <w:lang w:val="fr-FR"/>
        </w:rPr>
      </w:pPr>
      <w:r>
        <w:rPr>
          <w:rFonts w:cs="Calibri"/>
          <w:sz w:val="24"/>
          <w:szCs w:val="24"/>
          <w:lang w:val="fr-FR"/>
        </w:rPr>
        <w:tab/>
        <w:t xml:space="preserve">Plusieurs pays requièrent une étude d’Impacts environnementaux (EIE) séparée de la phase exploratoire d’un projet minier parce que les impacts de cette phase peuvent être profonds et les prochaines phases du projet minier peuvent ne pas s’en suivre si l’exploration n’arrive pas à trouver des quantités suffisantes des dépôts des minerais à haute teneur. Malheureusement pour le cas de Basoko, la population locale ne sera pas impliquée dans cette phase capitale selon le contrat et la lettre d’octroi de la concession par les gouvernements National et Provincial. </w:t>
      </w:r>
    </w:p>
    <w:p w:rsidR="0089405D" w:rsidRDefault="0089405D">
      <w:pPr>
        <w:pStyle w:val="Titre1"/>
        <w:spacing w:before="0" w:line="312" w:lineRule="auto"/>
        <w:rPr>
          <w:rFonts w:cs="Calibri"/>
          <w:b/>
          <w:color w:val="auto"/>
          <w:sz w:val="24"/>
          <w:szCs w:val="24"/>
          <w:lang w:val="fr-FR"/>
        </w:rPr>
      </w:pPr>
      <w:bookmarkStart w:id="283" w:name="_Toc71470256"/>
      <w:bookmarkStart w:id="284" w:name="_Toc79393011"/>
      <w:bookmarkStart w:id="285" w:name="_Toc111888611"/>
      <w:bookmarkStart w:id="286" w:name="_Toc127187193"/>
      <w:bookmarkStart w:id="287" w:name="_Toc127187470"/>
      <w:bookmarkStart w:id="288" w:name="_Toc127432227"/>
    </w:p>
    <w:p w:rsidR="0089405D" w:rsidRDefault="003468E2">
      <w:pPr>
        <w:pStyle w:val="Titre1"/>
        <w:spacing w:before="0" w:line="312" w:lineRule="auto"/>
        <w:rPr>
          <w:rFonts w:cs="Calibri"/>
          <w:b/>
          <w:color w:val="auto"/>
          <w:sz w:val="24"/>
          <w:szCs w:val="24"/>
          <w:lang w:val="fr-FR"/>
        </w:rPr>
      </w:pPr>
      <w:r>
        <w:rPr>
          <w:rFonts w:cs="Calibri"/>
          <w:b/>
          <w:color w:val="auto"/>
          <w:sz w:val="24"/>
          <w:szCs w:val="24"/>
          <w:lang w:val="fr-FR"/>
        </w:rPr>
        <w:t>3.3. DEVELOPPEMENT DE MINE</w:t>
      </w:r>
      <w:bookmarkEnd w:id="283"/>
      <w:bookmarkEnd w:id="284"/>
      <w:bookmarkEnd w:id="285"/>
      <w:bookmarkEnd w:id="286"/>
      <w:bookmarkEnd w:id="287"/>
      <w:bookmarkEnd w:id="288"/>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Si la phase d’exploration prouve l’existence d’un dépôt des minerais assez important et d’une teneur suffisante des minerais, une confirmation par les études des prospections,  peut alors ouvrir la voie à une planification pour la mise en œuvre  des activités et le développement d’une mine. Cette phase du projet minier comprend plusieurs composantes distinctes (Mayundo, M., 2006). </w:t>
      </w:r>
    </w:p>
    <w:p w:rsidR="0089405D" w:rsidRDefault="0089405D">
      <w:pPr>
        <w:spacing w:after="0" w:line="312" w:lineRule="auto"/>
        <w:jc w:val="both"/>
        <w:rPr>
          <w:rFonts w:cs="Calibri"/>
          <w:b/>
          <w:sz w:val="24"/>
          <w:szCs w:val="24"/>
          <w:lang w:val="fr-FR"/>
        </w:rPr>
      </w:pPr>
    </w:p>
    <w:p w:rsidR="0089405D" w:rsidRDefault="003468E2">
      <w:pPr>
        <w:pStyle w:val="Titre1"/>
        <w:spacing w:before="0" w:line="312" w:lineRule="auto"/>
        <w:rPr>
          <w:rFonts w:cs="Calibri"/>
          <w:b/>
          <w:color w:val="auto"/>
          <w:sz w:val="24"/>
          <w:szCs w:val="24"/>
          <w:lang w:val="fr-FR"/>
        </w:rPr>
      </w:pPr>
      <w:bookmarkStart w:id="289" w:name="_Toc71470257"/>
      <w:bookmarkStart w:id="290" w:name="_Toc79393012"/>
      <w:bookmarkStart w:id="291" w:name="_Toc111888612"/>
      <w:bookmarkStart w:id="292" w:name="_Toc127187194"/>
      <w:bookmarkStart w:id="293" w:name="_Toc127187471"/>
      <w:bookmarkStart w:id="294" w:name="_Toc127432228"/>
      <w:r>
        <w:rPr>
          <w:rFonts w:cs="Calibri"/>
          <w:b/>
          <w:color w:val="auto"/>
          <w:sz w:val="24"/>
          <w:szCs w:val="24"/>
          <w:lang w:val="fr-FR"/>
        </w:rPr>
        <w:lastRenderedPageBreak/>
        <w:t>3.3.1. CONSTRUCTION DES ROUTES D’ACCES</w:t>
      </w:r>
      <w:bookmarkEnd w:id="289"/>
      <w:bookmarkEnd w:id="290"/>
      <w:bookmarkEnd w:id="291"/>
      <w:bookmarkEnd w:id="292"/>
      <w:bookmarkEnd w:id="293"/>
      <w:bookmarkEnd w:id="294"/>
      <w:r>
        <w:rPr>
          <w:rFonts w:cs="Calibri"/>
          <w:b/>
          <w:color w:val="auto"/>
          <w:sz w:val="24"/>
          <w:szCs w:val="24"/>
          <w:lang w:val="fr-FR"/>
        </w:rPr>
        <w:t xml:space="preserve"> </w:t>
      </w:r>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Il s’agit de la construction des routes d’accès, soit pour amener les équipements lourds et les approvisionnements au site minier ou bien pour expédier les métaux et minerais traités. Ceci peut engendrer des impacts environnementaux substantiels, spécialement si les routes d’accès sont construites à travers des zones écologiquement sensibles ou près de communautés précédemment isolées (Mazalto, M, 2008 ;  André, P., et al., 2010). Dans le cas du site de Liambi, l’exploitation sera exécutée par des robots là où  les routes ne sont pas ouvertes. L’expérience vécue dans les Territoires de Bafwasende et Banalia dans la province de la Tshopo est éloquente et dans d’autres provinces telle que le Sud-Kivu, l’Ituri et le Haut-Uélé comme signalé dans le rapport Ashanti Goldfields Kilo en 2015.</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295" w:name="_Toc71470258"/>
      <w:bookmarkStart w:id="296" w:name="_Toc79393013"/>
      <w:bookmarkStart w:id="297" w:name="_Toc111888613"/>
      <w:bookmarkStart w:id="298" w:name="_Toc127187195"/>
      <w:bookmarkStart w:id="299" w:name="_Toc127187472"/>
      <w:bookmarkStart w:id="300" w:name="_Toc127432229"/>
      <w:r>
        <w:rPr>
          <w:rFonts w:cs="Calibri"/>
          <w:b/>
          <w:color w:val="auto"/>
          <w:sz w:val="24"/>
          <w:szCs w:val="24"/>
          <w:lang w:val="fr-FR"/>
        </w:rPr>
        <w:t>3.3.2 PREPARATION ET DEBLAIEMENT DU SITE</w:t>
      </w:r>
      <w:bookmarkEnd w:id="295"/>
      <w:bookmarkEnd w:id="296"/>
      <w:bookmarkEnd w:id="297"/>
      <w:bookmarkEnd w:id="298"/>
      <w:bookmarkEnd w:id="299"/>
      <w:bookmarkEnd w:id="300"/>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Si le site d’une mine se situe dans une zone sous-développée, comme le cas de Basoko, et difficile d’accès ; on  pourrait avoir besoin de commencer le déblaiement des terrains pour la construction des zones de campement pour héberger le personnel et stocker les équipements. Même avant de procéder à une quelconque opération de minage de terrain, les activités associées à la préparation et au déblaiement du site peuvent avoir des impacts environnementaux significatifs, surtout si elles se trouvent dans le voisinage des zones écologiquement sensibles. Et le territoire de Basoko est dans la forêt tropicale humide du bassin du Congo qui abrite plusieurs tourbières, ces capteurs du gaz à effet de serres qui, une fois libéré, contribue fatalement au réchauffement climatique, le casse-tête écologique de ces derniers jours...</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301" w:name="_Toc71470259"/>
      <w:bookmarkStart w:id="302" w:name="_Toc79393014"/>
      <w:bookmarkStart w:id="303" w:name="_Toc111888614"/>
      <w:bookmarkStart w:id="304" w:name="_Toc127187196"/>
      <w:bookmarkStart w:id="305" w:name="_Toc127187473"/>
      <w:bookmarkStart w:id="306" w:name="_Toc127432230"/>
      <w:r>
        <w:rPr>
          <w:rFonts w:cs="Calibri"/>
          <w:b/>
          <w:color w:val="auto"/>
          <w:sz w:val="24"/>
          <w:szCs w:val="24"/>
          <w:lang w:val="fr-FR"/>
        </w:rPr>
        <w:t>3.4. EXPLOITATION MINIERE ACTIVE</w:t>
      </w:r>
      <w:bookmarkEnd w:id="301"/>
      <w:bookmarkEnd w:id="302"/>
      <w:bookmarkEnd w:id="303"/>
      <w:bookmarkEnd w:id="304"/>
      <w:bookmarkEnd w:id="305"/>
      <w:bookmarkEnd w:id="306"/>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jc w:val="both"/>
        <w:rPr>
          <w:rFonts w:cs="Calibri"/>
          <w:sz w:val="24"/>
          <w:szCs w:val="24"/>
          <w:lang w:val="fr-FR"/>
        </w:rPr>
      </w:pPr>
      <w:r>
        <w:rPr>
          <w:rFonts w:cs="Calibri"/>
          <w:sz w:val="24"/>
          <w:szCs w:val="24"/>
          <w:lang w:val="fr-FR"/>
        </w:rPr>
        <w:tab/>
        <w:t xml:space="preserve">Dès qu’une compagnie minière a construit des routes d’accès et préparé les zones de campement pour héberger le personnel et stocker les équipements, les travaux miniers peuvent commencer. Tous les types de travaux miniers partagent un aspect commun: l’extraction et la concentration (ou enrichissement) d’un métal en provenance du sol. Les projets miniers proposés diffèrent considérablement par les méthodes proposées pour l’extraction et la concentration du minerai métallique (Verbruggen D., et al., 2011 ; Zingg W.&amp;Filip H., 2011). </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 xml:space="preserve">D’après l’expérience du Katanga en RDC, les minerais métalliques sont emprisonnés sous une couche de sol ou de roche ordinaire (appelée ‘morts terrains’ ou ‘débris de roche’) qui doivent être déplacés ou excavés pour permettre l’accès au dépôt de minerai. Dans l’Office des Mines d'Or de Kilo-Moto (Congo mines), les Chinois avaient  utilisé  deux méthodes : l’exploitation à ciel ouvert et l’exploitation des Placers (Rudahigwa P., 2011 ; Ashanti Goldfields Kilo, 2015). Ces deux méthodes sont prévues dans le contrat de l’exploitation minière de la rivière Aruwimi par la Societe Xiang </w:t>
      </w:r>
      <w:r>
        <w:rPr>
          <w:rFonts w:cs="Calibri"/>
          <w:i/>
          <w:sz w:val="24"/>
          <w:szCs w:val="24"/>
          <w:lang w:val="fr-FR"/>
        </w:rPr>
        <w:t>Jiang Mining</w:t>
      </w:r>
      <w:r>
        <w:rPr>
          <w:rFonts w:cs="Calibri"/>
          <w:sz w:val="24"/>
          <w:szCs w:val="24"/>
          <w:lang w:val="fr-FR"/>
        </w:rPr>
        <w:t xml:space="preserve"> SARL, dans le territoire de Basoko. Quels impacts à ce niveau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307" w:name="_Toc71470260"/>
      <w:bookmarkStart w:id="308" w:name="_Toc79393015"/>
      <w:bookmarkStart w:id="309" w:name="_Toc111888615"/>
      <w:bookmarkStart w:id="310" w:name="_Toc127187197"/>
      <w:bookmarkStart w:id="311" w:name="_Toc127187474"/>
      <w:bookmarkStart w:id="312" w:name="_Toc127432231"/>
      <w:r>
        <w:rPr>
          <w:rFonts w:cs="Calibri"/>
          <w:b/>
          <w:color w:val="auto"/>
          <w:sz w:val="24"/>
          <w:szCs w:val="24"/>
          <w:lang w:val="fr-FR"/>
        </w:rPr>
        <w:t>3.4.1. EXPLOITATION A CIEL OUVERT</w:t>
      </w:r>
      <w:bookmarkEnd w:id="307"/>
      <w:bookmarkEnd w:id="308"/>
      <w:bookmarkEnd w:id="309"/>
      <w:bookmarkEnd w:id="310"/>
      <w:bookmarkEnd w:id="311"/>
      <w:bookmarkEnd w:id="312"/>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Dans le contrat, la </w:t>
      </w:r>
      <w:r>
        <w:rPr>
          <w:rFonts w:cs="Calibri"/>
          <w:i/>
          <w:sz w:val="24"/>
          <w:szCs w:val="24"/>
          <w:lang w:val="fr-FR"/>
        </w:rPr>
        <w:t>Société Xiang Jiang Mining</w:t>
      </w:r>
      <w:r>
        <w:rPr>
          <w:rFonts w:cs="Calibri"/>
          <w:sz w:val="24"/>
          <w:szCs w:val="24"/>
          <w:lang w:val="fr-FR"/>
        </w:rPr>
        <w:t xml:space="preserve"> Sarl, utilisera l’exploitation à ciel ouvert pour les carrés hors rivière Aruwimi. Ce type d’exploitation dans laquelle le dépôt de minerai s’étend profondément dans le sous-sol nécessitant l’enlèvement des couches superposées de morts terrains et de minerai. Dans ce cas, il y aura une destruction des arbres ; la coupe rase ou le brûlage de la végétation surplombant le dépôt de minerai pourraient précéder l’enlèvement des morts terrains. L’utilisation de la machinerie lourde, généralement des bouteurs/ bulldozers et camions-bennes, est le moyen le plus commun pour enlever les morts terrains</w:t>
      </w:r>
      <w:r>
        <w:rPr>
          <w:rStyle w:val="Appelnotedebasdep"/>
          <w:rFonts w:cs="Calibri"/>
          <w:sz w:val="24"/>
          <w:szCs w:val="24"/>
          <w:lang w:val="fr-FR"/>
        </w:rPr>
        <w:footnoteReference w:id="41"/>
      </w:r>
      <w:r>
        <w:rPr>
          <w:rFonts w:cs="Calibri"/>
          <w:sz w:val="24"/>
          <w:szCs w:val="24"/>
          <w:lang w:val="fr-FR"/>
        </w:rPr>
        <w:t xml:space="preserve">. L’exploitation à ciel ouvert fait souvent intervenir le déplacement de la végétation native des zones, et se trouve donc parmi les types d’exploitation minière les plus destructrices du point de vue environnemental, ce qui serait le cas pour la forêt et la végétation tropicales de Liambe. Ici, cette méthode sera utilisée pour des minerais se trouvant à une profondeur substantielle dans l’eau. L’exemple des littoraux de la rivière Aruwimi à Banalia en est une illustration. Elle fait couramment intervenir la création d’un puit qui s’étend en dessous du niveau de la nappe phréatique de la rivière avec des sablages.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313" w:name="_Toc71470261"/>
      <w:bookmarkStart w:id="314" w:name="_Toc79393016"/>
      <w:bookmarkStart w:id="315" w:name="_Toc111888616"/>
      <w:bookmarkStart w:id="316" w:name="_Toc127187198"/>
      <w:bookmarkStart w:id="317" w:name="_Toc127187475"/>
      <w:bookmarkStart w:id="318" w:name="_Toc127432232"/>
      <w:r>
        <w:rPr>
          <w:rFonts w:cs="Calibri"/>
          <w:b/>
          <w:color w:val="auto"/>
          <w:sz w:val="24"/>
          <w:szCs w:val="24"/>
          <w:lang w:val="fr-FR"/>
        </w:rPr>
        <w:t>3.4.2. EXPLOITATION DES PLACERS</w:t>
      </w:r>
      <w:bookmarkEnd w:id="313"/>
      <w:bookmarkEnd w:id="314"/>
      <w:bookmarkEnd w:id="315"/>
      <w:bookmarkEnd w:id="316"/>
      <w:bookmarkEnd w:id="317"/>
      <w:bookmarkEnd w:id="318"/>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En décortiquant le même contrat, une autre méthode qui sera utilisée dans cette exploitation c’est “l’exploitation des placers”. Elle sera utilisée lorsque le métal d’intérêt est </w:t>
      </w:r>
      <w:r>
        <w:rPr>
          <w:rFonts w:cs="Calibri"/>
          <w:sz w:val="24"/>
          <w:szCs w:val="24"/>
          <w:lang w:val="fr-FR"/>
        </w:rPr>
        <w:lastRenderedPageBreak/>
        <w:t xml:space="preserve">associé aux sédiments dans un lit de rivière (d’Aruwimi pour le cas de Basoko) ou dans les marais périodiquement inondés. Des bouteurs, des dragues ou des jets hydrauliques (un processus appelé ‘abattage hydraulique’) seront utilisés pour extraire le minerai. </w:t>
      </w:r>
    </w:p>
    <w:p w:rsidR="0089405D" w:rsidRDefault="003468E2">
      <w:pPr>
        <w:spacing w:after="0" w:line="312" w:lineRule="auto"/>
        <w:jc w:val="both"/>
        <w:rPr>
          <w:rFonts w:cs="Calibri"/>
          <w:sz w:val="24"/>
          <w:szCs w:val="24"/>
          <w:lang w:val="fr-FR"/>
        </w:rPr>
      </w:pPr>
      <w:r>
        <w:rPr>
          <w:rFonts w:cs="Calibri"/>
          <w:sz w:val="24"/>
          <w:szCs w:val="24"/>
          <w:lang w:val="fr-FR"/>
        </w:rPr>
        <w:tab/>
        <w:t>Cette exploitation des placers vise généralement à récupérer de l’or à partir des sédiments de cours d’eau et des plaines inondables. Parce que l’exploitation des placers se produit souvent dans un cours d’eau, c’est un type d’exploitation minière destructif pour l’environnement, parce qu’il libère de grandes quantités de sédiments qui peuvent avoir des impacts sur les eaux de surface à plusieurs kilomètres en aval de la mine de placer (Verbruggen D. et al., 2011 ; Zingg W. &amp; Filip H., 2011).</w:t>
      </w:r>
      <w:bookmarkStart w:id="319" w:name="_Toc71470262"/>
      <w:bookmarkStart w:id="320" w:name="_Toc79393017"/>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321" w:name="_Toc111888617"/>
      <w:bookmarkStart w:id="322" w:name="_Toc127187199"/>
      <w:bookmarkStart w:id="323" w:name="_Toc127187476"/>
      <w:bookmarkStart w:id="324" w:name="_Toc127432233"/>
      <w:r>
        <w:rPr>
          <w:rFonts w:cs="Calibri"/>
          <w:b/>
          <w:color w:val="auto"/>
          <w:sz w:val="24"/>
          <w:szCs w:val="24"/>
          <w:lang w:val="fr-FR"/>
        </w:rPr>
        <w:t>3.5. EVACUATION DES MORTS TERRAINS ET DES DECHETS DE ROCHE</w:t>
      </w:r>
      <w:bookmarkEnd w:id="319"/>
      <w:bookmarkEnd w:id="320"/>
      <w:bookmarkEnd w:id="321"/>
      <w:bookmarkEnd w:id="322"/>
      <w:bookmarkEnd w:id="323"/>
      <w:bookmarkEnd w:id="324"/>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L’expérience d’exploitation minière en RDC et particulièrement dans la Tshopo montrent que la quantité de morts terrains générée par l’exploitation minière est énorme. Dans les exploitations, des minerais métalliques sont enfouis sous une couche de sol ordinaire ou de roches (appelée ‘morts terrains’ ou ‘déchets de roche’) qui doit être déplacée ou creusée pour permettre l’accès au dépôt de minerai métallique (Vanclay, F. &amp; Esteves A., 2011). Pour la plupart des projets miniers, le rapport entre la quantité de morts terrains à la quantité de minerais (appelé ‘taux de découverte’) est généralement supérieur à un et peut être beaucoup plus élevé (Geenen, S. &amp; Custers, R. 2010). </w:t>
      </w:r>
      <w:r>
        <w:rPr>
          <w:rFonts w:cs="Calibri"/>
          <w:sz w:val="24"/>
          <w:szCs w:val="24"/>
          <w:lang w:val="fr-FR"/>
        </w:rPr>
        <w:tab/>
        <w:t>L’expérience de Kolwezi est un cas d’illustration : l’extraction de 100 millions de tonnes de cuivre et de cobalts génère plus d’un milliard de tonnes métriques de morts terrains et de déchets de roche. Ces déchets volumineux, contenant parfois des niveaux significatifs de substances toxiques, sont généralement déposés sur place, soit en tas sur la surface ou comme remblai dans les carrières, ou dans les mines souterraines</w:t>
      </w:r>
      <w:r>
        <w:rPr>
          <w:rStyle w:val="Appelnotedebasdep"/>
          <w:rFonts w:cs="Calibri"/>
          <w:sz w:val="24"/>
          <w:szCs w:val="24"/>
          <w:lang w:val="fr-FR"/>
        </w:rPr>
        <w:footnoteReference w:id="42"/>
      </w:r>
    </w:p>
    <w:p w:rsidR="0089405D" w:rsidRDefault="003468E2">
      <w:pPr>
        <w:spacing w:after="0" w:line="312" w:lineRule="auto"/>
        <w:jc w:val="both"/>
        <w:rPr>
          <w:rFonts w:cs="Calibri"/>
          <w:sz w:val="24"/>
          <w:szCs w:val="24"/>
          <w:lang w:val="fr-FR"/>
        </w:rPr>
      </w:pPr>
      <w:r>
        <w:rPr>
          <w:rFonts w:cs="Calibri"/>
          <w:sz w:val="24"/>
          <w:szCs w:val="24"/>
          <w:lang w:val="fr-FR"/>
        </w:rPr>
        <w:tab/>
        <w:t xml:space="preserve">Dans l’optique de la lutte contre la pollution, les déchets sont considérés comme un sous-produit indésirable du processus de production qu’il faut limiter pour éviter de contaminer les ressources en sols, en eau et en air au-delà du niveau jugé acceptable. Nous tous, nous sommes appelés à résoudre le problème dans la gestion des déchets, ce qui permet de comprendre l’importance croissante de la prévention de la pollution et du recyclage (Matheus, P., 2018). </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 xml:space="preserve">Comme il est largement attesté que la mise en décharge sauvage des déchets donne lieu à une grave contamination, les gouvernements ont fixé des normes pour les pratiques acceptables de collecte, de traitement et d’élimination, afin d’assurer la protection de l’environnement. Ils ont accordé une attention particulière aux critères d’élimination sans danger pour l’environnement par l’utilisation des décharges contrôlées, de l’incinération et du traitement des déchets dangereux (Wakenge, C., 2019). Pour éviter les contraintes que l’élimination des déchets pourrait faire peser sur l’environnement et les coûts qu’elle entraîne et pour encourager une gestion plus avisée des ressources peu abondantes, on fait une place croissante à la réduction de la production des déchets et à leur recyclage (Miller, G. &amp; Jones, G., 2005). </w:t>
      </w:r>
    </w:p>
    <w:p w:rsidR="0089405D" w:rsidRDefault="003468E2">
      <w:pPr>
        <w:spacing w:after="0" w:line="312" w:lineRule="auto"/>
        <w:ind w:firstLine="709"/>
        <w:jc w:val="both"/>
        <w:rPr>
          <w:rFonts w:cs="Calibri"/>
          <w:sz w:val="24"/>
          <w:szCs w:val="24"/>
          <w:lang w:val="fr-FR"/>
        </w:rPr>
      </w:pPr>
      <w:r>
        <w:rPr>
          <w:rFonts w:cs="Calibri"/>
          <w:sz w:val="24"/>
          <w:szCs w:val="24"/>
          <w:lang w:val="fr-FR"/>
        </w:rPr>
        <w:t>En bref, Tout en sachant que  Tout producteur ou détenteur d’un déchet est responsable de ce déchet : c’est-à-dire qu’il est tenu d’en assurer ou d’en faire assurer la gestion, cette responsabilité s’étend jusqu’à l’élimination ou la valorisation finale du déchet.</w:t>
      </w:r>
    </w:p>
    <w:p w:rsidR="0089405D" w:rsidRDefault="0089405D">
      <w:pPr>
        <w:spacing w:after="0" w:line="312" w:lineRule="auto"/>
        <w:jc w:val="both"/>
        <w:rPr>
          <w:rFonts w:cs="Calibri"/>
          <w:b/>
          <w:sz w:val="24"/>
          <w:szCs w:val="24"/>
          <w:lang w:val="fr-FR"/>
        </w:rPr>
      </w:pPr>
      <w:bookmarkStart w:id="325" w:name="_Toc71470263"/>
    </w:p>
    <w:p w:rsidR="0089405D" w:rsidRDefault="003468E2">
      <w:pPr>
        <w:pStyle w:val="Titre1"/>
        <w:spacing w:before="0" w:line="312" w:lineRule="auto"/>
        <w:rPr>
          <w:rFonts w:cs="Calibri"/>
          <w:b/>
          <w:color w:val="auto"/>
          <w:sz w:val="24"/>
          <w:szCs w:val="24"/>
          <w:lang w:val="fr-FR"/>
        </w:rPr>
      </w:pPr>
      <w:r>
        <w:rPr>
          <w:rFonts w:cs="Calibri"/>
          <w:b/>
          <w:color w:val="auto"/>
          <w:sz w:val="24"/>
          <w:szCs w:val="24"/>
          <w:lang w:val="fr-FR"/>
        </w:rPr>
        <w:t>3.6. EXTRACTION DU MINERAI ET ENRICHISSEMENT</w:t>
      </w:r>
      <w:bookmarkEnd w:id="325"/>
    </w:p>
    <w:p w:rsidR="0089405D" w:rsidRDefault="003468E2">
      <w:pPr>
        <w:pStyle w:val="Titre1"/>
        <w:tabs>
          <w:tab w:val="left" w:pos="1793"/>
        </w:tabs>
        <w:spacing w:before="0" w:line="312" w:lineRule="auto"/>
        <w:rPr>
          <w:rFonts w:cs="Calibri"/>
          <w:b/>
          <w:color w:val="auto"/>
          <w:sz w:val="24"/>
          <w:szCs w:val="24"/>
          <w:lang w:val="fr-FR"/>
        </w:rPr>
      </w:pPr>
      <w:bookmarkStart w:id="326" w:name="_Toc71470264"/>
      <w:r>
        <w:rPr>
          <w:rFonts w:cs="Calibri"/>
          <w:b/>
          <w:color w:val="auto"/>
          <w:sz w:val="24"/>
          <w:szCs w:val="24"/>
          <w:lang w:val="fr-FR"/>
        </w:rPr>
        <w:tab/>
      </w:r>
    </w:p>
    <w:p w:rsidR="0089405D" w:rsidRDefault="003468E2">
      <w:pPr>
        <w:pStyle w:val="Titre1"/>
        <w:spacing w:before="0" w:line="312" w:lineRule="auto"/>
        <w:rPr>
          <w:rFonts w:cs="Calibri"/>
          <w:b/>
          <w:color w:val="auto"/>
          <w:sz w:val="24"/>
          <w:szCs w:val="24"/>
          <w:lang w:val="fr-FR"/>
        </w:rPr>
      </w:pPr>
      <w:bookmarkStart w:id="327" w:name="_Toc79393018"/>
      <w:bookmarkStart w:id="328" w:name="_Toc111888618"/>
      <w:bookmarkStart w:id="329" w:name="_Toc127187200"/>
      <w:bookmarkStart w:id="330" w:name="_Toc127187477"/>
      <w:bookmarkStart w:id="331" w:name="_Toc127432234"/>
      <w:r>
        <w:rPr>
          <w:rFonts w:cs="Calibri"/>
          <w:b/>
          <w:color w:val="auto"/>
          <w:sz w:val="24"/>
          <w:szCs w:val="24"/>
          <w:lang w:val="fr-FR"/>
        </w:rPr>
        <w:t>3.6.1. L’EXTRACTION DU MINERAI</w:t>
      </w:r>
      <w:bookmarkEnd w:id="326"/>
      <w:bookmarkEnd w:id="327"/>
      <w:bookmarkEnd w:id="328"/>
      <w:bookmarkEnd w:id="329"/>
      <w:bookmarkEnd w:id="330"/>
      <w:bookmarkEnd w:id="331"/>
      <w:r>
        <w:rPr>
          <w:rFonts w:cs="Calibri"/>
          <w:b/>
          <w:color w:val="auto"/>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L’extraction du minerai commence à l’aide d’équipements lourds et d’une machinerie spécialisée, telles que les chargeurs, les wagons de mine et les camions-bennes, qui transportent le minerai vers les installations de traitement à travers des routes de transport des matériaux</w:t>
      </w:r>
      <w:r>
        <w:rPr>
          <w:rStyle w:val="Appelnotedebasdep"/>
          <w:rFonts w:cs="Calibri"/>
          <w:sz w:val="24"/>
          <w:szCs w:val="24"/>
          <w:lang w:val="fr-FR"/>
        </w:rPr>
        <w:footnoteReference w:id="43"/>
      </w:r>
      <w:r>
        <w:rPr>
          <w:rFonts w:cs="Calibri"/>
          <w:sz w:val="24"/>
          <w:szCs w:val="24"/>
          <w:lang w:val="fr-FR"/>
        </w:rPr>
        <w:t>.  Les expériences vécues à Kilo moto, Cabunda, Banalia et Bafwasende, auprès de cette compagnie minière nous renseignent que cette activité crée un groupe particulier d’impacts environnementaux, tels que les émissions des poussières fugitives des routes de transport des matériaux, qu’une EIE pour un projet minier proposé devrait évaluer séparément (Ashanti Goldfields Kilo, 2015).</w:t>
      </w:r>
    </w:p>
    <w:p w:rsidR="0089405D" w:rsidRDefault="0089405D">
      <w:pPr>
        <w:spacing w:after="0" w:line="312" w:lineRule="auto"/>
        <w:jc w:val="both"/>
        <w:rPr>
          <w:rFonts w:cs="Calibri"/>
          <w:b/>
          <w:sz w:val="24"/>
          <w:szCs w:val="24"/>
          <w:lang w:val="fr-FR"/>
        </w:rPr>
      </w:pPr>
    </w:p>
    <w:p w:rsidR="0089405D" w:rsidRDefault="003468E2">
      <w:pPr>
        <w:pStyle w:val="Titre1"/>
        <w:spacing w:before="0" w:line="312" w:lineRule="auto"/>
        <w:rPr>
          <w:rFonts w:cs="Calibri"/>
          <w:b/>
          <w:color w:val="auto"/>
          <w:sz w:val="24"/>
          <w:szCs w:val="24"/>
          <w:lang w:val="fr-FR"/>
        </w:rPr>
      </w:pPr>
      <w:bookmarkStart w:id="332" w:name="_Toc71470265"/>
      <w:bookmarkStart w:id="333" w:name="_Toc79393019"/>
      <w:bookmarkStart w:id="334" w:name="_Toc111888619"/>
      <w:bookmarkStart w:id="335" w:name="_Toc127187201"/>
      <w:bookmarkStart w:id="336" w:name="_Toc127187478"/>
      <w:bookmarkStart w:id="337" w:name="_Toc127432235"/>
      <w:r>
        <w:rPr>
          <w:rFonts w:cs="Calibri"/>
          <w:b/>
          <w:color w:val="auto"/>
          <w:sz w:val="24"/>
          <w:szCs w:val="24"/>
          <w:lang w:val="fr-FR"/>
        </w:rPr>
        <w:t>3.6.2. ENRICHISSEMENT</w:t>
      </w:r>
      <w:bookmarkEnd w:id="332"/>
      <w:bookmarkEnd w:id="333"/>
      <w:bookmarkEnd w:id="334"/>
      <w:bookmarkEnd w:id="335"/>
      <w:bookmarkEnd w:id="336"/>
      <w:bookmarkEnd w:id="337"/>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Bien que les minerais métalliques contiennent des niveaux élevés de métaux, ils produisent aussi de grandes quantités de déchets. Par exemple, la teneur en cuivre d’un </w:t>
      </w:r>
      <w:r>
        <w:rPr>
          <w:rFonts w:cs="Calibri"/>
          <w:sz w:val="24"/>
          <w:szCs w:val="24"/>
          <w:lang w:val="fr-FR"/>
        </w:rPr>
        <w:lastRenderedPageBreak/>
        <w:t xml:space="preserve">minerai de cuivre de bonne qualité peut être seulement 0,25-0,50 % (Dyment J., et L 2014). Selon International Finance Corporation (2012), la teneur en or d’un minerai d’or de bonne qualité peut être uniquement de quelques centièmes d’un pour cent. Par conséquent, l’étape suivante dans l’exploitation minière est le concassage (ou broyage) du minerai et la séparation des quantités relativement faibles de métaux du matériau non métallique du minerai au cours d’un processus de traitement dénommé enrichissement “.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Les résidus qui sont ce qui reste après le broyage du minerai en de fines particules suivi de l’extraction du métal/des métaux précieux par des techniques de séparation physique ou chimique comme la concentration par gravité, séparation magnétique, séparation électrostatique, flottation, extraction par solvant, extraction par voie électrolytique, lixiviation, précipitation et amalgamation. Les déchets provenant de ces processus incluent des décharges de déchets rocheux, des résidus, des matériaux de lessivage et des décharges de matériaux lessivés (Leduc, G. &amp; Raymond, M., 1999).  </w:t>
      </w:r>
    </w:p>
    <w:p w:rsidR="0089405D" w:rsidRDefault="0089405D">
      <w:pPr>
        <w:pStyle w:val="Titre1"/>
        <w:spacing w:before="0" w:line="312" w:lineRule="auto"/>
        <w:rPr>
          <w:rFonts w:cs="Calibri"/>
          <w:b/>
          <w:color w:val="auto"/>
          <w:sz w:val="24"/>
          <w:szCs w:val="24"/>
          <w:lang w:val="fr-FR"/>
        </w:rPr>
      </w:pPr>
      <w:bookmarkStart w:id="338" w:name="_Toc71470266"/>
      <w:bookmarkStart w:id="339" w:name="_Toc79393020"/>
      <w:bookmarkStart w:id="340" w:name="_Toc111888620"/>
    </w:p>
    <w:p w:rsidR="0089405D" w:rsidRDefault="003468E2">
      <w:pPr>
        <w:pStyle w:val="Titre1"/>
        <w:spacing w:before="0" w:line="312" w:lineRule="auto"/>
        <w:rPr>
          <w:rFonts w:cs="Calibri"/>
          <w:b/>
          <w:color w:val="auto"/>
          <w:sz w:val="24"/>
          <w:szCs w:val="24"/>
          <w:lang w:val="fr-FR"/>
        </w:rPr>
      </w:pPr>
      <w:bookmarkStart w:id="341" w:name="_Toc127187202"/>
      <w:bookmarkStart w:id="342" w:name="_Toc127187479"/>
      <w:bookmarkStart w:id="343" w:name="_Toc127432236"/>
      <w:r>
        <w:rPr>
          <w:rFonts w:cs="Calibri"/>
          <w:b/>
          <w:color w:val="auto"/>
          <w:sz w:val="24"/>
          <w:szCs w:val="24"/>
          <w:lang w:val="fr-FR"/>
        </w:rPr>
        <w:t>3.7. REHABILITATION ET FERMETURE DE SITE MINIER</w:t>
      </w:r>
      <w:bookmarkEnd w:id="338"/>
      <w:bookmarkEnd w:id="339"/>
      <w:bookmarkEnd w:id="340"/>
      <w:bookmarkEnd w:id="341"/>
      <w:bookmarkEnd w:id="342"/>
      <w:bookmarkEnd w:id="343"/>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Lorsque l’exploitation minière active cesse, les installations minières et le site sont réhabilités et fermées. L’objectif du plan de réhabilitation et de fermeture d’un site minier doit toujours viser à retourner le site à une condition qui ressemble le plus possible à la condition d’avant exploitation (Bank, 2002). Les mines qui sont célèbres pour leurs immenses impacts sur l’environnement ont le plus souvent produit ces impacts uniquement durant la phase de fermeture, lorsque les opérations minières avaient cessé. </w:t>
      </w:r>
    </w:p>
    <w:p w:rsidR="0089405D" w:rsidRDefault="0089405D">
      <w:pPr>
        <w:spacing w:after="0" w:line="312" w:lineRule="auto"/>
        <w:jc w:val="both"/>
        <w:rPr>
          <w:rFonts w:cs="Calibri"/>
          <w:b/>
          <w:sz w:val="24"/>
          <w:szCs w:val="24"/>
          <w:lang w:val="fr-FR"/>
        </w:rPr>
      </w:pPr>
    </w:p>
    <w:p w:rsidR="0089405D" w:rsidRDefault="003468E2">
      <w:pPr>
        <w:keepNext/>
        <w:keepLines/>
        <w:widowControl w:val="0"/>
        <w:spacing w:after="0" w:line="312" w:lineRule="auto"/>
        <w:outlineLvl w:val="0"/>
        <w:rPr>
          <w:rFonts w:cs="Calibri"/>
          <w:b/>
          <w:bCs/>
          <w:sz w:val="24"/>
          <w:szCs w:val="24"/>
          <w:lang w:val="fr-FR"/>
        </w:rPr>
      </w:pPr>
      <w:bookmarkStart w:id="344" w:name="_Toc111888621"/>
      <w:bookmarkStart w:id="345" w:name="_Toc127187203"/>
      <w:bookmarkStart w:id="346" w:name="_Toc127187480"/>
      <w:bookmarkStart w:id="347" w:name="_Toc127432237"/>
      <w:bookmarkStart w:id="348" w:name="_Toc71470267"/>
      <w:bookmarkStart w:id="349" w:name="_Toc79393021"/>
      <w:r>
        <w:rPr>
          <w:rFonts w:cs="Calibri"/>
          <w:b/>
          <w:bCs/>
          <w:sz w:val="24"/>
          <w:szCs w:val="24"/>
          <w:lang w:val="fr-FR"/>
        </w:rPr>
        <w:t>3.7.1. MOYENS DE SUBSISTANCE DE LA POPULATION DU SITE MINIER</w:t>
      </w:r>
      <w:bookmarkEnd w:id="344"/>
      <w:bookmarkEnd w:id="345"/>
      <w:bookmarkEnd w:id="346"/>
      <w:bookmarkEnd w:id="347"/>
    </w:p>
    <w:p w:rsidR="0089405D" w:rsidRDefault="0089405D">
      <w:pPr>
        <w:spacing w:after="0" w:line="312" w:lineRule="auto"/>
        <w:ind w:firstLine="709"/>
        <w:jc w:val="both"/>
        <w:rPr>
          <w:rFonts w:cs="Calibri"/>
          <w:bCs/>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L'exploitation minière peut affecter les moyens de subsistance des populations de diverses manières et tout aussi bien positivement que négativement. Si les habitants de la région dépendent des ressources naturelles locales pour leur subsistance (chasse, pêche, agriculture, ou mines paysannes), les activités d'exploration, de préparation du site, de construction de la mine et de l'usine, de développement des infrastructures, et d'exploitation minière elle-même, peuvent perturber ces ressources ou interférer avec elles (Lubaba-Nkulu Banza, C.,</w:t>
      </w:r>
      <w:r>
        <w:rPr>
          <w:lang w:val="fr-FR"/>
        </w:rPr>
        <w:t xml:space="preserve"> </w:t>
      </w:r>
      <w:r>
        <w:rPr>
          <w:rFonts w:cs="Calibri"/>
          <w:bCs/>
          <w:sz w:val="24"/>
          <w:szCs w:val="24"/>
          <w:lang w:val="fr-FR"/>
        </w:rPr>
        <w:t>2009). Ces populations peuvent également se trouver incapables d'y accéder et de poursuivre les moyens leur permettant et de subvenir à leurs besoins. C'est ce qui a été mentionné ci-dessus sous le terme « déplacement économique »</w:t>
      </w:r>
      <w:r>
        <w:rPr>
          <w:rFonts w:cs="Calibri"/>
          <w:bCs/>
          <w:sz w:val="24"/>
          <w:szCs w:val="24"/>
          <w:lang w:val="fr-FR"/>
        </w:rPr>
        <w:tab/>
        <w:t xml:space="preserve">, et qui peut se produire </w:t>
      </w:r>
      <w:r>
        <w:rPr>
          <w:rFonts w:cs="Calibri"/>
          <w:bCs/>
          <w:sz w:val="24"/>
          <w:szCs w:val="24"/>
          <w:lang w:val="fr-FR"/>
        </w:rPr>
        <w:lastRenderedPageBreak/>
        <w:t xml:space="preserve">même lorsque les communautés et les ménages ne doivent pas être déplacés. Les principales mesures compensatoires que les sociétés d'exploitation minière et les gouvernements peuvent prendre consistent à assurer la création des moyens de subsistance et d'emploi de remplacement pour les familles et les individus. Cela a souvent impliqué des politiques de formation et d'embauches préférentielles, ainsi que des investissements dans le développement d'approvisionnement de certaines marchandises et produits possiblement disponibles par le biais d'entreprises locales. </w:t>
      </w:r>
    </w:p>
    <w:p w:rsidR="0089405D" w:rsidRDefault="003468E2">
      <w:pPr>
        <w:spacing w:after="0" w:line="312" w:lineRule="auto"/>
        <w:ind w:firstLine="709"/>
        <w:jc w:val="both"/>
        <w:rPr>
          <w:rFonts w:cs="Calibri"/>
          <w:bCs/>
          <w:sz w:val="24"/>
          <w:szCs w:val="24"/>
          <w:lang w:val="fr-FR"/>
        </w:rPr>
      </w:pPr>
      <w:r>
        <w:rPr>
          <w:rFonts w:cs="Calibri"/>
          <w:bCs/>
          <w:sz w:val="24"/>
          <w:szCs w:val="24"/>
          <w:lang w:val="fr-FR"/>
        </w:rPr>
        <w:t>Certains gouvernements ont développé des dispositions d'embauche et d'approvisionnement nationales préférentielles dans leurs conventions minières, mais elles ne sont pas nécessairement descendues au niveau local. De nouveaux efforts sont toutefois en cours. De nombreuses entreprises et de nombreux gouvernements reconnaissent la nécessité d'assurer la sécurité et la stabilité des communautés dans le domaine de l'exploitation minière, et conçoivent et implémentent des politiques et des procédures en matière d'emploi et d'approvisionnement locaux.</w:t>
      </w:r>
    </w:p>
    <w:p w:rsidR="0089405D" w:rsidRDefault="0089405D">
      <w:pPr>
        <w:spacing w:after="0" w:line="312" w:lineRule="auto"/>
        <w:jc w:val="both"/>
        <w:rPr>
          <w:rFonts w:cs="Calibri"/>
          <w:bCs/>
          <w:sz w:val="24"/>
          <w:szCs w:val="24"/>
          <w:lang w:val="fr-FR"/>
        </w:rPr>
      </w:pPr>
    </w:p>
    <w:p w:rsidR="0089405D" w:rsidRDefault="003468E2">
      <w:pPr>
        <w:pStyle w:val="Titre1"/>
        <w:spacing w:before="0" w:line="312" w:lineRule="auto"/>
        <w:rPr>
          <w:rFonts w:cs="Calibri"/>
          <w:b/>
          <w:bCs/>
          <w:color w:val="auto"/>
          <w:sz w:val="24"/>
          <w:szCs w:val="24"/>
          <w:lang w:val="fr-FR"/>
        </w:rPr>
      </w:pPr>
      <w:bookmarkStart w:id="350" w:name="_Toc111888622"/>
      <w:bookmarkStart w:id="351" w:name="_Toc127187204"/>
      <w:bookmarkStart w:id="352" w:name="_Toc127187481"/>
      <w:bookmarkStart w:id="353" w:name="_Toc127432238"/>
      <w:r>
        <w:rPr>
          <w:rFonts w:cs="Calibri"/>
          <w:b/>
          <w:bCs/>
          <w:color w:val="auto"/>
          <w:sz w:val="24"/>
          <w:szCs w:val="24"/>
          <w:lang w:val="fr-FR"/>
        </w:rPr>
        <w:t>3.7.2. PATRIMOINE CULTUREL ET SITES SACRÉS</w:t>
      </w:r>
      <w:bookmarkEnd w:id="350"/>
      <w:bookmarkEnd w:id="351"/>
      <w:bookmarkEnd w:id="352"/>
      <w:bookmarkEnd w:id="353"/>
    </w:p>
    <w:p w:rsidR="0089405D" w:rsidRDefault="0089405D">
      <w:pPr>
        <w:spacing w:after="0" w:line="312" w:lineRule="auto"/>
        <w:jc w:val="both"/>
        <w:rPr>
          <w:rFonts w:cs="Calibri"/>
          <w:b/>
          <w:bCs/>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 xml:space="preserve">L'acquisition des terres, les activités de terrassement et les afflux des populations sont tous des éléments qui peuvent menacer l'accès, la protection et la préservation des sites culturels, qu'ils soient de nature archéologique ou spirituelle. Lorsque des sites culturels sont présents, les entreprises minières internationales, souvent dans le cadre de lois nationales, se doivent de les étudier et, le cas échéant, de mettre en œuvre des mesures de protection et des systèmes de gestion. Ce problème peut également être abordé dans la convention minière.  </w:t>
      </w:r>
    </w:p>
    <w:p w:rsidR="0089405D" w:rsidRDefault="0089405D">
      <w:pPr>
        <w:spacing w:after="0" w:line="312" w:lineRule="auto"/>
        <w:ind w:firstLine="709"/>
        <w:jc w:val="both"/>
        <w:rPr>
          <w:rFonts w:cs="Calibri"/>
          <w:bCs/>
          <w:sz w:val="24"/>
          <w:szCs w:val="24"/>
          <w:lang w:val="fr-FR"/>
        </w:rPr>
      </w:pPr>
    </w:p>
    <w:p w:rsidR="0089405D" w:rsidRDefault="003468E2">
      <w:pPr>
        <w:pStyle w:val="Titre1"/>
        <w:spacing w:before="0" w:line="312" w:lineRule="auto"/>
        <w:rPr>
          <w:rFonts w:cs="Calibri"/>
          <w:b/>
          <w:bCs/>
          <w:sz w:val="24"/>
          <w:szCs w:val="24"/>
          <w:lang w:val="fr-FR"/>
        </w:rPr>
      </w:pPr>
      <w:bookmarkStart w:id="354" w:name="_Toc111888623"/>
      <w:bookmarkStart w:id="355" w:name="_Toc127187205"/>
      <w:bookmarkStart w:id="356" w:name="_Toc127187482"/>
      <w:bookmarkStart w:id="357" w:name="_Toc127432239"/>
      <w:r>
        <w:rPr>
          <w:rFonts w:cs="Calibri"/>
          <w:b/>
          <w:bCs/>
          <w:color w:val="auto"/>
          <w:sz w:val="24"/>
          <w:szCs w:val="24"/>
          <w:lang w:val="fr-FR"/>
        </w:rPr>
        <w:t>3.7.3. INFRASTRUCTURE PHYSIQUE ET SOCIALE</w:t>
      </w:r>
      <w:bookmarkEnd w:id="354"/>
      <w:bookmarkEnd w:id="355"/>
      <w:bookmarkEnd w:id="356"/>
      <w:bookmarkEnd w:id="357"/>
      <w:r>
        <w:rPr>
          <w:rFonts w:cs="Calibri"/>
          <w:b/>
          <w:bCs/>
          <w:color w:val="auto"/>
          <w:sz w:val="24"/>
          <w:szCs w:val="24"/>
          <w:lang w:val="fr-FR"/>
        </w:rPr>
        <w:t xml:space="preserve"> </w:t>
      </w:r>
    </w:p>
    <w:p w:rsidR="0089405D" w:rsidRDefault="0089405D">
      <w:pPr>
        <w:pStyle w:val="Titre1"/>
        <w:spacing w:before="0" w:line="312" w:lineRule="auto"/>
        <w:rPr>
          <w:rFonts w:cs="Calibri"/>
          <w:b/>
          <w:bCs/>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Un des avantages potentiels de la présence d'une mine est son investissement dans l'amélioration des infrastructures et des services locaux. En l'absence des services publics efficaces, les entreprises minières internationales font souvent fonction de service public en vue d'aider les communautés locales à répondre aux nécessités de base et d'améliorer la qualité de vie des autochtones.</w:t>
      </w:r>
    </w:p>
    <w:p w:rsidR="0089405D" w:rsidRDefault="003468E2">
      <w:pPr>
        <w:spacing w:after="0" w:line="312" w:lineRule="auto"/>
        <w:ind w:firstLine="709"/>
        <w:jc w:val="both"/>
        <w:rPr>
          <w:rFonts w:cs="Calibri"/>
          <w:bCs/>
          <w:sz w:val="24"/>
          <w:szCs w:val="24"/>
          <w:lang w:val="fr-FR"/>
        </w:rPr>
      </w:pPr>
      <w:r>
        <w:rPr>
          <w:rFonts w:cs="Calibri"/>
          <w:bCs/>
          <w:sz w:val="24"/>
          <w:szCs w:val="24"/>
          <w:lang w:val="fr-FR"/>
        </w:rPr>
        <w:t xml:space="preserve">Certaines entreprises minières internationales adoptent une approche stratégique en matière d'investissements de nature locale/communautaire, et encouragent des partenariats </w:t>
      </w:r>
      <w:r>
        <w:rPr>
          <w:rFonts w:cs="Calibri"/>
          <w:bCs/>
          <w:sz w:val="24"/>
          <w:szCs w:val="24"/>
          <w:lang w:val="fr-FR"/>
        </w:rPr>
        <w:lastRenderedPageBreak/>
        <w:t>public-privé de développement local, s'associant aux gouvernements, aux collectivités et aux ONG à divers niveaux, parfois assistées par des fonds supplémentaires provenant de certains organismes d'aide bilatéraux ou multilatéraux. Cependant, les rôles, les responsabilités et les attentes de toutes les parties impliquées dans un contrat d'exploitation (ou dans d'autres accords pertinents) doivent être clairement définis lors des négociations et des consultations de la communauté et être formalisés dans ce ou ces accords. Malheureusement ce n’est toujours pas le cas comme en témoignent les chapitres précédents.</w:t>
      </w:r>
    </w:p>
    <w:p w:rsidR="0089405D" w:rsidRDefault="0089405D">
      <w:pPr>
        <w:spacing w:after="0" w:line="312" w:lineRule="auto"/>
        <w:jc w:val="both"/>
        <w:rPr>
          <w:rFonts w:cs="Calibri"/>
          <w:bCs/>
          <w:sz w:val="24"/>
          <w:szCs w:val="24"/>
          <w:lang w:val="fr-FR"/>
        </w:rPr>
      </w:pPr>
    </w:p>
    <w:p w:rsidR="0089405D" w:rsidRDefault="003468E2">
      <w:pPr>
        <w:pStyle w:val="Titre1"/>
        <w:spacing w:before="0" w:line="312" w:lineRule="auto"/>
        <w:rPr>
          <w:b/>
          <w:color w:val="auto"/>
          <w:lang w:val="fr-FR"/>
        </w:rPr>
      </w:pPr>
      <w:bookmarkStart w:id="358" w:name="_Toc111888624"/>
      <w:bookmarkStart w:id="359" w:name="_Toc127187206"/>
      <w:bookmarkStart w:id="360" w:name="_Toc127187483"/>
      <w:bookmarkStart w:id="361" w:name="_Toc127432240"/>
      <w:r>
        <w:rPr>
          <w:rFonts w:cs="Calibri"/>
          <w:b/>
          <w:bCs/>
          <w:color w:val="auto"/>
          <w:sz w:val="24"/>
          <w:szCs w:val="24"/>
          <w:lang w:val="fr-FR"/>
        </w:rPr>
        <w:t>3.7.4. ACCÈS AUX RESSOURCES, SÉCURITÉ PROFESSIONNELLE, SÉCURITÉ, PATRIMOINE CULTUREL, FERMETURE D'UNE MINE ET RESPONSABILITÉ</w:t>
      </w:r>
      <w:bookmarkEnd w:id="358"/>
      <w:bookmarkEnd w:id="359"/>
      <w:bookmarkEnd w:id="360"/>
      <w:bookmarkEnd w:id="361"/>
      <w:r>
        <w:rPr>
          <w:b/>
          <w:color w:val="auto"/>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Bien qu'il s'avère vital que l'</w:t>
      </w:r>
      <w:r>
        <w:rPr>
          <w:rFonts w:eastAsia="Times New Roman" w:cs="Calibri"/>
          <w:sz w:val="24"/>
          <w:szCs w:val="24"/>
          <w:lang w:val="fr-FR" w:eastAsia="fr-FR"/>
        </w:rPr>
        <w:t>Etudes d’Impact Environnemental et Social</w:t>
      </w:r>
      <w:r>
        <w:rPr>
          <w:rFonts w:cs="Calibri"/>
          <w:bCs/>
          <w:sz w:val="24"/>
          <w:szCs w:val="24"/>
          <w:lang w:val="fr-FR"/>
        </w:rPr>
        <w:t xml:space="preserve"> (EIES) et le Plan de Gestion Environnementale et Sociale (PGE) soient aussi complets que possible, les parties contractantes peuvent vouloir accorder une attention supplémentaire à certaines questions spécifiques. L'expérience a montré que les projets d'exploitation minière donnent naissance à des tensions en matière d'accès et d'utilisation des ressources, à des questions relatives à la sécurité professionnelle, à des conflits entre les communautés et les forces de sécurité, et à des préoccupations en matière de certitude que, si quelque chose tourne mal, le problème puisse être résolu aux frais de la partie concernée (Marysse, S. &amp;  Tshonda, O, 2016).</w:t>
      </w:r>
    </w:p>
    <w:p w:rsidR="0089405D" w:rsidRDefault="003468E2">
      <w:pPr>
        <w:spacing w:after="0" w:line="312" w:lineRule="auto"/>
        <w:ind w:firstLine="709"/>
        <w:jc w:val="both"/>
        <w:rPr>
          <w:rFonts w:eastAsia="Calibri" w:cs="Calibri"/>
          <w:sz w:val="24"/>
          <w:szCs w:val="24"/>
          <w:lang w:val="fr-FR" w:eastAsia="en-US"/>
        </w:rPr>
      </w:pPr>
      <w:r>
        <w:rPr>
          <w:rFonts w:cs="Calibri"/>
          <w:bCs/>
          <w:sz w:val="24"/>
          <w:szCs w:val="24"/>
          <w:lang w:val="fr-FR"/>
        </w:rPr>
        <w:t xml:space="preserve">Nous pensons qu’une sensibilisation accrue doit se manifester également sur les possibilités offertes par les projets miniers en termes de développement communautaire. Certains contrats contiennent des dispositions spéciales touchant à ces sujets afin de préciser les droits et les obligations des différentes parties ; et certains le font de manière telle qu'une violation de l'obligation constitue une rupture de contrat, avec des conséquences sérieuses pour les parties concernées. </w:t>
      </w:r>
      <w:r>
        <w:rPr>
          <w:rFonts w:eastAsia="Calibri" w:cs="Calibri"/>
          <w:sz w:val="24"/>
          <w:szCs w:val="24"/>
          <w:lang w:val="fr-FR" w:eastAsia="en-US"/>
        </w:rPr>
        <w:t xml:space="preserve">Nous pensons aussi que l'accès aux ressources est une des questions cruciales en début de projet. Pour accéder aux matières minérales, un accès à la terre et à l'eau est nécessaire ; l'accès à ces ressources et leur utilisation peuvent avoir des impacts lourds sur les écosystèmes environnants. </w:t>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Malheureusement, la loi de 2018 de la RDC ne montrent pas comment les contrats prévoient expressément, ou impliquent par leur silence, que l'accès accordé à l'entreprise et son utilisation des terres, de l'eau et des autres ressources, seront régis par les principes de base généraux du droit, le droit d'accès à l'eau, le droit foncier et par la législation en matière de protection de l'environnement applicables au droit minier. Dans le contrat par exemple de la société chinoise qui opère à Basoko, cette l'entreprise devra obtenir un accès approprié </w:t>
      </w:r>
      <w:r>
        <w:rPr>
          <w:rFonts w:eastAsia="Calibri" w:cs="Calibri"/>
          <w:sz w:val="24"/>
          <w:szCs w:val="24"/>
          <w:lang w:val="fr-FR" w:eastAsia="en-US"/>
        </w:rPr>
        <w:lastRenderedPageBreak/>
        <w:t>et les approbations nécessaires en vertu de la loi. Aujourd’hui ce processus, dans de nombreux pays, est souvent cité comme étant long, complexe et coûteux.</w:t>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Certains contrats tentent de contourner ces processus et ces contraintes en facilitant (ou même en promettant) la possibilité pour les entreprises minières d'utiliser ou d'impacter l'eau, la terre ou les autres ressources naturelles. Dans certains cas extrêmes, un gouvernement peut accorder ces droits en termes larges, sinon absolus, à une entreprise. D'autres contrats abordent ce sujet moins généralement et en imposant des obligations, telles que des frais et / ou des restrictions sur le degré ou la portée de l'utilisation. </w:t>
      </w:r>
    </w:p>
    <w:p w:rsidR="0089405D" w:rsidRDefault="003468E2">
      <w:pPr>
        <w:spacing w:after="0" w:line="312" w:lineRule="auto"/>
        <w:ind w:firstLine="709"/>
        <w:jc w:val="both"/>
        <w:rPr>
          <w:rFonts w:cs="Calibri"/>
          <w:bCs/>
          <w:sz w:val="24"/>
          <w:szCs w:val="24"/>
          <w:lang w:val="fr-FR"/>
        </w:rPr>
      </w:pPr>
      <w:r>
        <w:rPr>
          <w:rFonts w:eastAsia="Calibri" w:cs="Calibri"/>
          <w:sz w:val="24"/>
          <w:szCs w:val="24"/>
          <w:lang w:val="fr-FR" w:eastAsia="en-US"/>
        </w:rPr>
        <w:t>Dans ce quand-là, l</w:t>
      </w:r>
      <w:r>
        <w:rPr>
          <w:rFonts w:cs="Calibri"/>
          <w:bCs/>
          <w:sz w:val="24"/>
          <w:szCs w:val="24"/>
          <w:lang w:val="fr-FR"/>
        </w:rPr>
        <w:t>'Entreprise jouira d'un droit d'accès (y compris par extraction) aux réserves d'eau qui lui sont raisonnablement nécessaires dans le cadre de l'implémentation de ses opérations d'exploration, développement, production et autres, sous réserve du paiement par ladite Entreprise des frais prévus par la loi en vigueur relative à l'utilisation de l'eau. Et sous réserve qu'un tel accès par ladite entreprise n'affecte pas de manière négative les réserves d'eau utilisées par la population environnante ou, dans la mesure où ledit accès affecte négativement l'approvisionnement en eau des dites populations, que la société fournisse une source d'approvisionnement en eau de remplacement à la population affectée.</w:t>
      </w:r>
    </w:p>
    <w:p w:rsidR="0089405D" w:rsidRDefault="0089405D">
      <w:pPr>
        <w:spacing w:after="0" w:line="312" w:lineRule="auto"/>
        <w:ind w:firstLine="709"/>
        <w:jc w:val="both"/>
        <w:rPr>
          <w:rFonts w:cs="Calibri"/>
          <w:bCs/>
          <w:sz w:val="24"/>
          <w:szCs w:val="24"/>
          <w:lang w:val="fr-FR"/>
        </w:rPr>
      </w:pPr>
    </w:p>
    <w:p w:rsidR="0089405D" w:rsidRDefault="003468E2">
      <w:pPr>
        <w:pStyle w:val="Titre1"/>
        <w:spacing w:before="0" w:line="312" w:lineRule="auto"/>
        <w:rPr>
          <w:rFonts w:cs="Calibri"/>
          <w:b/>
          <w:bCs/>
          <w:color w:val="auto"/>
          <w:sz w:val="24"/>
          <w:szCs w:val="24"/>
          <w:lang w:val="fr-FR"/>
        </w:rPr>
      </w:pPr>
      <w:bookmarkStart w:id="362" w:name="_Toc111888625"/>
      <w:bookmarkStart w:id="363" w:name="_Toc127187207"/>
      <w:bookmarkStart w:id="364" w:name="_Toc127187484"/>
      <w:bookmarkStart w:id="365" w:name="_Toc127432241"/>
      <w:r>
        <w:rPr>
          <w:rFonts w:cs="Calibri"/>
          <w:b/>
          <w:bCs/>
          <w:color w:val="auto"/>
          <w:sz w:val="24"/>
          <w:szCs w:val="24"/>
          <w:lang w:val="fr-FR"/>
        </w:rPr>
        <w:t>3.7.5. LE MENSONGE D’UNE EXPLOITATION MINIERE DURABLE</w:t>
      </w:r>
      <w:bookmarkEnd w:id="362"/>
      <w:bookmarkEnd w:id="363"/>
      <w:bookmarkEnd w:id="364"/>
      <w:bookmarkEnd w:id="365"/>
      <w:r>
        <w:rPr>
          <w:rFonts w:cs="Calibri"/>
          <w:b/>
          <w:bCs/>
          <w:color w:val="auto"/>
          <w:sz w:val="24"/>
          <w:szCs w:val="24"/>
          <w:lang w:val="fr-FR"/>
        </w:rPr>
        <w:t xml:space="preserve"> </w:t>
      </w:r>
    </w:p>
    <w:p w:rsidR="0089405D" w:rsidRDefault="0089405D">
      <w:pPr>
        <w:pStyle w:val="Titre1"/>
        <w:spacing w:before="0" w:line="312" w:lineRule="auto"/>
        <w:rPr>
          <w:rFonts w:cs="Calibri"/>
          <w:b/>
          <w:bCs/>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 xml:space="preserve">L’exploitation minière ne peut être durable étant donné qu’il s’agit d’extraire des ressources non renouvelables à l’aide de méthodes polluantes et néfastes dont les effets négatifs sont parfois irréversibles. Pour autant, les institutions financières internationales et les sociétés minières s’efforcent de mettre en place des politiques « durables » dans le secteur minier afin de continuer à promouvoir l’exploitation minière. Les règlementations comprennent des procédures de protection de l’environnement et de restauration des sites miniers dans le but d’éviter les externalités négatives de l’extraction minière mais ces règlements ne sont pas appliqués correctement et il est presque impossible de « restaurer » un site ayant servi à extraire des minerais (Combes, M., 2011). </w:t>
      </w:r>
    </w:p>
    <w:p w:rsidR="0089405D" w:rsidRDefault="003468E2">
      <w:pPr>
        <w:spacing w:after="0" w:line="312" w:lineRule="auto"/>
        <w:ind w:firstLine="709"/>
        <w:jc w:val="both"/>
        <w:rPr>
          <w:rFonts w:cs="Calibri"/>
          <w:bCs/>
          <w:sz w:val="24"/>
          <w:szCs w:val="24"/>
          <w:lang w:val="fr-FR"/>
        </w:rPr>
      </w:pPr>
      <w:r>
        <w:rPr>
          <w:rFonts w:cs="Calibri"/>
          <w:bCs/>
          <w:sz w:val="24"/>
          <w:szCs w:val="24"/>
          <w:lang w:val="fr-FR"/>
        </w:rPr>
        <w:t xml:space="preserve">La protection de l’environnement et de la population des dangers de l’exploitation minière n’est pas une priorité pour les sociétés minières et pour les gouvernements. Cette protection est de toute façon rendue extrêmement difficile par le gigantisme de l’exploitation minière. De fait, le caractère essentiel de l’exploitation des ressources naturelles pour la croissance économique véhiculé par la communauté internationale justifie la continuation des activités minières. Présenté comme vecteur de croissance et de bien-être, l’exploitation </w:t>
      </w:r>
      <w:r>
        <w:rPr>
          <w:rFonts w:cs="Calibri"/>
          <w:bCs/>
          <w:sz w:val="24"/>
          <w:szCs w:val="24"/>
          <w:lang w:val="fr-FR"/>
        </w:rPr>
        <w:lastRenderedPageBreak/>
        <w:t xml:space="preserve">minière va en réalité à l’encontre des objectifs de développement durable (Marysse, S., &amp; Tshonda, O., 2016). D’ailleurs, les projets miniers ne sont généralement que de courte durée, si bien que l’industrie minière n’est pas non plus durable au niveau des emplois et des financements. </w:t>
      </w:r>
    </w:p>
    <w:p w:rsidR="0089405D" w:rsidRDefault="003468E2">
      <w:pPr>
        <w:spacing w:after="0" w:line="312" w:lineRule="auto"/>
        <w:ind w:firstLine="709"/>
        <w:jc w:val="both"/>
        <w:rPr>
          <w:rFonts w:cs="Calibri"/>
          <w:bCs/>
          <w:sz w:val="24"/>
          <w:szCs w:val="24"/>
          <w:lang w:val="fr-FR"/>
        </w:rPr>
      </w:pPr>
      <w:r>
        <w:rPr>
          <w:rFonts w:cs="Calibri"/>
          <w:bCs/>
          <w:sz w:val="24"/>
          <w:szCs w:val="24"/>
          <w:lang w:val="fr-FR"/>
        </w:rPr>
        <w:t xml:space="preserve">L’idée d’une exploitation minière durable s’est imposée dans les années 90 au sein des institutions internationales occidentales à travers la remise en question des modes de production et la recherche des procédés plus écologiques dans un contexte de mondialisation. Ce modèle n’est pas non plus adapté aux pays riches en ressources naturelles faibles. Quant aux pays pauvres à ressources naturelles abondantes, en plus des conflits caractéristiques, il n’existe pas de capacités étatiques nécessaires à l’instauration d’une « bonne gouvernance » du secteur minier (Combes, M., 2011). </w:t>
      </w:r>
    </w:p>
    <w:p w:rsidR="0089405D" w:rsidRDefault="003468E2">
      <w:pPr>
        <w:spacing w:after="0" w:line="312" w:lineRule="auto"/>
        <w:ind w:firstLine="709"/>
        <w:jc w:val="both"/>
        <w:rPr>
          <w:rFonts w:cs="Calibri"/>
          <w:bCs/>
          <w:sz w:val="24"/>
          <w:szCs w:val="24"/>
          <w:lang w:val="fr-FR"/>
        </w:rPr>
      </w:pPr>
      <w:r>
        <w:rPr>
          <w:rFonts w:cs="Calibri"/>
          <w:bCs/>
          <w:sz w:val="24"/>
          <w:szCs w:val="24"/>
          <w:lang w:val="fr-FR"/>
        </w:rPr>
        <w:t>Comme le montre l’exemple du Congo-Kinshasa, ces pays n’ont toujours pas pu mettre à profit leur intégration aux marchés mondiaux pour réduire les inégalités et instaurer un processus de paix durable. Les politiques de développement durable promues par les institutions internationales doivent prendre en compte la lutte contre la corruption et le manque de transparence du secteur extractif pour être efficaces. Mais malgré la mise en avant de l’importance du développement durable, les institutions internationales ne démontrent pas une réelle volonté d’adopter un mode de fonctionnement plus écologique et durable alors qu’elles représentent un des piliers de sa mise en œuvre (Aknin, A., 2009). Tous ces aspects constituent un non-sens des théories de modernisation et du développement pour la croissance et le bien-être de la population dans le cas des pays défaillants et c’est la même chose pour Basoko.</w:t>
      </w:r>
    </w:p>
    <w:p w:rsidR="0089405D" w:rsidRDefault="0089405D">
      <w:pPr>
        <w:pStyle w:val="Titre1"/>
        <w:spacing w:before="0" w:line="312" w:lineRule="auto"/>
        <w:rPr>
          <w:rFonts w:cs="Calibri"/>
          <w:b/>
          <w:color w:val="auto"/>
          <w:sz w:val="24"/>
          <w:szCs w:val="24"/>
          <w:lang w:val="fr-FR"/>
        </w:rPr>
      </w:pPr>
      <w:bookmarkStart w:id="366" w:name="_Toc111888626"/>
      <w:bookmarkStart w:id="367" w:name="_Toc127187208"/>
      <w:bookmarkStart w:id="368" w:name="_Toc127187485"/>
      <w:bookmarkStart w:id="369" w:name="_Toc127432242"/>
    </w:p>
    <w:p w:rsidR="0089405D" w:rsidRDefault="003468E2">
      <w:pPr>
        <w:pStyle w:val="Titre1"/>
        <w:spacing w:before="0" w:line="312" w:lineRule="auto"/>
        <w:rPr>
          <w:rFonts w:cs="Calibri"/>
          <w:b/>
          <w:color w:val="auto"/>
          <w:sz w:val="24"/>
          <w:szCs w:val="24"/>
          <w:lang w:val="fr-FR"/>
        </w:rPr>
      </w:pPr>
      <w:r>
        <w:rPr>
          <w:rFonts w:cs="Calibri"/>
          <w:b/>
          <w:color w:val="auto"/>
          <w:sz w:val="24"/>
          <w:szCs w:val="24"/>
          <w:lang w:val="fr-FR"/>
        </w:rPr>
        <w:t>3.8. CONCLUSION</w:t>
      </w:r>
      <w:bookmarkEnd w:id="348"/>
      <w:bookmarkEnd w:id="349"/>
      <w:bookmarkEnd w:id="366"/>
      <w:bookmarkEnd w:id="367"/>
      <w:bookmarkEnd w:id="368"/>
      <w:bookmarkEnd w:id="369"/>
      <w:r>
        <w:rPr>
          <w:rFonts w:cs="Calibri"/>
          <w:b/>
          <w:color w:val="auto"/>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Ces impacts peuvent persister pendant des décennies et même des siècles.  Suivant la législation congolaise,  les plans de  réhabilitation et de fermeture des mines doivent décrire avec suffisamment de détails comment la compagnie minière restaurera le  site d’une manière qui ressemble le plus possible à la condition environnementale d’avant exploitation; comment elle empêchera - à perpétuité – la libération des contaminants toxiques provenant de diverses installations minières (comme des puits à ciel ouvert abandonnés et des bassins de décantation des résidus miniers); et comment les fonds seront mis de côté pour s’assurer que les frais de réhabilitation et de fermeture seront payés à cet effet. Force est de constater </w:t>
      </w:r>
      <w:r>
        <w:rPr>
          <w:rFonts w:cs="Calibri"/>
          <w:sz w:val="24"/>
          <w:szCs w:val="24"/>
          <w:lang w:val="fr-FR"/>
        </w:rPr>
        <w:lastRenderedPageBreak/>
        <w:t>que généralement, à la fermeture des mines, à l'épuisement des gisements, les sociétés minières s'éclipsent... Rien ne prouve que Liambe, Yakoyo…. fassent exceptions.</w:t>
      </w:r>
    </w:p>
    <w:p w:rsidR="0089405D" w:rsidRDefault="0089405D">
      <w:pPr>
        <w:spacing w:after="0" w:line="312" w:lineRule="auto"/>
        <w:ind w:firstLine="709"/>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370" w:name="_Toc127187209"/>
      <w:bookmarkStart w:id="371" w:name="_Toc127187486"/>
      <w:bookmarkStart w:id="372" w:name="_Toc127432243"/>
      <w:r>
        <w:rPr>
          <w:rFonts w:cs="Calibri"/>
          <w:b/>
          <w:color w:val="auto"/>
          <w:sz w:val="24"/>
          <w:szCs w:val="24"/>
          <w:lang w:val="fr-FR"/>
        </w:rPr>
        <w:t>RÉFÉRENCES BIBLIOGRAPHIQUES</w:t>
      </w:r>
      <w:bookmarkEnd w:id="370"/>
      <w:bookmarkEnd w:id="371"/>
      <w:bookmarkEnd w:id="372"/>
    </w:p>
    <w:p w:rsidR="0089405D" w:rsidRDefault="0089405D">
      <w:pPr>
        <w:pStyle w:val="Titre1"/>
        <w:spacing w:before="0" w:line="312" w:lineRule="auto"/>
        <w:rPr>
          <w:rFonts w:cs="Calibri"/>
          <w:b/>
          <w:color w:val="auto"/>
          <w:sz w:val="24"/>
          <w:szCs w:val="24"/>
          <w:lang w:val="fr-FR"/>
        </w:rPr>
      </w:pP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 xml:space="preserve">Aknin, A. (2009). Le développement durable peut-il conjurer la “malédiction des ressources” ? </w:t>
      </w:r>
      <w:r>
        <w:rPr>
          <w:rFonts w:cs="Calibri"/>
          <w:sz w:val="24"/>
          <w:szCs w:val="24"/>
        </w:rPr>
        <w:t xml:space="preserve">Mondes en </w:t>
      </w:r>
      <w:r>
        <w:rPr>
          <w:rFonts w:cs="Calibri"/>
          <w:sz w:val="24"/>
          <w:szCs w:val="24"/>
          <w:lang w:val="fr-FR"/>
        </w:rPr>
        <w:t xml:space="preserve">développement, n° 148(4), 15-30. </w:t>
      </w:r>
      <w:hyperlink r:id="rId51" w:history="1">
        <w:r>
          <w:rPr>
            <w:rStyle w:val="Lienhypertexte"/>
            <w:rFonts w:cs="Calibri"/>
            <w:sz w:val="24"/>
            <w:szCs w:val="24"/>
            <w:lang w:val="fr-FR"/>
          </w:rPr>
          <w:t>https://doi.org/10.3917/med.148.0015</w:t>
        </w:r>
      </w:hyperlink>
    </w:p>
    <w:p w:rsidR="0089405D" w:rsidRDefault="003468E2">
      <w:pPr>
        <w:pStyle w:val="Paragraphedeliste"/>
        <w:numPr>
          <w:ilvl w:val="0"/>
          <w:numId w:val="39"/>
        </w:numPr>
        <w:spacing w:line="312" w:lineRule="auto"/>
        <w:jc w:val="both"/>
        <w:rPr>
          <w:rStyle w:val="Lienhypertexte"/>
          <w:rFonts w:cs="Calibri"/>
          <w:color w:val="auto"/>
          <w:sz w:val="24"/>
          <w:szCs w:val="24"/>
          <w:u w:val="none"/>
          <w:lang w:val="fr-FR"/>
        </w:rPr>
      </w:pPr>
      <w:r>
        <w:rPr>
          <w:rFonts w:cs="Calibri"/>
          <w:sz w:val="24"/>
          <w:szCs w:val="24"/>
          <w:lang w:val="fr-FR"/>
        </w:rPr>
        <w:t xml:space="preserve">Ashanti Goldfields Kilo, (2015). Ce Résumé d’Etude d’Impact Environnemental et du Plan de Gestion Environnemental du projet minier Mongbwalu, Kinshasa/RDC 46 p, </w:t>
      </w:r>
      <w:hyperlink r:id="rId52" w:history="1">
        <w:r>
          <w:rPr>
            <w:rStyle w:val="Lienhypertexte"/>
            <w:rFonts w:cs="Calibri"/>
            <w:color w:val="005EA4"/>
            <w:sz w:val="24"/>
            <w:szCs w:val="24"/>
            <w:lang w:val="fr-FR"/>
          </w:rPr>
          <w:t>http://congomines.org/reports/788-resume-de-l-etude-d-impact-environnemental-et-du-plan-de-gestion-environnemental-du-projet-mongbwalu</w:t>
        </w:r>
      </w:hyperlink>
    </w:p>
    <w:p w:rsidR="0089405D" w:rsidRDefault="003468E2">
      <w:pPr>
        <w:pStyle w:val="Paragraphedeliste"/>
        <w:numPr>
          <w:ilvl w:val="0"/>
          <w:numId w:val="39"/>
        </w:numPr>
        <w:spacing w:line="312" w:lineRule="auto"/>
        <w:jc w:val="both"/>
        <w:rPr>
          <w:rStyle w:val="Lienhypertexte"/>
          <w:rFonts w:cs="Calibri"/>
          <w:color w:val="auto"/>
          <w:sz w:val="24"/>
          <w:szCs w:val="24"/>
          <w:u w:val="none"/>
          <w:lang w:val="fr-FR"/>
        </w:rPr>
      </w:pPr>
      <w:r>
        <w:rPr>
          <w:rFonts w:cs="Calibri"/>
          <w:sz w:val="24"/>
          <w:szCs w:val="24"/>
        </w:rPr>
        <w:t xml:space="preserve">BANK (2002). The legal and regulatory framework for environmental impact assessments: A study of selected countries in Sub-Saharan Africa. </w:t>
      </w:r>
      <w:hyperlink r:id="rId53" w:history="1">
        <w:r>
          <w:rPr>
            <w:rStyle w:val="Lienhypertexte"/>
            <w:rFonts w:cs="Calibri"/>
            <w:color w:val="005EA4"/>
            <w:sz w:val="24"/>
            <w:szCs w:val="24"/>
          </w:rPr>
          <w:t>http://documents.worldbank.org/curated/en/573451468002164226/pdf/multi0page.pdf</w:t>
        </w:r>
      </w:hyperlink>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 xml:space="preserve">Butaré, I. &amp; Keita, S. (2012). Aspects environnementaux liés au développement du secteur minier en Afrique de l’Ouest. </w:t>
      </w:r>
      <w:hyperlink r:id="rId54" w:history="1">
        <w:r>
          <w:rPr>
            <w:rFonts w:cs="Calibri"/>
            <w:color w:val="005EA4"/>
            <w:sz w:val="24"/>
            <w:szCs w:val="24"/>
            <w:u w:val="single"/>
            <w:lang w:val="fr-FR"/>
          </w:rPr>
          <w:t>http://www.africabusinessmarket.com/fichier/1290108564aspect.pdf</w:t>
        </w:r>
      </w:hyperlink>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Canivet G. ; Lavrysen L. &amp; Guihal D. (2006). Manuel judiciaire de droit de l’environnement. Programme des Nations unies pour l’environnement. Nairobi;</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 xml:space="preserve">Combes, M. (2011). Urgence d’un changement civilisationnel face à la nouvelle ruée minière mondiale. Mouvements, 67(3), 168-175. </w:t>
      </w:r>
      <w:hyperlink r:id="rId55" w:history="1">
        <w:r>
          <w:rPr>
            <w:rStyle w:val="Lienhypertexte"/>
            <w:rFonts w:cs="Calibri"/>
            <w:sz w:val="24"/>
            <w:szCs w:val="24"/>
            <w:lang w:val="fr-FR"/>
          </w:rPr>
          <w:t>https://doi.org/10.3917/mouv.067.0168</w:t>
        </w:r>
      </w:hyperlink>
      <w:r>
        <w:rPr>
          <w:rFonts w:cs="Calibri"/>
          <w:sz w:val="24"/>
          <w:szCs w:val="24"/>
          <w:lang w:val="fr-FR"/>
        </w:rPr>
        <w:t xml:space="preserve"> </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 xml:space="preserve">Combes, M. (2011). Urgence d’un changement civilisationnel face à la nouvelle ruée minière mondiale. Mouvements, 67(3), 168-175. </w:t>
      </w:r>
      <w:hyperlink r:id="rId56" w:history="1">
        <w:r>
          <w:rPr>
            <w:rStyle w:val="Lienhypertexte"/>
            <w:rFonts w:cs="Calibri"/>
            <w:sz w:val="24"/>
            <w:szCs w:val="24"/>
            <w:lang w:val="fr-FR"/>
          </w:rPr>
          <w:t>https://doi.org/10.3917/mouv.067.016855</w:t>
        </w:r>
      </w:hyperlink>
      <w:r>
        <w:rPr>
          <w:rFonts w:cs="Calibri"/>
          <w:sz w:val="24"/>
          <w:szCs w:val="24"/>
          <w:lang w:val="fr-FR"/>
        </w:rPr>
        <w:t xml:space="preserve"> </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Dyment J. ; Lallier F.</w:t>
      </w:r>
      <w:r>
        <w:rPr>
          <w:lang w:val="fr-FR"/>
        </w:rPr>
        <w:t xml:space="preserve"> </w:t>
      </w:r>
      <w:r>
        <w:rPr>
          <w:rFonts w:cs="Calibri"/>
          <w:sz w:val="24"/>
          <w:szCs w:val="24"/>
          <w:lang w:val="fr-FR"/>
        </w:rPr>
        <w:t>; Le Bris N., Rouxel O.</w:t>
      </w:r>
      <w:r>
        <w:rPr>
          <w:lang w:val="fr-FR"/>
        </w:rPr>
        <w:t xml:space="preserve"> </w:t>
      </w:r>
      <w:r>
        <w:rPr>
          <w:rFonts w:cs="Calibri"/>
          <w:sz w:val="24"/>
          <w:szCs w:val="24"/>
          <w:lang w:val="fr-FR"/>
        </w:rPr>
        <w:t>; Sarradin P.-M.</w:t>
      </w:r>
      <w:r>
        <w:rPr>
          <w:lang w:val="fr-FR"/>
        </w:rPr>
        <w:t xml:space="preserve"> </w:t>
      </w:r>
      <w:r>
        <w:rPr>
          <w:rFonts w:cs="Calibri"/>
          <w:sz w:val="24"/>
          <w:szCs w:val="24"/>
          <w:lang w:val="fr-FR"/>
        </w:rPr>
        <w:t>; Lamare S.</w:t>
      </w:r>
      <w:r>
        <w:rPr>
          <w:lang w:val="fr-FR"/>
        </w:rPr>
        <w:t xml:space="preserve"> </w:t>
      </w:r>
      <w:r>
        <w:rPr>
          <w:rFonts w:cs="Calibri"/>
          <w:sz w:val="24"/>
          <w:szCs w:val="24"/>
          <w:lang w:val="fr-FR"/>
        </w:rPr>
        <w:t>; Coumert C.</w:t>
      </w:r>
      <w:r>
        <w:rPr>
          <w:lang w:val="fr-FR"/>
        </w:rPr>
        <w:t xml:space="preserve"> </w:t>
      </w:r>
      <w:r>
        <w:rPr>
          <w:rFonts w:cs="Calibri"/>
          <w:sz w:val="24"/>
          <w:szCs w:val="24"/>
          <w:lang w:val="fr-FR"/>
        </w:rPr>
        <w:t>; Morineaux M. &amp; Tourolle J. (2014). Les impacts environnementaux de l’exploitation des ressources minérales marines profondes. Expertise scientifique collective, Synthèse du rapport, CNRS – Ifremer</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eastAsia="fr-FR"/>
        </w:rPr>
        <w:t>Failly D, 2001, « Coltan : pour comprendre... », in L'Afrique des Grands Lacs, annuaire 2000- 2001, Centre d'étude de la région des Grands Lacs, Anvers, L'Harmattan</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lastRenderedPageBreak/>
        <w:t>Geenen, S. &amp; Custers, R. (2010). « Tiraillements autour du secteur minier de l’Est de la RDC ». In S. Vandeginste, F. Reyntjens &amp; S. Marysse (éd.), L’Afrique des Grands Lacs. Annuaire 2009-2010. Paris : Le Harmattan 231-258 </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eastAsia="fr-FR"/>
        </w:rPr>
        <w:t>Jean Paul II (1991). Centesimus Annus : mise à jour de Rerum Novarum, sur les connaissances et l'organisation sociale ; Vatican </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eastAsia="fr-FR"/>
        </w:rPr>
        <w:t xml:space="preserve">Kahilu M. C. ; Masengo K. J. ; Tshimwanga, J. &amp; Kahadi Tshianzula, P. (2015). De l’exploitation minière artisanale et son impact environnemental dans la ville de Kolwezi. </w:t>
      </w:r>
      <w:r>
        <w:rPr>
          <w:rFonts w:cs="Calibri"/>
          <w:sz w:val="24"/>
          <w:szCs w:val="24"/>
          <w:lang w:eastAsia="fr-FR"/>
        </w:rPr>
        <w:t xml:space="preserve">KAS African Law Study Library – Librairie Africaine d’Etudes Juridiques, 2(3), 581-597. </w:t>
      </w:r>
      <w:hyperlink r:id="rId57" w:history="1">
        <w:r>
          <w:rPr>
            <w:rStyle w:val="Lienhypertexte"/>
            <w:rFonts w:cs="Calibri"/>
            <w:sz w:val="24"/>
            <w:szCs w:val="24"/>
            <w:lang w:eastAsia="fr-FR"/>
          </w:rPr>
          <w:t>https://doi.org/10.5771/2363 Sony -6262-2015-3-581</w:t>
        </w:r>
      </w:hyperlink>
      <w:r>
        <w:rPr>
          <w:rFonts w:cs="Calibri"/>
          <w:sz w:val="24"/>
          <w:szCs w:val="24"/>
          <w:lang w:eastAsia="fr-FR"/>
        </w:rPr>
        <w:t xml:space="preserve"> </w:t>
      </w:r>
    </w:p>
    <w:p w:rsidR="0089405D" w:rsidRDefault="003468E2">
      <w:pPr>
        <w:pStyle w:val="Paragraphedeliste"/>
        <w:numPr>
          <w:ilvl w:val="0"/>
          <w:numId w:val="39"/>
        </w:numPr>
        <w:spacing w:line="312" w:lineRule="auto"/>
        <w:jc w:val="both"/>
        <w:rPr>
          <w:rFonts w:cs="Calibri"/>
          <w:sz w:val="24"/>
          <w:szCs w:val="24"/>
        </w:rPr>
      </w:pPr>
      <w:r>
        <w:rPr>
          <w:rFonts w:cs="Calibri"/>
          <w:sz w:val="24"/>
          <w:szCs w:val="24"/>
          <w:lang w:val="fr-FR"/>
        </w:rPr>
        <w:t xml:space="preserve">Leduc, G. &amp; Raymond, M. (1999). L’évaluation des impacts environnementaux : un outil d’aide à la décision. </w:t>
      </w:r>
      <w:r>
        <w:rPr>
          <w:rFonts w:cs="Calibri"/>
          <w:sz w:val="24"/>
          <w:szCs w:val="24"/>
        </w:rPr>
        <w:t xml:space="preserve">Editions multimondes. Québec. Canada International Finance Corporation (IFC). (2002). Handbook for preparing a resettlement action plan. </w:t>
      </w:r>
      <w:hyperlink r:id="rId58" w:history="1">
        <w:r>
          <w:rPr>
            <w:rFonts w:cs="Calibri"/>
            <w:color w:val="005EA4"/>
            <w:sz w:val="24"/>
            <w:szCs w:val="24"/>
            <w:u w:val="single"/>
          </w:rPr>
          <w:t>https://www.ifc.org/wps/wcm/connect/22ad720048855b25880cda6a6515bb18/ResettlementHandbook.PDF?MOD=AJPERES&amp;CACHEID=22ad720048855b25880cda6a6515bb18</w:t>
        </w:r>
      </w:hyperlink>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rPr>
        <w:t>Lubaba-Nkulu B.C.; Nawrot, T. S.; Haufroid, V.; Decrée, S.; de Putter, T.; Smolders, E.; Ilunga Kabyla, B.; Numbi Luboya, O.; Ndala Ilunga, A.; Mwanza Mutombo, A. &amp; Nemery, B. (2009). High human exposure to cobalt and other metals in Katanga, a mining area of the Democratic Republic of Congo. Environmental Research, 109(6): 121-135</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Marysse, S. &amp; Tshonda, O. (2016). Conjonctures congolaises 2015 - Entre incertitudes politiques et transformation économique (Conjonctures congolaises éd., Vol. 87). L’Harmattan</w:t>
      </w:r>
    </w:p>
    <w:p w:rsidR="0089405D" w:rsidRDefault="003468E2">
      <w:pPr>
        <w:pStyle w:val="Paragraphedeliste"/>
        <w:numPr>
          <w:ilvl w:val="0"/>
          <w:numId w:val="39"/>
        </w:numPr>
        <w:spacing w:line="312" w:lineRule="auto"/>
        <w:jc w:val="both"/>
        <w:rPr>
          <w:rStyle w:val="Lienhypertexte"/>
          <w:rFonts w:cs="Calibri"/>
          <w:color w:val="005EA4"/>
          <w:sz w:val="24"/>
          <w:szCs w:val="24"/>
          <w:u w:val="none"/>
          <w:lang w:val="fr-FR"/>
        </w:rPr>
      </w:pPr>
      <w:r>
        <w:rPr>
          <w:rFonts w:cs="Calibri"/>
          <w:sz w:val="24"/>
          <w:szCs w:val="24"/>
          <w:lang w:val="fr-FR"/>
        </w:rPr>
        <w:t xml:space="preserve">Matheus, P. (2018). Les techniques et conditions d’exploitation des mines aurifères. Annales des Mines - Réalités industrielles, 10-19 ; </w:t>
      </w:r>
      <w:hyperlink r:id="rId59" w:history="1">
        <w:r>
          <w:rPr>
            <w:rStyle w:val="Lienhypertexte"/>
            <w:rFonts w:cs="Calibri"/>
            <w:color w:val="005EA4"/>
            <w:sz w:val="24"/>
            <w:szCs w:val="24"/>
            <w:lang w:val="fr-FR"/>
          </w:rPr>
          <w:t>https://www.cairn.info/revue-realites-industrielles-2018-4-page-10.htm</w:t>
        </w:r>
      </w:hyperlink>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eastAsia="fr-FR"/>
        </w:rPr>
        <w:t>Mayundo, M. (2006). Exploitation minière au Sud-Kivu: de la responsabilité des entreprises et de l'État. Université du CEPROMAD Bukavu/Sud-Kivu/RD Congo - Licence en Management et Sciences Economiques </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eastAsia="fr-FR"/>
        </w:rPr>
        <w:t>Mazalto, M. (2008). La réforme du secteur minier en république démocratique du Congo : enjeux de gouvernance et perspectives de reconstruction. Afrique contemporaine, 227(3) : 34-56 </w:t>
      </w:r>
    </w:p>
    <w:p w:rsidR="0089405D" w:rsidRDefault="003468E2">
      <w:pPr>
        <w:pStyle w:val="Paragraphedeliste"/>
        <w:numPr>
          <w:ilvl w:val="0"/>
          <w:numId w:val="39"/>
        </w:numPr>
        <w:spacing w:line="312" w:lineRule="auto"/>
        <w:jc w:val="both"/>
        <w:rPr>
          <w:rFonts w:cs="Calibri"/>
          <w:sz w:val="24"/>
          <w:szCs w:val="24"/>
        </w:rPr>
      </w:pPr>
      <w:r>
        <w:rPr>
          <w:rFonts w:cs="Calibri"/>
          <w:sz w:val="24"/>
          <w:szCs w:val="24"/>
        </w:rPr>
        <w:lastRenderedPageBreak/>
        <w:t>Miller, G. &amp; Jones, G. (2005). “Mercury Management in Modern Precious Metals Mines” Glenn Miller and Greg Jones - department of natural Resources and Environmental science, University of nevada, Reno</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eastAsia="fr-FR"/>
        </w:rPr>
        <w:t xml:space="preserve">PNUD, (2010). Rapport sur le développement humain 2010, La vraie richesse des nations : Les chemins du développement humain, PNUD, Nairobi. </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eastAsia="fr-FR"/>
        </w:rPr>
        <w:t>Poulard, F. ; Daupley, X. ; Didier, C. ; Pokryska, Z. ; D’Hugues, P. ; Charles, N. ; Dupuy J.-J. &amp; Save M. (2017). Exploitation minière et traitement des minerais. Collection « La mine en France ». Tome 6</w:t>
      </w:r>
    </w:p>
    <w:p w:rsidR="0089405D" w:rsidRDefault="003468E2">
      <w:pPr>
        <w:pStyle w:val="Paragraphedeliste"/>
        <w:numPr>
          <w:ilvl w:val="0"/>
          <w:numId w:val="39"/>
        </w:numPr>
        <w:spacing w:line="312" w:lineRule="auto"/>
        <w:jc w:val="both"/>
        <w:rPr>
          <w:rFonts w:cs="Calibri"/>
          <w:sz w:val="24"/>
          <w:szCs w:val="24"/>
        </w:rPr>
      </w:pPr>
      <w:r>
        <w:rPr>
          <w:rFonts w:cs="Calibri"/>
          <w:sz w:val="24"/>
          <w:szCs w:val="24"/>
          <w:lang w:eastAsia="fr-FR"/>
        </w:rPr>
        <w:t>Rudahigwa, P.P. (2011). Mining resumes hesitantly in Walikale Territory, in: Pole Institute, The North Kivu Mining Sector: Report on the Reo-pening of the Mines, 19 p.</w:t>
      </w:r>
    </w:p>
    <w:p w:rsidR="0089405D" w:rsidRDefault="003468E2">
      <w:pPr>
        <w:pStyle w:val="Paragraphedeliste"/>
        <w:numPr>
          <w:ilvl w:val="0"/>
          <w:numId w:val="39"/>
        </w:numPr>
        <w:spacing w:line="312" w:lineRule="auto"/>
        <w:jc w:val="both"/>
        <w:rPr>
          <w:rFonts w:cs="Calibri"/>
          <w:sz w:val="24"/>
          <w:szCs w:val="24"/>
        </w:rPr>
      </w:pPr>
      <w:r>
        <w:rPr>
          <w:rFonts w:cs="Calibri"/>
          <w:sz w:val="24"/>
          <w:szCs w:val="24"/>
        </w:rPr>
        <w:t>Vanclay, F. &amp; Esteves A.M. (2011). New Directions in Social Impact Assessment: Conceptual and Methodological Advances. Cheltenham: Edward Elgar, Library   Main Collection Books</w:t>
      </w:r>
    </w:p>
    <w:p w:rsidR="0089405D" w:rsidRDefault="003468E2">
      <w:pPr>
        <w:pStyle w:val="Paragraphedeliste"/>
        <w:numPr>
          <w:ilvl w:val="0"/>
          <w:numId w:val="39"/>
        </w:numPr>
        <w:spacing w:line="312" w:lineRule="auto"/>
        <w:jc w:val="both"/>
        <w:rPr>
          <w:rFonts w:cs="Calibri"/>
          <w:sz w:val="24"/>
          <w:szCs w:val="24"/>
        </w:rPr>
      </w:pPr>
      <w:r>
        <w:rPr>
          <w:rFonts w:cs="Calibri"/>
          <w:sz w:val="24"/>
          <w:szCs w:val="24"/>
          <w:lang w:val="fr-FR" w:eastAsia="fr-FR"/>
        </w:rPr>
        <w:t xml:space="preserve">Verbruggen D.; Francq E. &amp; Cuvelier J. (2011). </w:t>
      </w:r>
      <w:r>
        <w:rPr>
          <w:rFonts w:cs="Calibri"/>
          <w:sz w:val="24"/>
          <w:szCs w:val="24"/>
          <w:lang w:eastAsia="fr-FR"/>
        </w:rPr>
        <w:t>Guide to Current Mining Reform Initiatives in Eastern DRC, International Peace Information Service (IPIS), Anvers.</w:t>
      </w:r>
    </w:p>
    <w:p w:rsidR="0089405D" w:rsidRDefault="003468E2">
      <w:pPr>
        <w:pStyle w:val="Paragraphedeliste"/>
        <w:numPr>
          <w:ilvl w:val="0"/>
          <w:numId w:val="39"/>
        </w:numPr>
        <w:spacing w:line="312" w:lineRule="auto"/>
        <w:jc w:val="both"/>
        <w:rPr>
          <w:rFonts w:cs="Calibri"/>
          <w:sz w:val="24"/>
          <w:szCs w:val="24"/>
          <w:lang w:val="fr-FR"/>
        </w:rPr>
      </w:pPr>
      <w:r>
        <w:rPr>
          <w:rFonts w:cs="Calibri"/>
          <w:sz w:val="24"/>
          <w:szCs w:val="24"/>
          <w:lang w:val="fr-FR"/>
        </w:rPr>
        <w:t>Wakenge, C., (2019). Stade Coltan: extraction minière artisanale, réformes et changement social à l’Est de la RDC », L’harmattan, Collection Etudes Africaines </w:t>
      </w:r>
    </w:p>
    <w:p w:rsidR="0089405D" w:rsidRDefault="003468E2">
      <w:pPr>
        <w:pStyle w:val="Paragraphedeliste"/>
        <w:numPr>
          <w:ilvl w:val="0"/>
          <w:numId w:val="39"/>
        </w:numPr>
        <w:spacing w:line="312" w:lineRule="auto"/>
        <w:jc w:val="both"/>
        <w:rPr>
          <w:rStyle w:val="Lienhypertexte"/>
          <w:rFonts w:cs="Calibri"/>
          <w:color w:val="auto"/>
          <w:sz w:val="24"/>
          <w:szCs w:val="24"/>
          <w:u w:val="none"/>
        </w:rPr>
      </w:pPr>
      <w:r>
        <w:rPr>
          <w:rFonts w:cs="Calibri"/>
          <w:sz w:val="24"/>
          <w:szCs w:val="24"/>
          <w:lang w:eastAsia="fr-FR"/>
        </w:rPr>
        <w:t xml:space="preserve">Zingg W.S. &amp; Hilgert F.B. (2011). A one-year snapshot of the DRC’s principal cassiterite mine 1IPIS, International Peace Information Service, Italiëlei 98a, B-2000 Antwerp, </w:t>
      </w:r>
      <w:hyperlink r:id="rId60" w:history="1">
        <w:r>
          <w:rPr>
            <w:rStyle w:val="Lienhypertexte"/>
            <w:rFonts w:cs="Calibri"/>
            <w:color w:val="0070C0"/>
            <w:sz w:val="24"/>
            <w:szCs w:val="24"/>
            <w:lang w:eastAsia="fr-FR"/>
          </w:rPr>
          <w:t>www.ipisresearch.beBisie</w:t>
        </w:r>
      </w:hyperlink>
      <w:r>
        <w:rPr>
          <w:rStyle w:val="Lienhypertexte"/>
          <w:rFonts w:cs="Calibri"/>
          <w:color w:val="0070C0"/>
          <w:sz w:val="24"/>
          <w:szCs w:val="24"/>
          <w:lang w:eastAsia="fr-FR"/>
        </w:rPr>
        <w:t>.</w:t>
      </w:r>
    </w:p>
    <w:p w:rsidR="0089405D" w:rsidRDefault="0089405D">
      <w:pPr>
        <w:pStyle w:val="Paragraphedeliste"/>
        <w:spacing w:line="312" w:lineRule="auto"/>
        <w:ind w:left="720"/>
        <w:jc w:val="both"/>
        <w:rPr>
          <w:rStyle w:val="Lienhypertexte"/>
          <w:rFonts w:cs="Calibri"/>
          <w:color w:val="auto"/>
          <w:sz w:val="24"/>
          <w:szCs w:val="24"/>
          <w:u w:val="none"/>
          <w:lang w:eastAsia="fr-FR"/>
        </w:rPr>
      </w:pPr>
    </w:p>
    <w:p w:rsidR="0089405D" w:rsidRDefault="0089405D">
      <w:pPr>
        <w:pStyle w:val="Titre1"/>
        <w:spacing w:before="0" w:line="312" w:lineRule="auto"/>
        <w:jc w:val="center"/>
        <w:rPr>
          <w:rFonts w:cs="Calibri"/>
          <w:b/>
          <w:color w:val="auto"/>
        </w:rPr>
      </w:pPr>
    </w:p>
    <w:p w:rsidR="0089405D" w:rsidRDefault="003468E2">
      <w:pPr>
        <w:spacing w:after="0" w:line="312" w:lineRule="auto"/>
        <w:rPr>
          <w:rFonts w:cs="Calibri"/>
          <w:b/>
          <w:sz w:val="32"/>
          <w:szCs w:val="32"/>
        </w:rPr>
      </w:pPr>
      <w:r>
        <w:rPr>
          <w:rFonts w:cs="Calibri"/>
          <w:b/>
        </w:rPr>
        <w:br w:type="page"/>
      </w:r>
    </w:p>
    <w:p w:rsidR="0089405D" w:rsidRDefault="003468E2">
      <w:pPr>
        <w:pStyle w:val="Titre1"/>
        <w:spacing w:before="0" w:line="312" w:lineRule="auto"/>
        <w:jc w:val="center"/>
        <w:rPr>
          <w:rFonts w:cs="Calibri"/>
          <w:b/>
          <w:color w:val="auto"/>
          <w:lang w:val="fr-FR"/>
        </w:rPr>
      </w:pPr>
      <w:bookmarkStart w:id="373" w:name="_Toc111888628"/>
      <w:bookmarkStart w:id="374" w:name="_Toc127187210"/>
      <w:bookmarkStart w:id="375" w:name="_Toc127187487"/>
      <w:bookmarkStart w:id="376" w:name="_Toc127432244"/>
      <w:r>
        <w:rPr>
          <w:rFonts w:cs="Calibri"/>
          <w:b/>
          <w:color w:val="auto"/>
          <w:lang w:val="fr-FR"/>
        </w:rPr>
        <w:lastRenderedPageBreak/>
        <w:t>RIVIERE</w:t>
      </w:r>
      <w:bookmarkEnd w:id="264"/>
      <w:r>
        <w:rPr>
          <w:rFonts w:cs="Calibri"/>
          <w:b/>
          <w:color w:val="auto"/>
          <w:lang w:val="fr-FR"/>
        </w:rPr>
        <w:t xml:space="preserve"> ARUWIMI A LIAMBE ET SES ENVIRONS : SITES CHOISIS POUR L’EXPLOITATION MINIERE SEMI-INDUSTRIELLE DANS LE TERRITOIRE DE BASOKO</w:t>
      </w:r>
      <w:bookmarkEnd w:id="373"/>
      <w:bookmarkEnd w:id="374"/>
      <w:bookmarkEnd w:id="375"/>
      <w:bookmarkEnd w:id="376"/>
    </w:p>
    <w:p w:rsidR="0089405D" w:rsidRDefault="0089405D">
      <w:pPr>
        <w:pStyle w:val="Titre1"/>
        <w:spacing w:before="0" w:line="312" w:lineRule="auto"/>
        <w:rPr>
          <w:rFonts w:cs="Calibri"/>
          <w:b/>
          <w:bCs/>
          <w:color w:val="auto"/>
          <w:sz w:val="24"/>
          <w:szCs w:val="24"/>
          <w:lang w:val="fr-FR" w:eastAsia="fr-FR"/>
        </w:rPr>
      </w:pPr>
      <w:bookmarkStart w:id="377" w:name="_Toc59458323"/>
      <w:bookmarkStart w:id="378" w:name="_Toc79392971"/>
    </w:p>
    <w:p w:rsidR="0089405D" w:rsidRDefault="003468E2">
      <w:pPr>
        <w:pStyle w:val="Titre1"/>
        <w:spacing w:before="0" w:line="312" w:lineRule="auto"/>
        <w:jc w:val="both"/>
        <w:rPr>
          <w:rFonts w:cs="Calibri"/>
          <w:b/>
          <w:bCs/>
          <w:color w:val="auto"/>
          <w:sz w:val="28"/>
          <w:szCs w:val="28"/>
          <w:lang w:val="fr-FR" w:eastAsia="fr-FR"/>
        </w:rPr>
      </w:pPr>
      <w:bookmarkStart w:id="379" w:name="_Toc127181737"/>
      <w:bookmarkStart w:id="380" w:name="_Toc127182131"/>
      <w:bookmarkStart w:id="381" w:name="_Toc127182854"/>
      <w:bookmarkStart w:id="382" w:name="_Toc127187036"/>
      <w:bookmarkStart w:id="383" w:name="_Toc127187211"/>
      <w:bookmarkStart w:id="384" w:name="_Toc127187488"/>
      <w:bookmarkStart w:id="385" w:name="_Toc127432245"/>
      <w:bookmarkStart w:id="386" w:name="_Toc111888631"/>
      <w:r>
        <w:rPr>
          <w:rFonts w:cs="Calibri"/>
          <w:b/>
          <w:bCs/>
          <w:color w:val="auto"/>
          <w:sz w:val="28"/>
          <w:szCs w:val="28"/>
          <w:lang w:val="fr-FR" w:eastAsia="fr-FR"/>
        </w:rPr>
        <w:t>Mokili Kanda Etikola</w:t>
      </w:r>
      <w:r>
        <w:rPr>
          <w:lang w:val="fr-FR"/>
        </w:rPr>
        <w:t xml:space="preserve"> </w:t>
      </w:r>
      <w:r>
        <w:rPr>
          <w:rFonts w:cs="Calibri"/>
          <w:b/>
          <w:bCs/>
          <w:color w:val="auto"/>
          <w:sz w:val="28"/>
          <w:szCs w:val="28"/>
          <w:lang w:val="fr-FR" w:eastAsia="fr-FR"/>
        </w:rPr>
        <w:t>José-Zobel, Asimbo Bondoo</w:t>
      </w:r>
      <w:r>
        <w:rPr>
          <w:lang w:val="fr-FR"/>
        </w:rPr>
        <w:t xml:space="preserve"> </w:t>
      </w:r>
      <w:r>
        <w:rPr>
          <w:rFonts w:cs="Calibri"/>
          <w:b/>
          <w:bCs/>
          <w:color w:val="auto"/>
          <w:sz w:val="28"/>
          <w:szCs w:val="28"/>
          <w:lang w:val="fr-FR" w:eastAsia="fr-FR"/>
        </w:rPr>
        <w:t>Norbert, Afundi, Ndetshala</w:t>
      </w:r>
      <w:r>
        <w:rPr>
          <w:lang w:val="fr-FR"/>
        </w:rPr>
        <w:t xml:space="preserve"> </w:t>
      </w:r>
      <w:r>
        <w:rPr>
          <w:rFonts w:cs="Calibri"/>
          <w:b/>
          <w:bCs/>
          <w:color w:val="auto"/>
          <w:sz w:val="28"/>
          <w:szCs w:val="28"/>
          <w:lang w:val="fr-FR" w:eastAsia="fr-FR"/>
        </w:rPr>
        <w:t>Didi, Balombo Tsheza Nestor, Makumi Motosia Willy &amp; Mangambu Mokoso Jean De Dieu</w:t>
      </w:r>
      <w:bookmarkEnd w:id="379"/>
      <w:bookmarkEnd w:id="380"/>
      <w:bookmarkEnd w:id="381"/>
      <w:bookmarkEnd w:id="382"/>
      <w:bookmarkEnd w:id="383"/>
      <w:bookmarkEnd w:id="384"/>
      <w:bookmarkEnd w:id="385"/>
    </w:p>
    <w:p w:rsidR="0089405D" w:rsidRDefault="0089405D">
      <w:pPr>
        <w:pStyle w:val="Titre1"/>
        <w:spacing w:before="0" w:line="312" w:lineRule="auto"/>
        <w:rPr>
          <w:rFonts w:cs="Calibri"/>
          <w:b/>
          <w:bCs/>
          <w:color w:val="auto"/>
          <w:sz w:val="24"/>
          <w:szCs w:val="24"/>
          <w:lang w:val="fr-FR" w:eastAsia="fr-FR"/>
        </w:rPr>
      </w:pPr>
    </w:p>
    <w:p w:rsidR="0089405D" w:rsidRDefault="003468E2">
      <w:pPr>
        <w:pStyle w:val="Titre1"/>
        <w:spacing w:before="0" w:line="312" w:lineRule="auto"/>
        <w:rPr>
          <w:rFonts w:cs="Calibri"/>
          <w:b/>
          <w:bCs/>
          <w:color w:val="auto"/>
          <w:sz w:val="24"/>
          <w:szCs w:val="24"/>
          <w:lang w:val="fr-FR" w:eastAsia="fr-FR"/>
        </w:rPr>
      </w:pPr>
      <w:bookmarkStart w:id="387" w:name="_Toc127187212"/>
      <w:bookmarkStart w:id="388" w:name="_Toc127187489"/>
      <w:bookmarkStart w:id="389" w:name="_Toc127432246"/>
      <w:r>
        <w:rPr>
          <w:rFonts w:cs="Calibri"/>
          <w:b/>
          <w:bCs/>
          <w:color w:val="auto"/>
          <w:sz w:val="24"/>
          <w:szCs w:val="24"/>
          <w:lang w:val="fr-FR" w:eastAsia="fr-FR"/>
        </w:rPr>
        <w:t>4.1. INTRODUCTION</w:t>
      </w:r>
      <w:bookmarkEnd w:id="377"/>
      <w:bookmarkEnd w:id="378"/>
      <w:bookmarkEnd w:id="386"/>
      <w:bookmarkEnd w:id="387"/>
      <w:bookmarkEnd w:id="388"/>
      <w:bookmarkEnd w:id="389"/>
    </w:p>
    <w:p w:rsidR="0089405D" w:rsidRDefault="0089405D">
      <w:pPr>
        <w:pStyle w:val="Titre1"/>
        <w:spacing w:before="0" w:line="312" w:lineRule="auto"/>
        <w:rPr>
          <w:rFonts w:cs="Calibri"/>
          <w:b/>
          <w:bCs/>
          <w:color w:val="auto"/>
          <w:sz w:val="24"/>
          <w:szCs w:val="24"/>
          <w:lang w:val="fr-FR" w:eastAsia="fr-FR"/>
        </w:rPr>
      </w:pPr>
    </w:p>
    <w:p w:rsidR="0089405D" w:rsidRDefault="003468E2">
      <w:pPr>
        <w:spacing w:after="0" w:line="312" w:lineRule="auto"/>
        <w:ind w:firstLine="708"/>
        <w:jc w:val="both"/>
        <w:rPr>
          <w:rStyle w:val="Accentuation"/>
          <w:rFonts w:cs="Calibri"/>
          <w:i w:val="0"/>
          <w:iCs/>
          <w:sz w:val="24"/>
          <w:szCs w:val="24"/>
          <w:lang w:val="fr-FR"/>
        </w:rPr>
      </w:pPr>
      <w:r>
        <w:rPr>
          <w:rStyle w:val="Accentuation"/>
          <w:rFonts w:cs="Calibri"/>
          <w:i w:val="0"/>
          <w:iCs/>
          <w:sz w:val="24"/>
          <w:szCs w:val="24"/>
          <w:lang w:val="fr-FR"/>
        </w:rPr>
        <w:t>La Gouvernement doit admettre que la mutation est inévitable, tel est le neuvième principe de l’approche écosystémique, cadre d’action de la Convention sur la diversité biologique.</w:t>
      </w:r>
      <w:r>
        <w:rPr>
          <w:rFonts w:cs="Calibri"/>
          <w:lang w:val="fr-FR"/>
        </w:rPr>
        <w:t xml:space="preserve"> </w:t>
      </w:r>
      <w:r>
        <w:rPr>
          <w:rStyle w:val="Accentuation"/>
          <w:rFonts w:cs="Calibri"/>
          <w:i w:val="0"/>
          <w:iCs/>
          <w:sz w:val="24"/>
          <w:szCs w:val="24"/>
          <w:lang w:val="fr-FR"/>
        </w:rPr>
        <w:t>Vingt-neuf ans après la signature à Rio de Janeiro (1992), les changements intégraux - pollutions, réduction des stocks d’eau douce, réchauffement climatique – s’imposent comme l’émargement de l’humanité sur la globalité du système terrestre. Les pays signataires de la Convention se sont engagés à maintenir les services assurés par les écosystèmes en conservant leur structure et leur dynamique (principe n° 5). Ainsi, Bâtir une corrélation entre l’homme et la nature victorieuse pour les deux parties et ce, pour longtemps</w:t>
      </w:r>
      <w:r>
        <w:rPr>
          <w:lang w:val="fr-FR"/>
        </w:rPr>
        <w:t xml:space="preserve"> </w:t>
      </w:r>
      <w:r>
        <w:rPr>
          <w:rStyle w:val="Accentuation"/>
          <w:rFonts w:cs="Calibri"/>
          <w:i w:val="0"/>
          <w:iCs/>
          <w:sz w:val="24"/>
          <w:szCs w:val="24"/>
          <w:lang w:val="fr-FR"/>
        </w:rPr>
        <w:t xml:space="preserve">(Castilla-Gómez, J. &amp; Herrera-Herbert, J., 2015). </w:t>
      </w:r>
    </w:p>
    <w:p w:rsidR="0089405D" w:rsidRDefault="003468E2">
      <w:pPr>
        <w:spacing w:after="0" w:line="312" w:lineRule="auto"/>
        <w:ind w:firstLine="708"/>
        <w:jc w:val="both"/>
        <w:rPr>
          <w:rStyle w:val="Accentuation"/>
          <w:rFonts w:cs="Calibri"/>
          <w:i w:val="0"/>
          <w:iCs/>
          <w:sz w:val="24"/>
          <w:szCs w:val="24"/>
          <w:lang w:val="fr-FR"/>
        </w:rPr>
      </w:pPr>
      <w:r>
        <w:rPr>
          <w:rStyle w:val="Accentuation"/>
          <w:rFonts w:cs="Calibri"/>
          <w:i w:val="0"/>
          <w:iCs/>
          <w:sz w:val="24"/>
          <w:szCs w:val="24"/>
          <w:lang w:val="fr-FR"/>
        </w:rPr>
        <w:t xml:space="preserve">Malheureusement, les consortiums humains ont toujours changé leur habitat soit pour le rendre plus commode à vivre, soit pour y produire plus, soit pour le rendre plus conforme à leur vision du monde avec pour conséquence des activités qui ont engendré des de la biodiversité. Très localement, la création d’infrastructures peut supprimer des espèces endémiques ou à faibles effectifs. Les changements globaux, notamment climatiques, l’exploitation minière,… seront à l’origine des chambardements de la biodiversité (Castilla-Gómez, J. &amp; Herrera-Herbert, J., 2015). Des efforts engagés au niveau local, chacun pouvant apporté sa pierre – ne constituent qu’un grain de sable. – pour les limiter, agissent indirectement certes, sur l’érosion de la biodiversité. Cette réalité n’échappe au bassin du Congo. </w:t>
      </w:r>
    </w:p>
    <w:p w:rsidR="0089405D" w:rsidRDefault="003468E2">
      <w:pPr>
        <w:spacing w:after="0" w:line="312" w:lineRule="auto"/>
        <w:ind w:firstLine="708"/>
        <w:jc w:val="both"/>
        <w:rPr>
          <w:rStyle w:val="Accentuation"/>
          <w:rFonts w:cs="Calibri"/>
          <w:i w:val="0"/>
          <w:iCs/>
          <w:sz w:val="24"/>
          <w:szCs w:val="24"/>
          <w:lang w:val="fr-FR"/>
        </w:rPr>
      </w:pPr>
      <w:r>
        <w:rPr>
          <w:rStyle w:val="Accentuation"/>
          <w:rFonts w:cs="Calibri"/>
          <w:i w:val="0"/>
          <w:iCs/>
          <w:sz w:val="24"/>
          <w:szCs w:val="24"/>
          <w:lang w:val="fr-FR"/>
        </w:rPr>
        <w:t xml:space="preserve">En effet, le bassin du Congo couvre 4 millions de km² où vivent 93,2 millions d’habitants, avec des densités très variables selon les zones (PFBC, 2005). Les prospectivistes estiment que si les scénarios tendanciels démographiques se poursuivent, la population </w:t>
      </w:r>
      <w:r>
        <w:rPr>
          <w:rStyle w:val="Accentuation"/>
          <w:rFonts w:cs="Calibri"/>
          <w:i w:val="0"/>
          <w:iCs/>
          <w:sz w:val="24"/>
          <w:szCs w:val="24"/>
          <w:lang w:val="fr-FR"/>
        </w:rPr>
        <w:lastRenderedPageBreak/>
        <w:t>devrait encore doubler dans le bassin de 2010 à 2035, entraînant une aggravation de la pression sur la forêt, éventuellement exacerbée par le dérèglement climatique (</w:t>
      </w:r>
      <w:r>
        <w:rPr>
          <w:rFonts w:eastAsia="Calibri" w:cs="Calibri"/>
          <w:sz w:val="24"/>
          <w:szCs w:val="24"/>
          <w:lang w:val="fr-FR" w:eastAsia="en-US"/>
        </w:rPr>
        <w:t>Anselme, B. et al., 2008).</w:t>
      </w:r>
      <w:r>
        <w:rPr>
          <w:rFonts w:eastAsia="Calibri" w:cs="Calibri"/>
          <w:sz w:val="20"/>
          <w:szCs w:val="20"/>
          <w:lang w:val="fr-FR" w:eastAsia="en-US"/>
        </w:rPr>
        <w:t xml:space="preserve"> </w:t>
      </w:r>
    </w:p>
    <w:p w:rsidR="0089405D" w:rsidRDefault="003468E2">
      <w:pPr>
        <w:spacing w:after="0" w:line="312" w:lineRule="auto"/>
        <w:ind w:firstLine="708"/>
        <w:jc w:val="both"/>
        <w:rPr>
          <w:rStyle w:val="Accentuation"/>
          <w:rFonts w:cs="Calibri"/>
          <w:i w:val="0"/>
          <w:iCs/>
          <w:sz w:val="24"/>
          <w:szCs w:val="24"/>
          <w:lang w:val="fr-FR"/>
        </w:rPr>
      </w:pPr>
      <w:r>
        <w:rPr>
          <w:rStyle w:val="Accentuation"/>
          <w:rFonts w:cs="Calibri"/>
          <w:i w:val="0"/>
          <w:iCs/>
          <w:sz w:val="24"/>
          <w:szCs w:val="24"/>
          <w:lang w:val="fr-FR"/>
        </w:rPr>
        <w:t>Parfois, la notion de Bassin du Congo désigne plus précisément la Cuvette congolaise, une vaste dépression située au centre du bassin versant, à cheval sur la République du Congo et la République Démocratique du Congo. Le Bassin (versant) du Congo ajoute à cette région les plateaux du sud de la RDC, d'Angola et de Zambie au Sud, ainsi que les montagnes qui bordent la Vallée du Rift à l'Est (Anselme, B. et al., 2008).</w:t>
      </w:r>
    </w:p>
    <w:p w:rsidR="0089405D" w:rsidRDefault="003468E2">
      <w:pPr>
        <w:spacing w:after="0" w:line="312" w:lineRule="auto"/>
        <w:ind w:firstLine="708"/>
        <w:jc w:val="both"/>
        <w:rPr>
          <w:rStyle w:val="Accentuation"/>
          <w:rFonts w:cs="Calibri"/>
          <w:i w:val="0"/>
          <w:iCs/>
          <w:sz w:val="24"/>
          <w:szCs w:val="24"/>
          <w:lang w:val="fr-FR"/>
        </w:rPr>
      </w:pPr>
      <w:r>
        <w:rPr>
          <w:rStyle w:val="Accentuation"/>
          <w:rFonts w:cs="Calibri"/>
          <w:i w:val="0"/>
          <w:iCs/>
          <w:sz w:val="24"/>
          <w:szCs w:val="24"/>
          <w:lang w:val="fr-FR"/>
        </w:rPr>
        <w:t>En écologie, le Bassin du Congo peut désigner le bassin forestier qui concerne six pays (RDC, République du Congo, République Centrafricaine, Cameroun, Guinée-Équatoriale et Gabon) et qui s'étend en partie hors du bassin versant du Congo. Il est parfois appelé le deuxième poumon du monde derrière l’amazonienne de l’Amérique du Sud. Le nom vient du fait que le bassin fonctionne comme une sorte de lavabo pour le carbone, ce qui veut dire qu’il absorbe le carbone qui deviendrait sinon le dioxyde de carbone. Le dioxyde de carbone est un gaz qui est dégagé quand nous produisons l’électricité (Nicolas et al., 2004 ; PFBC, 2005). Il contribue au réchauffement mondial et au changement climatique. Les plantes absorbent le dioxyde de carbone à travers la photosynthèse, ce qui est équivalent à la respiration dans les plantes (PFBC, 2005).</w:t>
      </w:r>
    </w:p>
    <w:p w:rsidR="0089405D" w:rsidRDefault="003468E2">
      <w:pPr>
        <w:spacing w:after="0" w:line="312" w:lineRule="auto"/>
        <w:ind w:firstLine="708"/>
        <w:jc w:val="both"/>
        <w:rPr>
          <w:rFonts w:cs="Calibri"/>
          <w:sz w:val="24"/>
          <w:szCs w:val="24"/>
          <w:lang w:val="fr-FR"/>
        </w:rPr>
      </w:pPr>
      <w:r>
        <w:rPr>
          <w:rStyle w:val="Accentuation"/>
          <w:rFonts w:cs="Calibri"/>
          <w:i w:val="0"/>
          <w:iCs/>
          <w:sz w:val="24"/>
          <w:szCs w:val="24"/>
          <w:lang w:val="fr-FR"/>
        </w:rPr>
        <w:t>Malheureusement, l</w:t>
      </w:r>
      <w:r>
        <w:rPr>
          <w:rFonts w:cs="Calibri"/>
          <w:color w:val="000000"/>
          <w:sz w:val="24"/>
          <w:szCs w:val="24"/>
          <w:lang w:val="fr-FR"/>
        </w:rPr>
        <w:t xml:space="preserve">a dégradation des eaux et des terres arables continue d'être une inquiétude, en raison de la menace qu’elle représente à la fois pour le fonctionnement des écosystèmes et le bien-être des communautés humaines. </w:t>
      </w:r>
      <w:r>
        <w:rPr>
          <w:rFonts w:cs="Calibri"/>
          <w:sz w:val="24"/>
          <w:szCs w:val="24"/>
          <w:lang w:val="fr-FR"/>
        </w:rPr>
        <w:t xml:space="preserve">Ces changements globaux menacent les divers services écosystémiques rendus par ses biocénoses et les biotopes dans le Bassin du et joue un rôle capital sur la régulation du climat local et mondial (Cf. Bonan, 2008 ; Breshears D. et al., 2011). </w:t>
      </w:r>
    </w:p>
    <w:p w:rsidR="0089405D" w:rsidRDefault="003468E2">
      <w:pPr>
        <w:spacing w:after="0" w:line="312" w:lineRule="auto"/>
        <w:jc w:val="both"/>
        <w:rPr>
          <w:rStyle w:val="Accentuation"/>
          <w:rFonts w:cs="Calibri"/>
          <w:i w:val="0"/>
          <w:iCs/>
          <w:sz w:val="24"/>
          <w:szCs w:val="24"/>
          <w:lang w:val="fr-FR"/>
        </w:rPr>
      </w:pPr>
      <w:r>
        <w:rPr>
          <w:rStyle w:val="Accentuation"/>
          <w:rFonts w:cs="Calibri"/>
          <w:i w:val="0"/>
          <w:iCs/>
          <w:sz w:val="24"/>
          <w:szCs w:val="24"/>
          <w:lang w:val="fr-FR"/>
        </w:rPr>
        <w:tab/>
        <w:t xml:space="preserve">La RDC regorge des ressources naturelles, particulièrement minières. Les réserves de cuivre, cobalt et coltan comptent parmi les plus importantes au monde, mais on y extrait également de grandes quantités de diamant et d’or. Ce qui fait que la RDC fasse partie du cercle très fermé des plus grands producteurs mondiaux des minerais. L’engouement observé à travers les médias et les différents rapports des organismes internationaux (les experts de l’ONU, les ONGDs internationales de défenses des droits humains…) pour dénoncer le fait que les minerais de sang constituent les vraies causes de l’insécurité dans sa partie orientale qui coïncident avec la région des Grands Lacs africains, sont l’expression de la pression subie par le pays à cause de ses minerais tant convoités par le monde. L’on dirait que les nouvelles </w:t>
      </w:r>
      <w:r>
        <w:rPr>
          <w:rStyle w:val="Accentuation"/>
          <w:rFonts w:cs="Calibri"/>
          <w:i w:val="0"/>
          <w:iCs/>
          <w:sz w:val="24"/>
          <w:szCs w:val="24"/>
          <w:lang w:val="fr-FR"/>
        </w:rPr>
        <w:lastRenderedPageBreak/>
        <w:t xml:space="preserve">technologies, en ce début du troisième millénaire de notre ère dépendraient essentiellement de ses réserves des minerais stratégiques notamment le coltan et le cobalt. </w:t>
      </w:r>
    </w:p>
    <w:p w:rsidR="0089405D" w:rsidRDefault="003468E2">
      <w:pPr>
        <w:spacing w:after="0" w:line="312" w:lineRule="auto"/>
        <w:jc w:val="both"/>
        <w:rPr>
          <w:rFonts w:cs="Calibri"/>
          <w:sz w:val="24"/>
          <w:szCs w:val="24"/>
          <w:lang w:val="fr-FR"/>
        </w:rPr>
      </w:pPr>
      <w:r>
        <w:rPr>
          <w:rStyle w:val="Accentuation"/>
          <w:rFonts w:cs="Calibri"/>
          <w:i w:val="0"/>
          <w:iCs/>
          <w:sz w:val="24"/>
          <w:szCs w:val="24"/>
          <w:lang w:val="fr-FR"/>
        </w:rPr>
        <w:tab/>
      </w:r>
      <w:r>
        <w:rPr>
          <w:rFonts w:cs="Calibri"/>
          <w:sz w:val="24"/>
          <w:szCs w:val="24"/>
          <w:lang w:val="fr-FR"/>
        </w:rPr>
        <w:t>Le secteur minier congolais se partage entre exploitations industrielle et artisanale. L’exploitation industrielle emploie une main d’œuvre plutôt spécialisée, et donc en nombre restreint. (Geenen, S. &amp; Custers, R. 2010). On estime cependant qu’autour de huit millions de personnes vivent grâce à l’exploitation artisanale : creuseurs, porteurs, casseurs de pierres et leurs familles, négociants, commerçants… ((Castilla-Gómez, J. &amp; Herrera-Herbert, J., 2015).</w:t>
      </w:r>
    </w:p>
    <w:p w:rsidR="0089405D" w:rsidRDefault="003468E2">
      <w:pPr>
        <w:spacing w:after="0" w:line="312" w:lineRule="auto"/>
        <w:jc w:val="both"/>
        <w:rPr>
          <w:rFonts w:cs="Calibri"/>
          <w:sz w:val="24"/>
          <w:szCs w:val="24"/>
          <w:lang w:val="fr-FR"/>
        </w:rPr>
      </w:pPr>
      <w:r>
        <w:rPr>
          <w:rFonts w:cs="Calibri"/>
          <w:sz w:val="24"/>
          <w:szCs w:val="24"/>
          <w:lang w:val="fr-FR"/>
        </w:rPr>
        <w:tab/>
        <w:t xml:space="preserve">L’exploitation artisanale de diamant à Liambe a commencé timidement depuis novembre 2012.  Elle se fait en période d’étiage des eaux de la rivière Aruwimi, de janvier à mars. A la même période, on observe le même mouvement avec beaucoup plus d’intensité, à une centaine de kilomètres en amont, à la lisière des territoires de Basoko et de Banalia, dans les chutes de Liongo, en groupement de Bangelema-Abolo. Ici, l’exploitation artisanale date de la fin des années 1990. </w:t>
      </w:r>
    </w:p>
    <w:p w:rsidR="0089405D" w:rsidRDefault="003468E2">
      <w:pPr>
        <w:spacing w:after="0" w:line="312" w:lineRule="auto"/>
        <w:jc w:val="both"/>
        <w:rPr>
          <w:rFonts w:cs="Calibri"/>
          <w:sz w:val="24"/>
          <w:szCs w:val="24"/>
          <w:lang w:val="fr-FR"/>
        </w:rPr>
      </w:pPr>
      <w:r>
        <w:rPr>
          <w:rFonts w:cs="Calibri"/>
          <w:sz w:val="24"/>
          <w:szCs w:val="24"/>
          <w:lang w:val="fr-FR"/>
        </w:rPr>
        <w:tab/>
        <w:t xml:space="preserve">Comme partout ailleurs dans le pays, cette exploitation artisanale assure la survie à plusieurs milliers de familles rurales et urbaines et favorise la circulation des biens et des personnes quoique dans des conditions difficiles ; et surtout un exode considérable des jeunes des centres urbains vers les carrières dans la forêt profonde. L’on prétendrait à un palliatif face au chômage chronique et endémique dans l’ensemble du pays. Généralement, l’émergence du secteur artisanal en RDC  remonte  aux  années  1970,  pour  s’amplifier  vers  les  années  1980,  période  au  cours  de  laquelle  l’ordonnance  loi  n°82/039  du  5  novembre  1982  a  autorisé  l’exploitation  artisanale  des  matières  précieuses.  Cette exploitation devait se faire en dehors des concessions couvertes par des titres miniers exclusifs (Dobb, E., 1996 ; Defailly, D., 2000). Mais à Banalia, par exemple, les dragues fonctionnent en plein centre du territoire (juste en face du bureau du territoire). Le mouvement a gagné la Province de la Tshopo, alors district de la Tshopo, au début des années 1980, par les territoires de Bafwasende et de Banalia, notamment sur les rivières Lindi, Tshopo et Aruwimi. </w:t>
      </w:r>
    </w:p>
    <w:p w:rsidR="0089405D" w:rsidRDefault="0089405D">
      <w:pPr>
        <w:pStyle w:val="Titre1"/>
        <w:spacing w:before="0" w:line="312" w:lineRule="auto"/>
        <w:rPr>
          <w:rFonts w:cs="Calibri"/>
          <w:color w:val="auto"/>
          <w:sz w:val="24"/>
          <w:szCs w:val="24"/>
          <w:lang w:val="fr-FR"/>
        </w:rPr>
      </w:pPr>
    </w:p>
    <w:p w:rsidR="0089405D" w:rsidRDefault="003468E2">
      <w:pPr>
        <w:pStyle w:val="Titre1"/>
        <w:spacing w:before="0" w:line="312" w:lineRule="auto"/>
        <w:rPr>
          <w:rFonts w:cs="Calibri"/>
          <w:b/>
          <w:color w:val="auto"/>
          <w:sz w:val="24"/>
          <w:szCs w:val="24"/>
          <w:lang w:val="fr-FR"/>
        </w:rPr>
      </w:pPr>
      <w:bookmarkStart w:id="390" w:name="_Toc111888632"/>
      <w:bookmarkStart w:id="391" w:name="_Toc127187213"/>
      <w:bookmarkStart w:id="392" w:name="_Toc127187490"/>
      <w:bookmarkStart w:id="393" w:name="_Toc127432247"/>
      <w:r>
        <w:rPr>
          <w:rFonts w:cs="Calibri"/>
          <w:b/>
          <w:color w:val="auto"/>
          <w:sz w:val="24"/>
          <w:szCs w:val="24"/>
          <w:lang w:val="fr-FR"/>
        </w:rPr>
        <w:t>4.2. GESTION DE L’EAU DOUCE</w:t>
      </w:r>
      <w:bookmarkEnd w:id="390"/>
      <w:bookmarkEnd w:id="391"/>
      <w:bookmarkEnd w:id="392"/>
      <w:bookmarkEnd w:id="393"/>
      <w:r>
        <w:rPr>
          <w:rFonts w:cs="Calibri"/>
          <w:b/>
          <w:color w:val="auto"/>
          <w:sz w:val="24"/>
          <w:szCs w:val="24"/>
          <w:lang w:val="fr-FR"/>
        </w:rPr>
        <w:t xml:space="preserve"> </w:t>
      </w:r>
    </w:p>
    <w:p w:rsidR="0089405D" w:rsidRDefault="0089405D">
      <w:pPr>
        <w:spacing w:after="0" w:line="312" w:lineRule="auto"/>
        <w:jc w:val="both"/>
        <w:rPr>
          <w:rFonts w:cs="Calibri"/>
          <w:b/>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Avec la marchandisation de la diversité biologique, on ne considère plus aujourd’hui les ressources biologiques comme un bien commun, libre d’accès et gratuit. La dégradation des eaux et des terres arables continue d'être une inquiétude, en raison de la menace qu’elle représente à la fois pour le fonctionnement des écosystèmes et le bien-être des communautés humaines. Cela est dû soit à la croissance démographique, aux progrès </w:t>
      </w:r>
      <w:r>
        <w:rPr>
          <w:rFonts w:cs="Calibri"/>
          <w:sz w:val="24"/>
          <w:szCs w:val="24"/>
          <w:lang w:val="fr-FR"/>
        </w:rPr>
        <w:lastRenderedPageBreak/>
        <w:t xml:space="preserve">technologiques, à l’industrialisation, à l’expansion agricole à tous les niveaux, et ont été le moteur d’un mode de développement qui a un impact dramatique sur l’environnement naturel (Lara-Pulido J. et al., 2018). Ces changements globaux menacent les divers services écosystémiques rendus par ses biocénoses et les biotopes dans le Bassin du Congo qui est le deuxième poumon planétaire et joue un rôle capital sur la régulation du climat local et mondial (Bonan, G., 2008 ; Bebbington, A et al., 2011). </w:t>
      </w:r>
    </w:p>
    <w:p w:rsidR="0089405D" w:rsidRDefault="003468E2">
      <w:pPr>
        <w:spacing w:after="0" w:line="312" w:lineRule="auto"/>
        <w:ind w:firstLine="709"/>
        <w:jc w:val="both"/>
        <w:rPr>
          <w:rFonts w:cs="Calibri"/>
          <w:sz w:val="24"/>
          <w:szCs w:val="24"/>
          <w:lang w:val="fr-FR"/>
        </w:rPr>
      </w:pPr>
      <w:r>
        <w:rPr>
          <w:rFonts w:cs="Calibri"/>
          <w:sz w:val="24"/>
          <w:szCs w:val="24"/>
          <w:lang w:val="fr-FR"/>
        </w:rPr>
        <w:t>Les écosystèmes du Bassin du Congo nous produisent de l’eau douce, la quantité et la qualité de la recharge en eau des nappes, ou la prévention de la désagrégation des terres… (</w:t>
      </w:r>
      <w:r>
        <w:rPr>
          <w:rFonts w:cs="Calibri"/>
          <w:lang w:val="fr-FR"/>
        </w:rPr>
        <w:t xml:space="preserve">Homer-Dixon, T. et </w:t>
      </w:r>
      <w:r>
        <w:rPr>
          <w:rFonts w:cs="Calibri"/>
          <w:sz w:val="24"/>
          <w:szCs w:val="24"/>
          <w:lang w:val="fr-FR"/>
        </w:rPr>
        <w:t xml:space="preserve">al., 1994 ; Castilla-Gómez, J. &amp; Herrera-Herbert, J., 2015).  Il faut évaluer le devenir de ces écosystèmes aquatiques et déterminer les capacités d’adaptation face aux différents facteurs dus à l’exploitation des ressources naturelles impliquées dans les changements et les transformations relatives à l’usage d’exploitation minière et autres (Andre, P. et al., 2010). La potabilité de l'eau d’eau de cette sous-région est menacée par le développement effréné de l'industrie pétrolière, minières ce qui a occasionné des révoltes ethniques.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Tout ceci ne représente qu'un prodrome face aux futures guerres de l'eau annoncées en raison du stress hydrique. (Breshears, D. et al., 2019). Le Cahier de propositions relatives à la question de l’eau de 2001, de l’Alliance 21, montre que  « </w:t>
      </w:r>
      <w:r>
        <w:rPr>
          <w:rFonts w:cs="Calibri"/>
          <w:i/>
          <w:sz w:val="24"/>
          <w:szCs w:val="24"/>
          <w:lang w:val="fr-FR"/>
        </w:rPr>
        <w:t>L’eau est un droit inabrogeable de tout être humain</w:t>
      </w:r>
      <w:r>
        <w:rPr>
          <w:rFonts w:cs="Calibri"/>
          <w:sz w:val="24"/>
          <w:szCs w:val="24"/>
          <w:lang w:val="fr-FR"/>
        </w:rPr>
        <w:t> ». À tous les niveaux, l’approvisionnement en eau est nécessaire et indépendant. Une approche intégrale des zones de captation doit tenir compte des besoins d’irrigation, des villes conjointement et non pas séparément, comme c’est souvent le cas. Il faut chercher l’équipement pour avancer vers une thésaurisation de l’eau et augmenter son efficacité dans les systèmes d’irrigation et les processus industriels. La responsabilité financière de l’eau doit être assumée par l’individu et par la communauté selon les principes de responsabilité et d’usage, tout en respectant l’éthique et la démocratie. La gouvernance de l’approvisionnement en eau doit s’établir selon les principes de développement durable</w:t>
      </w:r>
      <w:r>
        <w:rPr>
          <w:rFonts w:cs="Calibri"/>
          <w:lang w:val="fr-FR"/>
        </w:rPr>
        <w:t xml:space="preserve"> (</w:t>
      </w:r>
      <w:r>
        <w:rPr>
          <w:rFonts w:cs="Calibri"/>
          <w:sz w:val="24"/>
          <w:szCs w:val="24"/>
          <w:lang w:val="fr-FR"/>
        </w:rPr>
        <w:t xml:space="preserve">Stratos, I., 2011). </w:t>
      </w:r>
    </w:p>
    <w:p w:rsidR="0089405D" w:rsidRDefault="003468E2">
      <w:pPr>
        <w:spacing w:after="0" w:line="312" w:lineRule="auto"/>
        <w:ind w:firstLine="709"/>
        <w:jc w:val="both"/>
        <w:rPr>
          <w:rFonts w:cs="Calibri"/>
          <w:lang w:val="fr-FR"/>
        </w:rPr>
      </w:pPr>
      <w:r>
        <w:rPr>
          <w:rFonts w:cs="Calibri"/>
          <w:sz w:val="24"/>
          <w:szCs w:val="24"/>
          <w:lang w:val="fr-FR"/>
        </w:rPr>
        <w:t>La gestion de l'eau comme le cas de la rivière Aruwimi  est l'activité doit consister à défendre, protéger, planifier, développer, distribuer et gérer l'utilisation optimale des ressources en eau de cette rivière et de son bassin versant terrestre ou aquatique, des points de vue qualitatif et quantitatif. Ceci inclut la gestion des risques « quantitatifs » et évènements extrêmes de sécheresse et pénurie, d'inondations et des crues, érosion des sols et notamment liés au changement climatique, à la déforestation et à la destruction des zones humides</w:t>
      </w:r>
      <w:r>
        <w:rPr>
          <w:lang w:val="fr-FR"/>
        </w:rPr>
        <w:t xml:space="preserve"> (</w:t>
      </w:r>
      <w:r>
        <w:rPr>
          <w:rFonts w:cs="Calibri"/>
          <w:sz w:val="24"/>
          <w:szCs w:val="24"/>
          <w:lang w:val="fr-FR"/>
        </w:rPr>
        <w:t>Mangambu, M., 2020).</w:t>
      </w:r>
    </w:p>
    <w:p w:rsidR="0089405D" w:rsidRDefault="003468E2">
      <w:pPr>
        <w:spacing w:after="0" w:line="312" w:lineRule="auto"/>
        <w:ind w:firstLine="709"/>
        <w:jc w:val="both"/>
        <w:rPr>
          <w:rFonts w:cs="Calibri"/>
          <w:sz w:val="24"/>
          <w:szCs w:val="24"/>
          <w:lang w:val="fr-FR"/>
        </w:rPr>
      </w:pPr>
      <w:r>
        <w:rPr>
          <w:rFonts w:cs="Calibri"/>
          <w:sz w:val="24"/>
          <w:szCs w:val="24"/>
          <w:lang w:val="fr-FR"/>
        </w:rPr>
        <w:lastRenderedPageBreak/>
        <w:t xml:space="preserve">Les actions de gestion et de conservation de cette rivière sont obligation à court, moyen et long termes et la protection totale de tout son bassin versant. Elles concernent donc de nombreux acteurs (dont collectivités locales, publiques, entreprises agriculteurs et habitants) dans un contexte où la marchandisation de cette rivière est de plus en plus perçue comme la destruction de ces écosystèmes et ses services écosystémiques.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La gestion de l’eau à l’échelle territoriale s’intègre aussi dans une gestion à portée environnementale sur le bassin versant et pour l’exploitation agricole locale. Par malheur, suite à cette exploitation, les riverains d’Aruwimi seront les premiers à subir ces catastrophes et aussi tous les habitants du bassin versant. Si nous comprenons cette optique, c’est à cette échelle que doit s’organiser la gestion globale de l’eau et des milieux aquatiques. Nous sommes tous appelés à respecter la réglementation spécifique sur la gestion des eaux douces pour bien préserver cette rivière. </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b/>
          <w:color w:val="auto"/>
          <w:sz w:val="24"/>
          <w:szCs w:val="24"/>
          <w:lang w:val="fr-FR"/>
        </w:rPr>
      </w:pPr>
      <w:bookmarkStart w:id="394" w:name="_Toc59458324"/>
      <w:bookmarkStart w:id="395" w:name="_Toc79392972"/>
      <w:bookmarkStart w:id="396" w:name="_Toc111888633"/>
      <w:bookmarkStart w:id="397" w:name="_Toc127187214"/>
      <w:bookmarkStart w:id="398" w:name="_Toc127187491"/>
      <w:bookmarkStart w:id="399" w:name="_Toc127432248"/>
      <w:r>
        <w:rPr>
          <w:rFonts w:cs="Calibri"/>
          <w:b/>
          <w:color w:val="auto"/>
          <w:sz w:val="24"/>
          <w:szCs w:val="24"/>
          <w:lang w:val="fr-FR"/>
        </w:rPr>
        <w:t>4.3. LA RIVIERE</w:t>
      </w:r>
      <w:bookmarkEnd w:id="394"/>
      <w:r>
        <w:rPr>
          <w:rFonts w:cs="Calibri"/>
          <w:b/>
          <w:color w:val="auto"/>
          <w:sz w:val="24"/>
          <w:szCs w:val="24"/>
          <w:lang w:val="fr-FR"/>
        </w:rPr>
        <w:t xml:space="preserve"> ARUWIMI (LOHALE)</w:t>
      </w:r>
      <w:bookmarkEnd w:id="395"/>
      <w:bookmarkEnd w:id="396"/>
      <w:bookmarkEnd w:id="397"/>
      <w:bookmarkEnd w:id="398"/>
      <w:bookmarkEnd w:id="399"/>
    </w:p>
    <w:p w:rsidR="0089405D" w:rsidRDefault="003468E2">
      <w:pPr>
        <w:pStyle w:val="Titre1"/>
        <w:spacing w:before="0" w:line="312" w:lineRule="auto"/>
        <w:rPr>
          <w:rFonts w:cs="Calibri"/>
          <w:color w:val="auto"/>
          <w:sz w:val="24"/>
          <w:szCs w:val="24"/>
          <w:lang w:val="fr-FR"/>
        </w:rPr>
      </w:pPr>
      <w:r>
        <w:rPr>
          <w:rFonts w:cs="Calibri"/>
          <w:b/>
          <w:color w:val="auto"/>
          <w:sz w:val="24"/>
          <w:szCs w:val="24"/>
          <w:lang w:val="fr-FR"/>
        </w:rPr>
        <w:t xml:space="preserve"> </w:t>
      </w:r>
    </w:p>
    <w:p w:rsidR="0089405D" w:rsidRDefault="003468E2">
      <w:pPr>
        <w:spacing w:after="0" w:line="312" w:lineRule="auto"/>
        <w:ind w:firstLine="708"/>
        <w:jc w:val="both"/>
        <w:rPr>
          <w:rFonts w:cs="Calibri"/>
          <w:sz w:val="24"/>
          <w:szCs w:val="24"/>
          <w:lang w:val="fr-FR"/>
        </w:rPr>
      </w:pPr>
      <w:r>
        <w:rPr>
          <w:rFonts w:cs="Calibri"/>
          <w:sz w:val="24"/>
          <w:szCs w:val="24"/>
          <w:lang w:val="fr-FR"/>
        </w:rPr>
        <w:t>La rivière Aruwimi (Figure 4.1) est l’un des Confluents du fleuve Congo, appelée anciennement rivière Lohale par la population de Banalia et de Basoko. Elle coule dans le nord et le nord-est du pays, en Province orientale. Son cours supérieur porte le nom d'Ituri</w:t>
      </w:r>
      <w:r>
        <w:rPr>
          <w:rStyle w:val="Appelnotedebasdep"/>
          <w:rFonts w:cs="Calibri"/>
          <w:sz w:val="24"/>
          <w:szCs w:val="24"/>
          <w:lang w:val="fr-FR"/>
        </w:rPr>
        <w:footnoteReference w:id="44"/>
      </w:r>
      <w:r>
        <w:rPr>
          <w:rFonts w:cs="Calibri"/>
          <w:sz w:val="24"/>
          <w:szCs w:val="24"/>
          <w:lang w:val="fr-FR"/>
        </w:rPr>
        <w:t>. L'Ituri prend naissance dans la région de savanes située au nord du bassin de la rivière Kibali. Il coule alors principalement vers le sud-ouest de Kibali jusqu'à être rejoint par la rivière Shari qui coule près de Bunia. Il vire alors vers l'ouest et traverse la légendaire forêt de l'Ituri. Il devient Lohale à partir du confluent avec la rivière Nepoko (ou Nepoki) au niveau de la localité de Bomili en territoire de Bafwasende. Toujours orientée vers l'ouest, la Lohale se jette dans le fleuve Congo en rive droite à Basoko</w:t>
      </w:r>
      <w:r>
        <w:rPr>
          <w:rStyle w:val="Appelnotedebasdep"/>
          <w:rFonts w:cs="Calibri"/>
          <w:sz w:val="24"/>
          <w:szCs w:val="24"/>
          <w:lang w:val="fr-FR"/>
        </w:rPr>
        <w:footnoteReference w:id="45"/>
      </w:r>
      <w:r>
        <w:rPr>
          <w:rFonts w:cs="Calibri"/>
          <w:sz w:val="24"/>
          <w:szCs w:val="24"/>
          <w:lang w:val="fr-FR"/>
        </w:rPr>
        <w:t xml:space="preserve">. </w:t>
      </w:r>
    </w:p>
    <w:p w:rsidR="0089405D" w:rsidRDefault="003468E2">
      <w:pPr>
        <w:spacing w:after="0" w:line="312" w:lineRule="auto"/>
        <w:ind w:firstLine="708"/>
        <w:jc w:val="both"/>
        <w:rPr>
          <w:rFonts w:cs="Calibri"/>
          <w:sz w:val="24"/>
          <w:szCs w:val="24"/>
          <w:lang w:val="fr-FR"/>
        </w:rPr>
      </w:pPr>
      <w:r>
        <w:rPr>
          <w:rFonts w:cs="Calibri"/>
          <w:sz w:val="24"/>
          <w:szCs w:val="24"/>
          <w:lang w:val="fr-FR"/>
        </w:rPr>
        <w:t>Sa longueur totale (y compris l'Ituri) est d'environ 1.300 kilomètres</w:t>
      </w:r>
      <w:r>
        <w:rPr>
          <w:rStyle w:val="Appelnotedebasdep"/>
          <w:rFonts w:cs="Calibri"/>
          <w:sz w:val="24"/>
          <w:szCs w:val="24"/>
          <w:lang w:val="fr-FR"/>
        </w:rPr>
        <w:footnoteReference w:id="46"/>
      </w:r>
      <w:r>
        <w:rPr>
          <w:rFonts w:cs="Calibri"/>
          <w:sz w:val="24"/>
          <w:szCs w:val="24"/>
          <w:lang w:val="fr-FR"/>
        </w:rPr>
        <w:t xml:space="preserve">. Au niveau de son embouchure dans le fleuve, sa largeur atteint 1.500 mètres. Le bassin versant de </w:t>
      </w:r>
      <w:r>
        <w:rPr>
          <w:rFonts w:cs="Calibri"/>
          <w:sz w:val="24"/>
          <w:szCs w:val="24"/>
          <w:lang w:val="fr-FR"/>
        </w:rPr>
        <w:lastRenderedPageBreak/>
        <w:t>l'Ituri/Lohale est presque entièrement recouvert d'une forêt dense, et seuls quelques villages peuplent ses rives. Tout l'or de Kibali-Ituri dans la province de l'Ituri, appartient donc au bassin d'Aruwimi. Vous comprendrez donc sa riche potentialité en or et en diamant</w:t>
      </w:r>
      <w:r>
        <w:rPr>
          <w:rStyle w:val="Appelnotedebasdep"/>
          <w:rFonts w:cs="Calibri"/>
          <w:sz w:val="24"/>
          <w:szCs w:val="24"/>
          <w:lang w:val="fr-FR"/>
        </w:rPr>
        <w:footnoteReference w:id="47"/>
      </w:r>
      <w:r>
        <w:rPr>
          <w:rFonts w:cs="Calibri"/>
          <w:sz w:val="24"/>
          <w:szCs w:val="24"/>
          <w:lang w:val="fr-FR"/>
        </w:rPr>
        <w:t>. Les sources de la rivière ont été découvertes par Wilhelm Junker et Friedrich Bohndorff à la fin du XIXe siècle</w:t>
      </w:r>
      <w:r>
        <w:rPr>
          <w:rStyle w:val="Appelnotedebasdep"/>
          <w:rFonts w:cs="Calibri"/>
          <w:sz w:val="24"/>
          <w:szCs w:val="24"/>
          <w:lang w:val="fr-FR"/>
        </w:rPr>
        <w:footnoteReference w:id="48"/>
      </w:r>
      <w:r>
        <w:rPr>
          <w:rFonts w:cs="Calibri"/>
          <w:sz w:val="24"/>
          <w:szCs w:val="24"/>
          <w:lang w:val="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t>Il y a aussi des possibilités d'exploitation de l'énergie hydro-électrique dans sa partie nord de Mongandjo dans les chutes de Yambuya. Les rives d’Aruwimi procurent de nombreux avantages environnementaux, mais elles jouent aussi jouent un rôle capital sur la qualité de vie et contribuent à la vitalité économique du milieu. La vie des populations riveraines le long d’Aruwimi dépend de ce cours d’eau qui outre les ressources alimentaires, il est le canal principal pour les échanges des biens et services vitaux dans le milieu. Qu’il nous soit permis d’ouvrir ainsi une brèche sur le rôle combien vital de l’eau pour ces populations riveraines. L’eau c’est la vie, dit-on. Outre le rôle qu’elle joue dans le cycle hydrologique, elle est indispensable et nécessaire à la survie des êtres vivants.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Sa valeur est inestimable, elle ne peut s’apprécier en monnaie sonnante et trébuchante. Cette eau qui fait la vie requiert une gestion méticuleuse pour sauver les vies humaines, protéger ses ressources, maintenir les écosystèmes aquatiques et terrestres pour la survie des générations présente et future. L’eau est un des préalables du développement durable. L’objectif 3 du développement durable à l’horizon 2030 (ODD 3) préconise la bonne santé et le bien-être pour tous. Il demande entre autres de réduire le nombre de décès et de maladies dues à des substances chimiques dangereuses et à la pollution et à la contamination de l’air, de l’eau et du sol. L’objectif 6 (ODD 6) vise l’eau propre et préconise de garantir l’accès de tous à l’eau et à l’assainissement et assurer une gestion durable des ressources en eau. Et la cible 3 de l’ODD 6 appelle à protéger et restaurer les écosystèmes liés à l’eau, notamment les montagnes, les forêts, les rivières, les lacs… (Malu-Malu, J.-J.-A., 2018).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Il incombe donc aux peuples de ce monde, sous le leadership de ses dirigeants de veiller pour que les cours d’eaux ne soient pas contaminés et pollués, ce qui détruirait les vies humaines. Malheureusement et de plus en plus, les mines menacent les sources d’eau dont nous dépendons pour notre survie en beaucoup d’endroits dans notre pays. </w:t>
      </w:r>
    </w:p>
    <w:p w:rsidR="0089405D" w:rsidRDefault="003468E2">
      <w:pPr>
        <w:spacing w:after="0" w:line="312" w:lineRule="auto"/>
        <w:ind w:firstLine="708"/>
        <w:jc w:val="both"/>
        <w:rPr>
          <w:rFonts w:cs="Calibri"/>
          <w:sz w:val="24"/>
          <w:szCs w:val="24"/>
          <w:lang w:val="fr-FR"/>
        </w:rPr>
      </w:pPr>
      <w:r>
        <w:rPr>
          <w:rFonts w:cs="Calibri"/>
          <w:sz w:val="24"/>
          <w:szCs w:val="24"/>
          <w:lang w:val="fr-FR"/>
        </w:rPr>
        <w:lastRenderedPageBreak/>
        <w:t>L’extraction minière consomme, naturellement, beaucoup d’eau et peut polluer très sérieusement des cours d’eaux. Elle affecte les bassins d’eau douce par le traitement de minerais et par la pollution occasionnée lors des décharges d’effluent des mines (Clure, R., &amp; Schneider, A., 2001). En cas d’exploitation industrielle, l’impact sera grand en raison de l’usage de produits chimiques dans les phases de forage, d’extraction puis de concentration de minerais (Cf. Alaskans for Responsible Mining, 2004). Nous lançons déjà ce cri d’alarme pour protéger les eaux de la rivière Aruwimi dans son bief qui s’étend vers l’embouchure du fleuve Congo (Figure 4.2.).</w:t>
      </w:r>
    </w:p>
    <w:p w:rsidR="0089405D" w:rsidRDefault="0089405D">
      <w:pPr>
        <w:spacing w:after="0" w:line="312" w:lineRule="auto"/>
        <w:jc w:val="both"/>
        <w:rPr>
          <w:rFonts w:cs="Calibri"/>
          <w:sz w:val="24"/>
          <w:szCs w:val="24"/>
          <w:lang w:val="fr-FR"/>
        </w:rPr>
      </w:pPr>
    </w:p>
    <w:p w:rsidR="0089405D" w:rsidRDefault="003468E2">
      <w:pPr>
        <w:spacing w:after="0" w:line="312" w:lineRule="auto"/>
        <w:jc w:val="center"/>
        <w:rPr>
          <w:rFonts w:cs="Calibri"/>
          <w:sz w:val="24"/>
          <w:szCs w:val="24"/>
          <w:lang w:val="fr-FR"/>
        </w:rPr>
      </w:pPr>
      <w:r>
        <w:rPr>
          <w:rFonts w:cs="Calibri"/>
          <w:noProof/>
          <w:sz w:val="24"/>
          <w:szCs w:val="24"/>
          <w:lang w:val="fr-FR" w:eastAsia="fr-FR"/>
        </w:rPr>
        <w:drawing>
          <wp:inline distT="0" distB="0" distL="0" distR="0">
            <wp:extent cx="5000625" cy="2981325"/>
            <wp:effectExtent l="0" t="0" r="9525" b="9525"/>
            <wp:docPr id="1032"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30"/>
                    <pic:cNvPicPr/>
                  </pic:nvPicPr>
                  <pic:blipFill>
                    <a:blip r:embed="rId61" cstate="print"/>
                    <a:srcRect/>
                    <a:stretch/>
                  </pic:blipFill>
                  <pic:spPr>
                    <a:xfrm>
                      <a:off x="0" y="0"/>
                      <a:ext cx="5000625" cy="2981325"/>
                    </a:xfrm>
                    <a:prstGeom prst="rect">
                      <a:avLst/>
                    </a:prstGeom>
                    <a:ln>
                      <a:noFill/>
                    </a:ln>
                  </pic:spPr>
                </pic:pic>
              </a:graphicData>
            </a:graphic>
          </wp:inline>
        </w:drawing>
      </w:r>
    </w:p>
    <w:p w:rsidR="0089405D" w:rsidRDefault="003468E2">
      <w:pPr>
        <w:pStyle w:val="Titre1"/>
        <w:spacing w:before="0" w:line="312" w:lineRule="auto"/>
        <w:jc w:val="both"/>
        <w:rPr>
          <w:rFonts w:cs="Calibri"/>
          <w:b/>
          <w:bCs/>
          <w:i/>
          <w:iCs/>
          <w:color w:val="auto"/>
          <w:sz w:val="24"/>
          <w:szCs w:val="24"/>
          <w:lang w:val="fr-FR"/>
        </w:rPr>
      </w:pPr>
      <w:bookmarkStart w:id="400" w:name="_Toc80352041"/>
      <w:bookmarkStart w:id="401" w:name="_Toc111888857"/>
      <w:bookmarkStart w:id="402" w:name="_Toc125611989"/>
      <w:bookmarkStart w:id="403" w:name="_Toc127181741"/>
      <w:bookmarkStart w:id="404" w:name="_Toc127182135"/>
      <w:bookmarkStart w:id="405" w:name="_Toc127182858"/>
      <w:bookmarkStart w:id="406" w:name="_Toc127187040"/>
      <w:bookmarkStart w:id="407" w:name="_Toc127187215"/>
      <w:bookmarkStart w:id="408" w:name="_Toc127187492"/>
      <w:bookmarkStart w:id="409" w:name="_Toc127432249"/>
      <w:r>
        <w:rPr>
          <w:rFonts w:cs="Calibri"/>
          <w:b/>
          <w:bCs/>
          <w:i/>
          <w:iCs/>
          <w:color w:val="auto"/>
          <w:sz w:val="24"/>
          <w:szCs w:val="24"/>
          <w:lang w:val="fr-FR"/>
        </w:rPr>
        <w:t>Figure. 4.1 : Exploitation aurifère artisanale dans la rivière Aruwimi en territoire de Basoko (Photo. Archives du Service de Mine et cadastre territorial).</w:t>
      </w:r>
      <w:bookmarkEnd w:id="400"/>
      <w:bookmarkEnd w:id="401"/>
      <w:bookmarkEnd w:id="402"/>
      <w:bookmarkEnd w:id="403"/>
      <w:bookmarkEnd w:id="404"/>
      <w:bookmarkEnd w:id="405"/>
      <w:bookmarkEnd w:id="406"/>
      <w:bookmarkEnd w:id="407"/>
      <w:bookmarkEnd w:id="408"/>
      <w:bookmarkEnd w:id="409"/>
    </w:p>
    <w:p w:rsidR="0089405D" w:rsidRDefault="0089405D">
      <w:pPr>
        <w:spacing w:after="0" w:line="312" w:lineRule="auto"/>
        <w:ind w:firstLine="709"/>
        <w:jc w:val="both"/>
        <w:rPr>
          <w:rFonts w:cs="Calibri"/>
          <w:sz w:val="24"/>
          <w:szCs w:val="24"/>
          <w:lang w:val="fr-FR"/>
        </w:rPr>
      </w:pPr>
      <w:bookmarkStart w:id="410" w:name="_Toc79392974"/>
    </w:p>
    <w:p w:rsidR="0089405D" w:rsidRDefault="003468E2">
      <w:pPr>
        <w:pStyle w:val="Titre1"/>
        <w:spacing w:before="0" w:line="312" w:lineRule="auto"/>
        <w:rPr>
          <w:rFonts w:cs="Calibri"/>
          <w:b/>
          <w:color w:val="auto"/>
          <w:sz w:val="24"/>
          <w:szCs w:val="24"/>
          <w:lang w:val="fr-FR"/>
        </w:rPr>
      </w:pPr>
      <w:bookmarkStart w:id="411" w:name="_Toc111888635"/>
      <w:bookmarkStart w:id="412" w:name="_Toc127187216"/>
      <w:bookmarkStart w:id="413" w:name="_Toc127187493"/>
      <w:bookmarkStart w:id="414" w:name="_Toc127432250"/>
      <w:r>
        <w:rPr>
          <w:rFonts w:cs="Calibri"/>
          <w:b/>
          <w:color w:val="auto"/>
          <w:sz w:val="24"/>
          <w:szCs w:val="24"/>
          <w:lang w:val="fr-FR"/>
        </w:rPr>
        <w:t>3.4. LE TERRITOIRE DE BASOKO</w:t>
      </w:r>
      <w:bookmarkEnd w:id="410"/>
      <w:bookmarkEnd w:id="411"/>
      <w:bookmarkEnd w:id="412"/>
      <w:bookmarkEnd w:id="413"/>
      <w:bookmarkEnd w:id="414"/>
    </w:p>
    <w:p w:rsidR="0089405D" w:rsidRDefault="0089405D">
      <w:pPr>
        <w:pStyle w:val="Titre1"/>
        <w:spacing w:before="0" w:line="312" w:lineRule="auto"/>
        <w:rPr>
          <w:rFonts w:cs="Calibri"/>
          <w:color w:val="auto"/>
          <w:sz w:val="24"/>
          <w:szCs w:val="24"/>
          <w:lang w:val="fr-FR"/>
        </w:rPr>
      </w:pPr>
    </w:p>
    <w:p w:rsidR="0089405D" w:rsidRDefault="003468E2">
      <w:pPr>
        <w:pStyle w:val="Titre1"/>
        <w:spacing w:before="0" w:line="312" w:lineRule="auto"/>
        <w:rPr>
          <w:rFonts w:cs="Calibri"/>
          <w:b/>
          <w:color w:val="auto"/>
          <w:sz w:val="24"/>
          <w:szCs w:val="24"/>
          <w:lang w:val="fr-FR"/>
        </w:rPr>
      </w:pPr>
      <w:bookmarkStart w:id="415" w:name="_Toc59458326"/>
      <w:bookmarkStart w:id="416" w:name="_Toc79392975"/>
      <w:bookmarkStart w:id="417" w:name="_Toc111888636"/>
      <w:bookmarkStart w:id="418" w:name="_Toc127187217"/>
      <w:bookmarkStart w:id="419" w:name="_Toc127187494"/>
      <w:bookmarkStart w:id="420" w:name="_Toc127432251"/>
      <w:r>
        <w:rPr>
          <w:rFonts w:cs="Calibri"/>
          <w:b/>
          <w:color w:val="auto"/>
          <w:sz w:val="24"/>
          <w:szCs w:val="24"/>
          <w:lang w:val="fr-FR"/>
        </w:rPr>
        <w:t>3.4.1. DONNEES GEOGRAPHIQUES, CLIMATIQUES ET RELIEF</w:t>
      </w:r>
      <w:bookmarkEnd w:id="415"/>
      <w:bookmarkEnd w:id="416"/>
      <w:bookmarkEnd w:id="417"/>
      <w:bookmarkEnd w:id="418"/>
      <w:bookmarkEnd w:id="419"/>
      <w:bookmarkEnd w:id="420"/>
    </w:p>
    <w:p w:rsidR="0089405D" w:rsidRDefault="0089405D">
      <w:pPr>
        <w:pStyle w:val="Titre1"/>
        <w:spacing w:before="0" w:line="312" w:lineRule="auto"/>
        <w:rPr>
          <w:rFonts w:cs="Calibri"/>
          <w:color w:val="auto"/>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D’une superficie de 22 436 km² (Figure 4.2), situé sur une altitude qui varie entre 120 et 800 m, une latitude de 1 à 2° Nord et une longitude de 20 à 26° Est, avec une taille de population estimée à 332.117 habitants (soit 15 habitants/Km², CENI (2018), le Territoire de Basoko est une entité territoriale décentralisée (ETD) de la province de la Tshopo, en </w:t>
      </w:r>
      <w:r>
        <w:rPr>
          <w:rFonts w:cs="Calibri"/>
          <w:sz w:val="24"/>
          <w:szCs w:val="24"/>
          <w:lang w:val="fr-FR"/>
        </w:rPr>
        <w:lastRenderedPageBreak/>
        <w:t>République démocratique du Congo  (source: Données du Bureau d'état civil de Basoko 2016)</w:t>
      </w:r>
      <w:r>
        <w:rPr>
          <w:rStyle w:val="Appelnotedebasdep"/>
          <w:rFonts w:cs="Calibri"/>
          <w:sz w:val="24"/>
          <w:szCs w:val="24"/>
          <w:lang w:val="fr-FR"/>
        </w:rPr>
        <w:footnoteReference w:id="49"/>
      </w:r>
      <w:r>
        <w:rPr>
          <w:rFonts w:cs="Calibri"/>
          <w:sz w:val="24"/>
          <w:szCs w:val="24"/>
          <w:lang w:val="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t xml:space="preserve">Créé le 11 mars 1889 par le Décret-loi du Roi Léopold II du Royaume de Belgique, au nom du district d’Aruwimi, le Territoire de Basoko comprend neuf entités territoriales dont cinq secteurs (Bangelema-Mongandjo, Bomenge, Lokutu, Mobango-Itimbiri et Turumbu) ; trois chefferies (Yaliwasa, Yamandundu et Wahanga) et deux cités Basoko et Lokutu. La cité de Basoko qui est le chef-lieu du territoire se situe à 270 km au Nord-Ouest de la ville de Kisangani, chef-lieu de la Province de la Tshopo, à l’embouchure de la rivière Aruwimi sur le fleuve Congo (Figures 4.2 et 4.3). </w:t>
      </w:r>
    </w:p>
    <w:p w:rsidR="0089405D" w:rsidRDefault="0089405D">
      <w:pPr>
        <w:spacing w:after="0" w:line="312" w:lineRule="auto"/>
        <w:jc w:val="both"/>
        <w:rPr>
          <w:rFonts w:cs="Calibri"/>
          <w:sz w:val="24"/>
          <w:szCs w:val="24"/>
          <w:lang w:val="fr-FR"/>
        </w:rPr>
      </w:pPr>
    </w:p>
    <w:p w:rsidR="0089405D" w:rsidRDefault="003468E2">
      <w:pPr>
        <w:spacing w:after="0" w:line="312" w:lineRule="auto"/>
        <w:jc w:val="center"/>
        <w:rPr>
          <w:rFonts w:cs="Calibri"/>
          <w:sz w:val="24"/>
          <w:szCs w:val="24"/>
          <w:lang w:val="fr-FR"/>
        </w:rPr>
      </w:pPr>
      <w:r>
        <w:rPr>
          <w:rFonts w:cs="Calibri"/>
          <w:noProof/>
          <w:sz w:val="24"/>
          <w:szCs w:val="24"/>
          <w:lang w:val="fr-FR" w:eastAsia="fr-FR"/>
        </w:rPr>
        <w:drawing>
          <wp:inline distT="0" distB="0" distL="0" distR="0">
            <wp:extent cx="5343525" cy="3743325"/>
            <wp:effectExtent l="19050" t="19050" r="28575" b="28575"/>
            <wp:docPr id="1033" name="Image 1" descr="F:\Documents\Dossier de la Base\MS\MS\lettre GOUV\Capture basoko.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1"/>
                    <pic:cNvPicPr/>
                  </pic:nvPicPr>
                  <pic:blipFill>
                    <a:blip r:embed="rId62" cstate="print"/>
                    <a:srcRect r="2681" b="3872"/>
                    <a:stretch/>
                  </pic:blipFill>
                  <pic:spPr>
                    <a:xfrm>
                      <a:off x="0" y="0"/>
                      <a:ext cx="5343525" cy="3743325"/>
                    </a:xfrm>
                    <a:prstGeom prst="rect">
                      <a:avLst/>
                    </a:prstGeom>
                    <a:ln w="6350" cap="flat" cmpd="sng">
                      <a:solidFill>
                        <a:srgbClr val="000000"/>
                      </a:solidFill>
                      <a:prstDash val="solid"/>
                      <a:round/>
                      <a:headEnd/>
                      <a:tailEnd/>
                    </a:ln>
                  </pic:spPr>
                </pic:pic>
              </a:graphicData>
            </a:graphic>
          </wp:inline>
        </w:drawing>
      </w:r>
    </w:p>
    <w:p w:rsidR="0089405D" w:rsidRDefault="003468E2">
      <w:pPr>
        <w:pStyle w:val="Titre1"/>
        <w:spacing w:before="0" w:line="312" w:lineRule="auto"/>
        <w:jc w:val="both"/>
        <w:rPr>
          <w:rFonts w:cs="Calibri"/>
          <w:color w:val="auto"/>
          <w:sz w:val="24"/>
          <w:szCs w:val="24"/>
          <w:lang w:val="fr-FR"/>
        </w:rPr>
      </w:pPr>
      <w:bookmarkStart w:id="421" w:name="_Toc80352044"/>
      <w:bookmarkStart w:id="422" w:name="_Toc111888860"/>
      <w:bookmarkStart w:id="423" w:name="_Toc125611992"/>
      <w:bookmarkStart w:id="424" w:name="_Toc127181744"/>
      <w:bookmarkStart w:id="425" w:name="_Toc127182138"/>
      <w:bookmarkStart w:id="426" w:name="_Toc127182861"/>
      <w:bookmarkStart w:id="427" w:name="_Toc127187043"/>
      <w:bookmarkStart w:id="428" w:name="_Toc127187218"/>
      <w:bookmarkStart w:id="429" w:name="_Toc127187495"/>
      <w:bookmarkStart w:id="430" w:name="_Toc127432252"/>
      <w:r>
        <w:rPr>
          <w:rFonts w:cs="Calibri"/>
          <w:b/>
          <w:i/>
          <w:color w:val="auto"/>
          <w:sz w:val="24"/>
          <w:szCs w:val="24"/>
          <w:lang w:val="fr-FR"/>
        </w:rPr>
        <w:t>Figure 4.2. Carte du Territoire de Basoko : Chefferies, Secteurs  et site prévu pour l’exploitation semi-industrielle minière par la société Xiang (Source : Carte CAID «Cellule » d’Analyses des Indices de Développement, modifiée).</w:t>
      </w:r>
      <w:bookmarkEnd w:id="421"/>
      <w:bookmarkEnd w:id="422"/>
      <w:bookmarkEnd w:id="423"/>
      <w:bookmarkEnd w:id="424"/>
      <w:bookmarkEnd w:id="425"/>
      <w:bookmarkEnd w:id="426"/>
      <w:bookmarkEnd w:id="427"/>
      <w:bookmarkEnd w:id="428"/>
      <w:bookmarkEnd w:id="429"/>
      <w:bookmarkEnd w:id="430"/>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sz w:val="24"/>
          <w:szCs w:val="24"/>
          <w:lang w:val="fr-FR"/>
        </w:rPr>
      </w:pPr>
      <w:r>
        <w:rPr>
          <w:rFonts w:cs="Calibri"/>
          <w:sz w:val="24"/>
          <w:szCs w:val="24"/>
          <w:lang w:val="fr-FR"/>
        </w:rPr>
        <w:lastRenderedPageBreak/>
        <w:t>A sa fondation par l’Etat  Indépendant du Congo en 1890, la cité de Basoko servit de base pour l'expédition belge sur la Lomami commandée par Louis Napoléon Chaltin, au printemps 1893, lors des campagnes de l'État Indépendant du Congo contre les Arabo-Swahili.</w:t>
      </w:r>
    </w:p>
    <w:p w:rsidR="0089405D" w:rsidRDefault="003468E2">
      <w:pPr>
        <w:spacing w:after="0" w:line="312" w:lineRule="auto"/>
        <w:jc w:val="both"/>
        <w:rPr>
          <w:rFonts w:cs="Calibri"/>
          <w:sz w:val="24"/>
          <w:szCs w:val="24"/>
          <w:lang w:val="fr-FR"/>
        </w:rPr>
      </w:pPr>
      <w:r>
        <w:rPr>
          <w:rFonts w:cs="Calibri"/>
          <w:sz w:val="24"/>
          <w:szCs w:val="24"/>
          <w:lang w:val="fr-FR"/>
        </w:rPr>
        <w:tab/>
      </w:r>
      <w:r>
        <w:rPr>
          <w:rFonts w:cs="Calibri"/>
          <w:b/>
          <w:sz w:val="24"/>
          <w:szCs w:val="24"/>
          <w:lang w:val="fr-FR"/>
        </w:rPr>
        <w:t>Son climat</w:t>
      </w:r>
      <w:r>
        <w:rPr>
          <w:rFonts w:cs="Calibri"/>
          <w:sz w:val="24"/>
          <w:szCs w:val="24"/>
          <w:lang w:val="fr-FR"/>
        </w:rPr>
        <w:t xml:space="preserve"> est du type Equatorial avec alternance de saisons sèche et pluvieuse. La saison sèche va de janvier à mi-mars, tandis que la saison pluvieuse va de mi-mars à mi-juin pour la saison culturale A et de mi-juin à mi-août ainsi que de mi-août à mi-décembre pour la saison culturale B</w:t>
      </w:r>
      <w:r>
        <w:rPr>
          <w:rStyle w:val="Appelnotedebasdep"/>
          <w:rFonts w:cs="Calibri"/>
          <w:sz w:val="24"/>
          <w:szCs w:val="24"/>
          <w:lang w:val="fr-FR"/>
        </w:rPr>
        <w:footnoteReference w:id="50"/>
      </w:r>
      <w:r>
        <w:rPr>
          <w:rFonts w:cs="Calibri"/>
          <w:sz w:val="24"/>
          <w:szCs w:val="24"/>
          <w:lang w:val="fr-FR"/>
        </w:rPr>
        <w:t>. Ces terrains sont à la fois, des canaux versants pour l’eau de surface, des habitats pour un très grand nombre d’organismes, une source de nourriture et des corridors de migrations.</w:t>
      </w:r>
    </w:p>
    <w:p w:rsidR="0089405D" w:rsidRDefault="0089405D">
      <w:pPr>
        <w:spacing w:after="0" w:line="312" w:lineRule="auto"/>
        <w:jc w:val="both"/>
        <w:rPr>
          <w:rFonts w:cs="Calibri"/>
          <w:sz w:val="24"/>
          <w:szCs w:val="24"/>
          <w:lang w:val="fr-FR"/>
        </w:rPr>
      </w:pPr>
    </w:p>
    <w:p w:rsidR="0089405D" w:rsidRDefault="003468E2">
      <w:pPr>
        <w:spacing w:after="0" w:line="312" w:lineRule="auto"/>
        <w:jc w:val="center"/>
        <w:rPr>
          <w:rFonts w:cs="Calibri"/>
          <w:sz w:val="24"/>
          <w:szCs w:val="24"/>
          <w:lang w:val="fr-FR"/>
        </w:rPr>
      </w:pPr>
      <w:r>
        <w:rPr>
          <w:rFonts w:cs="Calibri"/>
          <w:b/>
          <w:noProof/>
          <w:sz w:val="24"/>
          <w:szCs w:val="24"/>
          <w:lang w:val="fr-FR" w:eastAsia="fr-FR"/>
        </w:rPr>
        <w:drawing>
          <wp:inline distT="0" distB="0" distL="0" distR="0">
            <wp:extent cx="4924425" cy="3295650"/>
            <wp:effectExtent l="19050" t="19050" r="28575" b="19050"/>
            <wp:docPr id="103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1024"/>
                    <pic:cNvPicPr/>
                  </pic:nvPicPr>
                  <pic:blipFill>
                    <a:blip r:embed="rId63" cstate="print"/>
                    <a:srcRect/>
                    <a:stretch/>
                  </pic:blipFill>
                  <pic:spPr>
                    <a:xfrm>
                      <a:off x="0" y="0"/>
                      <a:ext cx="4924425" cy="3295650"/>
                    </a:xfrm>
                    <a:prstGeom prst="rect">
                      <a:avLst/>
                    </a:prstGeom>
                    <a:ln w="3175" cap="flat" cmpd="sng">
                      <a:solidFill>
                        <a:srgbClr val="000000"/>
                      </a:solidFill>
                      <a:prstDash val="solid"/>
                      <a:round/>
                      <a:headEnd/>
                      <a:tailEnd/>
                    </a:ln>
                  </pic:spPr>
                </pic:pic>
              </a:graphicData>
            </a:graphic>
          </wp:inline>
        </w:drawing>
      </w:r>
    </w:p>
    <w:p w:rsidR="0089405D" w:rsidRDefault="003468E2">
      <w:pPr>
        <w:pStyle w:val="Titre1"/>
        <w:spacing w:before="0" w:line="312" w:lineRule="auto"/>
        <w:jc w:val="both"/>
        <w:rPr>
          <w:rFonts w:cs="Calibri"/>
          <w:b/>
          <w:i/>
          <w:color w:val="auto"/>
          <w:sz w:val="24"/>
          <w:szCs w:val="24"/>
          <w:lang w:val="fr-FR"/>
        </w:rPr>
      </w:pPr>
      <w:bookmarkStart w:id="431" w:name="_Toc80352045"/>
      <w:bookmarkStart w:id="432" w:name="_Toc111888861"/>
      <w:bookmarkStart w:id="433" w:name="_Toc125611993"/>
      <w:bookmarkStart w:id="434" w:name="_Toc127181745"/>
      <w:bookmarkStart w:id="435" w:name="_Toc127182139"/>
      <w:bookmarkStart w:id="436" w:name="_Toc127182862"/>
      <w:bookmarkStart w:id="437" w:name="_Toc127187044"/>
      <w:bookmarkStart w:id="438" w:name="_Toc127187219"/>
      <w:bookmarkStart w:id="439" w:name="_Toc127187496"/>
      <w:bookmarkStart w:id="440" w:name="_Toc127432253"/>
      <w:r>
        <w:rPr>
          <w:rFonts w:cs="Calibri"/>
          <w:b/>
          <w:i/>
          <w:color w:val="auto"/>
          <w:sz w:val="24"/>
          <w:szCs w:val="24"/>
          <w:lang w:val="fr-FR"/>
        </w:rPr>
        <w:t>Figure 4.3. Terrain frivole et accidenté du village Liambe (Photo M. Silencieuse, 2019)</w:t>
      </w:r>
      <w:bookmarkEnd w:id="431"/>
      <w:bookmarkEnd w:id="432"/>
      <w:bookmarkEnd w:id="433"/>
      <w:bookmarkEnd w:id="434"/>
      <w:bookmarkEnd w:id="435"/>
      <w:bookmarkEnd w:id="436"/>
      <w:bookmarkEnd w:id="437"/>
      <w:bookmarkEnd w:id="438"/>
      <w:bookmarkEnd w:id="439"/>
      <w:bookmarkEnd w:id="440"/>
    </w:p>
    <w:p w:rsidR="0089405D" w:rsidRDefault="0089405D">
      <w:pPr>
        <w:spacing w:after="0" w:line="312" w:lineRule="auto"/>
        <w:jc w:val="center"/>
        <w:rPr>
          <w:rFonts w:cs="Calibri"/>
          <w:b/>
          <w:i/>
          <w:sz w:val="24"/>
          <w:szCs w:val="24"/>
          <w:lang w:val="fr-FR"/>
        </w:rPr>
      </w:pPr>
    </w:p>
    <w:p w:rsidR="0089405D" w:rsidRDefault="003468E2">
      <w:pPr>
        <w:spacing w:after="0" w:line="312" w:lineRule="auto"/>
        <w:ind w:firstLine="708"/>
        <w:jc w:val="both"/>
        <w:rPr>
          <w:rFonts w:cs="Calibri"/>
          <w:sz w:val="24"/>
          <w:szCs w:val="24"/>
          <w:lang w:val="fr-FR"/>
        </w:rPr>
      </w:pPr>
      <w:r>
        <w:rPr>
          <w:rFonts w:cs="Calibri"/>
          <w:b/>
          <w:sz w:val="24"/>
          <w:szCs w:val="24"/>
          <w:lang w:val="fr-FR"/>
        </w:rPr>
        <w:t>Sa température</w:t>
      </w:r>
      <w:r>
        <w:rPr>
          <w:rFonts w:cs="Calibri"/>
          <w:sz w:val="24"/>
          <w:szCs w:val="24"/>
          <w:lang w:val="fr-FR"/>
        </w:rPr>
        <w:t xml:space="preserve"> moyenne ambiante est supérieure ou égale à 25°C. L’amplitude thermique est nulle, les précipitations sont abondantes et non uniformément reparties au cours de l’année. Les pluviométries maximales sont enregistrées au mois d’avril et d’octobre, l’humidité et la chaleur sont constantes.</w:t>
      </w:r>
    </w:p>
    <w:p w:rsidR="0089405D" w:rsidRDefault="003468E2">
      <w:pPr>
        <w:spacing w:after="0" w:line="312" w:lineRule="auto"/>
        <w:jc w:val="both"/>
        <w:rPr>
          <w:rFonts w:cs="Calibri"/>
          <w:sz w:val="24"/>
          <w:szCs w:val="24"/>
          <w:lang w:val="fr-FR"/>
        </w:rPr>
      </w:pPr>
      <w:r>
        <w:rPr>
          <w:rFonts w:cs="Calibri"/>
          <w:sz w:val="24"/>
          <w:szCs w:val="24"/>
          <w:lang w:val="fr-FR"/>
        </w:rPr>
        <w:tab/>
      </w:r>
      <w:r>
        <w:rPr>
          <w:rFonts w:cs="Calibri"/>
          <w:b/>
          <w:sz w:val="24"/>
          <w:szCs w:val="24"/>
          <w:lang w:val="fr-FR"/>
        </w:rPr>
        <w:t xml:space="preserve">Son relief </w:t>
      </w:r>
      <w:r>
        <w:rPr>
          <w:rFonts w:cs="Calibri"/>
          <w:sz w:val="24"/>
          <w:szCs w:val="24"/>
          <w:lang w:val="fr-FR"/>
        </w:rPr>
        <w:t xml:space="preserve">est dominé par des grandes étendues de terrains plans et avec plusieurs petites collines (Figures 4.4 et 4.5). Le sol étant favorable à l’agriculture, la mise en place des </w:t>
      </w:r>
      <w:r>
        <w:rPr>
          <w:rFonts w:cs="Calibri"/>
          <w:sz w:val="24"/>
          <w:szCs w:val="24"/>
          <w:lang w:val="fr-FR"/>
        </w:rPr>
        <w:lastRenderedPageBreak/>
        <w:t xml:space="preserve">grands champs des denrées alimentaires de base (manioc, banane plantin, maïs, riz, soja, haricot, etc.) peut être envisagée pour lutter contre la carence de denrées alimentaires à travers le pays.  </w:t>
      </w:r>
      <w:r>
        <w:rPr>
          <w:rFonts w:cs="Calibri"/>
          <w:bCs/>
          <w:sz w:val="24"/>
          <w:szCs w:val="24"/>
          <w:lang w:val="fr-FR"/>
        </w:rPr>
        <w:t>Son Sous-sol</w:t>
      </w:r>
      <w:r>
        <w:rPr>
          <w:rFonts w:cs="Calibri"/>
          <w:sz w:val="24"/>
          <w:szCs w:val="24"/>
          <w:lang w:val="fr-FR"/>
        </w:rPr>
        <w:t xml:space="preserve"> est riche en minerais (or, diamant, etc.)</w:t>
      </w:r>
    </w:p>
    <w:p w:rsidR="0089405D" w:rsidRDefault="0089405D">
      <w:pPr>
        <w:spacing w:after="0" w:line="312" w:lineRule="auto"/>
        <w:jc w:val="center"/>
        <w:rPr>
          <w:rFonts w:cs="Calibri"/>
          <w:sz w:val="24"/>
          <w:szCs w:val="24"/>
          <w:lang w:val="fr-FR"/>
        </w:rPr>
      </w:pPr>
    </w:p>
    <w:p w:rsidR="0089405D" w:rsidRDefault="003468E2">
      <w:pPr>
        <w:spacing w:after="0" w:line="312" w:lineRule="auto"/>
        <w:jc w:val="center"/>
        <w:rPr>
          <w:rFonts w:cs="Calibri"/>
          <w:sz w:val="24"/>
          <w:szCs w:val="24"/>
          <w:lang w:val="fr-FR"/>
        </w:rPr>
      </w:pPr>
      <w:r>
        <w:rPr>
          <w:rFonts w:cs="Calibri"/>
          <w:b/>
          <w:noProof/>
          <w:sz w:val="24"/>
          <w:szCs w:val="24"/>
          <w:lang w:val="fr-FR" w:eastAsia="fr-FR"/>
        </w:rPr>
        <w:drawing>
          <wp:inline distT="0" distB="0" distL="0" distR="0">
            <wp:extent cx="2447925" cy="3067050"/>
            <wp:effectExtent l="19050" t="19050" r="28575" b="19050"/>
            <wp:docPr id="103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1025"/>
                    <pic:cNvPicPr/>
                  </pic:nvPicPr>
                  <pic:blipFill>
                    <a:blip r:embed="rId64" cstate="print"/>
                    <a:srcRect/>
                    <a:stretch/>
                  </pic:blipFill>
                  <pic:spPr>
                    <a:xfrm>
                      <a:off x="0" y="0"/>
                      <a:ext cx="2447925" cy="3067050"/>
                    </a:xfrm>
                    <a:prstGeom prst="rect">
                      <a:avLst/>
                    </a:prstGeom>
                    <a:ln w="3175" cap="flat" cmpd="sng">
                      <a:solidFill>
                        <a:srgbClr val="000000"/>
                      </a:solidFill>
                      <a:prstDash val="solid"/>
                      <a:round/>
                      <a:headEnd/>
                      <a:tailEnd/>
                    </a:ln>
                  </pic:spPr>
                </pic:pic>
              </a:graphicData>
            </a:graphic>
          </wp:inline>
        </w:drawing>
      </w:r>
      <w:r>
        <w:rPr>
          <w:rFonts w:cs="Calibri"/>
          <w:b/>
          <w:noProof/>
          <w:sz w:val="24"/>
          <w:szCs w:val="24"/>
          <w:lang w:val="fr-FR" w:eastAsia="fr-FR"/>
        </w:rPr>
        <w:drawing>
          <wp:inline distT="0" distB="0" distL="0" distR="0">
            <wp:extent cx="2647950" cy="3067050"/>
            <wp:effectExtent l="19050" t="19050" r="19050" b="19050"/>
            <wp:docPr id="1036"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1027"/>
                    <pic:cNvPicPr/>
                  </pic:nvPicPr>
                  <pic:blipFill>
                    <a:blip r:embed="rId65" cstate="print"/>
                    <a:srcRect/>
                    <a:stretch/>
                  </pic:blipFill>
                  <pic:spPr>
                    <a:xfrm>
                      <a:off x="0" y="0"/>
                      <a:ext cx="2647950" cy="3067050"/>
                    </a:xfrm>
                    <a:prstGeom prst="rect">
                      <a:avLst/>
                    </a:prstGeom>
                    <a:ln w="6350" cap="flat" cmpd="sng">
                      <a:solidFill>
                        <a:srgbClr val="000000"/>
                      </a:solidFill>
                      <a:prstDash val="solid"/>
                      <a:round/>
                      <a:headEnd/>
                      <a:tailEnd/>
                    </a:ln>
                  </pic:spPr>
                </pic:pic>
              </a:graphicData>
            </a:graphic>
          </wp:inline>
        </w:drawing>
      </w:r>
    </w:p>
    <w:p w:rsidR="0089405D" w:rsidRDefault="003468E2">
      <w:pPr>
        <w:pStyle w:val="Titre1"/>
        <w:spacing w:before="0" w:line="312" w:lineRule="auto"/>
        <w:rPr>
          <w:rFonts w:cs="Calibri"/>
          <w:b/>
          <w:i/>
          <w:color w:val="auto"/>
          <w:sz w:val="24"/>
          <w:szCs w:val="24"/>
          <w:lang w:val="fr-FR"/>
        </w:rPr>
      </w:pPr>
      <w:bookmarkStart w:id="441" w:name="_Toc80352046"/>
      <w:bookmarkStart w:id="442" w:name="_Toc111888862"/>
      <w:bookmarkStart w:id="443" w:name="_Toc125611994"/>
      <w:bookmarkStart w:id="444" w:name="_Toc127181746"/>
      <w:bookmarkStart w:id="445" w:name="_Toc127182140"/>
      <w:bookmarkStart w:id="446" w:name="_Toc127182863"/>
      <w:bookmarkStart w:id="447" w:name="_Toc127187045"/>
      <w:bookmarkStart w:id="448" w:name="_Toc127187220"/>
      <w:bookmarkStart w:id="449" w:name="_Toc127187497"/>
      <w:bookmarkStart w:id="450" w:name="_Toc127432254"/>
      <w:r>
        <w:rPr>
          <w:rFonts w:cs="Calibri"/>
          <w:b/>
          <w:i/>
          <w:color w:val="auto"/>
          <w:sz w:val="24"/>
          <w:szCs w:val="24"/>
          <w:lang w:val="fr-FR"/>
        </w:rPr>
        <w:t>Figure 4.4. A Gauche, terrain superficiel du village Yakoyo, riverain sur rivière Aruwimi</w:t>
      </w:r>
      <w:bookmarkEnd w:id="441"/>
      <w:bookmarkEnd w:id="442"/>
      <w:bookmarkEnd w:id="443"/>
      <w:bookmarkEnd w:id="444"/>
      <w:bookmarkEnd w:id="445"/>
      <w:bookmarkEnd w:id="446"/>
      <w:bookmarkEnd w:id="447"/>
      <w:bookmarkEnd w:id="448"/>
      <w:bookmarkEnd w:id="449"/>
      <w:bookmarkEnd w:id="450"/>
    </w:p>
    <w:p w:rsidR="0089405D" w:rsidRDefault="003468E2">
      <w:pPr>
        <w:pStyle w:val="Titre1"/>
        <w:spacing w:before="0" w:line="312" w:lineRule="auto"/>
        <w:rPr>
          <w:rFonts w:cs="Calibri"/>
          <w:color w:val="auto"/>
          <w:sz w:val="24"/>
          <w:szCs w:val="24"/>
          <w:lang w:val="fr-FR"/>
        </w:rPr>
      </w:pPr>
      <w:bookmarkStart w:id="451" w:name="_Toc80352047"/>
      <w:bookmarkStart w:id="452" w:name="_Toc111888863"/>
      <w:bookmarkStart w:id="453" w:name="_Toc125611995"/>
      <w:bookmarkStart w:id="454" w:name="_Toc127181747"/>
      <w:bookmarkStart w:id="455" w:name="_Toc127182141"/>
      <w:bookmarkStart w:id="456" w:name="_Toc127182864"/>
      <w:bookmarkStart w:id="457" w:name="_Toc127187046"/>
      <w:bookmarkStart w:id="458" w:name="_Toc127187221"/>
      <w:bookmarkStart w:id="459" w:name="_Toc127187498"/>
      <w:bookmarkStart w:id="460" w:name="_Toc127432255"/>
      <w:r>
        <w:rPr>
          <w:rFonts w:cs="Calibri"/>
          <w:b/>
          <w:i/>
          <w:color w:val="auto"/>
          <w:sz w:val="24"/>
          <w:szCs w:val="24"/>
          <w:lang w:val="fr-FR"/>
        </w:rPr>
        <w:t>(Photo M. Silencieuse, 2019)</w:t>
      </w:r>
      <w:bookmarkEnd w:id="451"/>
      <w:bookmarkEnd w:id="452"/>
      <w:bookmarkEnd w:id="453"/>
      <w:bookmarkEnd w:id="454"/>
      <w:bookmarkEnd w:id="455"/>
      <w:bookmarkEnd w:id="456"/>
      <w:bookmarkEnd w:id="457"/>
      <w:bookmarkEnd w:id="458"/>
      <w:bookmarkEnd w:id="459"/>
      <w:bookmarkEnd w:id="460"/>
    </w:p>
    <w:p w:rsidR="0089405D" w:rsidRDefault="003468E2">
      <w:pPr>
        <w:pStyle w:val="Titre1"/>
        <w:spacing w:before="0" w:line="312" w:lineRule="auto"/>
        <w:rPr>
          <w:rFonts w:cs="Calibri"/>
          <w:b/>
          <w:i/>
          <w:color w:val="auto"/>
          <w:sz w:val="24"/>
          <w:szCs w:val="24"/>
          <w:lang w:val="fr-FR"/>
        </w:rPr>
      </w:pPr>
      <w:bookmarkStart w:id="461" w:name="_Toc80352048"/>
      <w:bookmarkStart w:id="462" w:name="_Toc111888864"/>
      <w:bookmarkStart w:id="463" w:name="_Toc125611996"/>
      <w:bookmarkStart w:id="464" w:name="_Toc127181748"/>
      <w:bookmarkStart w:id="465" w:name="_Toc127182142"/>
      <w:bookmarkStart w:id="466" w:name="_Toc127182865"/>
      <w:bookmarkStart w:id="467" w:name="_Toc127187047"/>
      <w:bookmarkStart w:id="468" w:name="_Toc127187222"/>
      <w:bookmarkStart w:id="469" w:name="_Toc127187499"/>
      <w:bookmarkStart w:id="470" w:name="_Toc127432256"/>
      <w:r>
        <w:rPr>
          <w:rFonts w:cs="Calibri"/>
          <w:b/>
          <w:i/>
          <w:color w:val="auto"/>
          <w:sz w:val="24"/>
          <w:szCs w:val="24"/>
          <w:lang w:val="fr-FR"/>
        </w:rPr>
        <w:t>Figure 4.5.  A Droite, terrain superficiel du village Baonde, riverain sur rivière Aruwimi</w:t>
      </w:r>
      <w:bookmarkEnd w:id="461"/>
      <w:bookmarkEnd w:id="462"/>
      <w:bookmarkEnd w:id="463"/>
      <w:bookmarkEnd w:id="464"/>
      <w:bookmarkEnd w:id="465"/>
      <w:bookmarkEnd w:id="466"/>
      <w:bookmarkEnd w:id="467"/>
      <w:bookmarkEnd w:id="468"/>
      <w:bookmarkEnd w:id="469"/>
      <w:bookmarkEnd w:id="470"/>
    </w:p>
    <w:p w:rsidR="0089405D" w:rsidRDefault="003468E2">
      <w:pPr>
        <w:pStyle w:val="Titre1"/>
        <w:spacing w:before="0" w:line="312" w:lineRule="auto"/>
        <w:rPr>
          <w:rFonts w:cs="Calibri"/>
          <w:color w:val="auto"/>
          <w:sz w:val="24"/>
          <w:szCs w:val="24"/>
          <w:lang w:val="fr-FR"/>
        </w:rPr>
      </w:pPr>
      <w:bookmarkStart w:id="471" w:name="_Toc80352049"/>
      <w:bookmarkStart w:id="472" w:name="_Toc111888865"/>
      <w:bookmarkStart w:id="473" w:name="_Toc125611997"/>
      <w:bookmarkStart w:id="474" w:name="_Toc127181749"/>
      <w:bookmarkStart w:id="475" w:name="_Toc127182143"/>
      <w:bookmarkStart w:id="476" w:name="_Toc127182866"/>
      <w:bookmarkStart w:id="477" w:name="_Toc127187048"/>
      <w:bookmarkStart w:id="478" w:name="_Toc127187223"/>
      <w:bookmarkStart w:id="479" w:name="_Toc127187500"/>
      <w:bookmarkStart w:id="480" w:name="_Toc127432257"/>
      <w:r>
        <w:rPr>
          <w:rFonts w:cs="Calibri"/>
          <w:b/>
          <w:i/>
          <w:color w:val="auto"/>
          <w:sz w:val="24"/>
          <w:szCs w:val="24"/>
          <w:lang w:val="fr-FR"/>
        </w:rPr>
        <w:t>(Photo M. Silencieuse, 2019)</w:t>
      </w:r>
      <w:bookmarkEnd w:id="471"/>
      <w:bookmarkEnd w:id="472"/>
      <w:bookmarkEnd w:id="473"/>
      <w:bookmarkEnd w:id="474"/>
      <w:bookmarkEnd w:id="475"/>
      <w:bookmarkEnd w:id="476"/>
      <w:bookmarkEnd w:id="477"/>
      <w:bookmarkEnd w:id="478"/>
      <w:bookmarkEnd w:id="479"/>
      <w:bookmarkEnd w:id="480"/>
    </w:p>
    <w:p w:rsidR="0089405D" w:rsidRDefault="0089405D">
      <w:pPr>
        <w:pStyle w:val="Titre1"/>
        <w:spacing w:before="0" w:line="312" w:lineRule="auto"/>
        <w:rPr>
          <w:rFonts w:cs="Calibri"/>
          <w:b/>
          <w:color w:val="auto"/>
          <w:sz w:val="24"/>
          <w:szCs w:val="24"/>
          <w:lang w:val="fr-FR"/>
        </w:rPr>
      </w:pPr>
      <w:bookmarkStart w:id="481" w:name="_Toc59458327"/>
    </w:p>
    <w:p w:rsidR="0089405D" w:rsidRDefault="003468E2">
      <w:pPr>
        <w:pStyle w:val="Titre1"/>
        <w:spacing w:before="0" w:line="312" w:lineRule="auto"/>
        <w:rPr>
          <w:rFonts w:cs="Calibri"/>
          <w:b/>
          <w:color w:val="auto"/>
          <w:sz w:val="24"/>
          <w:szCs w:val="24"/>
          <w:lang w:val="fr-FR"/>
        </w:rPr>
      </w:pPr>
      <w:bookmarkStart w:id="482" w:name="_Toc79392982"/>
      <w:bookmarkStart w:id="483" w:name="_Toc111888643"/>
      <w:bookmarkStart w:id="484" w:name="_Toc127187224"/>
      <w:bookmarkStart w:id="485" w:name="_Toc127187501"/>
      <w:bookmarkStart w:id="486" w:name="_Toc127432258"/>
      <w:r>
        <w:rPr>
          <w:rFonts w:cs="Calibri"/>
          <w:b/>
          <w:color w:val="auto"/>
          <w:sz w:val="24"/>
          <w:szCs w:val="24"/>
          <w:lang w:val="fr-FR"/>
        </w:rPr>
        <w:t>4.4.2. VEGETATION ET FAUNE</w:t>
      </w:r>
      <w:bookmarkEnd w:id="481"/>
      <w:bookmarkEnd w:id="482"/>
      <w:bookmarkEnd w:id="483"/>
      <w:bookmarkEnd w:id="484"/>
      <w:bookmarkEnd w:id="485"/>
      <w:bookmarkEnd w:id="486"/>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La végétation du territoire de Basoko est dominée par la forêt équatoriale sempervirente, qui est primaire ou secondaire, où dominent des essences exploitables telles qu’</w:t>
      </w:r>
      <w:r>
        <w:rPr>
          <w:rFonts w:cs="Calibri"/>
          <w:i/>
          <w:sz w:val="24"/>
          <w:szCs w:val="24"/>
          <w:lang w:val="fr-FR"/>
        </w:rPr>
        <w:t>Afromosia</w:t>
      </w:r>
      <w:r>
        <w:rPr>
          <w:rFonts w:cs="Calibri"/>
          <w:sz w:val="24"/>
          <w:szCs w:val="24"/>
          <w:lang w:val="fr-FR"/>
        </w:rPr>
        <w:t xml:space="preserve">, </w:t>
      </w:r>
      <w:r>
        <w:rPr>
          <w:rFonts w:cs="Calibri"/>
          <w:i/>
          <w:sz w:val="24"/>
          <w:szCs w:val="24"/>
          <w:lang w:val="fr-FR"/>
        </w:rPr>
        <w:t>Gilbertiodendron dewevrei</w:t>
      </w:r>
      <w:r>
        <w:rPr>
          <w:rFonts w:cs="Calibri"/>
          <w:sz w:val="24"/>
          <w:szCs w:val="24"/>
          <w:lang w:val="fr-FR"/>
        </w:rPr>
        <w:t xml:space="preserve">, </w:t>
      </w:r>
      <w:r>
        <w:rPr>
          <w:rFonts w:cs="Calibri"/>
          <w:i/>
          <w:sz w:val="24"/>
          <w:szCs w:val="24"/>
          <w:lang w:val="fr-FR"/>
        </w:rPr>
        <w:t>Pericopsis elata</w:t>
      </w:r>
      <w:r>
        <w:rPr>
          <w:rFonts w:cs="Calibri"/>
          <w:sz w:val="24"/>
          <w:szCs w:val="24"/>
          <w:lang w:val="fr-FR"/>
        </w:rPr>
        <w:t xml:space="preserve">, </w:t>
      </w:r>
      <w:r>
        <w:rPr>
          <w:rFonts w:cs="Calibri"/>
          <w:i/>
          <w:sz w:val="24"/>
          <w:szCs w:val="24"/>
          <w:lang w:val="fr-FR"/>
        </w:rPr>
        <w:t>Milicia excelsa</w:t>
      </w:r>
      <w:r>
        <w:rPr>
          <w:rFonts w:cs="Calibri"/>
          <w:sz w:val="24"/>
          <w:szCs w:val="24"/>
          <w:lang w:val="fr-FR"/>
        </w:rPr>
        <w:t xml:space="preserve">, </w:t>
      </w:r>
      <w:r>
        <w:rPr>
          <w:rFonts w:cs="Calibri"/>
          <w:i/>
          <w:sz w:val="24"/>
          <w:szCs w:val="24"/>
          <w:lang w:val="fr-FR"/>
        </w:rPr>
        <w:t>Uapaca guinensis</w:t>
      </w:r>
      <w:r>
        <w:rPr>
          <w:rFonts w:cs="Calibri"/>
          <w:sz w:val="24"/>
          <w:szCs w:val="24"/>
          <w:lang w:val="fr-FR"/>
        </w:rPr>
        <w:t xml:space="preserve">, </w:t>
      </w:r>
      <w:r>
        <w:rPr>
          <w:rFonts w:cs="Calibri"/>
          <w:i/>
          <w:sz w:val="24"/>
          <w:szCs w:val="24"/>
          <w:lang w:val="fr-FR"/>
        </w:rPr>
        <w:t>Prioria balsamifera</w:t>
      </w:r>
      <w:r>
        <w:rPr>
          <w:rFonts w:cs="Calibri"/>
          <w:sz w:val="24"/>
          <w:szCs w:val="24"/>
          <w:lang w:val="fr-FR"/>
        </w:rPr>
        <w:t xml:space="preserve">, </w:t>
      </w:r>
      <w:r>
        <w:rPr>
          <w:rFonts w:cs="Calibri"/>
          <w:i/>
          <w:sz w:val="24"/>
          <w:szCs w:val="24"/>
          <w:lang w:val="fr-FR"/>
        </w:rPr>
        <w:t>Entandophragma</w:t>
      </w:r>
      <w:r>
        <w:rPr>
          <w:rFonts w:cs="Calibri"/>
          <w:sz w:val="24"/>
          <w:szCs w:val="24"/>
          <w:lang w:val="fr-FR"/>
        </w:rPr>
        <w:t xml:space="preserve"> ssp, etc</w:t>
      </w:r>
      <w:r>
        <w:rPr>
          <w:lang w:val="fr-FR"/>
        </w:rPr>
        <w:t xml:space="preserve"> (</w:t>
      </w:r>
      <w:r>
        <w:rPr>
          <w:rFonts w:cs="Calibri"/>
          <w:sz w:val="24"/>
          <w:szCs w:val="24"/>
          <w:lang w:val="fr-FR"/>
        </w:rPr>
        <w:t>Mangambu M. et al., 2021). Signalons également qu’à la suite des activités anthropiques sur les ressources forestières, il y a des étendues de jachères et de savanes aux périphéries des sites habités après une mise en place répétée des champs paysans</w:t>
      </w:r>
      <w:r>
        <w:rPr>
          <w:rStyle w:val="Appelnotedebasdep"/>
          <w:rFonts w:cs="Calibri"/>
          <w:sz w:val="24"/>
          <w:szCs w:val="24"/>
          <w:lang w:val="fr-FR"/>
        </w:rPr>
        <w:footnoteReference w:id="51"/>
      </w:r>
      <w:r>
        <w:rPr>
          <w:rFonts w:cs="Calibri"/>
          <w:sz w:val="24"/>
          <w:szCs w:val="24"/>
          <w:lang w:val="fr-FR"/>
        </w:rPr>
        <w:t xml:space="preserve">. </w:t>
      </w:r>
    </w:p>
    <w:p w:rsidR="0089405D" w:rsidRDefault="003468E2">
      <w:pPr>
        <w:spacing w:after="0" w:line="312" w:lineRule="auto"/>
        <w:ind w:firstLine="708"/>
        <w:jc w:val="both"/>
        <w:rPr>
          <w:rFonts w:cs="Calibri"/>
          <w:sz w:val="24"/>
          <w:szCs w:val="24"/>
          <w:lang w:val="fr-FR"/>
        </w:rPr>
      </w:pPr>
      <w:r>
        <w:rPr>
          <w:rFonts w:cs="Calibri"/>
          <w:sz w:val="24"/>
          <w:szCs w:val="24"/>
          <w:lang w:val="fr-FR"/>
        </w:rPr>
        <w:lastRenderedPageBreak/>
        <w:t>La grande forêt équatoriale sempervirente dans le territoire de Basoko est riche en faune et en flore susceptibles d’accueillir une éventuelle création d’aires protégées. Les espèces phares de la faune de Basoko sont : Les Hippopotames, les  Crocodiles, les Eléphants, les Singes (Chimpanzé commun, Colobes, Babouin…), Serpents (Vipères, Pitons, Mambas…), les diversités des oiseaux et poissons d’eaux douces</w:t>
      </w:r>
      <w:bookmarkStart w:id="487" w:name="_Toc59458328"/>
      <w:r>
        <w:rPr>
          <w:rFonts w:cs="Calibri"/>
          <w:sz w:val="24"/>
          <w:szCs w:val="24"/>
          <w:lang w:val="fr-FR"/>
        </w:rPr>
        <w:t>, par exemple Clarias sp (Ngolo), Auchenoglanis sp. (Foka), Hydrocynus sp. (Mbenga), Distichodus sp. (Mboto), Heterobranchus sp. (Kamba).</w:t>
      </w:r>
    </w:p>
    <w:p w:rsidR="0089405D" w:rsidRDefault="0089405D">
      <w:pPr>
        <w:spacing w:after="0" w:line="312" w:lineRule="auto"/>
        <w:ind w:firstLine="708"/>
        <w:jc w:val="both"/>
        <w:rPr>
          <w:rFonts w:cs="Calibri"/>
          <w:b/>
          <w:sz w:val="24"/>
          <w:szCs w:val="24"/>
          <w:lang w:val="fr-FR"/>
        </w:rPr>
      </w:pPr>
    </w:p>
    <w:p w:rsidR="0089405D" w:rsidRDefault="003468E2">
      <w:pPr>
        <w:pStyle w:val="Titre1"/>
        <w:spacing w:before="0" w:line="312" w:lineRule="auto"/>
        <w:rPr>
          <w:rFonts w:cs="Calibri"/>
          <w:b/>
          <w:color w:val="auto"/>
          <w:sz w:val="24"/>
          <w:szCs w:val="24"/>
          <w:lang w:val="fr-FR"/>
        </w:rPr>
      </w:pPr>
      <w:bookmarkStart w:id="488" w:name="_Toc79392983"/>
      <w:bookmarkStart w:id="489" w:name="_Toc111888644"/>
      <w:bookmarkStart w:id="490" w:name="_Toc127187225"/>
      <w:bookmarkStart w:id="491" w:name="_Toc127187502"/>
      <w:bookmarkStart w:id="492" w:name="_Toc127432259"/>
      <w:r>
        <w:rPr>
          <w:rFonts w:cs="Calibri"/>
          <w:b/>
          <w:color w:val="auto"/>
          <w:sz w:val="24"/>
          <w:szCs w:val="24"/>
          <w:lang w:val="fr-FR"/>
        </w:rPr>
        <w:t>4.4.3.</w:t>
      </w:r>
      <w:bookmarkEnd w:id="487"/>
      <w:r>
        <w:rPr>
          <w:rFonts w:cs="Calibri"/>
          <w:b/>
          <w:color w:val="auto"/>
          <w:sz w:val="24"/>
          <w:szCs w:val="24"/>
          <w:lang w:val="fr-FR"/>
        </w:rPr>
        <w:t xml:space="preserve"> HYDROGRAPHIE</w:t>
      </w:r>
      <w:bookmarkEnd w:id="488"/>
      <w:bookmarkEnd w:id="489"/>
      <w:bookmarkEnd w:id="490"/>
      <w:bookmarkEnd w:id="491"/>
      <w:bookmarkEnd w:id="492"/>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fleuve Congo transverse le territoire (de l’Est à l’Ouest) et divise ainsi le territoire en deux blocs : le bloc Nord qui constitue plus de 95% de l’étendue du territoire et le bloc Sud qui représente moins de 5% de l’étendue du territoire. Les rivières Aruwimi et Itimbiri, les plus grandes, coulent du nord au sud du territoire. L’Aruwimi se jette dans le fleuve Congo à la hauteur de Basoko sur la rive droite du fleuve et l’Itimbiri s’y jette à la hauteur de Moenge (environ 100 km à l’ouest de Basoko) sur la rive droite du fleuve Congo à plus ou moins 10 km de la limite Ouest du territoire où ruissellent de nombre ruisseaux importants tels que : Moliwa, Mokeke, Lulu, Mbulu, Moolinga… (Figures 4.1 &amp; 4.6., </w:t>
      </w:r>
      <w:r>
        <w:rPr>
          <w:rFonts w:eastAsia="Calibri" w:cs="Calibri"/>
          <w:sz w:val="24"/>
          <w:szCs w:val="24"/>
          <w:lang w:val="fr-FR" w:eastAsia="en-US"/>
        </w:rPr>
        <w:t>Mangambu M</w:t>
      </w:r>
      <w:r>
        <w:rPr>
          <w:lang w:val="fr-FR"/>
        </w:rPr>
        <w:t xml:space="preserve">. et al., </w:t>
      </w:r>
      <w:r>
        <w:rPr>
          <w:rFonts w:eastAsia="Calibri" w:cs="Calibri"/>
          <w:sz w:val="24"/>
          <w:szCs w:val="24"/>
          <w:lang w:val="fr-FR" w:eastAsia="en-US"/>
        </w:rPr>
        <w:t>2021).</w:t>
      </w:r>
      <w:r>
        <w:rPr>
          <w:rFonts w:cs="Calibri"/>
          <w:sz w:val="24"/>
          <w:szCs w:val="24"/>
          <w:lang w:val="fr-FR"/>
        </w:rPr>
        <w:t xml:space="preserve"> Signalons en outre que pendant les périodes des grandes pluviométries, certaines contrées du Territoire sont périodiquement inondables. Les affluents Lulu et Bunga se trouvant dans le bloc Nord sont les plus importants et déversent leurs eaux dans la rivière Aruwimi (Figure 4.1).</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rPr>
          <w:rFonts w:cs="Calibri"/>
          <w:color w:val="auto"/>
          <w:sz w:val="24"/>
          <w:szCs w:val="24"/>
          <w:lang w:val="fr-FR"/>
        </w:rPr>
      </w:pPr>
      <w:bookmarkStart w:id="493" w:name="_Toc59458329"/>
      <w:bookmarkStart w:id="494" w:name="_Toc79392984"/>
      <w:bookmarkStart w:id="495" w:name="_Toc111888645"/>
      <w:bookmarkStart w:id="496" w:name="_Toc127187226"/>
      <w:bookmarkStart w:id="497" w:name="_Toc127187503"/>
      <w:bookmarkStart w:id="498" w:name="_Toc127432260"/>
      <w:r>
        <w:rPr>
          <w:rFonts w:cs="Calibri"/>
          <w:b/>
          <w:color w:val="auto"/>
          <w:sz w:val="24"/>
          <w:szCs w:val="24"/>
          <w:lang w:val="fr-FR"/>
        </w:rPr>
        <w:t>3.4.4. AUTRES PARTICULARITES ET</w:t>
      </w:r>
      <w:bookmarkEnd w:id="493"/>
      <w:r>
        <w:rPr>
          <w:rFonts w:cs="Calibri"/>
          <w:b/>
          <w:color w:val="auto"/>
          <w:sz w:val="24"/>
          <w:szCs w:val="24"/>
          <w:lang w:val="fr-FR"/>
        </w:rPr>
        <w:t xml:space="preserve"> RICHESSES DU TERRITOIRE</w:t>
      </w:r>
      <w:bookmarkEnd w:id="494"/>
      <w:bookmarkEnd w:id="495"/>
      <w:bookmarkEnd w:id="496"/>
      <w:bookmarkEnd w:id="497"/>
      <w:bookmarkEnd w:id="498"/>
    </w:p>
    <w:p w:rsidR="0089405D" w:rsidRDefault="0089405D">
      <w:pPr>
        <w:spacing w:after="0" w:line="312" w:lineRule="auto"/>
        <w:jc w:val="both"/>
        <w:rPr>
          <w:rFonts w:cs="Calibri"/>
          <w:b/>
          <w:bCs/>
          <w:sz w:val="24"/>
          <w:szCs w:val="24"/>
          <w:lang w:val="fr-FR"/>
        </w:rPr>
      </w:pPr>
    </w:p>
    <w:p w:rsidR="0089405D" w:rsidRDefault="003468E2">
      <w:pPr>
        <w:spacing w:after="0" w:line="312" w:lineRule="auto"/>
        <w:jc w:val="both"/>
        <w:rPr>
          <w:rFonts w:cs="Calibri"/>
          <w:b/>
          <w:bCs/>
          <w:sz w:val="24"/>
          <w:szCs w:val="24"/>
          <w:lang w:val="fr-FR"/>
        </w:rPr>
      </w:pPr>
      <w:r>
        <w:rPr>
          <w:rFonts w:cs="Calibri"/>
          <w:b/>
          <w:bCs/>
          <w:sz w:val="24"/>
          <w:szCs w:val="24"/>
          <w:lang w:val="fr-FR"/>
        </w:rPr>
        <w:t>3.4.4.1. Particularités du territoire</w:t>
      </w:r>
    </w:p>
    <w:p w:rsidR="0089405D" w:rsidRDefault="003468E2">
      <w:pPr>
        <w:spacing w:after="0" w:line="312" w:lineRule="auto"/>
        <w:ind w:firstLine="708"/>
        <w:jc w:val="both"/>
        <w:rPr>
          <w:rFonts w:cs="Calibri"/>
          <w:sz w:val="24"/>
          <w:szCs w:val="24"/>
          <w:lang w:val="fr-FR"/>
        </w:rPr>
      </w:pPr>
      <w:r>
        <w:rPr>
          <w:rFonts w:cs="Calibri"/>
          <w:sz w:val="24"/>
          <w:szCs w:val="24"/>
          <w:lang w:val="fr-FR"/>
        </w:rPr>
        <w:t>Avec son grand réseau hydrique qui est également poissonneux, le territoire de Basoko est caractérisé par sa grande production piscicole (gros et petits poissons) quasi régulière au courant de l’année. Le territoire abrite les peuples agriculteurs, pêcheurs et chasseurs. Une poignée de peuple qui partage une même identité anthropologique, culturelle et linguistique avec les pêcheurs « Sohoo » se retrouvent dans les territoires d’Isangi et de Yahuma, des suites du découpage administratif fait par les Belges vers la fin des années 1940 (Assimbo., B. et al., 20021).</w:t>
      </w:r>
    </w:p>
    <w:p w:rsidR="0089405D" w:rsidRDefault="0089405D">
      <w:pPr>
        <w:spacing w:after="0" w:line="312" w:lineRule="auto"/>
        <w:jc w:val="both"/>
        <w:rPr>
          <w:rFonts w:cs="Calibri"/>
          <w:sz w:val="24"/>
          <w:szCs w:val="24"/>
          <w:lang w:val="fr-FR"/>
        </w:rPr>
      </w:pPr>
    </w:p>
    <w:p w:rsidR="0089405D" w:rsidRDefault="003468E2">
      <w:pPr>
        <w:spacing w:after="0" w:line="312" w:lineRule="auto"/>
        <w:rPr>
          <w:rFonts w:cs="Calibri"/>
          <w:b/>
          <w:bCs/>
          <w:sz w:val="24"/>
          <w:szCs w:val="24"/>
          <w:lang w:val="fr-FR"/>
        </w:rPr>
      </w:pPr>
      <w:r>
        <w:rPr>
          <w:rFonts w:cs="Calibri"/>
          <w:b/>
          <w:bCs/>
          <w:sz w:val="24"/>
          <w:szCs w:val="24"/>
          <w:lang w:val="fr-FR"/>
        </w:rPr>
        <w:t>3.4.4.2. Richesses du territoire</w:t>
      </w:r>
    </w:p>
    <w:p w:rsidR="0089405D" w:rsidRDefault="003468E2">
      <w:pPr>
        <w:spacing w:after="0" w:line="312" w:lineRule="auto"/>
        <w:ind w:firstLine="708"/>
        <w:jc w:val="both"/>
        <w:rPr>
          <w:rFonts w:cs="Calibri"/>
          <w:sz w:val="24"/>
          <w:szCs w:val="24"/>
          <w:lang w:val="fr-FR"/>
        </w:rPr>
      </w:pPr>
      <w:r>
        <w:rPr>
          <w:rFonts w:cs="Calibri"/>
          <w:sz w:val="24"/>
          <w:szCs w:val="24"/>
          <w:lang w:val="fr-FR"/>
        </w:rPr>
        <w:lastRenderedPageBreak/>
        <w:t>La ressource spécifique et principale du milieu c’est le poisson. Il est vendu et consommé frais, fumé ou séché au soleil. Les pêcheurs s’intéressent peu à peu à la production de poissons salés. Les opérations de pêche et de transformation de poissons du peuple rivérain « soko ou sohoo » sont la source principale d’approvisionnement de la ville de Kisangani en poissons fumés</w:t>
      </w:r>
      <w:r>
        <w:rPr>
          <w:sz w:val="24"/>
          <w:szCs w:val="24"/>
          <w:lang w:val="fr-FR"/>
        </w:rPr>
        <w:t xml:space="preserve"> (Afundi, N. </w:t>
      </w:r>
      <w:r>
        <w:rPr>
          <w:rFonts w:cs="Calibri"/>
          <w:sz w:val="24"/>
          <w:szCs w:val="24"/>
          <w:lang w:val="fr-FR"/>
        </w:rPr>
        <w:t>et al., 2022).</w:t>
      </w:r>
    </w:p>
    <w:p w:rsidR="0089405D" w:rsidRDefault="003468E2">
      <w:pPr>
        <w:spacing w:after="0" w:line="312" w:lineRule="auto"/>
        <w:ind w:firstLine="708"/>
        <w:jc w:val="both"/>
        <w:rPr>
          <w:rFonts w:cs="Calibri"/>
          <w:sz w:val="24"/>
          <w:szCs w:val="24"/>
          <w:lang w:val="fr-FR"/>
        </w:rPr>
      </w:pPr>
      <w:r>
        <w:rPr>
          <w:rFonts w:cs="Calibri"/>
          <w:sz w:val="24"/>
          <w:szCs w:val="24"/>
          <w:lang w:val="fr-FR"/>
        </w:rPr>
        <w:t>La grande diversité floristique (avec essences de valeur économique : palmier à huile) et faunique (crocodile, hippopotame, tortue, serpent, singe, chenille, escargot, etc.) est une autre source pourvoyeuse d’aliments pour les populations rurales. L’exploitation forestière dans le territoire de Basoko date de plusieurs années déjà, avec la scierie de Bokondo, l’exploitation forestière de Lileko et de Bolila. Cette exploitation n’a pas été bénéfique pour la population locale, et n’a vraiment pas laissé des traces dans les efforts du développement de la contrée. On signale également les tourbières(Libende) de grande envergure, comme source principale de carbone et de matières organiques se trouvent à Basoko</w:t>
      </w:r>
      <w:r>
        <w:rPr>
          <w:lang w:val="fr-FR"/>
        </w:rPr>
        <w:t xml:space="preserve"> (</w:t>
      </w:r>
      <w:r>
        <w:rPr>
          <w:sz w:val="24"/>
          <w:szCs w:val="24"/>
          <w:lang w:val="fr-FR"/>
        </w:rPr>
        <w:t>Asimbo, B</w:t>
      </w:r>
      <w:r>
        <w:rPr>
          <w:rFonts w:cs="Calibri"/>
          <w:sz w:val="24"/>
          <w:szCs w:val="24"/>
          <w:lang w:val="fr-FR"/>
        </w:rPr>
        <w:t>. et al., 2021).</w:t>
      </w:r>
    </w:p>
    <w:p w:rsidR="0089405D" w:rsidRDefault="0089405D">
      <w:pPr>
        <w:spacing w:after="0" w:line="312" w:lineRule="auto"/>
        <w:jc w:val="both"/>
        <w:rPr>
          <w:rFonts w:cs="Calibri"/>
          <w:sz w:val="24"/>
          <w:szCs w:val="24"/>
          <w:lang w:val="fr-FR"/>
        </w:rPr>
      </w:pPr>
    </w:p>
    <w:p w:rsidR="0089405D" w:rsidRDefault="003468E2">
      <w:pPr>
        <w:spacing w:after="0" w:line="312" w:lineRule="auto"/>
        <w:rPr>
          <w:rFonts w:cs="Calibri"/>
          <w:sz w:val="24"/>
          <w:szCs w:val="24"/>
          <w:lang w:val="fr-FR"/>
        </w:rPr>
      </w:pPr>
      <w:r>
        <w:rPr>
          <w:rFonts w:cs="Calibri"/>
          <w:b/>
          <w:sz w:val="24"/>
          <w:szCs w:val="24"/>
          <w:lang w:val="fr-FR"/>
        </w:rPr>
        <w:t>3.4.4.3. Données culturelles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Territoire de Basoko comprend majoritairement les tribus ci-après : Mbango, Ngelema, Likile et Soo. Les Mbango occupent le secteur Mobango-Itimbiri, chefferie de Yaliwasa et chefferie de Yamandundu. Ils préfèrent consommer leur repas avec la pâte râpée de manioc appelé « masele ou malemba ». Les Soo sont des riverains. Ils occupent les secteurs Bomenge, Lokutu et une partie de Turumbu, de Yaliwasa (Boulo, Bolila, Yasaka et Bafaluma), de Mobango-Itimbiri (Bolama, Mombongo-Elumba, Yaolema et Moenge) et de Mongandjo. </w:t>
      </w:r>
    </w:p>
    <w:p w:rsidR="0089405D" w:rsidRDefault="003468E2">
      <w:pPr>
        <w:spacing w:after="0" w:line="312" w:lineRule="auto"/>
        <w:ind w:firstLine="708"/>
        <w:jc w:val="both"/>
        <w:rPr>
          <w:rFonts w:cs="Calibri"/>
          <w:sz w:val="24"/>
          <w:szCs w:val="24"/>
          <w:lang w:val="fr-FR"/>
        </w:rPr>
      </w:pPr>
      <w:r>
        <w:rPr>
          <w:rFonts w:cs="Calibri"/>
          <w:sz w:val="24"/>
          <w:szCs w:val="24"/>
          <w:lang w:val="fr-FR"/>
        </w:rPr>
        <w:t>Ils aiment manger leur poisson avec la chikwangue. Les Ngelema, dont une partie est composée des riverains, occupent les secteurs de Mongandjo, une partie de Turumbu ainsi que la chefferie de Wahanga (Mandango, M. &amp; Banbole M., 1988). Ces derniers s’occupent de la chasse, de piègeant des animaux sauvages dont ils préfèrent manger leur viande avec le manioc pilé qu’ils appelent « </w:t>
      </w:r>
      <w:r>
        <w:rPr>
          <w:rFonts w:cs="Calibri"/>
          <w:i/>
          <w:sz w:val="24"/>
          <w:szCs w:val="24"/>
          <w:lang w:val="fr-FR"/>
        </w:rPr>
        <w:t>Abede, Leminga ou Lituma</w:t>
      </w:r>
      <w:r>
        <w:rPr>
          <w:rFonts w:cs="Calibri"/>
          <w:sz w:val="24"/>
          <w:szCs w:val="24"/>
          <w:lang w:val="fr-FR"/>
        </w:rPr>
        <w:t> ». Les Likile habitent le secteur Turumbu. Ils ont comme activités principales  la pêche, l’agriculture et l’extraction artisanale de l’huile de palme. Ils préfèrent aussi manger leur nourriture avec la Chikwange.</w:t>
      </w:r>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rPr>
          <w:rFonts w:cs="Calibri"/>
          <w:sz w:val="24"/>
          <w:szCs w:val="24"/>
          <w:lang w:val="fr-FR"/>
        </w:rPr>
      </w:pPr>
      <w:r>
        <w:rPr>
          <w:rFonts w:cs="Calibri"/>
          <w:b/>
          <w:sz w:val="24"/>
          <w:szCs w:val="24"/>
          <w:lang w:val="fr-FR"/>
        </w:rPr>
        <w:t>3.4.4.4. Principales activités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Selon </w:t>
      </w:r>
      <w:r>
        <w:rPr>
          <w:lang w:val="fr-FR"/>
        </w:rPr>
        <w:t>A</w:t>
      </w:r>
      <w:r>
        <w:rPr>
          <w:sz w:val="24"/>
          <w:szCs w:val="24"/>
          <w:lang w:val="fr-FR"/>
        </w:rPr>
        <w:t>simbo, B</w:t>
      </w:r>
      <w:r>
        <w:rPr>
          <w:rFonts w:cs="Calibri"/>
          <w:sz w:val="24"/>
          <w:szCs w:val="24"/>
          <w:lang w:val="fr-FR"/>
        </w:rPr>
        <w:t xml:space="preserve">. et al., (2021), l’agriculture et la pêche sont les activités les plus pratiquées dans le territoire de Basoko, à cause non seulement des habitudes culturelles des </w:t>
      </w:r>
      <w:r>
        <w:rPr>
          <w:rFonts w:cs="Calibri"/>
          <w:sz w:val="24"/>
          <w:szCs w:val="24"/>
          <w:lang w:val="fr-FR"/>
        </w:rPr>
        <w:lastRenderedPageBreak/>
        <w:t xml:space="preserve">tribus, mais également de la taille et de la qualité (productivité) de ses ressources naturelles (sol, forêt et eau). </w:t>
      </w:r>
    </w:p>
    <w:p w:rsidR="0089405D" w:rsidRDefault="003468E2">
      <w:pPr>
        <w:spacing w:after="0" w:line="312" w:lineRule="auto"/>
        <w:ind w:firstLine="708"/>
        <w:jc w:val="both"/>
        <w:rPr>
          <w:rFonts w:cs="Calibri"/>
          <w:sz w:val="24"/>
          <w:szCs w:val="24"/>
          <w:lang w:val="fr-FR"/>
        </w:rPr>
      </w:pPr>
      <w:r>
        <w:rPr>
          <w:rFonts w:cs="Calibri"/>
          <w:sz w:val="24"/>
          <w:szCs w:val="24"/>
          <w:lang w:val="fr-FR"/>
        </w:rPr>
        <w:t>Vu que les différents types d’exploitations (Forestière et minière) rendent difficiles leurs activités principales, les populations se lance actuellement à des petits commerces pour chercher comment subvenir aux besoins de leurs familles : vente de produits alimentaires, commerce de produits pharmaceutiques, des habits, des électroménagers et de divers autres produits rentables, mais aussi  l'élevage (volailles, porcs, chèvres, moutons, etc…) ;  activités qui étaient considérées dans le temps comme secondaires pour le peuple Mosoko</w:t>
      </w:r>
      <w:r>
        <w:rPr>
          <w:rStyle w:val="Appelnotedebasdep"/>
          <w:rFonts w:cs="Calibri"/>
          <w:sz w:val="24"/>
          <w:szCs w:val="24"/>
          <w:lang w:val="fr-FR"/>
        </w:rPr>
        <w:footnoteReference w:id="52"/>
      </w:r>
      <w:r>
        <w:rPr>
          <w:rFonts w:cs="Calibri"/>
          <w:sz w:val="24"/>
          <w:szCs w:val="24"/>
          <w:lang w:val="fr-FR"/>
        </w:rPr>
        <w:t>.</w:t>
      </w:r>
    </w:p>
    <w:p w:rsidR="0089405D" w:rsidRDefault="0089405D">
      <w:pPr>
        <w:spacing w:after="0" w:line="312" w:lineRule="auto"/>
        <w:jc w:val="both"/>
        <w:rPr>
          <w:rFonts w:cs="Calibri"/>
          <w:sz w:val="24"/>
          <w:szCs w:val="24"/>
          <w:lang w:val="fr-FR"/>
        </w:rPr>
      </w:pPr>
    </w:p>
    <w:p w:rsidR="0089405D" w:rsidRDefault="003468E2">
      <w:pPr>
        <w:spacing w:after="0" w:line="312" w:lineRule="auto"/>
        <w:jc w:val="center"/>
        <w:rPr>
          <w:rFonts w:cs="Calibri"/>
          <w:sz w:val="24"/>
          <w:szCs w:val="24"/>
          <w:lang w:val="fr-FR"/>
        </w:rPr>
      </w:pPr>
      <w:r>
        <w:rPr>
          <w:rFonts w:cs="Calibri"/>
          <w:noProof/>
          <w:sz w:val="24"/>
          <w:szCs w:val="24"/>
          <w:lang w:val="fr-FR" w:eastAsia="fr-FR"/>
        </w:rPr>
        <w:drawing>
          <wp:inline distT="0" distB="0" distL="0" distR="0">
            <wp:extent cx="5093099" cy="3600450"/>
            <wp:effectExtent l="19050" t="19050" r="12700" b="19050"/>
            <wp:docPr id="1037"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30"/>
                    <pic:cNvPicPr/>
                  </pic:nvPicPr>
                  <pic:blipFill>
                    <a:blip r:embed="rId66" cstate="print"/>
                    <a:srcRect/>
                    <a:stretch/>
                  </pic:blipFill>
                  <pic:spPr>
                    <a:xfrm>
                      <a:off x="0" y="0"/>
                      <a:ext cx="5093099" cy="3600450"/>
                    </a:xfrm>
                    <a:prstGeom prst="rect">
                      <a:avLst/>
                    </a:prstGeom>
                    <a:ln w="12700" cap="flat" cmpd="sng">
                      <a:solidFill>
                        <a:srgbClr val="000000"/>
                      </a:solidFill>
                      <a:prstDash val="solid"/>
                      <a:round/>
                      <a:headEnd/>
                      <a:tailEnd/>
                    </a:ln>
                  </pic:spPr>
                </pic:pic>
              </a:graphicData>
            </a:graphic>
          </wp:inline>
        </w:drawing>
      </w:r>
    </w:p>
    <w:p w:rsidR="0089405D" w:rsidRDefault="003468E2">
      <w:pPr>
        <w:pStyle w:val="Titre1"/>
        <w:spacing w:before="0" w:line="312" w:lineRule="auto"/>
        <w:rPr>
          <w:rFonts w:cs="Calibri"/>
          <w:color w:val="auto"/>
          <w:sz w:val="24"/>
          <w:szCs w:val="24"/>
          <w:lang w:val="fr-FR"/>
        </w:rPr>
      </w:pPr>
      <w:bookmarkStart w:id="499" w:name="_Toc80352053"/>
      <w:bookmarkStart w:id="500" w:name="_Toc111888869"/>
      <w:bookmarkStart w:id="501" w:name="_Toc125612001"/>
      <w:bookmarkStart w:id="502" w:name="_Toc127181753"/>
      <w:bookmarkStart w:id="503" w:name="_Toc127182147"/>
      <w:bookmarkStart w:id="504" w:name="_Toc127182870"/>
      <w:bookmarkStart w:id="505" w:name="_Toc127187052"/>
      <w:bookmarkStart w:id="506" w:name="_Toc127187227"/>
      <w:bookmarkStart w:id="507" w:name="_Toc127187504"/>
      <w:bookmarkStart w:id="508" w:name="_Toc127432261"/>
      <w:r>
        <w:rPr>
          <w:rFonts w:cs="Calibri"/>
          <w:b/>
          <w:i/>
          <w:color w:val="auto"/>
          <w:sz w:val="24"/>
          <w:szCs w:val="24"/>
          <w:lang w:val="fr-FR"/>
        </w:rPr>
        <w:t>Figure 4.6. Carte du territoire de Basoko, noms des principaux villages (source : Carte générale de la planification).</w:t>
      </w:r>
      <w:bookmarkEnd w:id="499"/>
      <w:bookmarkEnd w:id="500"/>
      <w:bookmarkEnd w:id="501"/>
      <w:bookmarkEnd w:id="502"/>
      <w:bookmarkEnd w:id="503"/>
      <w:bookmarkEnd w:id="504"/>
      <w:bookmarkEnd w:id="505"/>
      <w:bookmarkEnd w:id="506"/>
      <w:bookmarkEnd w:id="507"/>
      <w:bookmarkEnd w:id="508"/>
    </w:p>
    <w:p w:rsidR="0089405D" w:rsidRDefault="0089405D">
      <w:pPr>
        <w:spacing w:after="0" w:line="312" w:lineRule="auto"/>
        <w:jc w:val="both"/>
        <w:rPr>
          <w:rFonts w:cs="Calibri"/>
          <w:sz w:val="24"/>
          <w:szCs w:val="24"/>
          <w:lang w:val="fr-FR"/>
        </w:rPr>
      </w:pPr>
    </w:p>
    <w:p w:rsidR="0089405D" w:rsidRDefault="003468E2">
      <w:pPr>
        <w:spacing w:after="0" w:line="312" w:lineRule="auto"/>
        <w:rPr>
          <w:rFonts w:cs="Calibri"/>
          <w:b/>
          <w:bCs/>
          <w:sz w:val="24"/>
          <w:szCs w:val="24"/>
          <w:lang w:val="fr-FR"/>
        </w:rPr>
      </w:pPr>
      <w:r>
        <w:rPr>
          <w:rFonts w:cs="Calibri"/>
          <w:b/>
          <w:bCs/>
          <w:sz w:val="24"/>
          <w:szCs w:val="24"/>
          <w:lang w:val="fr-FR"/>
        </w:rPr>
        <w:t>4.4.4.5. Principaux produits agricoles</w:t>
      </w:r>
    </w:p>
    <w:p w:rsidR="0089405D" w:rsidRDefault="003468E2">
      <w:pPr>
        <w:spacing w:after="0" w:line="312" w:lineRule="auto"/>
        <w:ind w:firstLine="708"/>
        <w:jc w:val="both"/>
        <w:rPr>
          <w:rFonts w:cs="Calibri"/>
          <w:sz w:val="24"/>
          <w:szCs w:val="24"/>
          <w:lang w:val="fr-FR"/>
        </w:rPr>
      </w:pPr>
      <w:r>
        <w:rPr>
          <w:rFonts w:cs="Calibri"/>
          <w:sz w:val="24"/>
          <w:szCs w:val="24"/>
          <w:lang w:val="fr-FR"/>
        </w:rPr>
        <w:lastRenderedPageBreak/>
        <w:t xml:space="preserve">L’agriculture étant une des activités principales du peuple Mosoko, la permanence des produits agricoles serait et reste continuellement présente dans le territoire de Basoko. Il y a cependant une période de grandes productions qui coïncident avec la fin des saisons culturales A et B, durant laquelle les produits comme le paddy, le maïs, les cosettes de manioc, les arachides, le soja, le niébé … sont exportés vers Kisangani, ou Bumba. En dehors des produits cités, les bananes plantins, les ignames et d’autres végétaux ou fruits (ananas, papayes, safu, orange, mandarine, noix coco, banane à dessert, avocats, mangue, pomme,…) sont également produits à Basoko </w:t>
      </w:r>
      <w:r>
        <w:rPr>
          <w:sz w:val="24"/>
          <w:szCs w:val="24"/>
          <w:lang w:val="fr-FR"/>
        </w:rPr>
        <w:t xml:space="preserve">(Afundi, N. </w:t>
      </w:r>
      <w:r>
        <w:rPr>
          <w:rFonts w:cs="Calibri"/>
          <w:sz w:val="24"/>
          <w:szCs w:val="24"/>
          <w:lang w:val="fr-FR"/>
        </w:rPr>
        <w:t>et al., 2022).</w:t>
      </w:r>
    </w:p>
    <w:p w:rsidR="0089405D" w:rsidRDefault="0089405D">
      <w:pPr>
        <w:spacing w:after="0" w:line="312" w:lineRule="auto"/>
        <w:jc w:val="both"/>
        <w:rPr>
          <w:rFonts w:cs="Calibri"/>
          <w:b/>
          <w:bCs/>
          <w:sz w:val="24"/>
          <w:szCs w:val="24"/>
          <w:lang w:val="fr-FR"/>
        </w:rPr>
      </w:pPr>
    </w:p>
    <w:p w:rsidR="0089405D" w:rsidRDefault="003468E2">
      <w:pPr>
        <w:spacing w:after="0" w:line="312" w:lineRule="auto"/>
        <w:jc w:val="both"/>
        <w:rPr>
          <w:rFonts w:cs="Calibri"/>
          <w:b/>
          <w:bCs/>
          <w:sz w:val="24"/>
          <w:szCs w:val="24"/>
          <w:lang w:val="fr-FR"/>
        </w:rPr>
      </w:pPr>
      <w:r>
        <w:rPr>
          <w:rFonts w:cs="Calibri"/>
          <w:b/>
          <w:bCs/>
          <w:sz w:val="24"/>
          <w:szCs w:val="24"/>
          <w:lang w:val="fr-FR"/>
        </w:rPr>
        <w:t>4.4.4.6. Principaux produits non agricoles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Suivant Asimbo, B. et al., (2021), les produits d’origine animale issus de la production locale constituent les principaux produits non agricoles consommés dans le territoire de Basoko. C’est ainsi qu’en dehors des produits agricoles, la majorité de la population consomme quotidiennement le poisson et du Gibier. Les chenilles, les termites, les escargots, les dynastes de palmier et leur larve extraits de raphia et palmiers (Makpokolo et mpose) et autres insectes et/ou invertébrés comestibles sont également produits en grande quantité selon leur période de production à Basoko. </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b/>
          <w:bCs/>
          <w:sz w:val="24"/>
          <w:szCs w:val="24"/>
          <w:lang w:val="fr-FR"/>
        </w:rPr>
      </w:pPr>
      <w:r>
        <w:rPr>
          <w:rFonts w:cs="Calibri"/>
          <w:b/>
          <w:bCs/>
          <w:sz w:val="24"/>
          <w:szCs w:val="24"/>
          <w:lang w:val="fr-FR"/>
        </w:rPr>
        <w:t>4.4.4.7. Principales sources d’énergie</w:t>
      </w:r>
    </w:p>
    <w:p w:rsidR="0089405D" w:rsidRDefault="003468E2">
      <w:pPr>
        <w:spacing w:after="0" w:line="312" w:lineRule="auto"/>
        <w:ind w:firstLine="708"/>
        <w:jc w:val="both"/>
        <w:rPr>
          <w:rFonts w:cs="Calibri"/>
          <w:sz w:val="24"/>
          <w:szCs w:val="24"/>
          <w:lang w:val="fr-FR"/>
        </w:rPr>
      </w:pPr>
      <w:r>
        <w:rPr>
          <w:rFonts w:cs="Calibri"/>
          <w:sz w:val="24"/>
          <w:szCs w:val="24"/>
          <w:lang w:val="fr-FR"/>
        </w:rPr>
        <w:t>Le bois de chauffage est la principale source d’énergie dans le milieu, utilisé principalement pour la cuisine. Le charbon de bois est utilisé surtout dans de grands centres et par la couche nantie de la population. Le pétrole ou kérosène est utilisé pour les lampes d’éclairage durant la nuit.  Il y existe actuellement des panneaux solaires, mais ils sont plus utilisés pour faire fonctionner les radios et autres appareils. Très peu de ménages utilisent le panneau solaire pour la lumière pendant la nuit. L’électricité est accessible seulement aux cadres des sociétés PHC/Lokutu, FORABORA/Lileko et SODEFOR. Pendant la nuit, les ménages utilisent aussi les nouvelles lampes torches chinoises à piles (Afundi, N. et al., 2022).</w:t>
      </w:r>
    </w:p>
    <w:p w:rsidR="0089405D" w:rsidRDefault="003468E2">
      <w:pPr>
        <w:spacing w:after="0" w:line="312" w:lineRule="auto"/>
        <w:ind w:firstLine="708"/>
        <w:jc w:val="both"/>
        <w:rPr>
          <w:rFonts w:cs="Calibri"/>
          <w:sz w:val="24"/>
          <w:szCs w:val="24"/>
          <w:lang w:val="fr-FR"/>
        </w:rPr>
      </w:pPr>
      <w:r>
        <w:rPr>
          <w:rFonts w:cs="Calibri"/>
          <w:sz w:val="24"/>
          <w:szCs w:val="24"/>
          <w:lang w:val="fr-FR"/>
        </w:rPr>
        <w:t>La présence de rivières à courant d’eau continu (Aruwimi, Itimbiri, Lulu, Bunga, Mokeke, Moliwa, etc.) peut être favorable à la création de mini-barrages électriques ou par l’usage des dynamos d’immenses réservoirs, afin de produire de l’énergie hydroélectriques, la moins chère de toutes les énergies renouvelables. Ces sources d’énergie peuvent constituer un moteur du développement de plusieurs activités modernes (développement de la NTIC, des industries de transformation de divers produits, bonnes conditions de vie, etc.).</w:t>
      </w:r>
    </w:p>
    <w:p w:rsidR="0089405D" w:rsidRDefault="003468E2">
      <w:pPr>
        <w:spacing w:after="0" w:line="312" w:lineRule="auto"/>
        <w:contextualSpacing/>
        <w:jc w:val="both"/>
        <w:rPr>
          <w:rFonts w:cs="Calibri"/>
          <w:sz w:val="24"/>
          <w:szCs w:val="24"/>
          <w:lang w:val="fr-FR"/>
        </w:rPr>
      </w:pPr>
      <w:r>
        <w:rPr>
          <w:rFonts w:cs="Calibri"/>
          <w:sz w:val="24"/>
          <w:szCs w:val="24"/>
          <w:lang w:val="fr-FR"/>
        </w:rPr>
        <w:lastRenderedPageBreak/>
        <w:tab/>
        <w:t>Aussi par sa richesse en produits forestiers, il y a lieu de développer l’énergie biomasse</w:t>
      </w:r>
      <w:r>
        <w:rPr>
          <w:rFonts w:cs="Calibri"/>
          <w:b/>
          <w:i/>
          <w:sz w:val="24"/>
          <w:szCs w:val="24"/>
          <w:lang w:val="fr-FR"/>
        </w:rPr>
        <w:t xml:space="preserve"> </w:t>
      </w:r>
      <w:r>
        <w:rPr>
          <w:rFonts w:cs="Calibri"/>
          <w:sz w:val="24"/>
          <w:szCs w:val="24"/>
          <w:lang w:val="fr-FR"/>
        </w:rPr>
        <w:t>oléagineuse ou biocarburant dans le territoire de Basoko. C’est une énergie qui utilise les lipides des plantes oléagineuses pour produire du carburant pouvant alimenter un générateur.</w:t>
      </w:r>
    </w:p>
    <w:p w:rsidR="0089405D" w:rsidRDefault="003468E2">
      <w:pPr>
        <w:pStyle w:val="Titre1"/>
        <w:spacing w:before="0" w:line="312" w:lineRule="auto"/>
        <w:rPr>
          <w:rFonts w:cs="Calibri"/>
          <w:b/>
          <w:color w:val="auto"/>
          <w:sz w:val="24"/>
          <w:szCs w:val="24"/>
          <w:lang w:val="fr-FR"/>
        </w:rPr>
      </w:pPr>
      <w:bookmarkStart w:id="509" w:name="_Toc59458330"/>
      <w:bookmarkStart w:id="510" w:name="_Toc79392986"/>
      <w:bookmarkStart w:id="511" w:name="_Toc111888647"/>
      <w:bookmarkStart w:id="512" w:name="_Toc127187228"/>
      <w:bookmarkStart w:id="513" w:name="_Toc127187505"/>
      <w:bookmarkStart w:id="514" w:name="_Toc127432262"/>
      <w:r>
        <w:rPr>
          <w:rFonts w:cs="Calibri"/>
          <w:b/>
          <w:color w:val="auto"/>
          <w:sz w:val="24"/>
          <w:szCs w:val="24"/>
          <w:lang w:val="fr-FR"/>
        </w:rPr>
        <w:t>4.4.5.</w:t>
      </w:r>
      <w:bookmarkEnd w:id="509"/>
      <w:r>
        <w:rPr>
          <w:rFonts w:cs="Calibri"/>
          <w:b/>
          <w:color w:val="auto"/>
          <w:sz w:val="24"/>
          <w:szCs w:val="24"/>
          <w:lang w:val="fr-FR"/>
        </w:rPr>
        <w:t xml:space="preserve"> EDUCATION</w:t>
      </w:r>
      <w:bookmarkEnd w:id="510"/>
      <w:bookmarkEnd w:id="511"/>
      <w:bookmarkEnd w:id="512"/>
      <w:bookmarkEnd w:id="513"/>
      <w:bookmarkEnd w:id="514"/>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L’Enseignement primaire et secondaire compte 201 écoles primaires et 118 écoles secondaires. La majorité des écoles est construite en paille et en sticks. On note quelques rares écoles en dur et en semi-durable.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territoire de Basoko comprend trois (3) institutions d’enseignement supérieur : l’Institut Supérieur Pédagogique de Lokutu (ISP/Lokutu), l’Institut Supérieur d’Etudes Agronomiques de Basoko (ISEA/Basoko) et l’Institut Supérieur des Techniques Médicales de Basoko (ISTM/Basoko). Tous ces établissements sont publics et nécessitent beaucoup d’apports matériels et financiers pour leur viabilité. </w:t>
      </w:r>
    </w:p>
    <w:p w:rsidR="0089405D" w:rsidRDefault="003468E2">
      <w:pPr>
        <w:spacing w:after="0" w:line="312" w:lineRule="auto"/>
        <w:ind w:firstLine="708"/>
        <w:jc w:val="both"/>
        <w:rPr>
          <w:rFonts w:cs="Calibri"/>
          <w:sz w:val="24"/>
          <w:szCs w:val="24"/>
          <w:lang w:val="fr-FR"/>
        </w:rPr>
      </w:pPr>
      <w:r>
        <w:rPr>
          <w:rFonts w:cs="Calibri"/>
          <w:sz w:val="24"/>
          <w:szCs w:val="24"/>
          <w:lang w:val="fr-FR"/>
        </w:rPr>
        <w:t>L’enseignement est assuré grâce à la collaboration des enseignants des universités et Instituts supérieurs de Kisangani, mais aussi de Bumba. Les candidats qui terminent dans ces institutions contribuent à renforcer la qualité du travail dans l’enseignement primaire et secondaire, les services publics et dans les différentes structures sanitaires du milieu, voire du pays, mais aussi dans les formations médicales.</w:t>
      </w:r>
    </w:p>
    <w:p w:rsidR="0089405D" w:rsidRDefault="0089405D">
      <w:pPr>
        <w:spacing w:after="0" w:line="312" w:lineRule="auto"/>
        <w:jc w:val="both"/>
        <w:rPr>
          <w:rFonts w:cs="Calibri"/>
          <w:b/>
          <w:sz w:val="24"/>
          <w:szCs w:val="24"/>
          <w:lang w:val="fr-FR"/>
        </w:rPr>
      </w:pPr>
      <w:bookmarkStart w:id="515" w:name="_Toc59458331"/>
    </w:p>
    <w:p w:rsidR="0089405D" w:rsidRDefault="003468E2">
      <w:pPr>
        <w:pStyle w:val="Titre1"/>
        <w:spacing w:before="0" w:line="312" w:lineRule="auto"/>
        <w:rPr>
          <w:rFonts w:cs="Calibri"/>
          <w:b/>
          <w:color w:val="auto"/>
          <w:sz w:val="24"/>
          <w:szCs w:val="24"/>
          <w:lang w:val="fr-FR"/>
        </w:rPr>
      </w:pPr>
      <w:bookmarkStart w:id="516" w:name="_Toc79392987"/>
      <w:bookmarkStart w:id="517" w:name="_Toc111888648"/>
      <w:bookmarkStart w:id="518" w:name="_Toc127187229"/>
      <w:bookmarkStart w:id="519" w:name="_Toc127187506"/>
      <w:bookmarkStart w:id="520" w:name="_Toc127432263"/>
      <w:r>
        <w:rPr>
          <w:rFonts w:cs="Calibri"/>
          <w:b/>
          <w:color w:val="auto"/>
          <w:sz w:val="24"/>
          <w:szCs w:val="24"/>
          <w:lang w:val="fr-FR"/>
        </w:rPr>
        <w:t>4.4.6.</w:t>
      </w:r>
      <w:bookmarkEnd w:id="515"/>
      <w:r>
        <w:rPr>
          <w:rFonts w:cs="Calibri"/>
          <w:b/>
          <w:color w:val="auto"/>
          <w:sz w:val="24"/>
          <w:szCs w:val="24"/>
          <w:lang w:val="fr-FR"/>
        </w:rPr>
        <w:t xml:space="preserve"> SITUATION SANITAIRE ET MALADIES LES PLUS RECURRENTES</w:t>
      </w:r>
      <w:bookmarkEnd w:id="516"/>
      <w:bookmarkEnd w:id="517"/>
      <w:bookmarkEnd w:id="518"/>
      <w:bookmarkEnd w:id="519"/>
      <w:bookmarkEnd w:id="520"/>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 territoire compte trois zones de santé dont la zone de santé de Basoko, la zone de santé de Basali (68 km de la cité Basoko) et la zone de santé de Yalimbongo (136 km de la cité de Basoko)</w:t>
      </w:r>
      <w:r>
        <w:rPr>
          <w:rStyle w:val="Appelnotedebasdep"/>
          <w:rFonts w:cs="Calibri"/>
          <w:sz w:val="24"/>
          <w:szCs w:val="24"/>
          <w:lang w:val="fr-FR"/>
        </w:rPr>
        <w:footnoteReference w:id="53"/>
      </w:r>
      <w:r>
        <w:rPr>
          <w:rFonts w:cs="Calibri"/>
          <w:sz w:val="24"/>
          <w:szCs w:val="24"/>
          <w:lang w:val="fr-FR"/>
        </w:rPr>
        <w:t>. Parmi les quatre hôpitaux généraux de référence, 3 sont construits en dur depuis l’époque coloniale et 1 en bois (HGR Yalimbongo). L’état de bâtiment pour les hôpitaux de Basoko et de Lokutu est encore apparemment passable, mais ils nécessitent un rafistolage au regard de son amortissement (ils datent d’avant 1960). Les hôpitaux de Basali et de Yalimbongo fonctionnent dans des bâtiments de fortunes et nécessitent une construction de bâtiments adéquats pour un hôpital</w:t>
      </w:r>
      <w:r>
        <w:rPr>
          <w:lang w:val="fr-FR"/>
        </w:rPr>
        <w:t xml:space="preserve"> (</w:t>
      </w:r>
      <w:r>
        <w:rPr>
          <w:rFonts w:cs="Calibri"/>
          <w:sz w:val="24"/>
          <w:szCs w:val="24"/>
          <w:lang w:val="fr-FR"/>
        </w:rPr>
        <w:t xml:space="preserve">Figure 4.6.). </w:t>
      </w:r>
    </w:p>
    <w:p w:rsidR="0089405D" w:rsidRDefault="003468E2">
      <w:pPr>
        <w:spacing w:after="0" w:line="312" w:lineRule="auto"/>
        <w:ind w:firstLine="708"/>
        <w:jc w:val="both"/>
        <w:rPr>
          <w:rFonts w:cs="Calibri"/>
          <w:sz w:val="24"/>
          <w:szCs w:val="24"/>
          <w:lang w:val="fr-FR"/>
        </w:rPr>
      </w:pPr>
      <w:r>
        <w:rPr>
          <w:rFonts w:cs="Calibri"/>
          <w:sz w:val="24"/>
          <w:szCs w:val="24"/>
          <w:lang w:val="fr-FR"/>
        </w:rPr>
        <w:lastRenderedPageBreak/>
        <w:t>La capacité d’accueil initial des hôpitaux de Basoko et de Lokutu est de plus ou moins 100 lits et celle des hôpitaux de Yalimbongo et de Basali est de 15 lits chacun. Les hôpitaux de Basoko et de Lokutu comptent chacun 3 médecins et 15 infirmiers. Basali et Yalimbongo comptent chacun 1 médecin et 3 infirmiers. En plus de ces hôpitaux, le territoire de Basoko compte trois centres de santé et 102 postes de santé (</w:t>
      </w:r>
      <w:r>
        <w:rPr>
          <w:sz w:val="24"/>
          <w:szCs w:val="24"/>
          <w:lang w:val="fr-FR"/>
        </w:rPr>
        <w:t xml:space="preserve">Afundi, N. </w:t>
      </w:r>
      <w:r>
        <w:rPr>
          <w:rFonts w:cs="Calibri"/>
          <w:sz w:val="24"/>
          <w:szCs w:val="24"/>
          <w:lang w:val="fr-FR"/>
        </w:rPr>
        <w:t>et al., 2022).</w:t>
      </w:r>
    </w:p>
    <w:p w:rsidR="0089405D" w:rsidRDefault="003468E2">
      <w:pPr>
        <w:spacing w:after="0" w:line="312" w:lineRule="auto"/>
        <w:ind w:firstLine="708"/>
        <w:jc w:val="both"/>
        <w:rPr>
          <w:rFonts w:cs="Calibri"/>
          <w:sz w:val="24"/>
          <w:szCs w:val="24"/>
          <w:lang w:val="fr-FR"/>
        </w:rPr>
      </w:pPr>
      <w:r>
        <w:rPr>
          <w:rFonts w:cs="Calibri"/>
          <w:sz w:val="24"/>
          <w:szCs w:val="24"/>
          <w:lang w:val="fr-FR"/>
        </w:rPr>
        <w:t>Les mauvaises conditions de vie (faible niveau économique), l’insalubrité publique et l’absence de services d’hygiène publique, la mauvaise qualité de l’eau de boissons (eau de rivière souillée, eau de puits, eau du fleuve) et la mauvaise alimentation seraient les causes des maladies les plus récurrentes et même létales.</w:t>
      </w:r>
    </w:p>
    <w:p w:rsidR="0089405D" w:rsidRDefault="0089405D">
      <w:pPr>
        <w:spacing w:after="0" w:line="312" w:lineRule="auto"/>
        <w:rPr>
          <w:rFonts w:cs="Calibri"/>
          <w:b/>
          <w:sz w:val="24"/>
          <w:szCs w:val="24"/>
          <w:lang w:val="fr-FR"/>
        </w:rPr>
      </w:pPr>
      <w:bookmarkStart w:id="521" w:name="_Toc59458332"/>
    </w:p>
    <w:p w:rsidR="0089405D" w:rsidRDefault="003468E2">
      <w:pPr>
        <w:pStyle w:val="Titre1"/>
        <w:spacing w:before="0" w:line="312" w:lineRule="auto"/>
        <w:rPr>
          <w:rFonts w:cs="Calibri"/>
          <w:b/>
          <w:color w:val="auto"/>
          <w:sz w:val="24"/>
          <w:szCs w:val="24"/>
          <w:lang w:val="fr-FR"/>
        </w:rPr>
      </w:pPr>
      <w:bookmarkStart w:id="522" w:name="_Toc79392988"/>
      <w:bookmarkStart w:id="523" w:name="_Toc111888649"/>
      <w:bookmarkStart w:id="524" w:name="_Toc127187230"/>
      <w:bookmarkStart w:id="525" w:name="_Toc127187507"/>
      <w:bookmarkStart w:id="526" w:name="_Toc127432264"/>
      <w:r>
        <w:rPr>
          <w:rFonts w:cs="Calibri"/>
          <w:b/>
          <w:color w:val="auto"/>
          <w:sz w:val="24"/>
          <w:szCs w:val="24"/>
          <w:lang w:val="fr-FR"/>
        </w:rPr>
        <w:t>4.4.7. ACCESSIBILITE ET TOURISME</w:t>
      </w:r>
      <w:bookmarkEnd w:id="521"/>
      <w:bookmarkEnd w:id="522"/>
      <w:bookmarkEnd w:id="523"/>
      <w:bookmarkEnd w:id="524"/>
      <w:bookmarkEnd w:id="525"/>
      <w:bookmarkEnd w:id="526"/>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jc w:val="both"/>
        <w:rPr>
          <w:rFonts w:cs="Calibri"/>
          <w:b/>
          <w:bCs/>
          <w:sz w:val="24"/>
          <w:szCs w:val="24"/>
          <w:lang w:val="fr-FR"/>
        </w:rPr>
      </w:pPr>
      <w:r>
        <w:rPr>
          <w:rFonts w:cs="Calibri"/>
          <w:b/>
          <w:bCs/>
          <w:sz w:val="24"/>
          <w:szCs w:val="24"/>
          <w:lang w:val="fr-FR"/>
        </w:rPr>
        <w:t xml:space="preserve">4.4.7.1. Accessibilité au territoire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centre de Basoko est difficilement accessible par la route Kisangani – Yangambi – Basoko – Bumba, avec un tronçon infranchissable en véhicule entre Baonde-Basoko (42 km). Le fleuve Congo facilite l’accès dans le territoire par les biefs navigables. Il y a cependant des ports pour bateaux à Basoko-centre (port de la Société Nationale de Transport ex-ONATRA), à Lokutu (bateaux pour PHC et autres), à Lileko (pour bateau de la société FORABOLA), à Yambomba (pour bateau de la société SODEFOR), avec une fréquence d’un bateau par mois par port. Ces bateaux peuvent également exporter les produits agricoles et non agricoles du milieu (Mandango, M. &amp; Banbole M., 1988).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Actuellement, l’unique piste d’atterrissage de la société PHC à Lokutu permet l’accès à Lokutu par voies aériennes des petits porteurs. Il y a cependant d’autres pistes d’atterrissage (à Basoko, à Lileko, à Bolila, etc.) qui ont été depuis longtemps abandonnés et ne fonctionnent plus. Cependant, une réhabilitation est possible pour les rendre opérationnelles, bien qu’ils fassent l’objet des ventes parcellaires par les ennemis du développement mis dans certains services spécialisés de l’Etat. </w:t>
      </w:r>
    </w:p>
    <w:p w:rsidR="0089405D" w:rsidRDefault="0089405D">
      <w:pPr>
        <w:spacing w:after="0" w:line="312" w:lineRule="auto"/>
        <w:jc w:val="both"/>
        <w:rPr>
          <w:rFonts w:cs="Calibri"/>
          <w:b/>
          <w:sz w:val="24"/>
          <w:szCs w:val="24"/>
          <w:lang w:val="fr-FR"/>
        </w:rPr>
      </w:pPr>
    </w:p>
    <w:p w:rsidR="0089405D" w:rsidRDefault="003468E2">
      <w:pPr>
        <w:spacing w:after="0" w:line="312" w:lineRule="auto"/>
        <w:jc w:val="both"/>
        <w:rPr>
          <w:rFonts w:cs="Calibri"/>
          <w:sz w:val="24"/>
          <w:szCs w:val="24"/>
          <w:lang w:val="fr-FR"/>
        </w:rPr>
      </w:pPr>
      <w:r>
        <w:rPr>
          <w:rFonts w:cs="Calibri"/>
          <w:b/>
          <w:sz w:val="24"/>
          <w:szCs w:val="24"/>
          <w:lang w:val="fr-FR"/>
        </w:rPr>
        <w:t>4.4.7.2. Attraits Touristiques</w:t>
      </w:r>
      <w:r>
        <w:rPr>
          <w:rStyle w:val="Appelnotedebasdep"/>
          <w:rFonts w:cs="Calibri"/>
          <w:b/>
          <w:sz w:val="24"/>
          <w:szCs w:val="24"/>
          <w:lang w:val="fr-FR"/>
        </w:rPr>
        <w:footnoteReference w:id="54"/>
      </w:r>
    </w:p>
    <w:p w:rsidR="0089405D" w:rsidRDefault="003468E2">
      <w:pPr>
        <w:spacing w:after="0" w:line="312" w:lineRule="auto"/>
        <w:jc w:val="both"/>
        <w:rPr>
          <w:rFonts w:cs="Calibri"/>
          <w:sz w:val="24"/>
          <w:szCs w:val="24"/>
          <w:lang w:val="fr-FR"/>
        </w:rPr>
      </w:pPr>
      <w:r>
        <w:rPr>
          <w:rFonts w:cs="Calibri"/>
          <w:sz w:val="24"/>
          <w:szCs w:val="24"/>
          <w:lang w:val="fr-FR"/>
        </w:rPr>
        <w:t>Comme sites touristiques, Basoko abrite :</w:t>
      </w:r>
    </w:p>
    <w:p w:rsidR="0089405D" w:rsidRDefault="003468E2">
      <w:pPr>
        <w:spacing w:after="0" w:line="312" w:lineRule="auto"/>
        <w:jc w:val="both"/>
        <w:rPr>
          <w:rFonts w:cs="Calibri"/>
          <w:sz w:val="24"/>
          <w:szCs w:val="24"/>
          <w:lang w:val="fr-FR"/>
        </w:rPr>
      </w:pPr>
      <w:r>
        <w:rPr>
          <w:rFonts w:cs="Calibri"/>
          <w:sz w:val="24"/>
          <w:szCs w:val="24"/>
          <w:lang w:val="fr-FR"/>
        </w:rPr>
        <w:t>- les vestiges du mur anti-esclavagiste contre les arabes ;</w:t>
      </w:r>
    </w:p>
    <w:p w:rsidR="0089405D" w:rsidRDefault="003468E2">
      <w:pPr>
        <w:spacing w:after="0" w:line="312" w:lineRule="auto"/>
        <w:jc w:val="both"/>
        <w:rPr>
          <w:rFonts w:cs="Calibri"/>
          <w:sz w:val="24"/>
          <w:szCs w:val="24"/>
          <w:lang w:val="fr-FR"/>
        </w:rPr>
      </w:pPr>
      <w:r>
        <w:rPr>
          <w:rFonts w:cs="Calibri"/>
          <w:sz w:val="24"/>
          <w:szCs w:val="24"/>
          <w:lang w:val="fr-FR"/>
        </w:rPr>
        <w:t>- le premier camp militaire belge au Congo ;</w:t>
      </w:r>
    </w:p>
    <w:p w:rsidR="0089405D" w:rsidRDefault="003468E2">
      <w:pPr>
        <w:spacing w:after="0" w:line="312" w:lineRule="auto"/>
        <w:jc w:val="both"/>
        <w:rPr>
          <w:rFonts w:cs="Calibri"/>
          <w:sz w:val="24"/>
          <w:szCs w:val="24"/>
          <w:lang w:val="fr-FR"/>
        </w:rPr>
      </w:pPr>
      <w:r>
        <w:rPr>
          <w:rFonts w:cs="Calibri"/>
          <w:noProof/>
          <w:sz w:val="24"/>
          <w:szCs w:val="24"/>
          <w:lang w:val="fr-FR" w:eastAsia="fr-FR"/>
        </w:rPr>
        <w:lastRenderedPageBreak/>
        <w:drawing>
          <wp:inline distT="0" distB="0" distL="0" distR="0">
            <wp:extent cx="2714625" cy="2857500"/>
            <wp:effectExtent l="0" t="0" r="9525" b="0"/>
            <wp:docPr id="1038"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032"/>
                    <pic:cNvPicPr/>
                  </pic:nvPicPr>
                  <pic:blipFill>
                    <a:blip r:embed="rId67" cstate="print"/>
                    <a:srcRect/>
                    <a:stretch/>
                  </pic:blipFill>
                  <pic:spPr>
                    <a:xfrm>
                      <a:off x="0" y="0"/>
                      <a:ext cx="2714625" cy="2857500"/>
                    </a:xfrm>
                    <a:prstGeom prst="rect">
                      <a:avLst/>
                    </a:prstGeom>
                    <a:ln>
                      <a:noFill/>
                    </a:ln>
                  </pic:spPr>
                </pic:pic>
              </a:graphicData>
            </a:graphic>
          </wp:inline>
        </w:drawing>
      </w:r>
      <w:r>
        <w:rPr>
          <w:rFonts w:cs="Calibri"/>
          <w:sz w:val="24"/>
          <w:szCs w:val="24"/>
          <w:lang w:val="fr-FR"/>
        </w:rPr>
        <w:t xml:space="preserve">  </w:t>
      </w:r>
      <w:r>
        <w:rPr>
          <w:rFonts w:cs="Calibri"/>
          <w:noProof/>
          <w:sz w:val="24"/>
          <w:szCs w:val="24"/>
          <w:lang w:val="fr-FR" w:eastAsia="fr-FR"/>
        </w:rPr>
        <w:drawing>
          <wp:inline distT="0" distB="0" distL="0" distR="0">
            <wp:extent cx="2466975" cy="2857500"/>
            <wp:effectExtent l="0" t="0" r="9525" b="0"/>
            <wp:docPr id="1039"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033"/>
                    <pic:cNvPicPr/>
                  </pic:nvPicPr>
                  <pic:blipFill>
                    <a:blip r:embed="rId68" cstate="print"/>
                    <a:srcRect/>
                    <a:stretch/>
                  </pic:blipFill>
                  <pic:spPr>
                    <a:xfrm>
                      <a:off x="0" y="0"/>
                      <a:ext cx="2466975" cy="2857500"/>
                    </a:xfrm>
                    <a:prstGeom prst="rect">
                      <a:avLst/>
                    </a:prstGeom>
                    <a:ln>
                      <a:noFill/>
                    </a:ln>
                  </pic:spPr>
                </pic:pic>
              </a:graphicData>
            </a:graphic>
          </wp:inline>
        </w:drawing>
      </w:r>
    </w:p>
    <w:p w:rsidR="0089405D" w:rsidRDefault="003468E2">
      <w:pPr>
        <w:tabs>
          <w:tab w:val="left" w:pos="8557"/>
        </w:tabs>
        <w:spacing w:after="0" w:line="312" w:lineRule="auto"/>
        <w:jc w:val="both"/>
        <w:rPr>
          <w:rFonts w:cs="Calibri"/>
          <w:b/>
          <w:i/>
          <w:sz w:val="24"/>
          <w:szCs w:val="24"/>
          <w:lang w:val="fr-FR"/>
        </w:rPr>
      </w:pPr>
      <w:bookmarkStart w:id="527" w:name="_Toc80352057"/>
      <w:r>
        <w:rPr>
          <w:rFonts w:cs="Calibri"/>
          <w:b/>
          <w:i/>
          <w:sz w:val="24"/>
          <w:szCs w:val="24"/>
          <w:lang w:val="fr-FR"/>
        </w:rPr>
        <w:t>Figure 4.7. A gauche, les rapide de Lohale (Source : Carte CAID «Cellule d’Analyses des Indices de Développement, modifiée).</w:t>
      </w:r>
      <w:bookmarkStart w:id="528" w:name="_Toc80352058"/>
      <w:bookmarkEnd w:id="527"/>
    </w:p>
    <w:p w:rsidR="0089405D" w:rsidRDefault="003468E2">
      <w:pPr>
        <w:tabs>
          <w:tab w:val="left" w:pos="8557"/>
        </w:tabs>
        <w:spacing w:after="0" w:line="312" w:lineRule="auto"/>
        <w:jc w:val="both"/>
        <w:rPr>
          <w:rFonts w:cs="Calibri"/>
          <w:b/>
          <w:i/>
          <w:sz w:val="24"/>
          <w:szCs w:val="24"/>
          <w:lang w:val="fr-FR"/>
        </w:rPr>
      </w:pPr>
      <w:r>
        <w:rPr>
          <w:rFonts w:cs="Calibri"/>
          <w:b/>
          <w:i/>
          <w:sz w:val="24"/>
          <w:szCs w:val="24"/>
          <w:lang w:val="fr-FR"/>
        </w:rPr>
        <w:t>Figure 4.8. A droite, les rapides Matale avec un pont traditionnel (Source : Carte CAID «Cellule d’Analyses des Indices de Développement, modifiée).</w:t>
      </w:r>
      <w:bookmarkEnd w:id="528"/>
    </w:p>
    <w:p w:rsidR="0089405D" w:rsidRDefault="0089405D">
      <w:pPr>
        <w:tabs>
          <w:tab w:val="left" w:pos="8557"/>
        </w:tabs>
        <w:spacing w:after="0" w:line="312" w:lineRule="auto"/>
        <w:jc w:val="both"/>
        <w:rPr>
          <w:rFonts w:cs="Calibri"/>
          <w:sz w:val="24"/>
          <w:szCs w:val="24"/>
          <w:lang w:val="fr-FR"/>
        </w:rPr>
      </w:pPr>
    </w:p>
    <w:p w:rsidR="0089405D" w:rsidRDefault="003468E2">
      <w:pPr>
        <w:spacing w:after="0" w:line="312" w:lineRule="auto"/>
        <w:jc w:val="center"/>
        <w:rPr>
          <w:rFonts w:cs="Calibri"/>
          <w:b/>
          <w:i/>
          <w:sz w:val="24"/>
          <w:szCs w:val="24"/>
          <w:lang w:val="fr-FR"/>
        </w:rPr>
      </w:pPr>
      <w:r>
        <w:rPr>
          <w:rFonts w:cs="Calibri"/>
          <w:noProof/>
          <w:sz w:val="24"/>
          <w:szCs w:val="24"/>
          <w:lang w:val="fr-FR" w:eastAsia="fr-FR"/>
        </w:rPr>
        <w:drawing>
          <wp:inline distT="0" distB="0" distL="0" distR="0">
            <wp:extent cx="4977317" cy="3160058"/>
            <wp:effectExtent l="0" t="0" r="0" b="2540"/>
            <wp:docPr id="1040"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034"/>
                    <pic:cNvPicPr/>
                  </pic:nvPicPr>
                  <pic:blipFill>
                    <a:blip r:embed="rId69" cstate="print"/>
                    <a:srcRect/>
                    <a:stretch/>
                  </pic:blipFill>
                  <pic:spPr>
                    <a:xfrm>
                      <a:off x="0" y="0"/>
                      <a:ext cx="4977317" cy="3160058"/>
                    </a:xfrm>
                    <a:prstGeom prst="rect">
                      <a:avLst/>
                    </a:prstGeom>
                    <a:ln>
                      <a:noFill/>
                    </a:ln>
                  </pic:spPr>
                </pic:pic>
              </a:graphicData>
            </a:graphic>
          </wp:inline>
        </w:drawing>
      </w:r>
    </w:p>
    <w:p w:rsidR="0089405D" w:rsidRDefault="003468E2">
      <w:pPr>
        <w:spacing w:after="0" w:line="312" w:lineRule="auto"/>
        <w:jc w:val="both"/>
        <w:rPr>
          <w:rFonts w:cs="Calibri"/>
          <w:b/>
          <w:i/>
          <w:sz w:val="24"/>
          <w:szCs w:val="24"/>
          <w:lang w:val="fr-FR"/>
        </w:rPr>
      </w:pPr>
      <w:r>
        <w:rPr>
          <w:rFonts w:cs="Calibri"/>
          <w:b/>
          <w:i/>
          <w:sz w:val="24"/>
          <w:szCs w:val="24"/>
          <w:lang w:val="fr-FR"/>
        </w:rPr>
        <w:t>Figure 4.9. Le mur anti-esclavagiste (ou vestige dudit mur et du 1er camp militaire belge au Congo contre les esclavagistes, les archives du Territoire de Basoko).</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sz w:val="24"/>
          <w:szCs w:val="24"/>
          <w:lang w:val="fr-FR"/>
        </w:rPr>
      </w:pPr>
      <w:r>
        <w:rPr>
          <w:rFonts w:cs="Calibri"/>
          <w:sz w:val="24"/>
          <w:szCs w:val="24"/>
          <w:lang w:val="fr-FR"/>
        </w:rPr>
        <w:lastRenderedPageBreak/>
        <w:t xml:space="preserve">- les rapides de Lohale et celles de Matale (Figure 4.7.) ; </w:t>
      </w:r>
    </w:p>
    <w:p w:rsidR="0089405D" w:rsidRDefault="003468E2">
      <w:pPr>
        <w:spacing w:after="0" w:line="312" w:lineRule="auto"/>
        <w:jc w:val="both"/>
        <w:rPr>
          <w:rFonts w:cs="Calibri"/>
          <w:sz w:val="24"/>
          <w:szCs w:val="24"/>
          <w:lang w:val="fr-FR"/>
        </w:rPr>
      </w:pPr>
      <w:r>
        <w:rPr>
          <w:rFonts w:cs="Calibri"/>
          <w:sz w:val="24"/>
          <w:szCs w:val="24"/>
          <w:lang w:val="fr-FR"/>
        </w:rPr>
        <w:t>- la mythique grotte non encore explorée de Bunga ;</w:t>
      </w:r>
    </w:p>
    <w:p w:rsidR="0089405D" w:rsidRDefault="003468E2">
      <w:pPr>
        <w:spacing w:after="0" w:line="312" w:lineRule="auto"/>
        <w:jc w:val="both"/>
        <w:rPr>
          <w:rFonts w:cs="Calibri"/>
          <w:sz w:val="24"/>
          <w:szCs w:val="24"/>
          <w:lang w:val="fr-FR"/>
        </w:rPr>
      </w:pPr>
      <w:r>
        <w:rPr>
          <w:rFonts w:cs="Calibri"/>
          <w:sz w:val="24"/>
          <w:szCs w:val="24"/>
          <w:lang w:val="fr-FR"/>
        </w:rPr>
        <w:t xml:space="preserve">- les rapides Matale avec un pont traditionnel (Figure 4.8.) ; </w:t>
      </w:r>
    </w:p>
    <w:p w:rsidR="0089405D" w:rsidRDefault="003468E2">
      <w:pPr>
        <w:spacing w:after="0" w:line="312" w:lineRule="auto"/>
        <w:jc w:val="both"/>
        <w:rPr>
          <w:rFonts w:cs="Calibri"/>
          <w:sz w:val="24"/>
          <w:szCs w:val="24"/>
          <w:lang w:val="fr-FR"/>
        </w:rPr>
      </w:pPr>
      <w:r>
        <w:rPr>
          <w:rFonts w:cs="Calibri"/>
          <w:sz w:val="24"/>
          <w:szCs w:val="24"/>
          <w:lang w:val="fr-FR"/>
        </w:rPr>
        <w:t>- Église sainte Marie de Basoko</w:t>
      </w:r>
      <w:r>
        <w:rPr>
          <w:lang w:val="fr-FR"/>
        </w:rPr>
        <w:t xml:space="preserve"> (</w:t>
      </w:r>
      <w:r>
        <w:rPr>
          <w:rFonts w:cs="Calibri"/>
          <w:sz w:val="24"/>
          <w:szCs w:val="24"/>
          <w:lang w:val="fr-FR"/>
        </w:rPr>
        <w:t>Figure 4.10.)</w:t>
      </w:r>
    </w:p>
    <w:p w:rsidR="0089405D" w:rsidRDefault="003468E2">
      <w:pPr>
        <w:spacing w:after="0" w:line="312" w:lineRule="auto"/>
        <w:jc w:val="both"/>
        <w:rPr>
          <w:rFonts w:cs="Calibri"/>
          <w:sz w:val="24"/>
          <w:szCs w:val="24"/>
          <w:lang w:val="fr-FR"/>
        </w:rPr>
      </w:pPr>
      <w:r>
        <w:rPr>
          <w:rFonts w:cs="Calibri"/>
          <w:sz w:val="24"/>
          <w:szCs w:val="24"/>
          <w:lang w:val="fr-FR"/>
        </w:rPr>
        <w:t>- l’embouchure Tinda-Ito (jonction entre fleuve congo et rivière Aruwimi ; figure 4.9.) ;</w:t>
      </w:r>
    </w:p>
    <w:p w:rsidR="0089405D" w:rsidRDefault="003468E2">
      <w:pPr>
        <w:spacing w:after="0" w:line="312" w:lineRule="auto"/>
        <w:jc w:val="both"/>
        <w:rPr>
          <w:rFonts w:cs="Calibri"/>
          <w:sz w:val="24"/>
          <w:szCs w:val="24"/>
          <w:lang w:val="fr-FR"/>
        </w:rPr>
      </w:pPr>
      <w:r>
        <w:rPr>
          <w:rFonts w:cs="Calibri"/>
          <w:sz w:val="24"/>
          <w:szCs w:val="24"/>
          <w:lang w:val="fr-FR"/>
        </w:rPr>
        <w:t>- l'église Ste Marie (100 ans en 2001) ;</w:t>
      </w:r>
    </w:p>
    <w:p w:rsidR="0089405D" w:rsidRDefault="003468E2">
      <w:pPr>
        <w:spacing w:after="0" w:line="312" w:lineRule="auto"/>
        <w:jc w:val="both"/>
        <w:rPr>
          <w:rFonts w:cs="Calibri"/>
          <w:sz w:val="24"/>
          <w:szCs w:val="24"/>
          <w:lang w:val="fr-FR"/>
        </w:rPr>
      </w:pPr>
      <w:r>
        <w:rPr>
          <w:rFonts w:cs="Calibri"/>
          <w:sz w:val="24"/>
          <w:szCs w:val="24"/>
          <w:lang w:val="fr-FR"/>
        </w:rPr>
        <w:t xml:space="preserve">- la tombe du Révérend Pasteur Protestant Greenfell et celle du Guerrier Topoke LIFETA; </w:t>
      </w:r>
    </w:p>
    <w:p w:rsidR="0089405D" w:rsidRDefault="003468E2">
      <w:pPr>
        <w:spacing w:after="0" w:line="312" w:lineRule="auto"/>
        <w:jc w:val="both"/>
        <w:rPr>
          <w:rFonts w:cs="Calibri"/>
          <w:sz w:val="24"/>
          <w:szCs w:val="24"/>
          <w:lang w:val="fr-FR"/>
        </w:rPr>
      </w:pPr>
      <w:r>
        <w:rPr>
          <w:rFonts w:cs="Calibri"/>
          <w:sz w:val="24"/>
          <w:szCs w:val="24"/>
          <w:lang w:val="fr-FR"/>
        </w:rPr>
        <w:t>- etc.</w:t>
      </w:r>
    </w:p>
    <w:p w:rsidR="0089405D" w:rsidRDefault="0089405D">
      <w:pPr>
        <w:spacing w:after="0" w:line="312" w:lineRule="auto"/>
        <w:jc w:val="both"/>
        <w:rPr>
          <w:rFonts w:cs="Calibri"/>
          <w:sz w:val="24"/>
          <w:szCs w:val="24"/>
          <w:lang w:val="fr-FR"/>
        </w:rPr>
      </w:pPr>
    </w:p>
    <w:p w:rsidR="0089405D" w:rsidRDefault="003468E2">
      <w:pPr>
        <w:spacing w:after="0" w:line="312" w:lineRule="auto"/>
        <w:jc w:val="center"/>
        <w:rPr>
          <w:rFonts w:cs="Calibri"/>
          <w:sz w:val="24"/>
          <w:szCs w:val="24"/>
          <w:lang w:val="fr-FR"/>
        </w:rPr>
      </w:pPr>
      <w:r>
        <w:rPr>
          <w:rFonts w:cs="Calibri"/>
          <w:noProof/>
          <w:sz w:val="24"/>
          <w:szCs w:val="24"/>
          <w:lang w:val="fr-FR" w:eastAsia="fr-FR"/>
        </w:rPr>
        <w:drawing>
          <wp:inline distT="0" distB="0" distL="0" distR="0">
            <wp:extent cx="2266950" cy="3419475"/>
            <wp:effectExtent l="0" t="0" r="0" b="9525"/>
            <wp:docPr id="1041"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035"/>
                    <pic:cNvPicPr/>
                  </pic:nvPicPr>
                  <pic:blipFill>
                    <a:blip r:embed="rId70" cstate="print"/>
                    <a:srcRect/>
                    <a:stretch/>
                  </pic:blipFill>
                  <pic:spPr>
                    <a:xfrm>
                      <a:off x="0" y="0"/>
                      <a:ext cx="2266950" cy="3419475"/>
                    </a:xfrm>
                    <a:prstGeom prst="rect">
                      <a:avLst/>
                    </a:prstGeom>
                    <a:ln>
                      <a:noFill/>
                    </a:ln>
                  </pic:spPr>
                </pic:pic>
              </a:graphicData>
            </a:graphic>
          </wp:inline>
        </w:drawing>
      </w:r>
      <w:r>
        <w:rPr>
          <w:rFonts w:cs="Calibri"/>
          <w:noProof/>
          <w:sz w:val="24"/>
          <w:szCs w:val="24"/>
          <w:lang w:val="fr-FR" w:eastAsia="fr-FR"/>
        </w:rPr>
        <w:drawing>
          <wp:inline distT="0" distB="0" distL="0" distR="0">
            <wp:extent cx="2505075" cy="3409950"/>
            <wp:effectExtent l="0" t="0" r="9525" b="0"/>
            <wp:docPr id="1042"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036"/>
                    <pic:cNvPicPr/>
                  </pic:nvPicPr>
                  <pic:blipFill>
                    <a:blip r:embed="rId71" cstate="print"/>
                    <a:srcRect/>
                    <a:stretch/>
                  </pic:blipFill>
                  <pic:spPr>
                    <a:xfrm>
                      <a:off x="0" y="0"/>
                      <a:ext cx="2505075" cy="3409950"/>
                    </a:xfrm>
                    <a:prstGeom prst="rect">
                      <a:avLst/>
                    </a:prstGeom>
                    <a:ln>
                      <a:noFill/>
                    </a:ln>
                  </pic:spPr>
                </pic:pic>
              </a:graphicData>
            </a:graphic>
          </wp:inline>
        </w:drawing>
      </w:r>
    </w:p>
    <w:p w:rsidR="0089405D" w:rsidRDefault="003468E2">
      <w:pPr>
        <w:pStyle w:val="Titre1"/>
        <w:spacing w:before="0" w:line="312" w:lineRule="auto"/>
        <w:jc w:val="both"/>
        <w:rPr>
          <w:rFonts w:cs="Calibri"/>
          <w:color w:val="auto"/>
          <w:sz w:val="24"/>
          <w:szCs w:val="24"/>
          <w:lang w:val="fr-FR"/>
        </w:rPr>
      </w:pPr>
      <w:bookmarkStart w:id="529" w:name="_Toc80352059"/>
      <w:bookmarkStart w:id="530" w:name="_Toc111888873"/>
      <w:bookmarkStart w:id="531" w:name="_Toc125612005"/>
      <w:bookmarkStart w:id="532" w:name="_Toc127181757"/>
      <w:bookmarkStart w:id="533" w:name="_Toc127182151"/>
      <w:bookmarkStart w:id="534" w:name="_Toc127182874"/>
      <w:bookmarkStart w:id="535" w:name="_Toc127187056"/>
      <w:bookmarkStart w:id="536" w:name="_Toc127187231"/>
      <w:bookmarkStart w:id="537" w:name="_Toc127187508"/>
      <w:bookmarkStart w:id="538" w:name="_Toc127432265"/>
      <w:r>
        <w:rPr>
          <w:rFonts w:cs="Calibri"/>
          <w:b/>
          <w:i/>
          <w:color w:val="auto"/>
          <w:sz w:val="24"/>
          <w:szCs w:val="24"/>
          <w:lang w:val="fr-FR"/>
        </w:rPr>
        <w:t>Figure 4.10. Église sainte Marie de Basoko (à droite, deux facettes et à gauche entrée principale, (Photo Mangambu, 2017)</w:t>
      </w:r>
      <w:bookmarkEnd w:id="529"/>
      <w:bookmarkEnd w:id="530"/>
      <w:bookmarkEnd w:id="531"/>
      <w:bookmarkEnd w:id="532"/>
      <w:bookmarkEnd w:id="533"/>
      <w:bookmarkEnd w:id="534"/>
      <w:bookmarkEnd w:id="535"/>
      <w:bookmarkEnd w:id="536"/>
      <w:bookmarkEnd w:id="537"/>
      <w:bookmarkEnd w:id="538"/>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La grande forêt équatoriale sempervirente dans le territoire de Basoko est riche en faune et en flore favorable à la création d’aire protégée. Cette forêt répartie à travers les différents secteurs et chefferies du territoire peut faire l’objet de la création des réserves forestières ou des aires protégées pour essayer de conserver une partie de la forêt pouvant répondre au maximum à sa capacité d’épurer l’air en stockant le gaz carbonique ainsi que la protection des espèces fauniques phares pour leur pérennisation. Cela pourrait également créer de l’emploi et attirer les touristes (Mangambu, M</w:t>
      </w:r>
      <w:r>
        <w:rPr>
          <w:sz w:val="24"/>
          <w:szCs w:val="24"/>
          <w:lang w:val="fr-FR"/>
        </w:rPr>
        <w:t xml:space="preserve">. </w:t>
      </w:r>
      <w:r>
        <w:rPr>
          <w:rFonts w:cs="Calibri"/>
          <w:sz w:val="24"/>
          <w:szCs w:val="24"/>
          <w:lang w:val="fr-FR"/>
        </w:rPr>
        <w:t>et al., 2021).</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Vue la richesse de cette forêt en essences de valeur économique (bois d’œuvre), l’exploitation de ces essences selon le respect des normes d’utilisation durable des ressources, c’est-à-dire en pensant aux générations futures, peut être entreprise par des investisseurs (le gouvernement ou les privés). L’argent de la vente de ces produits pourrait contribuer à l’amélioration des conditions de vie de la population, c’est-à-dire de son développement. La création des usines de scierie et autres transformations pourra créer plusieurs emplois, comme par le passé (Mancinia, L. &amp; Sala, S. 2018 ; Mangambu, M. et al., 2021).</w:t>
      </w:r>
    </w:p>
    <w:p w:rsidR="0089405D" w:rsidRDefault="0089405D">
      <w:pPr>
        <w:spacing w:after="0" w:line="312" w:lineRule="auto"/>
        <w:rPr>
          <w:rFonts w:cs="Calibri"/>
          <w:b/>
          <w:sz w:val="24"/>
          <w:szCs w:val="24"/>
          <w:lang w:val="fr-FR"/>
        </w:rPr>
      </w:pPr>
      <w:bookmarkStart w:id="539" w:name="_Toc111888651"/>
      <w:bookmarkStart w:id="540" w:name="_Toc127187232"/>
      <w:bookmarkStart w:id="541" w:name="_Toc127187509"/>
      <w:bookmarkStart w:id="542" w:name="_Toc127432266"/>
      <w:bookmarkStart w:id="543" w:name="_Toc59458333"/>
      <w:bookmarkStart w:id="544" w:name="_Toc79392993"/>
    </w:p>
    <w:p w:rsidR="0089405D" w:rsidRDefault="003468E2">
      <w:pPr>
        <w:pStyle w:val="Titre1"/>
        <w:spacing w:before="0" w:line="312" w:lineRule="auto"/>
        <w:rPr>
          <w:rFonts w:cs="Calibri"/>
          <w:b/>
          <w:color w:val="auto"/>
          <w:sz w:val="24"/>
          <w:szCs w:val="24"/>
          <w:lang w:val="fr-FR"/>
        </w:rPr>
      </w:pPr>
      <w:r>
        <w:rPr>
          <w:rFonts w:cs="Calibri"/>
          <w:b/>
          <w:color w:val="auto"/>
          <w:sz w:val="24"/>
          <w:szCs w:val="24"/>
          <w:lang w:val="fr-FR"/>
        </w:rPr>
        <w:t>4.5. OPPORTUNITES DE DEVELOPPEMENT</w:t>
      </w:r>
      <w:bookmarkEnd w:id="539"/>
      <w:bookmarkEnd w:id="540"/>
      <w:bookmarkEnd w:id="541"/>
      <w:bookmarkEnd w:id="542"/>
      <w:r>
        <w:rPr>
          <w:rFonts w:cs="Calibri"/>
          <w:b/>
          <w:color w:val="auto"/>
          <w:sz w:val="24"/>
          <w:szCs w:val="24"/>
          <w:lang w:val="fr-FR"/>
        </w:rPr>
        <w:t xml:space="preserve"> </w:t>
      </w:r>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La République démocratique du Congo s’est engagée depuis quelques années dans la mise en œuvre effective de la décentralisation. La Constitution du 18 février 2006 organise le territoire congolais sous une sorte d’hybridité en optant d’une part au régionalisme pour les provinces et d’autre part une décentralisation pour la ville, la commune, le secteur et la chefferie</w:t>
      </w:r>
      <w:r>
        <w:rPr>
          <w:rStyle w:val="Appelnotedebasdep"/>
          <w:rFonts w:cs="Calibri"/>
          <w:sz w:val="24"/>
          <w:szCs w:val="24"/>
          <w:lang w:val="fr-FR"/>
        </w:rPr>
        <w:footnoteReference w:id="55"/>
      </w:r>
      <w:r>
        <w:rPr>
          <w:rFonts w:cs="Calibri"/>
          <w:sz w:val="24"/>
          <w:szCs w:val="24"/>
          <w:lang w:val="fr-FR"/>
        </w:rPr>
        <w:t xml:space="preserve">. A des degrés différents, la libre administration et l’autonomie de gestion sont des principes fondamentaux reconnus aux provinces et à ces entités dotées de personnalité juridique pour leur développement. Ce qui facilite l’autonomie de gestion, la prise d’initiative  y compris dans la gestion des ressources naturelles locales.  </w:t>
      </w:r>
    </w:p>
    <w:p w:rsidR="0089405D" w:rsidRDefault="003468E2">
      <w:pPr>
        <w:spacing w:after="0" w:line="312" w:lineRule="auto"/>
        <w:jc w:val="both"/>
        <w:rPr>
          <w:rFonts w:cs="Calibri"/>
          <w:sz w:val="24"/>
          <w:szCs w:val="24"/>
          <w:lang w:val="fr-FR"/>
        </w:rPr>
      </w:pPr>
      <w:r>
        <w:rPr>
          <w:rFonts w:cs="Calibri"/>
          <w:sz w:val="24"/>
          <w:szCs w:val="24"/>
          <w:lang w:val="fr-FR"/>
        </w:rPr>
        <w:tab/>
        <w:t xml:space="preserve">Le territoire de Basoko a plusieurs opportunités de développent que nous allons synthétiser de la manière suivante :  </w:t>
      </w:r>
    </w:p>
    <w:p w:rsidR="0089405D" w:rsidRDefault="003468E2">
      <w:pPr>
        <w:spacing w:after="0" w:line="312" w:lineRule="auto"/>
        <w:jc w:val="both"/>
        <w:rPr>
          <w:rFonts w:cs="Calibri"/>
          <w:sz w:val="24"/>
          <w:szCs w:val="24"/>
          <w:lang w:val="fr-FR"/>
        </w:rPr>
      </w:pPr>
      <w:r>
        <w:rPr>
          <w:rFonts w:cs="Calibri"/>
          <w:sz w:val="24"/>
          <w:szCs w:val="24"/>
          <w:lang w:val="fr-FR"/>
        </w:rPr>
        <w:t>- Le tourisme : Le territoire est rempli des sites d’attractions touristiques dont la construction et l’aménagement attirerait plus des touristes et génèrerait des recettes au territoire, à la Province et donc au Pays. Aucune politique du tourisme n’existe dans les services de territoire de Basoko ;</w:t>
      </w:r>
    </w:p>
    <w:p w:rsidR="0089405D" w:rsidRDefault="003468E2">
      <w:pPr>
        <w:spacing w:after="0" w:line="312" w:lineRule="auto"/>
        <w:jc w:val="both"/>
        <w:rPr>
          <w:rFonts w:cs="Calibri"/>
          <w:sz w:val="24"/>
          <w:szCs w:val="24"/>
          <w:lang w:val="fr-FR"/>
        </w:rPr>
      </w:pPr>
      <w:r>
        <w:rPr>
          <w:rFonts w:cs="Calibri"/>
          <w:sz w:val="24"/>
          <w:szCs w:val="24"/>
          <w:lang w:val="fr-FR"/>
        </w:rPr>
        <w:t>-L’agriculture : le territoire possède des terres arables accessibles. Il y a possibilité d’élaborer un programme territorial d’amélioration et vulgarisation des semences soit envisagée. Suite à son enclavement, certains centres de productions sectorielles souffrent de l’impraticabilité des routes et par conséquent, l’évacuation des produits devient difficile. Les infrastructures de conditionnement de stockages aussi s’avèrent nécessaires pour permettre aux producteurs d’éviter les pertes liées à la détérioration des récoltes ;</w:t>
      </w:r>
    </w:p>
    <w:p w:rsidR="0089405D" w:rsidRDefault="003468E2">
      <w:pPr>
        <w:spacing w:after="0" w:line="312" w:lineRule="auto"/>
        <w:jc w:val="both"/>
        <w:rPr>
          <w:rFonts w:cs="Calibri"/>
          <w:sz w:val="24"/>
          <w:szCs w:val="24"/>
          <w:lang w:val="fr-FR"/>
        </w:rPr>
      </w:pPr>
      <w:r>
        <w:rPr>
          <w:rFonts w:cs="Calibri"/>
          <w:sz w:val="24"/>
          <w:szCs w:val="24"/>
          <w:lang w:val="fr-FR"/>
        </w:rPr>
        <w:lastRenderedPageBreak/>
        <w:t>- L’artisanat : est une niche encore porteuse d’opportunité d’investissement local. Peu sont les agents économiques qui y investissent et les rare qui y sont n’améliorent pas la qualité de service vu la faible intensité de la concurrence. Les différents objets d’art sont faits à partir du bois précieux disponibles dans le territoire qui nécessite aussi une politique de gestion durable.</w:t>
      </w:r>
    </w:p>
    <w:p w:rsidR="0089405D" w:rsidRDefault="003468E2">
      <w:pPr>
        <w:spacing w:after="0" w:line="312" w:lineRule="auto"/>
        <w:jc w:val="both"/>
        <w:rPr>
          <w:rFonts w:cs="Calibri"/>
          <w:sz w:val="24"/>
          <w:szCs w:val="24"/>
          <w:lang w:val="fr-FR"/>
        </w:rPr>
      </w:pPr>
      <w:r>
        <w:rPr>
          <w:rFonts w:cs="Calibri"/>
          <w:sz w:val="24"/>
          <w:szCs w:val="24"/>
          <w:lang w:val="fr-FR"/>
        </w:rPr>
        <w:t>- L’offre d’énergie : La cité se développe et la demande en énergie croit avec la démographie, alors que l’offre de l’énergie est presque inexistante. Vu la présence des chutes dans le territoire pour couvrir tout le territoire en énergie électrique, il serait rationnel d’envisager des projets des microcentrales hydroélectriques. L’option des énergies renouvelables (Biogaz, Solaire) est aussi à envisager.</w:t>
      </w:r>
    </w:p>
    <w:p w:rsidR="0089405D" w:rsidRDefault="003468E2">
      <w:pPr>
        <w:spacing w:after="0" w:line="312" w:lineRule="auto"/>
        <w:jc w:val="both"/>
        <w:rPr>
          <w:rFonts w:cs="Calibri"/>
          <w:sz w:val="24"/>
          <w:szCs w:val="24"/>
          <w:lang w:val="fr-FR"/>
        </w:rPr>
      </w:pPr>
      <w:r>
        <w:rPr>
          <w:rFonts w:cs="Calibri"/>
          <w:sz w:val="24"/>
          <w:szCs w:val="24"/>
          <w:lang w:val="fr-FR"/>
        </w:rPr>
        <w:t>- La pêche : La rivière, plusieurs influents « Lulu, Mokeke, Luka… » sont potentiellement riches en produits halieutiques. Différentes espèces de poissons sont péchées dans ces eaux douces. Mais la pêche qui s’y pratique est traditionnelle et les gros poissons restent dans l’eau profonde.</w:t>
      </w:r>
    </w:p>
    <w:p w:rsidR="0089405D" w:rsidRDefault="003468E2">
      <w:pPr>
        <w:spacing w:after="0" w:line="312" w:lineRule="auto"/>
        <w:ind w:firstLine="708"/>
        <w:jc w:val="both"/>
        <w:rPr>
          <w:rFonts w:cs="Calibri"/>
          <w:sz w:val="24"/>
          <w:szCs w:val="24"/>
          <w:lang w:val="fr-FR"/>
        </w:rPr>
      </w:pPr>
      <w:r>
        <w:rPr>
          <w:rFonts w:cs="Calibri"/>
          <w:sz w:val="24"/>
          <w:szCs w:val="24"/>
          <w:lang w:val="fr-FR"/>
        </w:rPr>
        <w:t>- L’élevage aussi est porteur de potentialités d’investissement. Plusieurs chefferies et secteurs du territoire de Basoko offrent un cadre approprié pour l’élevage et la demande en produit d’animaux d’élevage ne fait que croitre étant donné l’accroissement croissante de la population du territoire, mais aussi la sollicitation d’autres territoires et spécialement les deux cités (Lokutu et Basoko centre) et la ville de Kisangani. Malheureusement, il n’existe aucune ferme privée qui peut croitre ses potentialité à l’échelle semi-industrielle, etc).</w:t>
      </w:r>
    </w:p>
    <w:p w:rsidR="0089405D" w:rsidRDefault="003468E2">
      <w:pPr>
        <w:spacing w:after="0" w:line="312" w:lineRule="auto"/>
        <w:ind w:firstLine="709"/>
        <w:jc w:val="both"/>
        <w:rPr>
          <w:rFonts w:cs="Calibri"/>
          <w:sz w:val="24"/>
          <w:szCs w:val="24"/>
          <w:lang w:val="fr-FR"/>
        </w:rPr>
      </w:pPr>
      <w:r>
        <w:rPr>
          <w:rFonts w:cs="Calibri"/>
          <w:sz w:val="24"/>
          <w:szCs w:val="24"/>
          <w:lang w:val="fr-FR"/>
        </w:rPr>
        <w:t>Si les initiatives entre divers acteurs territoriaux et la population locales sont possibles, il reste cependant, de la part des pouvoirs, une énorme tâche d’exactitude et de renchérissement. Les initiatives et les actions de développement ne doivent plus être le monopole de l’Etat central, souvent très éloigné des réalités et des besoins concrets et quotidiens de la population. Néanmoins, les efforts vers cet objectif en faveur d’un développement local sont davantage efficaces lorsqu’ils sont conjugués ensemble. Encourager des tels initiatives entre les acteurs locaux c’est favoriser le développement local sans toucher aux mines de la rivière Aruwimi. Ceci est conforme à la constitution de la RDC, « l’expression du vouloir vivre ensemble collectif, le rattachement à la terre des ancêtres, à la patrie, ne se fait pas au profit d’une entité abstraite, lointaine et diluée dans un grand ensemble aux contours méconnus. La terre des ancêtres, la patrie, c’est d’abord et avant tout, cette terre palpable, si proche et si concrète sur laquelle toute la famille a vu le jour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Il est regrettable de constater la quasi-inexistence des pratiques de développement dans le territoire de Basoko. En effet, au regard des avantages qu’elle présente, Basoko est </w:t>
      </w:r>
      <w:r>
        <w:rPr>
          <w:rFonts w:cs="Calibri"/>
          <w:sz w:val="24"/>
          <w:szCs w:val="24"/>
          <w:lang w:val="fr-FR"/>
        </w:rPr>
        <w:lastRenderedPageBreak/>
        <w:t>une véritable opportunité à saisir mais surtout à développer. Au demeurant, il est important que la doctrine collective du peuple « </w:t>
      </w:r>
      <w:r>
        <w:rPr>
          <w:rFonts w:cs="Calibri"/>
          <w:i/>
          <w:sz w:val="24"/>
          <w:szCs w:val="24"/>
          <w:lang w:val="fr-FR"/>
        </w:rPr>
        <w:t>Musoko</w:t>
      </w:r>
      <w:r>
        <w:rPr>
          <w:rFonts w:cs="Calibri"/>
          <w:sz w:val="24"/>
          <w:szCs w:val="24"/>
          <w:lang w:val="fr-FR"/>
        </w:rPr>
        <w:t> » se penche sur la question afin de fournir des éléments scientifiques nécessaires à l’édification de ce cadre socio-culturel de son patrimoine. Voilà une occasion de mettre en lumière une facette intéressante et nouvelle du décollage du territoire dont les enjeux sont importantes pour le développement sans les mines.</w:t>
      </w:r>
    </w:p>
    <w:p w:rsidR="0089405D" w:rsidRDefault="003468E2">
      <w:pPr>
        <w:pStyle w:val="Titre1"/>
        <w:spacing w:before="0" w:line="312" w:lineRule="auto"/>
        <w:rPr>
          <w:rFonts w:cs="Calibri"/>
          <w:b/>
          <w:color w:val="auto"/>
          <w:sz w:val="24"/>
          <w:szCs w:val="24"/>
          <w:lang w:val="fr-FR"/>
        </w:rPr>
      </w:pPr>
      <w:bookmarkStart w:id="545" w:name="_Toc111888652"/>
      <w:bookmarkStart w:id="546" w:name="_Toc127187233"/>
      <w:bookmarkStart w:id="547" w:name="_Toc127187510"/>
      <w:bookmarkStart w:id="548" w:name="_Toc127432267"/>
      <w:r>
        <w:rPr>
          <w:rFonts w:cs="Calibri"/>
          <w:b/>
          <w:color w:val="auto"/>
          <w:sz w:val="24"/>
          <w:szCs w:val="24"/>
          <w:lang w:val="fr-FR"/>
        </w:rPr>
        <w:t>4.6. CONCLUSION</w:t>
      </w:r>
      <w:bookmarkEnd w:id="543"/>
      <w:bookmarkEnd w:id="544"/>
      <w:bookmarkEnd w:id="545"/>
      <w:bookmarkEnd w:id="546"/>
      <w:bookmarkEnd w:id="547"/>
      <w:bookmarkEnd w:id="548"/>
    </w:p>
    <w:p w:rsidR="0089405D" w:rsidRDefault="0089405D">
      <w:pPr>
        <w:pStyle w:val="Titre1"/>
        <w:spacing w:before="0" w:line="312" w:lineRule="auto"/>
        <w:rPr>
          <w:rFonts w:cs="Calibri"/>
          <w:b/>
          <w:color w:val="auto"/>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L'aperçu socio-culturel, climatique, commercial et touristique du territoire de Basoko met en évidence d'énormes potentialités du développement de ce territoire idéalement situé dans la forêt équatoriale et abondamment arrosé par des généreux cours d'eaux du bassin hydrographique du fleuve Congo. Il est donc possible de le développer en partant de n'importe quel autre secteur sans nécessairement détruire son environnement, son patrimoine culturel ou spirituel et son tissu social.  Le projet d'exploitation minière par la société chinoise </w:t>
      </w:r>
      <w:r>
        <w:rPr>
          <w:rFonts w:cs="Calibri"/>
          <w:i/>
          <w:sz w:val="24"/>
          <w:szCs w:val="24"/>
          <w:lang w:val="fr-FR"/>
        </w:rPr>
        <w:t>Xiang Jiang</w:t>
      </w:r>
      <w:r>
        <w:rPr>
          <w:rFonts w:cs="Calibri"/>
          <w:sz w:val="24"/>
          <w:szCs w:val="24"/>
          <w:lang w:val="fr-FR"/>
        </w:rPr>
        <w:t xml:space="preserve"> Mining semble être une menace pour la vitalité, la viabilité et la salubrité de ce milieu naturel. Une société qui, avec mépris, veut s'imposer à Basoko, sans chercher à s'enquérir de son passé héroïque face aux razzias arabes ou aux assauts des colons et même des néocolonialismes nationaux.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Toutes les opportunités énumérées dans ce chapitre offrent donc des vastes possibilités d'investissements pour un développement durable. Le secteur minier n'est pas exclu mais, il est nécessaire, du fait que ce secteur d'exploitation comporte d'énormes défis environnementaux, culturels, sociaux et spirituels de relever au préalables, qu'une bonne pédagogie soit faite en amont. Que l'investisseur ait la volonté, par respect au peuple 'propriétaire' du patrimoine naturel (terre, rivière, forêt, environnement etc...), de s'imprégner des réalités de l'espace vital où il veut investir. </w:t>
      </w:r>
    </w:p>
    <w:p w:rsidR="0089405D" w:rsidRDefault="003468E2">
      <w:pPr>
        <w:spacing w:after="0" w:line="312" w:lineRule="auto"/>
        <w:jc w:val="both"/>
        <w:rPr>
          <w:rFonts w:cs="Calibri"/>
          <w:sz w:val="24"/>
          <w:szCs w:val="24"/>
          <w:lang w:val="fr-FR"/>
        </w:rPr>
      </w:pPr>
      <w:r>
        <w:rPr>
          <w:rFonts w:cs="Calibri"/>
          <w:sz w:val="24"/>
          <w:szCs w:val="24"/>
          <w:lang w:val="fr-FR"/>
        </w:rPr>
        <w:tab/>
        <w:t xml:space="preserve">Aussi, par le souci d'investir durablement, car ayant reçu ce patrimoine des générations précédentes, l'actuelle génération a le devoir de le léguer comme tel aux générations futures, soit « à notre prospérité pour toujours… », comme le conclu notre hymne national, le Debout congolais. Et quant à nous, nous disons également à toutes les filles et fils de Basoko : Debout Basoko, il est temps de bâtir ensemble notre patrimoine commun, qui est Basoko !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C’est dans cette optique que les auteurs attirent l'attention de la communauté tant locale, nationale qu'internationale de toujours informer, former et mettre sur balance des avantages et inconvénients des différents types d'exploitations qu’imposent les exploitants, </w:t>
      </w:r>
      <w:r>
        <w:rPr>
          <w:rFonts w:cs="Calibri"/>
          <w:sz w:val="24"/>
          <w:szCs w:val="24"/>
          <w:lang w:val="fr-FR"/>
        </w:rPr>
        <w:lastRenderedPageBreak/>
        <w:t>afin que tous les partenaires sociaux impliqués dans  le projet soient parfaitement équipés et avertis ; ce qui aboutira à  des décisions responsables, éclairées dans la perspective d'un développement durable.</w:t>
      </w:r>
    </w:p>
    <w:p w:rsidR="0089405D" w:rsidRDefault="0089405D">
      <w:pPr>
        <w:spacing w:after="160" w:line="259" w:lineRule="auto"/>
        <w:rPr>
          <w:rFonts w:cs="Calibri"/>
          <w:b/>
          <w:sz w:val="24"/>
          <w:szCs w:val="24"/>
          <w:lang w:val="fr-FR" w:eastAsia="en-US"/>
        </w:rPr>
      </w:pPr>
      <w:bookmarkStart w:id="549" w:name="_Toc127187234"/>
      <w:bookmarkStart w:id="550" w:name="_Toc127187511"/>
      <w:bookmarkStart w:id="551" w:name="_Toc127432268"/>
      <w:bookmarkStart w:id="552" w:name="_Toc59458345"/>
    </w:p>
    <w:p w:rsidR="0089405D" w:rsidRDefault="003468E2">
      <w:pPr>
        <w:pStyle w:val="Titre1"/>
        <w:spacing w:before="0" w:line="312" w:lineRule="auto"/>
        <w:jc w:val="both"/>
        <w:rPr>
          <w:rFonts w:eastAsia="Calibri" w:cs="Calibri"/>
          <w:color w:val="auto"/>
          <w:sz w:val="24"/>
          <w:szCs w:val="24"/>
          <w:lang w:val="fr-FR" w:eastAsia="en-US"/>
        </w:rPr>
      </w:pPr>
      <w:r>
        <w:rPr>
          <w:rFonts w:cs="Calibri"/>
          <w:b/>
          <w:color w:val="auto"/>
          <w:sz w:val="24"/>
          <w:szCs w:val="24"/>
          <w:lang w:val="fr-FR" w:eastAsia="en-US"/>
        </w:rPr>
        <w:t>RÉFÉRENCES BIBLIOGRAPHIQUES</w:t>
      </w:r>
      <w:bookmarkEnd w:id="549"/>
      <w:bookmarkEnd w:id="550"/>
      <w:bookmarkEnd w:id="551"/>
      <w:r>
        <w:rPr>
          <w:rFonts w:cs="Calibri"/>
          <w:b/>
          <w:color w:val="auto"/>
          <w:sz w:val="24"/>
          <w:szCs w:val="24"/>
          <w:lang w:val="fr-FR" w:eastAsia="en-US"/>
        </w:rPr>
        <w:t xml:space="preserve"> </w:t>
      </w:r>
    </w:p>
    <w:p w:rsidR="0089405D" w:rsidRDefault="0089405D">
      <w:pPr>
        <w:pStyle w:val="Paragraphedeliste"/>
        <w:spacing w:line="312" w:lineRule="auto"/>
        <w:ind w:left="720"/>
        <w:jc w:val="both"/>
        <w:rPr>
          <w:rFonts w:cs="Calibri"/>
          <w:b/>
          <w:sz w:val="24"/>
          <w:szCs w:val="24"/>
          <w:lang w:val="fr-FR" w:eastAsia="en-US"/>
        </w:rPr>
      </w:pP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eastAsia="en-US"/>
        </w:rPr>
        <w:t xml:space="preserve">Afundi, N.; Fundiko, C.; Makwatu, M.; Ludunge C.;  Mulumeoderhwa, M. ; Mushagalusa, K.  &amp; Mangambu, M. (2022). Procedural irregularities related to the semi-industrial exploitation of the Aruwimi River by Xiang Jiang Mining Sarl in the Basoko territory (Congo Basin, DRC) IOSR Journal Of Humanities  And Social Science (IOSR-JHSS). 27 (7): 63-74 </w:t>
      </w:r>
      <w:hyperlink r:id="rId72" w:history="1">
        <w:r>
          <w:rPr>
            <w:rStyle w:val="Lienhypertexte"/>
            <w:rFonts w:eastAsia="Calibri" w:cs="Calibri"/>
            <w:sz w:val="24"/>
            <w:szCs w:val="24"/>
            <w:lang w:val="fr-FR" w:eastAsia="en-US"/>
          </w:rPr>
          <w:t>https://dx.doi.org/10.9790/0837-2707066374</w:t>
        </w:r>
      </w:hyperlink>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eastAsia="en-US"/>
        </w:rPr>
        <w:t xml:space="preserve">Alaskans for Responsible Mining, (2004). Environmental Impacts Fact Sheet. </w:t>
      </w:r>
      <w:hyperlink r:id="rId73" w:history="1">
        <w:r>
          <w:rPr>
            <w:rFonts w:eastAsia="Calibri" w:cs="Calibri"/>
            <w:color w:val="005EA4"/>
            <w:sz w:val="24"/>
            <w:szCs w:val="24"/>
            <w:u w:val="single"/>
            <w:lang w:eastAsia="en-US"/>
          </w:rPr>
          <w:t>https://miningwatch.ca</w:t>
        </w:r>
      </w:hyperlink>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Andre, P. ; Delisle, C.-E. &amp; Reveret, J-P. (2010). L’évaluation des impacts sur l’environnement. Processus, acteurs et pratique pour un développement durable. Montréal: Presses internationales Polytechnique, 3e édition </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 xml:space="preserve">Anselme, B. ; Bousquet, F., Lyet, A., Etienne, M., Fady, B. (2008). </w:t>
      </w:r>
      <w:r>
        <w:rPr>
          <w:rFonts w:eastAsia="Calibri" w:cs="Calibri"/>
          <w:sz w:val="24"/>
          <w:szCs w:val="24"/>
          <w:lang w:eastAsia="en-US"/>
        </w:rPr>
        <w:t xml:space="preserve">Modelling spatial dynamics and biodiversity conservation on Lure mountain (France). </w:t>
      </w:r>
      <w:r>
        <w:rPr>
          <w:rFonts w:eastAsia="Calibri" w:cs="Calibri"/>
          <w:sz w:val="24"/>
          <w:szCs w:val="24"/>
          <w:lang w:val="fr-FR" w:eastAsia="en-US"/>
        </w:rPr>
        <w:t>Environmental Modeling &amp; Software, in review </w:t>
      </w:r>
    </w:p>
    <w:p w:rsidR="0089405D" w:rsidRDefault="003468E2">
      <w:pPr>
        <w:pStyle w:val="Paragraphedeliste"/>
        <w:numPr>
          <w:ilvl w:val="0"/>
          <w:numId w:val="34"/>
        </w:numPr>
        <w:spacing w:line="312" w:lineRule="auto"/>
        <w:ind w:left="851" w:hanging="425"/>
        <w:jc w:val="both"/>
        <w:rPr>
          <w:rFonts w:eastAsia="Calibri" w:cs="Calibri"/>
          <w:sz w:val="24"/>
          <w:szCs w:val="24"/>
          <w:lang w:eastAsia="en-US"/>
        </w:rPr>
      </w:pPr>
      <w:r>
        <w:rPr>
          <w:rFonts w:eastAsia="Calibri" w:cs="Calibri"/>
          <w:sz w:val="24"/>
          <w:szCs w:val="24"/>
          <w:lang w:eastAsia="en-US"/>
        </w:rPr>
        <w:t xml:space="preserve">Asimbo B., Mokili Kanda E. &amp; Mangambu M.,(2021). Pragmatic Vision of the Socio-Economic Impacts of Semi-Industrial Mining On the Aruwimi River: A Bad Paradigm on the Rivers of the Congo Basin (Basoko Territory, DRC). Journal of Environmental Science, Toxicology and Food Technology 15 (9), 09-20 </w:t>
      </w:r>
      <w:hyperlink r:id="rId74" w:history="1">
        <w:r>
          <w:rPr>
            <w:rStyle w:val="Lienhypertexte"/>
            <w:rFonts w:eastAsia="Calibri" w:cs="Calibri"/>
            <w:sz w:val="24"/>
            <w:szCs w:val="24"/>
            <w:lang w:eastAsia="en-US"/>
          </w:rPr>
          <w:t>https://doi.org/10.9790/2402-1509020920</w:t>
        </w:r>
      </w:hyperlink>
    </w:p>
    <w:p w:rsidR="0089405D" w:rsidRDefault="003468E2">
      <w:pPr>
        <w:pStyle w:val="Paragraphedeliste"/>
        <w:numPr>
          <w:ilvl w:val="0"/>
          <w:numId w:val="34"/>
        </w:numPr>
        <w:spacing w:line="312" w:lineRule="auto"/>
        <w:ind w:left="851" w:hanging="425"/>
        <w:jc w:val="both"/>
        <w:rPr>
          <w:rFonts w:eastAsia="Calibri" w:cs="Calibri"/>
          <w:sz w:val="24"/>
          <w:szCs w:val="24"/>
          <w:lang w:eastAsia="en-US"/>
        </w:rPr>
      </w:pPr>
      <w:r>
        <w:rPr>
          <w:rFonts w:eastAsia="Calibri" w:cs="Calibri"/>
          <w:sz w:val="24"/>
          <w:szCs w:val="24"/>
          <w:lang w:eastAsia="en-US"/>
        </w:rPr>
        <w:t>Bebbington, A.; Hinojosa, L.; Humphreys Bebbington, D.; Burneo, ML. &amp; Warnaars, X. (2008). Contention and Ambiguity: Mining and the Possibilities of Development, Brooks World Poverty Institute Working Paper No. 57, Manchester: Brooks World Poverty Institute</w:t>
      </w:r>
    </w:p>
    <w:p w:rsidR="0089405D" w:rsidRDefault="003468E2">
      <w:pPr>
        <w:pStyle w:val="Paragraphedeliste"/>
        <w:numPr>
          <w:ilvl w:val="0"/>
          <w:numId w:val="34"/>
        </w:numPr>
        <w:spacing w:line="312" w:lineRule="auto"/>
        <w:ind w:left="851" w:hanging="425"/>
        <w:jc w:val="both"/>
        <w:rPr>
          <w:rFonts w:eastAsia="Calibri" w:cs="Calibri"/>
          <w:sz w:val="24"/>
          <w:szCs w:val="24"/>
          <w:lang w:eastAsia="en-US"/>
        </w:rPr>
      </w:pPr>
      <w:r>
        <w:rPr>
          <w:rFonts w:eastAsia="Calibri" w:cs="Calibri"/>
          <w:sz w:val="24"/>
          <w:szCs w:val="24"/>
          <w:lang w:eastAsia="en-US"/>
        </w:rPr>
        <w:t>Bebbington, A.; Hinojosa, L.; Humphreys Bebbington, D.; Burneo, ML. &amp; Warnaars, X. (2008). Contention and Ambiguity: Mining and the Possibilities of Development, Brooks World Poverty Institute Working Paper No. 57, Manchester: Brooks World Poverty Institute</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eastAsia="en-US"/>
        </w:rPr>
        <w:t xml:space="preserve">Bonan, G.B. (2008). Forests and Climate Change: Forcings, Feedbacks, and theClimate Benefits of Forests. </w:t>
      </w:r>
      <w:r>
        <w:rPr>
          <w:rFonts w:eastAsia="Calibri" w:cs="Calibri"/>
          <w:sz w:val="24"/>
          <w:szCs w:val="24"/>
          <w:lang w:val="fr-FR" w:eastAsia="en-US"/>
        </w:rPr>
        <w:t xml:space="preserve">Science, vol. 320 p. </w:t>
      </w:r>
      <w:hyperlink r:id="rId75" w:history="1">
        <w:r>
          <w:rPr>
            <w:rStyle w:val="Lienhypertexte"/>
            <w:rFonts w:eastAsia="Calibri" w:cs="Calibri"/>
            <w:sz w:val="24"/>
            <w:szCs w:val="24"/>
            <w:lang w:val="fr-FR" w:eastAsia="en-US"/>
          </w:rPr>
          <w:t>www.sciencemag.org</w:t>
        </w:r>
      </w:hyperlink>
      <w:r>
        <w:rPr>
          <w:rFonts w:eastAsia="Calibri" w:cs="Calibri"/>
          <w:sz w:val="24"/>
          <w:szCs w:val="24"/>
          <w:lang w:val="fr-FR" w:eastAsia="en-US"/>
        </w:rPr>
        <w:t> </w:t>
      </w:r>
    </w:p>
    <w:p w:rsidR="0089405D" w:rsidRDefault="003468E2">
      <w:pPr>
        <w:pStyle w:val="Paragraphedeliste"/>
        <w:numPr>
          <w:ilvl w:val="0"/>
          <w:numId w:val="34"/>
        </w:numPr>
        <w:spacing w:line="312" w:lineRule="auto"/>
        <w:ind w:left="851" w:hanging="425"/>
        <w:jc w:val="both"/>
        <w:rPr>
          <w:rFonts w:eastAsia="Calibri" w:cs="Calibri"/>
          <w:sz w:val="24"/>
          <w:szCs w:val="24"/>
          <w:lang w:eastAsia="en-US"/>
        </w:rPr>
      </w:pPr>
      <w:r>
        <w:rPr>
          <w:rFonts w:eastAsia="Calibri" w:cs="Calibri"/>
          <w:sz w:val="24"/>
          <w:szCs w:val="24"/>
          <w:lang w:eastAsia="en-US"/>
        </w:rPr>
        <w:lastRenderedPageBreak/>
        <w:t>Breshears, D.D.; López-Hoffman, L. &amp; Graumlich, L. J. (2019). When Ecosystem Services Crash: Preparing for Big, Fast, Patchy Climate Change. AMBIO, Journal of Environment and Society, 40 pp. 256–</w:t>
      </w:r>
      <w:r>
        <w:rPr>
          <w:rFonts w:eastAsia="Calibri" w:cs="Calibri"/>
          <w:color w:val="005EA4"/>
          <w:sz w:val="24"/>
          <w:szCs w:val="24"/>
          <w:u w:val="single"/>
          <w:lang w:eastAsia="en-US"/>
        </w:rPr>
        <w:t>263.https://link.springer.com/article/10.1007%2Fs13280-010-0106-4</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eastAsia="en-US"/>
        </w:rPr>
        <w:t xml:space="preserve">Castilla-Gómez, J. &amp; Herrera-Herbert, J. (2015). Environmental analysis of mining operations: Dynamic tools for impact assessment. Minerals Engineering, 76.Gullett, W. (1998). Environmental impact assessment and the precautionary principle: Legislating caution in environmental protection l’environnement. </w:t>
      </w:r>
      <w:r>
        <w:rPr>
          <w:rFonts w:eastAsia="Calibri" w:cs="Calibri"/>
          <w:sz w:val="24"/>
          <w:szCs w:val="24"/>
          <w:lang w:val="fr-FR" w:eastAsia="en-US"/>
        </w:rPr>
        <w:t xml:space="preserve">Nairobi, 267 p </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CENI (2018). Répartition des sièges pour les élections</w:t>
      </w:r>
    </w:p>
    <w:p w:rsidR="0089405D" w:rsidRDefault="003468E2">
      <w:pPr>
        <w:pStyle w:val="Paragraphedeliste"/>
        <w:numPr>
          <w:ilvl w:val="0"/>
          <w:numId w:val="34"/>
        </w:numPr>
        <w:spacing w:line="312" w:lineRule="auto"/>
        <w:ind w:left="851" w:hanging="425"/>
        <w:jc w:val="both"/>
        <w:rPr>
          <w:rFonts w:eastAsia="Calibri" w:cs="Calibri"/>
          <w:sz w:val="24"/>
          <w:szCs w:val="24"/>
          <w:lang w:eastAsia="en-US"/>
        </w:rPr>
      </w:pPr>
      <w:r>
        <w:rPr>
          <w:rFonts w:eastAsia="Calibri" w:cs="Calibri"/>
          <w:sz w:val="24"/>
          <w:szCs w:val="24"/>
          <w:lang w:eastAsia="en-US"/>
        </w:rPr>
        <w:t>Clure, R., &amp; Schneider, A. (2001). The Seattle Post Intelligencer: More than a century of mining has left the West deeply scarred</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eastAsia="en-US"/>
        </w:rPr>
        <w:t xml:space="preserve">Dobb, E. (1996). Harper’s Magazine: Pennies from Hell.  Environmental Mining Council of BC. March, 2000. Acid Mine Drainage: Mining &amp; Water Pollution Issues in BC. </w:t>
      </w:r>
      <w:hyperlink r:id="rId76" w:history="1">
        <w:r>
          <w:rPr>
            <w:rStyle w:val="Lienhypertexte"/>
            <w:rFonts w:eastAsia="Calibri" w:cs="Calibri"/>
            <w:sz w:val="24"/>
            <w:szCs w:val="24"/>
            <w:lang w:eastAsia="en-US"/>
          </w:rPr>
          <w:t>https://miningwatch.ca/sites/default/files/amd_1.pdf</w:t>
        </w:r>
      </w:hyperlink>
      <w:r>
        <w:rPr>
          <w:rFonts w:eastAsia="Calibri" w:cs="Calibri"/>
          <w:sz w:val="24"/>
          <w:szCs w:val="24"/>
          <w:lang w:eastAsia="en-US"/>
        </w:rPr>
        <w:t xml:space="preserve"> </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Ekele M. &amp; Mangambu M. (2020). Feuilleton sur l’exploitation des minerais par la société Xiang Jiang Mining sarl, une entreprise chinoise a Basoko (Province de la Tshopo, RD Congo). Edition les Ekeles, Kinshansa, 1- 6 </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Geenen, S. &amp; Custers, R. (2010). « Tiraillements autour du secteur minier de l’Est de la RDC ». In S. Vandeginste, F. Reyntjens &amp; S. Marysse (éd.), L’Afrique des Grands Lacs. Annuaire 2009-2010. Paris : Le Harmattan 231-258 </w:t>
      </w:r>
    </w:p>
    <w:p w:rsidR="0089405D" w:rsidRDefault="003468E2">
      <w:pPr>
        <w:pStyle w:val="Paragraphedeliste"/>
        <w:numPr>
          <w:ilvl w:val="0"/>
          <w:numId w:val="34"/>
        </w:numPr>
        <w:spacing w:line="312" w:lineRule="auto"/>
        <w:ind w:left="851" w:hanging="425"/>
        <w:jc w:val="both"/>
        <w:rPr>
          <w:rFonts w:eastAsia="Calibri" w:cs="Calibri"/>
          <w:sz w:val="24"/>
          <w:szCs w:val="24"/>
          <w:lang w:eastAsia="en-US"/>
        </w:rPr>
      </w:pPr>
      <w:r>
        <w:rPr>
          <w:rFonts w:eastAsia="Calibri" w:cs="Calibri"/>
          <w:sz w:val="24"/>
          <w:szCs w:val="24"/>
          <w:lang w:eastAsia="en-US"/>
        </w:rPr>
        <w:t>Homer-Dixon, T. (1994). ‘Environmental Scarcities and Violent Conflict: Evidence from Cases’, International Security, 19(1), pp. 5-40</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 xml:space="preserve">Lara-Pulido, J. A. ; Guevara-Sangines, A. &amp; Martelo, C.A. (2018). </w:t>
      </w:r>
      <w:r>
        <w:rPr>
          <w:rFonts w:eastAsia="Calibri" w:cs="Calibri"/>
          <w:sz w:val="24"/>
          <w:szCs w:val="24"/>
          <w:lang w:eastAsia="en-US"/>
        </w:rPr>
        <w:t xml:space="preserve">A meta-analysis of economic valuation of eco-system services in Mexico. </w:t>
      </w:r>
      <w:r>
        <w:rPr>
          <w:rFonts w:eastAsia="Calibri" w:cs="Calibri"/>
          <w:sz w:val="24"/>
          <w:szCs w:val="24"/>
          <w:lang w:val="fr-FR" w:eastAsia="en-US"/>
        </w:rPr>
        <w:t>Ecosystem Services, 31, pp. 126-141</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 xml:space="preserve">Malu-Malu, J.-J.-A. (2018). Mines de RDC - Jamal Usseni : « Relever l’immense défi de la canalisation des exportations ». Le Point. </w:t>
      </w:r>
      <w:r>
        <w:rPr>
          <w:rFonts w:eastAsia="Calibri" w:cs="Calibri"/>
          <w:color w:val="005EA4"/>
          <w:sz w:val="24"/>
          <w:szCs w:val="24"/>
          <w:u w:val="single"/>
          <w:lang w:val="fr-FR" w:eastAsia="en-US"/>
        </w:rPr>
        <w:t>https://www.lepoint.fr/economie/mines-de-rdc-jamal-usseni-relever-l-immense-defi-de-lacanalisation-des-exportations-03-05-2018-2215486_28.php</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eastAsia="en-US"/>
        </w:rPr>
        <w:t xml:space="preserve">Mancinia, L. &amp; Sala, S. (2018). Social impact assessment in the mining sector: Review and comparison of indicators frameworks. </w:t>
      </w:r>
      <w:r>
        <w:rPr>
          <w:rFonts w:eastAsia="Calibri" w:cs="Calibri"/>
          <w:sz w:val="24"/>
          <w:szCs w:val="24"/>
          <w:lang w:val="fr-FR" w:eastAsia="en-US"/>
        </w:rPr>
        <w:t>Resources Policy, 57(C), 98–111.</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Mandango, M. A. &amp; Banbole (1988). Contribution è la connaissance des plantes médicinales des Turumbu de la zone de Basoko Zaïre. Monogra. Syst.Bot. Missouri Botanica Garden, 25 : 375 – 383 </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lastRenderedPageBreak/>
        <w:t xml:space="preserve">Mangambu M. ; Asimbo B. &amp; Ekele M., (2021). regards sur les impacts environnementaux de projet d’exploitation minière semi - industrielle dans le bassin du Congo : cas de la rivière Aruwimi (Territoire De Basoko, RD Congo). European Scientific Journal, Sciences Humaines, 17 (29) : 330-363, </w:t>
      </w:r>
      <w:hyperlink r:id="rId77" w:history="1">
        <w:r>
          <w:rPr>
            <w:rStyle w:val="Lienhypertexte"/>
            <w:rFonts w:eastAsia="Calibri" w:cs="Calibri"/>
            <w:sz w:val="24"/>
            <w:szCs w:val="24"/>
            <w:lang w:val="fr-FR" w:eastAsia="en-US"/>
          </w:rPr>
          <w:t>https://doi.org/10.19044/esj.2021.v17n29p328</w:t>
        </w:r>
      </w:hyperlink>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 xml:space="preserve">Mercier, J.R. &amp; Bekhechi M. A. (2003). L’évaluation environnementale: un outil majeur du développement durable. Revue africaine de gestion et d’évaluation environnementales 5, 102–139. </w:t>
      </w:r>
      <w:hyperlink r:id="rId78" w:history="1">
        <w:r>
          <w:rPr>
            <w:rStyle w:val="Lienhypertexte"/>
            <w:rFonts w:eastAsia="Calibri" w:cs="Calibri"/>
            <w:sz w:val="24"/>
            <w:szCs w:val="24"/>
            <w:lang w:val="fr-FR" w:eastAsia="en-US"/>
          </w:rPr>
          <w:t>http://www.ajeam-ragee.org/vol5p102t139.htm</w:t>
        </w:r>
      </w:hyperlink>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 xml:space="preserve">Piette, J. (1991).  l'environnement, une préoccupation incontournable pour l'industrie minière, moderne et organique. Ed. Sainte-Foy, Québec inc., </w:t>
      </w:r>
    </w:p>
    <w:p w:rsidR="0089405D" w:rsidRDefault="003468E2">
      <w:pPr>
        <w:pStyle w:val="Paragraphedeliste"/>
        <w:numPr>
          <w:ilvl w:val="0"/>
          <w:numId w:val="34"/>
        </w:numPr>
        <w:spacing w:line="312" w:lineRule="auto"/>
        <w:ind w:left="851" w:hanging="425"/>
        <w:jc w:val="both"/>
        <w:rPr>
          <w:rFonts w:eastAsia="Calibri" w:cs="Calibri"/>
          <w:sz w:val="24"/>
          <w:szCs w:val="24"/>
          <w:lang w:eastAsia="en-US"/>
        </w:rPr>
      </w:pPr>
      <w:r>
        <w:rPr>
          <w:rFonts w:eastAsia="Calibri" w:cs="Calibri"/>
          <w:sz w:val="24"/>
          <w:szCs w:val="24"/>
          <w:lang w:eastAsia="en-US"/>
        </w:rPr>
        <w:t xml:space="preserve">Stratos, I. (2011). Climate Change and Acid Rock Drainage - Risks for the Canadian Mining Sector. MEND, Ottawa, Canada. MEND Report 1.61.7. </w:t>
      </w:r>
      <w:hyperlink r:id="rId79" w:history="1">
        <w:r>
          <w:rPr>
            <w:rStyle w:val="Lienhypertexte"/>
            <w:rFonts w:eastAsia="Calibri" w:cs="Calibri"/>
            <w:sz w:val="24"/>
            <w:szCs w:val="24"/>
            <w:lang w:eastAsia="en-US"/>
          </w:rPr>
          <w:t>http://mend-nedem.org/wp-content/uploads/2013/01/1.61.7.pdf</w:t>
        </w:r>
      </w:hyperlink>
      <w:r>
        <w:rPr>
          <w:rFonts w:eastAsia="Calibri" w:cs="Calibri"/>
          <w:sz w:val="24"/>
          <w:szCs w:val="24"/>
          <w:lang w:eastAsia="en-US"/>
        </w:rPr>
        <w:t xml:space="preserve"> </w:t>
      </w:r>
    </w:p>
    <w:p w:rsidR="0089405D" w:rsidRDefault="003468E2">
      <w:pPr>
        <w:pStyle w:val="Paragraphedeliste"/>
        <w:numPr>
          <w:ilvl w:val="0"/>
          <w:numId w:val="34"/>
        </w:numPr>
        <w:spacing w:line="312" w:lineRule="auto"/>
        <w:ind w:left="851" w:hanging="425"/>
        <w:jc w:val="both"/>
        <w:rPr>
          <w:rFonts w:eastAsia="Calibri" w:cs="Calibri"/>
          <w:sz w:val="24"/>
          <w:szCs w:val="24"/>
          <w:lang w:val="fr-FR" w:eastAsia="en-US"/>
        </w:rPr>
      </w:pPr>
      <w:r>
        <w:rPr>
          <w:rFonts w:eastAsia="Calibri" w:cs="Calibri"/>
          <w:sz w:val="24"/>
          <w:szCs w:val="24"/>
          <w:lang w:val="fr-FR" w:eastAsia="en-US"/>
        </w:rPr>
        <w:t xml:space="preserve">Walle, B. (1992). Essai de bibliographie de la basse Lomami, Annales Aequatoria,  13 ; 475-487 </w:t>
      </w:r>
      <w:hyperlink r:id="rId80" w:history="1">
        <w:r>
          <w:rPr>
            <w:rFonts w:eastAsia="Calibri" w:cs="Calibri"/>
            <w:sz w:val="24"/>
            <w:szCs w:val="24"/>
            <w:lang w:val="fr-FR" w:eastAsia="en-US"/>
          </w:rPr>
          <w:t>https://www.jstor.org/stable/25837059</w:t>
        </w:r>
      </w:hyperlink>
      <w:r>
        <w:rPr>
          <w:lang w:val="fr-FR"/>
        </w:rPr>
        <w:t xml:space="preserve"> </w:t>
      </w:r>
    </w:p>
    <w:p w:rsidR="0089405D" w:rsidRDefault="0089405D">
      <w:pPr>
        <w:pStyle w:val="Paragraphedeliste"/>
        <w:spacing w:line="312" w:lineRule="auto"/>
        <w:ind w:left="851"/>
        <w:jc w:val="both"/>
        <w:rPr>
          <w:rFonts w:eastAsia="Calibri" w:cs="Calibri"/>
          <w:sz w:val="24"/>
          <w:szCs w:val="24"/>
          <w:lang w:val="fr-FR" w:eastAsia="en-US"/>
        </w:rPr>
      </w:pPr>
    </w:p>
    <w:p w:rsidR="0089405D" w:rsidRDefault="0089405D">
      <w:pPr>
        <w:pStyle w:val="Paragraphedeliste"/>
        <w:spacing w:line="312" w:lineRule="auto"/>
        <w:ind w:left="851" w:hanging="425"/>
        <w:jc w:val="both"/>
        <w:rPr>
          <w:rFonts w:eastAsia="Calibri" w:cs="Calibri"/>
          <w:sz w:val="24"/>
          <w:szCs w:val="24"/>
          <w:lang w:val="fr-FR" w:eastAsia="en-US"/>
        </w:rPr>
      </w:pPr>
    </w:p>
    <w:p w:rsidR="0089405D" w:rsidRDefault="003468E2">
      <w:pPr>
        <w:spacing w:after="0" w:line="312" w:lineRule="auto"/>
        <w:rPr>
          <w:rFonts w:eastAsia="Times New Roman" w:cs="Calibri"/>
          <w:b/>
          <w:bCs/>
          <w:kern w:val="36"/>
          <w:sz w:val="32"/>
          <w:szCs w:val="32"/>
          <w:lang w:val="fr-FR" w:eastAsia="fr-FR"/>
        </w:rPr>
      </w:pPr>
      <w:bookmarkStart w:id="553" w:name="_Toc60313820"/>
      <w:bookmarkStart w:id="554" w:name="_Toc79392994"/>
      <w:bookmarkStart w:id="555" w:name="_Toc111888653"/>
      <w:bookmarkStart w:id="556" w:name="_Toc127187235"/>
      <w:bookmarkStart w:id="557" w:name="_Toc127187512"/>
      <w:bookmarkStart w:id="558" w:name="_Toc127432269"/>
      <w:r>
        <w:rPr>
          <w:rFonts w:eastAsia="Times New Roman" w:cs="Calibri"/>
          <w:b/>
          <w:bCs/>
          <w:kern w:val="36"/>
          <w:lang w:val="fr-FR" w:eastAsia="fr-FR"/>
        </w:rPr>
        <w:br w:type="page"/>
      </w:r>
    </w:p>
    <w:p w:rsidR="0089405D" w:rsidRDefault="003468E2">
      <w:pPr>
        <w:tabs>
          <w:tab w:val="left" w:pos="2588"/>
        </w:tabs>
        <w:spacing w:after="0" w:line="312" w:lineRule="auto"/>
        <w:jc w:val="center"/>
        <w:rPr>
          <w:rFonts w:eastAsia="Times New Roman" w:cs="Calibri"/>
          <w:b/>
          <w:bCs/>
          <w:kern w:val="36"/>
          <w:sz w:val="32"/>
          <w:szCs w:val="32"/>
          <w:lang w:val="fr-FR" w:eastAsia="fr-FR"/>
        </w:rPr>
      </w:pPr>
      <w:r>
        <w:rPr>
          <w:rFonts w:eastAsia="Times New Roman" w:cs="Calibri"/>
          <w:b/>
          <w:sz w:val="32"/>
          <w:szCs w:val="32"/>
          <w:lang w:val="fr-FR" w:eastAsia="fr-FR"/>
        </w:rPr>
        <w:lastRenderedPageBreak/>
        <w:t>SI</w:t>
      </w:r>
      <w:r>
        <w:rPr>
          <w:rFonts w:eastAsia="Times New Roman" w:cs="Calibri"/>
          <w:b/>
          <w:bCs/>
          <w:kern w:val="36"/>
          <w:sz w:val="32"/>
          <w:szCs w:val="32"/>
          <w:lang w:val="fr-FR" w:eastAsia="fr-FR"/>
        </w:rPr>
        <w:t xml:space="preserve">TUATIONS D’ASYMETRIE SUR LES CONVENTIONS ET DE PROCEDURE POUR L’EXPLOITATION MINIERE SEMI- </w:t>
      </w:r>
      <w:bookmarkEnd w:id="553"/>
      <w:bookmarkEnd w:id="554"/>
      <w:r>
        <w:rPr>
          <w:rFonts w:eastAsia="Times New Roman" w:cs="Calibri"/>
          <w:b/>
          <w:bCs/>
          <w:kern w:val="36"/>
          <w:sz w:val="32"/>
          <w:szCs w:val="32"/>
          <w:lang w:val="fr-FR" w:eastAsia="fr-FR"/>
        </w:rPr>
        <w:t xml:space="preserve">INDUSTRIELLE PAR LA SOCIETE XIANG JIANG MINING SARL </w:t>
      </w:r>
    </w:p>
    <w:p w:rsidR="0089405D" w:rsidRDefault="003468E2">
      <w:pPr>
        <w:tabs>
          <w:tab w:val="left" w:pos="2588"/>
        </w:tabs>
        <w:spacing w:after="0" w:line="312" w:lineRule="auto"/>
        <w:jc w:val="center"/>
        <w:rPr>
          <w:rFonts w:eastAsia="Times New Roman" w:cs="Calibri"/>
          <w:b/>
          <w:bCs/>
          <w:kern w:val="36"/>
          <w:sz w:val="32"/>
          <w:szCs w:val="32"/>
          <w:lang w:val="fr-FR" w:eastAsia="fr-FR"/>
        </w:rPr>
      </w:pPr>
      <w:r>
        <w:rPr>
          <w:rFonts w:eastAsia="Times New Roman" w:cs="Calibri"/>
          <w:b/>
          <w:bCs/>
          <w:kern w:val="36"/>
          <w:sz w:val="32"/>
          <w:szCs w:val="32"/>
          <w:lang w:val="fr-FR" w:eastAsia="fr-FR"/>
        </w:rPr>
        <w:t>DANS LE TERRITOIRE DE BASOKO</w:t>
      </w:r>
      <w:bookmarkEnd w:id="555"/>
      <w:bookmarkEnd w:id="556"/>
      <w:bookmarkEnd w:id="557"/>
      <w:bookmarkEnd w:id="558"/>
    </w:p>
    <w:p w:rsidR="0089405D" w:rsidRDefault="0089405D">
      <w:pPr>
        <w:spacing w:after="0" w:line="312" w:lineRule="auto"/>
        <w:jc w:val="center"/>
        <w:rPr>
          <w:rFonts w:eastAsia="Calibri" w:cs="Calibri"/>
          <w:sz w:val="24"/>
          <w:szCs w:val="24"/>
          <w:lang w:val="fr-FR" w:eastAsia="fr-FR"/>
        </w:rPr>
      </w:pPr>
    </w:p>
    <w:p w:rsidR="0089405D" w:rsidRDefault="003468E2">
      <w:pPr>
        <w:spacing w:after="0" w:line="312" w:lineRule="auto"/>
        <w:jc w:val="both"/>
        <w:rPr>
          <w:rFonts w:eastAsia="Calibri" w:cs="Calibri"/>
          <w:b/>
          <w:sz w:val="28"/>
          <w:szCs w:val="28"/>
          <w:lang w:val="fr-FR" w:eastAsia="fr-FR"/>
        </w:rPr>
      </w:pPr>
      <w:r>
        <w:rPr>
          <w:rFonts w:eastAsia="Calibri" w:cs="Calibri"/>
          <w:b/>
          <w:sz w:val="28"/>
          <w:szCs w:val="28"/>
          <w:lang w:val="fr-FR" w:eastAsia="fr-FR"/>
        </w:rPr>
        <w:t>Afundi Ndetshala</w:t>
      </w:r>
      <w:r>
        <w:rPr>
          <w:lang w:val="fr-FR"/>
        </w:rPr>
        <w:t xml:space="preserve"> </w:t>
      </w:r>
      <w:r>
        <w:rPr>
          <w:rFonts w:eastAsia="Calibri" w:cs="Calibri"/>
          <w:b/>
          <w:sz w:val="28"/>
          <w:szCs w:val="28"/>
          <w:lang w:val="fr-FR" w:eastAsia="fr-FR"/>
        </w:rPr>
        <w:t xml:space="preserve">Didi, </w:t>
      </w:r>
      <w:r>
        <w:rPr>
          <w:b/>
          <w:sz w:val="28"/>
          <w:szCs w:val="28"/>
          <w:lang w:val="fr-FR"/>
        </w:rPr>
        <w:t>Balombo Tsheza</w:t>
      </w:r>
      <w:r>
        <w:rPr>
          <w:lang w:val="fr-FR"/>
        </w:rPr>
        <w:t xml:space="preserve"> </w:t>
      </w:r>
      <w:r>
        <w:rPr>
          <w:b/>
          <w:sz w:val="28"/>
          <w:szCs w:val="28"/>
          <w:lang w:val="fr-FR"/>
        </w:rPr>
        <w:t xml:space="preserve">Nestor </w:t>
      </w:r>
      <w:r>
        <w:rPr>
          <w:rFonts w:eastAsia="Calibri" w:cs="Calibri"/>
          <w:b/>
          <w:sz w:val="28"/>
          <w:szCs w:val="28"/>
          <w:lang w:val="fr-FR" w:eastAsia="fr-FR"/>
        </w:rPr>
        <w:t>&amp; Mangambu Mokoso Jean De Dieu</w:t>
      </w:r>
    </w:p>
    <w:p w:rsidR="0089405D" w:rsidRDefault="0089405D">
      <w:pPr>
        <w:pStyle w:val="Titre1"/>
        <w:spacing w:before="0" w:line="312" w:lineRule="auto"/>
        <w:rPr>
          <w:rFonts w:cs="Calibri"/>
          <w:b/>
          <w:color w:val="auto"/>
          <w:sz w:val="24"/>
          <w:szCs w:val="24"/>
          <w:lang w:val="fr-FR" w:eastAsia="en-US"/>
        </w:rPr>
      </w:pPr>
      <w:bookmarkStart w:id="559" w:name="_Toc60313821"/>
      <w:bookmarkStart w:id="560" w:name="_Toc79392997"/>
      <w:bookmarkStart w:id="561" w:name="_Toc111888656"/>
    </w:p>
    <w:p w:rsidR="0089405D" w:rsidRDefault="003468E2">
      <w:pPr>
        <w:pStyle w:val="Titre1"/>
        <w:spacing w:before="0" w:line="312" w:lineRule="auto"/>
        <w:rPr>
          <w:rFonts w:cs="Calibri"/>
          <w:b/>
          <w:color w:val="auto"/>
          <w:sz w:val="24"/>
          <w:szCs w:val="24"/>
          <w:lang w:val="fr-FR" w:eastAsia="en-US"/>
        </w:rPr>
      </w:pPr>
      <w:bookmarkStart w:id="562" w:name="_Toc127187236"/>
      <w:bookmarkStart w:id="563" w:name="_Toc127187513"/>
      <w:bookmarkStart w:id="564" w:name="_Toc127432270"/>
      <w:r>
        <w:rPr>
          <w:rFonts w:cs="Calibri"/>
          <w:b/>
          <w:color w:val="auto"/>
          <w:sz w:val="24"/>
          <w:szCs w:val="24"/>
          <w:lang w:val="fr-FR" w:eastAsia="en-US"/>
        </w:rPr>
        <w:t>5.1. INTRODUCTION</w:t>
      </w:r>
      <w:bookmarkEnd w:id="559"/>
      <w:bookmarkEnd w:id="560"/>
      <w:bookmarkEnd w:id="561"/>
      <w:bookmarkEnd w:id="562"/>
      <w:bookmarkEnd w:id="563"/>
      <w:bookmarkEnd w:id="564"/>
      <w:r>
        <w:rPr>
          <w:rFonts w:cs="Calibri"/>
          <w:b/>
          <w:color w:val="auto"/>
          <w:sz w:val="24"/>
          <w:szCs w:val="24"/>
          <w:lang w:val="fr-FR" w:eastAsia="en-US"/>
        </w:rPr>
        <w:t xml:space="preserve"> </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Les minéraux contenus dans le sol peuvent être la propriété de l'État ou appartenir à privé. Par exemple, aux États-Unis, les droits sur le sous-sol des terrains privés appartiennent aux propriétaires ; les droits du sous-sol des terrains nationaux ou fédéraux et de ceux se trouvant off-shore sont détenus par les gouvernements fédéraux et nationaux (Mangambu, M. et al., 2021).</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 xml:space="preserve"> Dans la plupart des pays, l'État, et de par là même le peuple, est propriétaire de toutes les ressources naturelles, ce qui inclut les minéraux se trouvant sous la surface du sol, même si les droits de surface appartiennent à une autre partie</w:t>
      </w:r>
      <w:r>
        <w:rPr>
          <w:lang w:val="fr-FR"/>
        </w:rPr>
        <w:t xml:space="preserve"> (</w:t>
      </w:r>
      <w:r>
        <w:rPr>
          <w:rFonts w:eastAsia="Calibri" w:cs="Calibri"/>
          <w:sz w:val="24"/>
          <w:szCs w:val="24"/>
          <w:lang w:val="fr-FR" w:eastAsia="en-US"/>
        </w:rPr>
        <w:t xml:space="preserve">Matheus, P., 2018). Ce droit est souvent établi dans la Constitution et repris, sous une forme de plus en plus spécifique, dans la Loi sur les mines et le contrat lui-même. Par exemple, l'Article premier de la Constitution de l'Équateur déclare : </w:t>
      </w:r>
      <w:r>
        <w:rPr>
          <w:rFonts w:eastAsia="Calibri" w:cs="Calibri"/>
          <w:i/>
          <w:sz w:val="24"/>
          <w:szCs w:val="24"/>
          <w:lang w:val="fr-FR" w:eastAsia="en-US"/>
        </w:rPr>
        <w:t>Les ressources naturelles non renouvelables du territoire de l'État font partie de ses actifs inaliénables et absolus</w:t>
      </w:r>
      <w:r>
        <w:rPr>
          <w:rFonts w:eastAsia="Calibri" w:cs="Calibri"/>
          <w:sz w:val="24"/>
          <w:szCs w:val="24"/>
          <w:lang w:val="fr-FR" w:eastAsia="en-US"/>
        </w:rPr>
        <w:t xml:space="preserve">. </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 xml:space="preserve">Le contrat </w:t>
      </w:r>
      <w:r>
        <w:rPr>
          <w:rFonts w:eastAsia="Calibri" w:cs="Calibri"/>
          <w:i/>
          <w:sz w:val="24"/>
          <w:szCs w:val="24"/>
          <w:lang w:val="fr-FR" w:eastAsia="en-US"/>
        </w:rPr>
        <w:t>Liberia China Union</w:t>
      </w:r>
      <w:r>
        <w:rPr>
          <w:rFonts w:eastAsia="Calibri" w:cs="Calibri"/>
          <w:sz w:val="24"/>
          <w:szCs w:val="24"/>
          <w:lang w:val="fr-FR" w:eastAsia="en-US"/>
        </w:rPr>
        <w:t xml:space="preserve"> montre comment cette déclaration constitutionnelle générale passe de la loi au contrat, confirmant, dès le début de l'accord, la propriété des ressources minérales par l'état : Tout minerai, qu'il se trouve sur la surface du sol, ou dans le sol ou dans le sous-sol, les rivières, les cours d'eau, les eaux territoriales ou le plateau continental du Libéria est la propriété de l’Etat du Libéria, et tous les droits relatifs à l'exploration et à l'exploitation des ressources minérales appartiennent exclusivement à l'Etat du Libéria (Fraser, N., 2003 ; Mercier, J.R. &amp; Bekhechi M. A., 2003).</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 xml:space="preserve">Mais en République Démocratique du Congo, les droits fonciers et les droits pertinents aux ressources minérales sont deux choses complètement différentes. Dans la plupart des juridictions, lorsqu'une entreprise a obtenu les droits sur les minéraux nécessaires à ses activités minières, elle doit encore parvenir à un accord avec les propriétaires du terrain </w:t>
      </w:r>
      <w:r>
        <w:rPr>
          <w:rFonts w:eastAsia="Calibri" w:cs="Calibri"/>
          <w:sz w:val="24"/>
          <w:szCs w:val="24"/>
          <w:lang w:val="fr-FR" w:eastAsia="en-US"/>
        </w:rPr>
        <w:lastRenderedPageBreak/>
        <w:t xml:space="preserve">se trouvant au-dessus du dépôt ou disposer du droit d'utiliser ledit terrain. Ces propriétaires peuvent être l'État, un propriétaire foncier privé, des communautés locales qui détiennent les droits d'utilisation, ou une combinaison de tout ou partie de ces diverses entités.  Est ceci est la base de plusieurs conflits (Piette, J.1991 ;   Afundi, N.et al., 2022). </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 xml:space="preserve">Dans un conflit environnemental, les acteurs utilisent deux types de langage. Tout d’abord, il y a le langage économique dans lequel une analyse coût/bénéfice est effectuée ; puis une traduction de toutes les externalités en argent est réalisée avant toute activité. Ensuite, il y a le langage humain dans lequel on retrouve des valeurs qui peuvent être écologiques, culturelles, sociales etc. qui promeuvent le bon vivre ensemble des populations et des acteurs économiques. Ainsi, l’écologie politique étudie les conflits environnementaux et constate que les langages utilisés par les acteurs au conflit varient en fonction de leurs intérêts, de leur pouvoir, de leur valeur ou de leur culture. Les conflits environnementaux sont donc essentiellement liés à l’économie et suivent le processus de développement lié à la mondialisation (Afundi, N.et al., 2022). </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 xml:space="preserve">Dans ce chapitre, nous allons parler du conflit lié à l’exploitation minière entre la société </w:t>
      </w:r>
      <w:r>
        <w:rPr>
          <w:rFonts w:eastAsia="Calibri" w:cs="Calibri"/>
          <w:i/>
          <w:sz w:val="24"/>
          <w:szCs w:val="24"/>
          <w:lang w:val="fr-FR" w:eastAsia="en-US"/>
        </w:rPr>
        <w:t>Xiang Jiang Mining Sarl</w:t>
      </w:r>
      <w:r>
        <w:rPr>
          <w:rFonts w:eastAsia="Calibri" w:cs="Calibri"/>
          <w:sz w:val="24"/>
          <w:szCs w:val="24"/>
          <w:lang w:val="fr-FR" w:eastAsia="en-US"/>
        </w:rPr>
        <w:t xml:space="preserve"> et l’irrégularité de procédure que soulève la population riveraine de la rivière Aruwimi.  Alors que Les contrats miniers et les licences sont une caractéristique commune des cadres juridiques miniers à travers le monde, ces instruments portent des appellations différentes : licence, accord de développement minier, contrats de travail, conventions. Dans les pays régis par le droit civil, ils servent tous un même but : préciser les obligations et les droits de l'investisseur non-inclus dans la loi minière et les règlements pertinents (Cf. Matheus, P., 2018).</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L’exploitation minière consiste à extraire des minerais, c’est-à-dire des roches de la croûte terrestre contenant des minéraux ou des métaux utiles en proportion suffisamment intéressante pour justifier leur exploitation (Matheus, P., 2018). Durant cette exploitation, la gestion de l’eau, de l’énergie et des déchets constitue une part importante qui détruit l’environnement et de plus, les déchets générés sont potentiellement dangereux et ses conséquences environnementales se maintiennent sur la productivité des sites et ont des effets non voulus sur l’héritage jusqu’aux générations futures (Wakenge, C., 2019 ; Matheus P., 2018). Quelques soit le durcissement de la réglementation environnementale et le nouveau code minier en République Démocratique du Congo de 2018</w:t>
      </w:r>
      <w:r>
        <w:rPr>
          <w:rFonts w:eastAsia="Calibri" w:cs="Calibri"/>
          <w:sz w:val="24"/>
          <w:szCs w:val="24"/>
          <w:vertAlign w:val="superscript"/>
          <w:lang w:val="fr-FR" w:eastAsia="en-US"/>
        </w:rPr>
        <w:footnoteReference w:id="56"/>
      </w:r>
      <w:r>
        <w:rPr>
          <w:rFonts w:eastAsia="Calibri" w:cs="Calibri"/>
          <w:sz w:val="24"/>
          <w:szCs w:val="24"/>
          <w:lang w:val="fr-FR" w:eastAsia="en-US"/>
        </w:rPr>
        <w:t xml:space="preserve">, la pression accrue </w:t>
      </w:r>
      <w:r>
        <w:rPr>
          <w:rFonts w:eastAsia="Calibri" w:cs="Calibri"/>
          <w:sz w:val="24"/>
          <w:szCs w:val="24"/>
          <w:lang w:val="fr-FR" w:eastAsia="en-US"/>
        </w:rPr>
        <w:lastRenderedPageBreak/>
        <w:t xml:space="preserve">de l’opinion publique proteste contre l’exploitation (Wakenge, C., 2019), des mines du lit de la rivière Aruwimi dans la zone de Liambi (Liambi, Likombe, Yakoyo…) malgré l’obtention des permis d’exploitation par la société minière </w:t>
      </w:r>
      <w:r>
        <w:rPr>
          <w:rFonts w:eastAsia="Calibri" w:cs="Calibri"/>
          <w:i/>
          <w:sz w:val="24"/>
          <w:szCs w:val="24"/>
          <w:lang w:val="fr-FR" w:eastAsia="en-US"/>
        </w:rPr>
        <w:t>Xiang Jiang Mining SARL</w:t>
      </w:r>
      <w:r>
        <w:rPr>
          <w:rFonts w:eastAsia="Calibri" w:cs="Calibri"/>
          <w:sz w:val="24"/>
          <w:szCs w:val="24"/>
          <w:lang w:val="fr-FR" w:eastAsia="en-US"/>
        </w:rPr>
        <w:t xml:space="preserve">. </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ab/>
        <w:t xml:space="preserve">En amont de cette même rivière dans le territoire de Banalia, la même société avait extrait de l’or et de diamant, malheureusement elle pendant l’extraction et la fermeture de la mine, cette société n’avait pas développé des stratégies pour réduire leur exposition aux risques, et n’a mis en place de meilleures pratiques pour diminuer les coûts de dépollution. Au contraire, les pollutions, la destruction environnementale et le manque coopération avec les communautés locales sont les souvenirs que la société aurait laissés dans ce territoire (Ekele, M. &amp; Mangambu, M., 2020 ; Afundi, N.et al., 2022).  </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 xml:space="preserve">Face à l’obstination de la société chinoise d’exploiter la rivière Aruwimi avec ses permis de recherches malgré l’opposition de la communauté locale, cette société cherche toujours des moyen et des concours politiques de certaines notabilités pour une exploitation forcée. Certaines autres opinions sollicité le concours d’un cabinet juridique pour demander au Ministère des Mines d’annuler ces deux permis de recherches octroyés à </w:t>
      </w:r>
      <w:r>
        <w:rPr>
          <w:rFonts w:eastAsia="Calibri" w:cs="Calibri"/>
          <w:i/>
          <w:sz w:val="24"/>
          <w:szCs w:val="24"/>
          <w:lang w:val="fr-FR" w:eastAsia="en-US"/>
        </w:rPr>
        <w:t>Xiang Jiang</w:t>
      </w:r>
      <w:r>
        <w:rPr>
          <w:rFonts w:eastAsia="Calibri" w:cs="Calibri"/>
          <w:sz w:val="24"/>
          <w:szCs w:val="24"/>
          <w:lang w:val="fr-FR" w:eastAsia="en-US"/>
        </w:rPr>
        <w:t xml:space="preserve"> </w:t>
      </w:r>
      <w:r>
        <w:rPr>
          <w:rFonts w:eastAsia="Calibri" w:cs="Calibri"/>
          <w:i/>
          <w:sz w:val="24"/>
          <w:szCs w:val="24"/>
          <w:lang w:val="fr-FR" w:eastAsia="en-US"/>
        </w:rPr>
        <w:t>Mining</w:t>
      </w:r>
      <w:r>
        <w:rPr>
          <w:rFonts w:eastAsia="Calibri" w:cs="Calibri"/>
          <w:sz w:val="24"/>
          <w:szCs w:val="24"/>
          <w:lang w:val="fr-FR" w:eastAsia="en-US"/>
        </w:rPr>
        <w:t>. Même si le sol et le sous-sol appartiennent à l’Etat, ce dernier doit garantir la propriété privée et collective. Si les populations de Basoko, particulièrement celles de Liambe, Likombe, Ilongo-Mbutu, Ilongo-Koki, Yangonde-Lioto, Yakoyo, Bomane, Baonde,…sont expropriées de leur terre au profit de cette entreprise chinoise, elles seront privées de leurs principaux moyens de substance</w:t>
      </w:r>
      <w:r>
        <w:rPr>
          <w:rFonts w:eastAsia="Calibri" w:cs="Calibri"/>
          <w:sz w:val="24"/>
          <w:szCs w:val="24"/>
          <w:vertAlign w:val="superscript"/>
          <w:lang w:val="fr-FR" w:eastAsia="en-US"/>
        </w:rPr>
        <w:footnoteReference w:id="57"/>
      </w:r>
      <w:r>
        <w:rPr>
          <w:rFonts w:eastAsia="Calibri" w:cs="Calibri"/>
          <w:sz w:val="24"/>
          <w:szCs w:val="24"/>
          <w:lang w:val="fr-FR" w:eastAsia="en-US"/>
        </w:rPr>
        <w:t xml:space="preserve">. </w:t>
      </w:r>
    </w:p>
    <w:p w:rsidR="0089405D" w:rsidRDefault="003468E2">
      <w:pPr>
        <w:spacing w:after="0" w:line="312" w:lineRule="auto"/>
        <w:ind w:firstLine="708"/>
        <w:jc w:val="both"/>
        <w:rPr>
          <w:rFonts w:eastAsia="Calibri" w:cs="Calibri"/>
          <w:sz w:val="24"/>
          <w:szCs w:val="24"/>
          <w:lang w:val="fr-FR" w:eastAsia="en-US"/>
        </w:rPr>
      </w:pPr>
      <w:r>
        <w:rPr>
          <w:rFonts w:eastAsia="Calibri" w:cs="Calibri"/>
          <w:sz w:val="24"/>
          <w:szCs w:val="24"/>
          <w:lang w:val="fr-FR" w:eastAsia="en-US"/>
        </w:rPr>
        <w:t xml:space="preserve">La question véritable pourrait bien être : Pourquoi pas  mettre terme à ce contrat pour rassurer les investisseurs tout autant que les acteurs locaux. Les fonctionnaires négociant au nom de leurs gouvernements peuvent se trouver enclins à mieux protéger l'intérêt public s'ils sont conscients que l'accord résultant sera divulgué. La publication peut aider à renforcer la confiance entre les parties contractantes et la société. Elle peut éviter les malentendus au contenu des accords. Et si cela est important pour le gouvernement, ça l'est tout autant pour </w:t>
      </w:r>
      <w:r>
        <w:rPr>
          <w:rFonts w:eastAsia="Calibri" w:cs="Calibri"/>
          <w:sz w:val="24"/>
          <w:szCs w:val="24"/>
          <w:lang w:val="fr-FR" w:eastAsia="en-US"/>
        </w:rPr>
        <w:lastRenderedPageBreak/>
        <w:t>la société minière qui est susceptible d'être présente au niveau local pendant des décennies</w:t>
      </w:r>
      <w:r>
        <w:rPr>
          <w:lang w:val="fr-FR"/>
        </w:rPr>
        <w:t xml:space="preserve"> </w:t>
      </w:r>
      <w:r>
        <w:rPr>
          <w:rFonts w:eastAsia="Calibri" w:cs="Calibri"/>
          <w:sz w:val="24"/>
          <w:szCs w:val="24"/>
          <w:lang w:val="fr-FR" w:eastAsia="en-US"/>
        </w:rPr>
        <w:t xml:space="preserve">(Anselme, B.,at al., 2008). </w:t>
      </w:r>
    </w:p>
    <w:p w:rsidR="0089405D" w:rsidRDefault="003468E2">
      <w:pPr>
        <w:spacing w:after="0" w:line="312" w:lineRule="auto"/>
        <w:ind w:firstLine="708"/>
        <w:jc w:val="both"/>
        <w:rPr>
          <w:rFonts w:eastAsia="Calibri" w:cs="Calibri"/>
          <w:sz w:val="24"/>
          <w:szCs w:val="24"/>
          <w:lang w:val="fr-FR" w:eastAsia="en-US"/>
        </w:rPr>
      </w:pPr>
      <w:r>
        <w:rPr>
          <w:sz w:val="24"/>
          <w:szCs w:val="24"/>
          <w:lang w:val="fr-FR"/>
        </w:rPr>
        <w:t>Nous avons le droit de dénoncer car selon une approche des droits de l’homme qui met en avant leur fonction émancipatrice, ceux-ci sont à la fois des constructions socio-historiques conçues et établies dans des contextes factuels de lutte contre l’injustice et des idéaux normatifs universellement réclamés. En effet, par leur histoire comme par leur grammaire, les droits de l’homme sont l’expression des aspirations d’hommes et de femmes qui, au-delà de leur appartenance culturelle, luttent pour se libérer des formes de domination autoritaires et oppressives. Les droits de l’homme sont ce pourquoi on lutte contre l’injustice, et sont ce par quoi on confirme la légitimité de cette lutte. C’est en tenant compte de cette fonction libératrice que l’on peut, non seulement, se placer au-delà des débats identitaires sur l’universalité et la relativité des droits de l’homme mais aussi délégitimer leur instrumentalisation politique actuelle.</w:t>
      </w:r>
    </w:p>
    <w:p w:rsidR="0089405D" w:rsidRDefault="0089405D">
      <w:pPr>
        <w:spacing w:after="0" w:line="312" w:lineRule="auto"/>
        <w:ind w:firstLine="709"/>
        <w:jc w:val="both"/>
        <w:rPr>
          <w:rFonts w:eastAsia="Calibri" w:cs="Calibri"/>
          <w:sz w:val="24"/>
          <w:szCs w:val="24"/>
          <w:lang w:val="fr-FR" w:eastAsia="en-US"/>
        </w:rPr>
      </w:pPr>
      <w:bookmarkStart w:id="565" w:name="_Toc60313822"/>
      <w:bookmarkStart w:id="566" w:name="_Toc79392998"/>
    </w:p>
    <w:p w:rsidR="0089405D" w:rsidRDefault="003468E2">
      <w:pPr>
        <w:pStyle w:val="Titre1"/>
        <w:spacing w:before="0" w:line="312" w:lineRule="auto"/>
        <w:rPr>
          <w:rFonts w:cs="Calibri"/>
          <w:b/>
          <w:color w:val="auto"/>
          <w:sz w:val="24"/>
          <w:szCs w:val="24"/>
          <w:lang w:val="fr-FR" w:eastAsia="en-US"/>
        </w:rPr>
      </w:pPr>
      <w:bookmarkStart w:id="567" w:name="_Toc111888657"/>
      <w:bookmarkStart w:id="568" w:name="_Toc127187237"/>
      <w:bookmarkStart w:id="569" w:name="_Toc127187514"/>
      <w:bookmarkStart w:id="570" w:name="_Toc127432271"/>
      <w:r>
        <w:rPr>
          <w:rFonts w:cs="Calibri"/>
          <w:b/>
          <w:color w:val="auto"/>
          <w:sz w:val="24"/>
          <w:szCs w:val="24"/>
          <w:lang w:val="fr-FR" w:eastAsia="en-US"/>
        </w:rPr>
        <w:t>5.2. DENOMINATION SIEGE SOCIAL, CHIFFRE D’AFFAIRE ET DOCUMENTS</w:t>
      </w:r>
      <w:bookmarkEnd w:id="565"/>
      <w:bookmarkEnd w:id="566"/>
      <w:bookmarkEnd w:id="567"/>
      <w:bookmarkEnd w:id="568"/>
      <w:bookmarkEnd w:id="569"/>
      <w:bookmarkEnd w:id="570"/>
    </w:p>
    <w:p w:rsidR="0089405D" w:rsidRDefault="0089405D">
      <w:pPr>
        <w:spacing w:after="0" w:line="312" w:lineRule="auto"/>
        <w:jc w:val="both"/>
        <w:rPr>
          <w:rFonts w:cs="Calibri"/>
          <w:b/>
          <w:sz w:val="24"/>
          <w:szCs w:val="24"/>
          <w:lang w:val="fr-FR" w:eastAsia="en-US"/>
        </w:rPr>
      </w:pPr>
    </w:p>
    <w:p w:rsidR="0089405D" w:rsidRDefault="003468E2">
      <w:pPr>
        <w:spacing w:after="0" w:line="312" w:lineRule="auto"/>
        <w:ind w:firstLine="708"/>
        <w:jc w:val="both"/>
        <w:rPr>
          <w:rFonts w:eastAsia="Times New Roman" w:cs="Calibri"/>
          <w:bCs/>
          <w:kern w:val="36"/>
          <w:sz w:val="24"/>
          <w:szCs w:val="24"/>
          <w:lang w:val="fr-FR" w:eastAsia="fr-FR"/>
        </w:rPr>
      </w:pPr>
      <w:r>
        <w:rPr>
          <w:rFonts w:eastAsia="Times New Roman" w:cs="Calibri"/>
          <w:bCs/>
          <w:kern w:val="36"/>
          <w:sz w:val="24"/>
          <w:szCs w:val="24"/>
          <w:lang w:val="fr-FR" w:eastAsia="fr-FR"/>
        </w:rPr>
        <w:t xml:space="preserve">La société à responsabilité limitée chinoise dénommée  </w:t>
      </w:r>
      <w:r>
        <w:rPr>
          <w:rFonts w:eastAsia="Times New Roman" w:cs="Calibri"/>
          <w:bCs/>
          <w:i/>
          <w:kern w:val="36"/>
          <w:sz w:val="24"/>
          <w:szCs w:val="24"/>
          <w:lang w:val="fr-FR" w:eastAsia="fr-FR"/>
        </w:rPr>
        <w:t>Xiang Jiang Mininig SARL</w:t>
      </w:r>
      <w:r>
        <w:rPr>
          <w:rFonts w:eastAsia="Times New Roman" w:cs="Calibri"/>
          <w:bCs/>
          <w:kern w:val="36"/>
          <w:sz w:val="24"/>
          <w:szCs w:val="24"/>
          <w:lang w:val="fr-FR" w:eastAsia="fr-FR"/>
        </w:rPr>
        <w:t xml:space="preserve"> est </w:t>
      </w:r>
      <w:r>
        <w:rPr>
          <w:rFonts w:eastAsia="Calibri" w:cs="Calibri"/>
          <w:sz w:val="24"/>
          <w:szCs w:val="24"/>
          <w:lang w:val="fr-FR" w:eastAsia="en-US"/>
        </w:rPr>
        <w:t>une société commerciale où la responsabilité est limitée jusqu'à concurrence des apports et qui présente des caractéristiques d'une société mixte</w:t>
      </w:r>
      <w:r>
        <w:rPr>
          <w:rFonts w:eastAsia="Times New Roman" w:cs="Calibri"/>
          <w:bCs/>
          <w:kern w:val="36"/>
          <w:sz w:val="24"/>
          <w:szCs w:val="24"/>
          <w:lang w:val="fr-FR" w:eastAsia="fr-FR"/>
        </w:rPr>
        <w:t>, de six personnes et les parts détenues dans le capital ne sont pas librement accessibles sans accord de tout ou partie des actionnaires</w:t>
      </w:r>
      <w:r>
        <w:rPr>
          <w:rFonts w:eastAsia="Times New Roman" w:cs="Calibri"/>
          <w:bCs/>
          <w:kern w:val="36"/>
          <w:sz w:val="24"/>
          <w:szCs w:val="24"/>
          <w:vertAlign w:val="superscript"/>
          <w:lang w:val="fr-FR" w:eastAsia="fr-FR"/>
        </w:rPr>
        <w:footnoteReference w:id="58"/>
      </w:r>
      <w:r>
        <w:rPr>
          <w:rFonts w:eastAsia="Times New Roman" w:cs="Calibri"/>
          <w:bCs/>
          <w:kern w:val="36"/>
          <w:sz w:val="24"/>
          <w:szCs w:val="24"/>
          <w:lang w:val="fr-FR" w:eastAsia="fr-FR"/>
        </w:rPr>
        <w:t>.  La société a comme siège social, sur le numéro 15, Avenue du Commerce, dans la Commune de la GOMBE à KINSHASA. Leurs Statuts</w:t>
      </w:r>
      <w:r>
        <w:rPr>
          <w:rFonts w:eastAsia="Times New Roman" w:cs="Calibri"/>
          <w:bCs/>
          <w:kern w:val="36"/>
          <w:sz w:val="24"/>
          <w:szCs w:val="24"/>
          <w:vertAlign w:val="superscript"/>
          <w:lang w:val="fr-FR" w:eastAsia="fr-FR"/>
        </w:rPr>
        <w:footnoteReference w:id="59"/>
      </w:r>
      <w:r>
        <w:rPr>
          <w:rFonts w:eastAsia="Times New Roman" w:cs="Calibri"/>
          <w:bCs/>
          <w:kern w:val="36"/>
          <w:sz w:val="24"/>
          <w:szCs w:val="24"/>
          <w:lang w:val="fr-FR" w:eastAsia="fr-FR"/>
        </w:rPr>
        <w:t xml:space="preserve"> du 29 avril 2019 sont signés par Ying Jianbiao, Pan Faming, Li Haibo, Chen Cheng, Zhu Tiejun Et Yin Jiazhong. Les six associés placés sous la responsabilité d’un certain YING JIAMBIAO, </w:t>
      </w:r>
      <w:r>
        <w:rPr>
          <w:rFonts w:eastAsia="Calibri" w:cs="Calibri"/>
          <w:bCs/>
          <w:sz w:val="24"/>
          <w:szCs w:val="24"/>
          <w:lang w:val="fr-FR" w:eastAsia="en-US"/>
        </w:rPr>
        <w:t xml:space="preserve">durée de la société </w:t>
      </w:r>
      <w:r>
        <w:rPr>
          <w:rFonts w:eastAsia="Calibri" w:cs="Calibri"/>
          <w:sz w:val="24"/>
          <w:szCs w:val="24"/>
          <w:lang w:val="fr-FR" w:eastAsia="en-US"/>
        </w:rPr>
        <w:t>est de 99 ans (Afundi, N.et al., 2022)</w:t>
      </w:r>
      <w:r>
        <w:rPr>
          <w:rFonts w:eastAsia="Times New Roman" w:cs="Calibri"/>
          <w:bCs/>
          <w:kern w:val="36"/>
          <w:sz w:val="24"/>
          <w:szCs w:val="24"/>
          <w:lang w:val="fr-FR" w:eastAsia="fr-FR"/>
        </w:rPr>
        <w:t>.</w:t>
      </w:r>
    </w:p>
    <w:p w:rsidR="0089405D" w:rsidRDefault="0089405D">
      <w:pPr>
        <w:pStyle w:val="Titre1"/>
        <w:spacing w:before="0" w:line="312" w:lineRule="auto"/>
        <w:jc w:val="both"/>
        <w:rPr>
          <w:rFonts w:eastAsia="Times New Roman" w:cs="Calibri"/>
          <w:b/>
          <w:bCs/>
          <w:color w:val="auto"/>
          <w:kern w:val="36"/>
          <w:sz w:val="24"/>
          <w:szCs w:val="24"/>
          <w:lang w:val="fr-FR" w:eastAsia="fr-FR"/>
        </w:rPr>
      </w:pPr>
      <w:bookmarkStart w:id="571" w:name="_Toc60313823"/>
      <w:bookmarkStart w:id="572" w:name="_Toc79392999"/>
    </w:p>
    <w:p w:rsidR="0089405D" w:rsidRDefault="003468E2">
      <w:pPr>
        <w:pStyle w:val="Titre1"/>
        <w:spacing w:before="0" w:line="312" w:lineRule="auto"/>
        <w:jc w:val="both"/>
        <w:rPr>
          <w:rFonts w:eastAsia="Calibri" w:cs="Calibri"/>
          <w:b/>
          <w:color w:val="auto"/>
          <w:sz w:val="24"/>
          <w:szCs w:val="24"/>
          <w:lang w:val="fr-FR" w:eastAsia="en-US"/>
        </w:rPr>
      </w:pPr>
      <w:bookmarkStart w:id="573" w:name="_Toc111888658"/>
      <w:bookmarkStart w:id="574" w:name="_Toc127187238"/>
      <w:bookmarkStart w:id="575" w:name="_Toc127187515"/>
      <w:bookmarkStart w:id="576" w:name="_Toc127432272"/>
      <w:r>
        <w:rPr>
          <w:rFonts w:eastAsia="Times New Roman" w:cs="Calibri"/>
          <w:b/>
          <w:bCs/>
          <w:color w:val="auto"/>
          <w:kern w:val="36"/>
          <w:sz w:val="24"/>
          <w:szCs w:val="24"/>
          <w:lang w:val="fr-FR" w:eastAsia="fr-FR"/>
        </w:rPr>
        <w:t xml:space="preserve">5.3. OBJECTIF DE LA SOCIETE </w:t>
      </w:r>
      <w:r>
        <w:rPr>
          <w:rFonts w:eastAsia="Calibri" w:cs="Calibri"/>
          <w:b/>
          <w:color w:val="auto"/>
          <w:sz w:val="24"/>
          <w:szCs w:val="24"/>
          <w:lang w:val="fr-FR" w:eastAsia="en-US"/>
        </w:rPr>
        <w:t>XIANG JIANG MINING SARL</w:t>
      </w:r>
      <w:bookmarkEnd w:id="571"/>
      <w:bookmarkEnd w:id="572"/>
      <w:bookmarkEnd w:id="573"/>
      <w:bookmarkEnd w:id="574"/>
      <w:bookmarkEnd w:id="575"/>
      <w:bookmarkEnd w:id="576"/>
    </w:p>
    <w:p w:rsidR="0089405D" w:rsidRDefault="0089405D">
      <w:pPr>
        <w:pStyle w:val="Titre1"/>
        <w:spacing w:before="0" w:line="312" w:lineRule="auto"/>
        <w:jc w:val="both"/>
        <w:rPr>
          <w:rFonts w:eastAsia="Calibri" w:cs="Calibri"/>
          <w:b/>
          <w:color w:val="auto"/>
          <w:sz w:val="24"/>
          <w:szCs w:val="24"/>
          <w:lang w:val="fr-FR" w:eastAsia="en-US"/>
        </w:rPr>
      </w:pP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L'industrie minière est l'ensemble des activités concernant la découverte et l'extraction des minéraux qui se trouvent sous la surface de la terre. Ces minéraux peuvent </w:t>
      </w:r>
      <w:r>
        <w:rPr>
          <w:rFonts w:eastAsia="Times New Roman" w:cs="Calibri"/>
          <w:sz w:val="24"/>
          <w:szCs w:val="24"/>
          <w:lang w:val="fr-FR" w:eastAsia="fr-FR"/>
        </w:rPr>
        <w:lastRenderedPageBreak/>
        <w:t>être métallique (tels que l'or et le cuivre) ou non métalliques (tels que le charbon, l'amiante ou le gravier)</w:t>
      </w:r>
      <w:r>
        <w:rPr>
          <w:rFonts w:eastAsia="Times New Roman" w:cs="Calibri"/>
          <w:sz w:val="24"/>
          <w:szCs w:val="24"/>
          <w:vertAlign w:val="superscript"/>
          <w:lang w:val="fr-FR" w:eastAsia="fr-FR"/>
        </w:rPr>
        <w:footnoteReference w:id="60"/>
      </w:r>
      <w:r>
        <w:rPr>
          <w:rFonts w:eastAsia="Times New Roman" w:cs="Calibri"/>
          <w:sz w:val="24"/>
          <w:szCs w:val="24"/>
          <w:lang w:val="fr-FR" w:eastAsia="fr-FR"/>
        </w:rPr>
        <w:t>.</w:t>
      </w:r>
    </w:p>
    <w:p w:rsidR="0089405D" w:rsidRDefault="0089405D">
      <w:pPr>
        <w:spacing w:after="0" w:line="312" w:lineRule="auto"/>
        <w:jc w:val="both"/>
        <w:rPr>
          <w:rFonts w:eastAsia="Times New Roman" w:cs="Calibri"/>
          <w:b/>
          <w:bCs/>
          <w:kern w:val="36"/>
          <w:sz w:val="24"/>
          <w:szCs w:val="24"/>
          <w:lang w:val="fr-FR" w:eastAsia="fr-FR"/>
        </w:rPr>
      </w:pPr>
    </w:p>
    <w:p w:rsidR="0089405D" w:rsidRDefault="003468E2">
      <w:pPr>
        <w:spacing w:after="0" w:line="312" w:lineRule="auto"/>
        <w:jc w:val="both"/>
        <w:rPr>
          <w:rFonts w:eastAsia="Times New Roman" w:cs="Calibri"/>
          <w:b/>
          <w:bCs/>
          <w:kern w:val="36"/>
          <w:sz w:val="24"/>
          <w:szCs w:val="24"/>
          <w:lang w:val="fr-FR" w:eastAsia="fr-FR"/>
        </w:rPr>
      </w:pPr>
      <w:r>
        <w:rPr>
          <w:rFonts w:eastAsia="Times New Roman" w:cs="Calibri"/>
          <w:b/>
          <w:bCs/>
          <w:kern w:val="36"/>
          <w:sz w:val="24"/>
          <w:szCs w:val="24"/>
          <w:lang w:val="fr-FR" w:eastAsia="fr-FR"/>
        </w:rPr>
        <w:t>L’objet Social de la société est d’effectuer (Afundi, N.et al., 2022):</w:t>
      </w:r>
    </w:p>
    <w:p w:rsidR="0089405D" w:rsidRDefault="003468E2">
      <w:pPr>
        <w:spacing w:after="0" w:line="312" w:lineRule="auto"/>
        <w:jc w:val="both"/>
        <w:rPr>
          <w:rFonts w:eastAsia="Times New Roman" w:cs="Calibri"/>
          <w:bCs/>
          <w:kern w:val="36"/>
          <w:sz w:val="24"/>
          <w:szCs w:val="24"/>
          <w:lang w:val="fr-FR" w:eastAsia="fr-FR"/>
        </w:rPr>
      </w:pPr>
      <w:r>
        <w:rPr>
          <w:rFonts w:eastAsia="Times New Roman" w:cs="Calibri"/>
          <w:bCs/>
          <w:kern w:val="36"/>
          <w:sz w:val="24"/>
          <w:szCs w:val="24"/>
          <w:lang w:val="fr-FR" w:eastAsia="fr-FR"/>
        </w:rPr>
        <w:t>- la prospection, la recherche, l’exploitation, l’extraction des minerais, vente, achat, productions des minerais ;</w:t>
      </w:r>
    </w:p>
    <w:p w:rsidR="0089405D" w:rsidRDefault="003468E2">
      <w:pPr>
        <w:spacing w:after="0" w:line="312" w:lineRule="auto"/>
        <w:jc w:val="both"/>
        <w:rPr>
          <w:rFonts w:eastAsia="Times New Roman" w:cs="Calibri"/>
          <w:bCs/>
          <w:kern w:val="36"/>
          <w:sz w:val="24"/>
          <w:szCs w:val="24"/>
          <w:lang w:val="fr-FR" w:eastAsia="fr-FR"/>
        </w:rPr>
      </w:pPr>
      <w:r>
        <w:rPr>
          <w:rFonts w:eastAsia="Times New Roman" w:cs="Calibri"/>
          <w:bCs/>
          <w:kern w:val="36"/>
          <w:sz w:val="24"/>
          <w:szCs w:val="24"/>
          <w:lang w:val="fr-FR" w:eastAsia="fr-FR"/>
        </w:rPr>
        <w:t>- les examens géologiques, géophysiques ou géochimiques, de forage, d’échantillonnage et d’essais sur des substances minérales ;</w:t>
      </w:r>
    </w:p>
    <w:p w:rsidR="0089405D" w:rsidRDefault="003468E2">
      <w:pPr>
        <w:spacing w:after="0" w:line="312" w:lineRule="auto"/>
        <w:jc w:val="both"/>
        <w:rPr>
          <w:rFonts w:eastAsia="Times New Roman" w:cs="Calibri"/>
          <w:bCs/>
          <w:kern w:val="36"/>
          <w:sz w:val="24"/>
          <w:szCs w:val="24"/>
          <w:lang w:val="fr-FR" w:eastAsia="fr-FR"/>
        </w:rPr>
      </w:pPr>
      <w:r>
        <w:rPr>
          <w:rFonts w:eastAsia="Times New Roman" w:cs="Calibri"/>
          <w:bCs/>
          <w:kern w:val="36"/>
          <w:sz w:val="24"/>
          <w:szCs w:val="24"/>
          <w:lang w:val="fr-FR" w:eastAsia="fr-FR"/>
        </w:rPr>
        <w:t>- les tests métallurgiques, les travaux de découverte (Ekele M. &amp; Mangambu M., 2020.</w:t>
      </w:r>
    </w:p>
    <w:p w:rsidR="0089405D" w:rsidRDefault="003468E2">
      <w:pPr>
        <w:spacing w:after="0" w:line="312" w:lineRule="auto"/>
        <w:jc w:val="both"/>
        <w:rPr>
          <w:rFonts w:eastAsia="Times New Roman" w:cs="Calibri"/>
          <w:sz w:val="24"/>
          <w:szCs w:val="24"/>
          <w:lang w:val="fr-FR" w:eastAsia="fr-FR"/>
        </w:rPr>
      </w:pPr>
      <w:r>
        <w:rPr>
          <w:rFonts w:eastAsia="Times New Roman" w:cs="Calibri"/>
          <w:bCs/>
          <w:kern w:val="36"/>
          <w:sz w:val="24"/>
          <w:szCs w:val="24"/>
          <w:lang w:val="fr-FR" w:eastAsia="fr-FR"/>
        </w:rPr>
        <w:tab/>
        <w:t>La société, avec un Capital d’affaire seulement de dix mille Dollars Américains (10 000 USD), est détenteur de deux permis de recherche, notamment 14765 (20 carrés) et 14764 (30 carrés) à Basoko donc un total de 50 carrés</w:t>
      </w:r>
      <w:r>
        <w:rPr>
          <w:rFonts w:eastAsia="Times New Roman" w:cs="Calibri"/>
          <w:bCs/>
          <w:kern w:val="36"/>
          <w:sz w:val="24"/>
          <w:szCs w:val="24"/>
          <w:vertAlign w:val="superscript"/>
          <w:lang w:val="fr-FR" w:eastAsia="fr-FR"/>
        </w:rPr>
        <w:footnoteReference w:id="61"/>
      </w:r>
      <w:r>
        <w:rPr>
          <w:rFonts w:eastAsia="Times New Roman" w:cs="Calibri"/>
          <w:bCs/>
          <w:kern w:val="36"/>
          <w:sz w:val="24"/>
          <w:szCs w:val="24"/>
          <w:lang w:val="fr-FR" w:eastAsia="fr-FR"/>
        </w:rPr>
        <w:t>. Contrairement cette attribution concessionnelle d’exploitation est cinq fois plus grande que celle de BANALIA avec un seul permis (10 carrés), dont l’authenticité fait l’objet de critique, car n’étant pas signés par des personnes attitrées</w:t>
      </w:r>
      <w:r>
        <w:rPr>
          <w:rFonts w:eastAsia="Calibri" w:cs="Calibri"/>
          <w:sz w:val="24"/>
          <w:szCs w:val="24"/>
          <w:lang w:val="fr-FR" w:eastAsia="en-US"/>
        </w:rPr>
        <w:t xml:space="preserve"> (</w:t>
      </w:r>
      <w:r>
        <w:rPr>
          <w:rFonts w:eastAsia="Times New Roman" w:cs="Calibri"/>
          <w:bCs/>
          <w:kern w:val="36"/>
          <w:sz w:val="24"/>
          <w:szCs w:val="24"/>
          <w:lang w:val="fr-FR" w:eastAsia="fr-FR"/>
        </w:rPr>
        <w:t xml:space="preserve">Ekele M. &amp; Mangambu M., 2020). </w:t>
      </w:r>
      <w:r>
        <w:rPr>
          <w:rFonts w:eastAsia="Times New Roman" w:cs="Calibri"/>
          <w:bCs/>
          <w:kern w:val="36"/>
          <w:sz w:val="24"/>
          <w:szCs w:val="24"/>
          <w:lang w:val="fr-FR" w:eastAsia="fr-FR"/>
        </w:rPr>
        <w:tab/>
      </w:r>
      <w:r>
        <w:rPr>
          <w:rFonts w:eastAsia="Times New Roman" w:cs="Calibri"/>
          <w:sz w:val="24"/>
          <w:szCs w:val="24"/>
          <w:lang w:val="fr-FR" w:eastAsia="fr-FR"/>
        </w:rPr>
        <w:t xml:space="preserve">Outre ce document, y compris leurs statuts du 29 avril 2019, l’entreprise </w:t>
      </w:r>
      <w:r>
        <w:rPr>
          <w:rFonts w:eastAsia="Times New Roman" w:cs="Calibri"/>
          <w:i/>
          <w:sz w:val="24"/>
          <w:szCs w:val="24"/>
          <w:lang w:val="fr-FR" w:eastAsia="fr-FR"/>
        </w:rPr>
        <w:t>Xiang Jiang Mininig Sarl</w:t>
      </w:r>
      <w:r>
        <w:rPr>
          <w:rFonts w:eastAsia="Times New Roman" w:cs="Calibri"/>
          <w:sz w:val="24"/>
          <w:szCs w:val="24"/>
          <w:lang w:val="fr-FR" w:eastAsia="fr-FR"/>
        </w:rPr>
        <w:t>, récemment créée, détient aussi un Récépissé n°001/2020 du 03 janvier 2020, délivré par le Ministère Provincial de la province de la Tshopo en Charge des Mines, Energie, Hydrocarbures et Relation avec l’Assemblée Provinciale, ainsi que l’Identification nationale du 09 juillet 2019, signée par le Secrétaire Général à l’Economie Nationale. La notification du Numéro impôt A 1912839C du 19 juillet 2019, signée par la direction de l’Assiette fiscale du ministère des Finances. Malheureusement nous n’avons pas réuni certaines correspondances</w:t>
      </w:r>
      <w:r>
        <w:rPr>
          <w:rFonts w:eastAsia="Times New Roman" w:cs="Calibri"/>
          <w:sz w:val="24"/>
          <w:szCs w:val="24"/>
          <w:vertAlign w:val="superscript"/>
          <w:lang w:val="fr-FR" w:eastAsia="fr-FR"/>
        </w:rPr>
        <w:footnoteReference w:id="62"/>
      </w:r>
      <w:r>
        <w:rPr>
          <w:rFonts w:eastAsia="Times New Roman" w:cs="Calibri"/>
          <w:sz w:val="24"/>
          <w:szCs w:val="24"/>
          <w:lang w:val="fr-FR" w:eastAsia="fr-FR"/>
        </w:rPr>
        <w:t xml:space="preserve">. </w:t>
      </w:r>
    </w:p>
    <w:p w:rsidR="0089405D" w:rsidRDefault="003468E2">
      <w:pPr>
        <w:pStyle w:val="Titre1"/>
        <w:spacing w:before="0" w:line="312" w:lineRule="auto"/>
        <w:jc w:val="both"/>
        <w:rPr>
          <w:rFonts w:eastAsia="Calibri" w:cs="Calibri"/>
          <w:b/>
          <w:color w:val="auto"/>
          <w:sz w:val="24"/>
          <w:szCs w:val="24"/>
          <w:lang w:val="fr-FR" w:eastAsia="en-US"/>
        </w:rPr>
      </w:pPr>
      <w:bookmarkStart w:id="577" w:name="_Toc111888659"/>
      <w:bookmarkStart w:id="578" w:name="_Toc127187239"/>
      <w:bookmarkStart w:id="579" w:name="_Toc127187516"/>
      <w:bookmarkStart w:id="580" w:name="_Toc127432273"/>
      <w:bookmarkStart w:id="581" w:name="_Toc60313824"/>
      <w:r>
        <w:rPr>
          <w:rFonts w:eastAsia="Calibri" w:cs="Calibri"/>
          <w:b/>
          <w:color w:val="auto"/>
          <w:sz w:val="24"/>
          <w:szCs w:val="24"/>
          <w:lang w:val="fr-FR" w:eastAsia="en-US"/>
        </w:rPr>
        <w:lastRenderedPageBreak/>
        <w:t>5.4. D’ASYMETRIE SUR LES CONVENTIONS</w:t>
      </w:r>
      <w:bookmarkEnd w:id="577"/>
      <w:bookmarkEnd w:id="578"/>
      <w:bookmarkEnd w:id="579"/>
      <w:bookmarkEnd w:id="580"/>
    </w:p>
    <w:p w:rsidR="0089405D" w:rsidRDefault="0089405D">
      <w:pPr>
        <w:pStyle w:val="Titre1"/>
        <w:spacing w:before="0" w:line="312" w:lineRule="auto"/>
        <w:jc w:val="both"/>
        <w:rPr>
          <w:rFonts w:eastAsia="Calibri" w:cs="Calibri"/>
          <w:b/>
          <w:color w:val="auto"/>
          <w:sz w:val="24"/>
          <w:szCs w:val="24"/>
          <w:lang w:val="fr-FR" w:eastAsia="en-US"/>
        </w:rPr>
      </w:pP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Dans le contexte de notre étude, des enjeux liés à la redéfinition des rôles et responsabilités au plan national, le rapport de l’Etat à l’exploitation minière se positionne comme une façon de s’inscrire et de faire fonctionner des systèmes des relations sociales. Ces rapports sociaux incluent à fois les démembrements de l’Etat, la société minière et les acteurs locaux, le processus normatif de l’acceptabilité sociale et des imaginaires autour du développement. Ce qui alimente une sorte de jeu social (Afundi, N. et al., 2022).</w:t>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La focalisation du discours étatique sur les aspects positifs de l’exploitation minière montre que c’est à travers les productions imaginaires et symboliques de l’exploitation minière que les populations prennent conscience du rôle de l’exploitation minière dans le développement local. Les populations deviennent ainsi un lieu stratégique d’ancrage de l’exploitation minière dans le local. Toutefois, cette stratégie de communication occulte d’autres enjeux qui constituent les prémices des asymétries informationnelles au niveau local.</w:t>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L’emphase mise par l’Etat sur les aspects positifs de l’exploitation minière passent sous silence des enjeux cruciaux en termes d’accès à l’information claire et transparente à la fois sur l’exploitation minière (ces impacts avant, pendant et après), sur la sensibilisation aux codes minier, foncier et environnement, sur des questions de dédommagement, d’emploi, de mécanismes de négociation et de résolution des conflits. </w:t>
      </w:r>
    </w:p>
    <w:p w:rsidR="0089405D" w:rsidRDefault="003468E2">
      <w:pPr>
        <w:spacing w:after="0" w:line="312" w:lineRule="auto"/>
        <w:ind w:firstLine="708"/>
        <w:jc w:val="both"/>
        <w:rPr>
          <w:rFonts w:eastAsia="Times New Roman" w:cs="Calibri"/>
          <w:bCs/>
          <w:kern w:val="36"/>
          <w:sz w:val="24"/>
          <w:szCs w:val="24"/>
          <w:lang w:val="fr-FR" w:eastAsia="fr-FR"/>
        </w:rPr>
      </w:pPr>
      <w:r>
        <w:rPr>
          <w:rFonts w:eastAsia="Times New Roman" w:cs="Calibri"/>
          <w:bCs/>
          <w:kern w:val="36"/>
          <w:sz w:val="24"/>
          <w:szCs w:val="24"/>
          <w:lang w:val="fr-FR" w:eastAsia="fr-FR"/>
        </w:rPr>
        <w:t xml:space="preserve">Il ressort, selon données en notre possession, que l’asymétrie de renseignement au niveau local a pour base la reprise du discours mobilisateur de l’Etat par la société minière. La société minière vise à légitimer son projet au niveau local. De fait, elle met une stratégie de communication faite des promesses de dédommagement, de richesses, de création d’emplois, de construction d’infrastructures, etc. Ce mécanisme de communication vise à amplifier les aspects positifs de la mine d’or au détriment de ces inconvénients. De là, elle rejoint l’Etat. Des minerais, ces productions symboliques amplifient des attentes sociales parfois démesurées chez les populations </w:t>
      </w:r>
      <w:r>
        <w:rPr>
          <w:rFonts w:eastAsia="Calibri" w:cs="Calibri"/>
          <w:sz w:val="24"/>
          <w:szCs w:val="24"/>
          <w:lang w:val="fr-FR" w:eastAsia="en-US"/>
        </w:rPr>
        <w:t xml:space="preserve">(Afundi, N. et al., 2022). </w:t>
      </w:r>
      <w:r>
        <w:rPr>
          <w:rFonts w:eastAsia="Times New Roman" w:cs="Calibri"/>
          <w:bCs/>
          <w:kern w:val="36"/>
          <w:sz w:val="24"/>
          <w:szCs w:val="24"/>
          <w:lang w:val="fr-FR" w:eastAsia="fr-FR"/>
        </w:rPr>
        <w:t xml:space="preserve"> </w:t>
      </w:r>
    </w:p>
    <w:p w:rsidR="0089405D" w:rsidRDefault="003468E2">
      <w:pPr>
        <w:spacing w:after="0" w:line="312" w:lineRule="auto"/>
        <w:ind w:firstLine="709"/>
        <w:jc w:val="both"/>
        <w:rPr>
          <w:rFonts w:eastAsia="Times New Roman" w:cs="Calibri"/>
          <w:bCs/>
          <w:kern w:val="36"/>
          <w:sz w:val="24"/>
          <w:szCs w:val="24"/>
          <w:lang w:val="fr-FR" w:eastAsia="fr-FR"/>
        </w:rPr>
      </w:pPr>
      <w:r>
        <w:rPr>
          <w:rFonts w:eastAsia="Times New Roman" w:cs="Calibri"/>
          <w:bCs/>
          <w:kern w:val="36"/>
          <w:sz w:val="24"/>
          <w:szCs w:val="24"/>
          <w:lang w:val="fr-FR" w:eastAsia="fr-FR"/>
        </w:rPr>
        <w:t xml:space="preserve">Cette analyse est nuancée par l’extrait de l’entretien avec un chef traditionnel de la localité : « Quand la société minière est arrivée ici, elle a promis que nous allions être riches, nos villages allaient être bitumés avec toutes les commodités. Mais depuis qu’elle s’est </w:t>
      </w:r>
      <w:r>
        <w:rPr>
          <w:rFonts w:eastAsia="Times New Roman" w:cs="Calibri"/>
          <w:bCs/>
          <w:kern w:val="36"/>
          <w:sz w:val="24"/>
          <w:szCs w:val="24"/>
          <w:lang w:val="fr-FR" w:eastAsia="fr-FR"/>
        </w:rPr>
        <w:lastRenderedPageBreak/>
        <w:t>installée, on ne voit rien du tout ».</w:t>
      </w:r>
      <w:r>
        <w:rPr>
          <w:rFonts w:cs="Calibri"/>
          <w:lang w:val="fr-FR"/>
        </w:rPr>
        <w:t xml:space="preserve"> </w:t>
      </w:r>
      <w:r>
        <w:rPr>
          <w:rFonts w:eastAsia="Times New Roman" w:cs="Calibri"/>
          <w:bCs/>
          <w:kern w:val="36"/>
          <w:sz w:val="24"/>
          <w:szCs w:val="24"/>
          <w:lang w:val="fr-FR" w:eastAsia="fr-FR"/>
        </w:rPr>
        <w:t xml:space="preserve">Cette tendance accroit les rumeurs et les incompréhensions autour de la mine. Ce qui produit différents niveaux d’asymétries d’information. L’asymétrie d’information entre la société minière et la population riveraine et locale de Basoko a pour base la transaction individuelle caractérisée par l’absence du non-respect du cahier des charges. </w:t>
      </w:r>
    </w:p>
    <w:p w:rsidR="0089405D" w:rsidRDefault="003468E2">
      <w:pPr>
        <w:spacing w:after="0" w:line="312" w:lineRule="auto"/>
        <w:ind w:firstLine="709"/>
        <w:jc w:val="both"/>
        <w:rPr>
          <w:rFonts w:eastAsia="Times New Roman" w:cs="Calibri"/>
          <w:bCs/>
          <w:kern w:val="36"/>
          <w:sz w:val="24"/>
          <w:szCs w:val="24"/>
          <w:lang w:val="fr-FR" w:eastAsia="fr-FR"/>
        </w:rPr>
      </w:pPr>
      <w:r>
        <w:rPr>
          <w:rFonts w:eastAsia="Times New Roman" w:cs="Calibri"/>
          <w:bCs/>
          <w:kern w:val="36"/>
          <w:sz w:val="24"/>
          <w:szCs w:val="24"/>
          <w:lang w:val="fr-FR" w:eastAsia="fr-FR"/>
        </w:rPr>
        <w:t xml:space="preserve">Au regard de la croyance en l’intérêt du jeu social, le conflit devient un opérateur idéologique et matériel de maintien ou de renégociation des positions. Le conflit permet, d’une part de maintenir ou de modifier les positions asymétriques, notamment entre la mutuelle, la population riveraine et locale de Basoko, chefferies locales et la société minière chinoise. </w:t>
      </w:r>
    </w:p>
    <w:p w:rsidR="0089405D" w:rsidRDefault="003468E2">
      <w:pPr>
        <w:spacing w:after="0" w:line="312" w:lineRule="auto"/>
        <w:ind w:firstLine="709"/>
        <w:jc w:val="both"/>
        <w:rPr>
          <w:rFonts w:eastAsia="Times New Roman" w:cs="Calibri"/>
          <w:bCs/>
          <w:kern w:val="36"/>
          <w:sz w:val="24"/>
          <w:szCs w:val="24"/>
          <w:lang w:val="fr-FR" w:eastAsia="fr-FR"/>
        </w:rPr>
      </w:pPr>
      <w:r>
        <w:rPr>
          <w:rFonts w:eastAsia="Times New Roman" w:cs="Calibri"/>
          <w:bCs/>
          <w:kern w:val="36"/>
          <w:sz w:val="24"/>
          <w:szCs w:val="24"/>
          <w:lang w:val="fr-FR" w:eastAsia="fr-FR"/>
        </w:rPr>
        <w:t>De façon générale, on retient que l’asymétrie d’information met en évidence l’importance stratégique de l’information en tant ressource du pouvoir permettant de capter d’autres ressources symboliques (statuts, positions, responsabilités) et des ressources matérielles associées (moyens financiers, moyens de déplacement ‘motos ou véhicules’, opérations immobilières, etc.). L’asymétrie d’information est aussi rationnellement produite. Le cadre social de la négociation renforce la poursuite d’intérêts individuels au détriment des intérêts collectifs.</w:t>
      </w:r>
    </w:p>
    <w:p w:rsidR="0089405D" w:rsidRDefault="003468E2">
      <w:pPr>
        <w:spacing w:after="0" w:line="312" w:lineRule="auto"/>
        <w:ind w:firstLine="709"/>
        <w:jc w:val="both"/>
        <w:rPr>
          <w:rFonts w:eastAsia="Times New Roman" w:cs="Calibri"/>
          <w:bCs/>
          <w:kern w:val="36"/>
          <w:sz w:val="24"/>
          <w:szCs w:val="24"/>
          <w:lang w:val="fr-FR" w:eastAsia="fr-FR"/>
        </w:rPr>
      </w:pPr>
      <w:r>
        <w:rPr>
          <w:rFonts w:eastAsia="Times New Roman" w:cs="Calibri"/>
          <w:bCs/>
          <w:kern w:val="36"/>
          <w:sz w:val="24"/>
          <w:szCs w:val="24"/>
          <w:lang w:val="fr-FR" w:eastAsia="fr-FR"/>
        </w:rPr>
        <w:t xml:space="preserve">De fait, les négociations de départ avec un certain nombre de leadeurs et l’absence des avis de la communauté riveraine, et l’absence de tous les membres de la société civile et la reproduction du discours macroéconomique de l’Etat par la firme constituent différentes situations d’asymétries d’informations. </w:t>
      </w:r>
    </w:p>
    <w:p w:rsidR="0089405D" w:rsidRDefault="0089405D">
      <w:pPr>
        <w:spacing w:after="0" w:line="312" w:lineRule="auto"/>
        <w:ind w:firstLine="709"/>
        <w:jc w:val="both"/>
        <w:rPr>
          <w:rFonts w:eastAsia="Times New Roman" w:cs="Calibri"/>
          <w:bCs/>
          <w:kern w:val="36"/>
          <w:sz w:val="24"/>
          <w:szCs w:val="24"/>
          <w:lang w:val="fr-FR" w:eastAsia="fr-FR"/>
        </w:rPr>
      </w:pPr>
    </w:p>
    <w:p w:rsidR="0089405D" w:rsidRDefault="003468E2">
      <w:pPr>
        <w:pStyle w:val="Titre1"/>
        <w:spacing w:before="0" w:line="312" w:lineRule="auto"/>
        <w:rPr>
          <w:rFonts w:eastAsia="Times New Roman" w:cs="Calibri"/>
          <w:b/>
          <w:bCs/>
          <w:color w:val="auto"/>
          <w:kern w:val="36"/>
          <w:sz w:val="24"/>
          <w:szCs w:val="24"/>
          <w:lang w:val="fr-FR" w:eastAsia="fr-FR"/>
        </w:rPr>
      </w:pPr>
      <w:bookmarkStart w:id="582" w:name="_Toc79393000"/>
      <w:bookmarkStart w:id="583" w:name="_Toc111888660"/>
      <w:bookmarkStart w:id="584" w:name="_Toc127187240"/>
      <w:bookmarkStart w:id="585" w:name="_Toc127187517"/>
      <w:bookmarkStart w:id="586" w:name="_Toc127432274"/>
      <w:r>
        <w:rPr>
          <w:rFonts w:eastAsia="Times New Roman" w:cs="Calibri"/>
          <w:b/>
          <w:bCs/>
          <w:color w:val="auto"/>
          <w:kern w:val="36"/>
          <w:sz w:val="24"/>
          <w:szCs w:val="24"/>
          <w:lang w:val="fr-FR" w:eastAsia="fr-FR"/>
        </w:rPr>
        <w:t>5.5. IRREGULARITES DE PROCEDURE</w:t>
      </w:r>
      <w:bookmarkEnd w:id="581"/>
      <w:bookmarkEnd w:id="582"/>
      <w:bookmarkEnd w:id="583"/>
      <w:bookmarkEnd w:id="584"/>
      <w:bookmarkEnd w:id="585"/>
      <w:bookmarkEnd w:id="586"/>
      <w:r>
        <w:rPr>
          <w:rFonts w:eastAsia="Times New Roman" w:cs="Calibri"/>
          <w:b/>
          <w:bCs/>
          <w:color w:val="auto"/>
          <w:kern w:val="36"/>
          <w:sz w:val="24"/>
          <w:szCs w:val="24"/>
          <w:lang w:val="fr-FR" w:eastAsia="fr-FR"/>
        </w:rPr>
        <w:t xml:space="preserve"> </w:t>
      </w:r>
    </w:p>
    <w:p w:rsidR="0089405D" w:rsidRDefault="0089405D">
      <w:pPr>
        <w:pStyle w:val="Titre1"/>
        <w:spacing w:before="0" w:line="312" w:lineRule="auto"/>
        <w:rPr>
          <w:rFonts w:eastAsia="Times New Roman" w:cs="Calibri"/>
          <w:b/>
          <w:bCs/>
          <w:color w:val="auto"/>
          <w:kern w:val="36"/>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Pendant que les différentes couches de la population luttent contre l’exploitation illicite et sauvage des forêts par la société chinoise dénommée « Forestière pour le Développement du Congo (FODECO), voilà encore qu’ une autre société qui apparaît pour exploiter de « gré ou de force », les minerais aux Villages Liambe, Likombe, Ilongo-Mbutu, Ilongo-Koki, Yangonde-Lioto, Yakoyo, Bomane, Baonde environs, situés le longs de la rivière Aruwimi, à plus ou moins 300 Km de Kisangani, dans le Secteur de Bangelema - Mongandjo, Territoire de Basoko, en Province de la Tshopo. Pour ce faire, deux dragues robots sont présentement accostées au port du Village Yangoma, sur le fleuve Congo, dans le Territoire de Basoko, en attente d’être dirigées pour les lieux d’exploitation précités. Par ailleurs, la troisième drague est en cours de montage dans la Ville de Kisangani pour la même cause.</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lastRenderedPageBreak/>
        <w:t xml:space="preserve">Les intéressés ont réussi à créer à partir de Kisangani, une structure dénommée « Comité pour l’Exploitation des Minerais de Basoko », en sigle </w:t>
      </w:r>
      <w:r>
        <w:rPr>
          <w:rFonts w:eastAsia="Times New Roman" w:cs="Calibri"/>
          <w:b/>
          <w:sz w:val="24"/>
          <w:szCs w:val="24"/>
          <w:lang w:val="fr-FR" w:eastAsia="fr-FR"/>
        </w:rPr>
        <w:t>COMIBA</w:t>
      </w:r>
      <w:r>
        <w:rPr>
          <w:rFonts w:eastAsia="Times New Roman" w:cs="Calibri"/>
          <w:sz w:val="24"/>
          <w:szCs w:val="24"/>
          <w:lang w:val="fr-FR" w:eastAsia="fr-FR"/>
        </w:rPr>
        <w:t>, dans le seul but d’appuyer cette entreprise, afin d’exploiter en toute quiétude l’or, le diamant et les autres minerais présents dans ces entités. Le détail est indiqué dans les lignes qui suivent (Afundi, N.et al., 2022). </w:t>
      </w:r>
    </w:p>
    <w:p w:rsidR="0089405D" w:rsidRDefault="003468E2">
      <w:pPr>
        <w:pStyle w:val="Titre1"/>
        <w:tabs>
          <w:tab w:val="left" w:pos="1779"/>
        </w:tabs>
        <w:spacing w:before="0" w:line="312" w:lineRule="auto"/>
        <w:rPr>
          <w:rFonts w:eastAsia="Times New Roman" w:cs="Calibri"/>
          <w:b/>
          <w:color w:val="auto"/>
          <w:sz w:val="24"/>
          <w:szCs w:val="24"/>
          <w:lang w:val="fr-FR" w:eastAsia="fr-FR"/>
        </w:rPr>
      </w:pPr>
      <w:bookmarkStart w:id="587" w:name="_Toc79393002"/>
      <w:r>
        <w:rPr>
          <w:rFonts w:eastAsia="Times New Roman" w:cs="Calibri"/>
          <w:b/>
          <w:color w:val="auto"/>
          <w:sz w:val="24"/>
          <w:szCs w:val="24"/>
          <w:lang w:val="fr-FR" w:eastAsia="fr-FR"/>
        </w:rPr>
        <w:tab/>
      </w:r>
    </w:p>
    <w:p w:rsidR="0089405D" w:rsidRDefault="003468E2">
      <w:pPr>
        <w:pStyle w:val="Titre1"/>
        <w:spacing w:before="0" w:line="312" w:lineRule="auto"/>
        <w:jc w:val="both"/>
        <w:rPr>
          <w:rFonts w:eastAsia="Times New Roman" w:cs="Calibri"/>
          <w:b/>
          <w:color w:val="auto"/>
          <w:sz w:val="24"/>
          <w:szCs w:val="24"/>
          <w:lang w:val="fr-FR" w:eastAsia="fr-FR"/>
        </w:rPr>
      </w:pPr>
      <w:bookmarkStart w:id="588" w:name="_Toc111888661"/>
      <w:bookmarkStart w:id="589" w:name="_Toc127187241"/>
      <w:bookmarkStart w:id="590" w:name="_Toc127187518"/>
      <w:bookmarkStart w:id="591" w:name="_Toc127432275"/>
      <w:r>
        <w:rPr>
          <w:rFonts w:eastAsia="Times New Roman" w:cs="Calibri"/>
          <w:b/>
          <w:color w:val="auto"/>
          <w:sz w:val="24"/>
          <w:szCs w:val="24"/>
          <w:lang w:val="fr-FR" w:eastAsia="fr-FR"/>
        </w:rPr>
        <w:t>5.5.1. DE LA REACTION DE LA POPULATION DE BASOKO ET DES ASSOCIATIONS LOCALES SANS BUT LUCRATIFS</w:t>
      </w:r>
      <w:bookmarkEnd w:id="587"/>
      <w:bookmarkEnd w:id="588"/>
      <w:bookmarkEnd w:id="589"/>
      <w:bookmarkEnd w:id="590"/>
      <w:bookmarkEnd w:id="591"/>
      <w:r>
        <w:rPr>
          <w:rFonts w:eastAsia="Times New Roman" w:cs="Calibri"/>
          <w:b/>
          <w:color w:val="auto"/>
          <w:sz w:val="24"/>
          <w:szCs w:val="24"/>
          <w:lang w:val="fr-FR" w:eastAsia="fr-FR"/>
        </w:rPr>
        <w:t xml:space="preserve"> </w:t>
      </w:r>
    </w:p>
    <w:p w:rsidR="0089405D" w:rsidRDefault="0089405D">
      <w:pPr>
        <w:pStyle w:val="Titre1"/>
        <w:spacing w:before="0" w:line="312" w:lineRule="auto"/>
        <w:jc w:val="both"/>
        <w:rPr>
          <w:rFonts w:eastAsia="Times New Roman" w:cs="Calibri"/>
          <w:b/>
          <w:color w:val="auto"/>
          <w:sz w:val="24"/>
          <w:szCs w:val="24"/>
          <w:lang w:val="fr-FR" w:eastAsia="fr-FR"/>
        </w:rPr>
      </w:pPr>
    </w:p>
    <w:p w:rsidR="0089405D" w:rsidRDefault="003468E2">
      <w:pPr>
        <w:spacing w:after="0" w:line="312" w:lineRule="auto"/>
        <w:jc w:val="both"/>
        <w:rPr>
          <w:rFonts w:eastAsia="Times New Roman" w:cs="Calibri"/>
          <w:sz w:val="24"/>
          <w:szCs w:val="24"/>
          <w:lang w:val="fr-FR" w:eastAsia="fr-FR"/>
        </w:rPr>
      </w:pPr>
      <w:r>
        <w:rPr>
          <w:rFonts w:eastAsia="Times New Roman" w:cs="Calibri"/>
          <w:b/>
          <w:sz w:val="24"/>
          <w:szCs w:val="24"/>
          <w:lang w:val="fr-FR" w:eastAsia="fr-FR"/>
        </w:rPr>
        <w:t>5.5.1.1. De L’analyse Du Dossier </w:t>
      </w:r>
      <w:r>
        <w:rPr>
          <w:rFonts w:eastAsia="Times New Roman" w:cs="Calibri"/>
          <w:sz w:val="24"/>
          <w:szCs w:val="24"/>
          <w:lang w:val="fr-FR" w:eastAsia="fr-FR"/>
        </w:rPr>
        <w:t>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La population locale et ses associations ont démontré trop d’irrégularités dans le dossier d’exploitation des minerais par cette société commerciale et industrielle, dont voici quelques-unes (Figure 5.1)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Absence d’extrait de la carte de retombée minière et coordonnées géographiques pour les 03 (trois) concessions, y compris les numéros du jugement sous RPNC 45.190iété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Aucune adresse de ladite société, indiquée en termes du bureau de représentation ni à Basoko ni à Kisangani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L’élaboration à Kisangani par une poignée de personnes de la communauté de Basoko, par un groupe des fils du terroir (notamment l’association LENYAMA-ABONGA) d’un cahier de charges en lieu et place de la communauté riveraine.</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Avant l’exploitation semi-industrielle/industrielle, deux villages en l’occurrence Liambe et Likombe qui se trouvent dans la forêt seront délocalisés, chassés et éloignés ainsi de leurs terres ancestrales près du fleuve Congo. Les riverains s’opposent à la délocalisation de leurs villages (Figure 5.1.) refusant que la firme chinoise ne puisse exploiter dans leurs terres, les autochtones ainsi que plusieurs personnalités originaires du territoire sollicitent l’annulation de ces deux permis de recherche afin de jouir pleinement de leur terre ancestrale même si le sol et le sous-sol appartiennent à l’Etat, l’Etat lui-même garantit le droit à la propriété privée.</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Lorsque les deux arrêtés du ministre des mines qui accordent des permis de recherche à la société Xiang Jiang Mining SARL se superposent sur des territoires qui sont en réalité des villages dans lesquels habitent les ressortissants de Basoko en particulier ceux des villages Liambe et Likombe depuis des siècles, il s’agit en réalité d’une violation du droit à la propriété. Cette population est aujourd’hui forcée à quitter la terre qu’elle occupe depuis des siècles pour aller dans des terres nouvelles. Or, vivant principalement de la pêche autour du fleuve </w:t>
      </w:r>
      <w:r>
        <w:rPr>
          <w:rFonts w:eastAsia="Times New Roman" w:cs="Calibri"/>
          <w:sz w:val="24"/>
          <w:szCs w:val="24"/>
          <w:lang w:val="fr-FR" w:eastAsia="fr-FR"/>
        </w:rPr>
        <w:lastRenderedPageBreak/>
        <w:t>Congo et de la rivière Aruwimi, elle est envoyée à l’intérieur de la forêt où elle butera à d’énormes difficultés de survie parce qu’elle aura été dépourvue de tous les moyens dont elle tire sa subsistance.</w:t>
      </w:r>
    </w:p>
    <w:p w:rsidR="0089405D" w:rsidRDefault="0089405D">
      <w:pPr>
        <w:spacing w:after="0" w:line="312" w:lineRule="auto"/>
        <w:ind w:firstLine="709"/>
        <w:jc w:val="both"/>
        <w:rPr>
          <w:rFonts w:eastAsia="Times New Roman" w:cs="Calibri"/>
          <w:sz w:val="24"/>
          <w:szCs w:val="24"/>
          <w:lang w:val="fr-FR" w:eastAsia="fr-FR"/>
        </w:rPr>
      </w:pPr>
    </w:p>
    <w:p w:rsidR="0089405D" w:rsidRDefault="003468E2">
      <w:pPr>
        <w:spacing w:after="0" w:line="312" w:lineRule="auto"/>
        <w:jc w:val="center"/>
        <w:rPr>
          <w:rFonts w:eastAsia="Times New Roman" w:cs="Calibri"/>
          <w:sz w:val="24"/>
          <w:szCs w:val="24"/>
          <w:lang w:val="fr-FR" w:eastAsia="fr-FR"/>
        </w:rPr>
      </w:pPr>
      <w:r>
        <w:rPr>
          <w:rFonts w:eastAsia="Times New Roman" w:cs="Calibri"/>
          <w:noProof/>
          <w:sz w:val="24"/>
          <w:szCs w:val="24"/>
          <w:lang w:val="fr-FR" w:eastAsia="fr-FR"/>
        </w:rPr>
        <w:drawing>
          <wp:inline distT="0" distB="0" distL="0" distR="0">
            <wp:extent cx="5100827" cy="2870261"/>
            <wp:effectExtent l="19050" t="19050" r="24130" b="25400"/>
            <wp:docPr id="1043" name="Image 1037" descr="C:\Users\MANGAMBU J DE DIEU\Desktop\Présentation1\Diapositiv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037"/>
                    <pic:cNvPicPr/>
                  </pic:nvPicPr>
                  <pic:blipFill>
                    <a:blip r:embed="rId81" cstate="print"/>
                    <a:srcRect/>
                    <a:stretch/>
                  </pic:blipFill>
                  <pic:spPr>
                    <a:xfrm>
                      <a:off x="0" y="0"/>
                      <a:ext cx="5100827" cy="2870261"/>
                    </a:xfrm>
                    <a:prstGeom prst="rect">
                      <a:avLst/>
                    </a:prstGeom>
                    <a:ln w="9525" cap="flat" cmpd="sng">
                      <a:solidFill>
                        <a:srgbClr val="000000"/>
                      </a:solidFill>
                      <a:prstDash val="solid"/>
                      <a:round/>
                      <a:headEnd/>
                      <a:tailEnd/>
                    </a:ln>
                  </pic:spPr>
                </pic:pic>
              </a:graphicData>
            </a:graphic>
          </wp:inline>
        </w:drawing>
      </w:r>
    </w:p>
    <w:p w:rsidR="0089405D" w:rsidRDefault="003468E2">
      <w:pPr>
        <w:pStyle w:val="Titre1"/>
        <w:spacing w:before="0" w:line="312" w:lineRule="auto"/>
        <w:jc w:val="both"/>
        <w:rPr>
          <w:rFonts w:eastAsia="Times New Roman" w:cs="Calibri"/>
          <w:b/>
          <w:i/>
          <w:color w:val="auto"/>
          <w:sz w:val="24"/>
          <w:szCs w:val="24"/>
          <w:lang w:val="fr-FR" w:eastAsia="fr-FR"/>
        </w:rPr>
      </w:pPr>
      <w:bookmarkStart w:id="592" w:name="_Toc80352069"/>
      <w:bookmarkStart w:id="593" w:name="_Toc111888885"/>
      <w:bookmarkStart w:id="594" w:name="_Toc127181767"/>
      <w:bookmarkStart w:id="595" w:name="_Toc127182162"/>
      <w:bookmarkStart w:id="596" w:name="_Toc127182885"/>
      <w:bookmarkStart w:id="597" w:name="_Toc127187242"/>
      <w:bookmarkStart w:id="598" w:name="_Toc127187519"/>
      <w:bookmarkStart w:id="599" w:name="_Toc127432276"/>
      <w:r>
        <w:rPr>
          <w:rFonts w:eastAsia="Times New Roman" w:cs="Calibri"/>
          <w:b/>
          <w:i/>
          <w:color w:val="auto"/>
          <w:sz w:val="24"/>
          <w:szCs w:val="24"/>
          <w:lang w:val="fr-FR" w:eastAsia="fr-FR"/>
        </w:rPr>
        <w:t>Figure 5.1. La population de Basoko dit non à l’exploitation des minerais par la Société Xiang Jiang Mining SARL à Liambe (photo MS)</w:t>
      </w:r>
      <w:bookmarkEnd w:id="592"/>
      <w:bookmarkEnd w:id="593"/>
      <w:bookmarkEnd w:id="594"/>
      <w:bookmarkEnd w:id="595"/>
      <w:bookmarkEnd w:id="596"/>
      <w:bookmarkEnd w:id="597"/>
      <w:bookmarkEnd w:id="598"/>
      <w:bookmarkEnd w:id="599"/>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jc w:val="both"/>
        <w:rPr>
          <w:rFonts w:eastAsia="Times New Roman" w:cs="Calibri"/>
          <w:b/>
          <w:bCs/>
          <w:sz w:val="24"/>
          <w:szCs w:val="24"/>
          <w:lang w:val="fr-FR" w:eastAsia="fr-FR"/>
        </w:rPr>
      </w:pPr>
      <w:r>
        <w:rPr>
          <w:rFonts w:eastAsia="Times New Roman" w:cs="Calibri"/>
          <w:b/>
          <w:bCs/>
          <w:sz w:val="24"/>
          <w:szCs w:val="24"/>
          <w:lang w:val="fr-FR" w:eastAsia="fr-FR"/>
        </w:rPr>
        <w:t>5.5.1.2. Dans l’esprit du code minier révisé, les communautés ont non seulement des droits, mais également des obligations.</w:t>
      </w:r>
    </w:p>
    <w:p w:rsidR="0089405D" w:rsidRDefault="003468E2">
      <w:pPr>
        <w:spacing w:after="0" w:line="312" w:lineRule="auto"/>
        <w:ind w:firstLine="708"/>
        <w:jc w:val="both"/>
        <w:rPr>
          <w:rFonts w:eastAsia="Times New Roman" w:cs="Calibri"/>
          <w:bCs/>
          <w:sz w:val="24"/>
          <w:szCs w:val="24"/>
          <w:lang w:val="fr-FR" w:eastAsia="fr-FR"/>
        </w:rPr>
      </w:pPr>
      <w:r>
        <w:rPr>
          <w:rFonts w:eastAsia="Times New Roman" w:cs="Calibri"/>
          <w:bCs/>
          <w:sz w:val="24"/>
          <w:szCs w:val="24"/>
          <w:lang w:val="fr-FR" w:eastAsia="fr-FR"/>
        </w:rPr>
        <w:t>D’après</w:t>
      </w:r>
      <w:r>
        <w:rPr>
          <w:lang w:val="fr-FR"/>
        </w:rPr>
        <w:t xml:space="preserve"> </w:t>
      </w:r>
      <w:r>
        <w:rPr>
          <w:rFonts w:eastAsia="Times New Roman" w:cs="Calibri"/>
          <w:bCs/>
          <w:sz w:val="24"/>
          <w:szCs w:val="24"/>
          <w:lang w:val="fr-FR" w:eastAsia="fr-FR"/>
        </w:rPr>
        <w:t>Bebbington, A. et al. (2008) et Geenen, S. &amp; Custers, R. (2010), les communautés ont les droits ci-après :</w:t>
      </w:r>
    </w:p>
    <w:p w:rsidR="0089405D" w:rsidRDefault="003468E2">
      <w:pPr>
        <w:spacing w:after="0" w:line="312" w:lineRule="auto"/>
        <w:jc w:val="both"/>
        <w:rPr>
          <w:rFonts w:eastAsia="Times New Roman" w:cs="Calibri"/>
          <w:bCs/>
          <w:sz w:val="24"/>
          <w:szCs w:val="24"/>
          <w:lang w:val="fr-FR" w:eastAsia="fr-FR"/>
        </w:rPr>
      </w:pPr>
      <w:r>
        <w:rPr>
          <w:rFonts w:eastAsia="Times New Roman" w:cs="Calibri"/>
          <w:bCs/>
          <w:sz w:val="24"/>
          <w:szCs w:val="24"/>
          <w:lang w:val="fr-FR" w:eastAsia="fr-FR"/>
        </w:rPr>
        <w:t>La consultation préalable (Les communautés doivent être préalablement consultées même pour l’octroi de permis de recherche,…) ; L’information (Les promoteurs des projets miniers ont l’obligation d’informer les communautés sur l’évolution de leurs activités, …) ; La participation (les membres des communautés affectées doivent participer et bénéficier des opportunités et autres avantages qu’offre la société).</w:t>
      </w:r>
    </w:p>
    <w:p w:rsidR="0089405D" w:rsidRDefault="003468E2">
      <w:pPr>
        <w:spacing w:after="0" w:line="312" w:lineRule="auto"/>
        <w:jc w:val="both"/>
        <w:rPr>
          <w:rFonts w:eastAsia="Times New Roman" w:cs="Calibri"/>
          <w:bCs/>
          <w:sz w:val="24"/>
          <w:szCs w:val="24"/>
          <w:lang w:val="fr-FR" w:eastAsia="fr-FR"/>
        </w:rPr>
      </w:pPr>
      <w:r>
        <w:rPr>
          <w:rFonts w:eastAsia="Times New Roman" w:cs="Calibri"/>
          <w:bCs/>
          <w:sz w:val="24"/>
          <w:szCs w:val="24"/>
          <w:lang w:val="fr-FR" w:eastAsia="fr-FR"/>
        </w:rPr>
        <w:t>Par ailleurs, les communautés ont l’obligation de soutenir les efforts de développement et maintenir de la paix pour faciliter la tâche aux entreprises.</w:t>
      </w:r>
    </w:p>
    <w:p w:rsidR="0089405D" w:rsidRDefault="003468E2">
      <w:pPr>
        <w:spacing w:after="0" w:line="312" w:lineRule="auto"/>
        <w:rPr>
          <w:rFonts w:eastAsia="Times New Roman" w:cs="Calibri"/>
          <w:b/>
          <w:bCs/>
          <w:sz w:val="24"/>
          <w:szCs w:val="24"/>
          <w:lang w:val="fr-FR" w:eastAsia="fr-FR"/>
        </w:rPr>
      </w:pPr>
      <w:r>
        <w:rPr>
          <w:rFonts w:eastAsia="Times New Roman" w:cs="Calibri"/>
          <w:b/>
          <w:bCs/>
          <w:sz w:val="24"/>
          <w:szCs w:val="24"/>
          <w:lang w:val="fr-FR" w:eastAsia="fr-FR"/>
        </w:rPr>
        <w:br w:type="page"/>
      </w:r>
    </w:p>
    <w:p w:rsidR="0089405D" w:rsidRDefault="003468E2">
      <w:pPr>
        <w:spacing w:after="0" w:line="312" w:lineRule="auto"/>
        <w:jc w:val="both"/>
        <w:rPr>
          <w:rFonts w:eastAsia="Times New Roman" w:cs="Calibri"/>
          <w:b/>
          <w:bCs/>
          <w:sz w:val="24"/>
          <w:szCs w:val="24"/>
          <w:lang w:val="fr-FR" w:eastAsia="fr-FR"/>
        </w:rPr>
      </w:pPr>
      <w:r>
        <w:rPr>
          <w:rFonts w:eastAsia="Times New Roman" w:cs="Calibri"/>
          <w:b/>
          <w:bCs/>
          <w:sz w:val="24"/>
          <w:szCs w:val="24"/>
          <w:lang w:val="fr-FR" w:eastAsia="fr-FR"/>
        </w:rPr>
        <w:lastRenderedPageBreak/>
        <w:t xml:space="preserve">5.5.1.3. Du dépôt de l'étude d'impact environnemental </w:t>
      </w:r>
    </w:p>
    <w:p w:rsidR="0089405D" w:rsidRDefault="003468E2">
      <w:pPr>
        <w:spacing w:after="0" w:line="312" w:lineRule="auto"/>
        <w:ind w:firstLine="708"/>
        <w:jc w:val="both"/>
        <w:rPr>
          <w:rFonts w:eastAsia="Times New Roman" w:cs="Calibri"/>
          <w:bCs/>
          <w:sz w:val="24"/>
          <w:szCs w:val="24"/>
          <w:lang w:val="fr-FR" w:eastAsia="fr-FR"/>
        </w:rPr>
      </w:pPr>
      <w:r>
        <w:rPr>
          <w:rFonts w:eastAsia="Times New Roman" w:cs="Calibri"/>
          <w:bCs/>
          <w:sz w:val="24"/>
          <w:szCs w:val="24"/>
          <w:lang w:val="fr-FR" w:eastAsia="fr-FR"/>
        </w:rPr>
        <w:t>Conformément aux articles 69, 92,103 et 154 du code minier de la RDC, le requérant dépose auprès du cadastre minier en annexe de sa demande de permis d'exploitation, le permis d'exploitation des rejets et de l'autorisation d'exploitation de carrière permanente, son Etude d’Impact Environnemental et Social (EIES) du projet et son plan de gestion environnementale du projet pour le projet en trois exemplaires. Les modalités de la recevabilité de l’Etude d’Impact Environnemental et Social, du paiement des frais de dépôt afférents à l'instruction environnementale et de la transmission de l'EIES et du plan de gestion environnementale du projet pour instruction sont déterminées dans le décret N° 038/2003 du 26 Mars 2003 relatif aux procédures d'octroi de chaque type de droit minier ou de carrières d'exploitation.</w:t>
      </w:r>
    </w:p>
    <w:p w:rsidR="0089405D" w:rsidRDefault="0089405D">
      <w:pPr>
        <w:spacing w:after="0" w:line="312" w:lineRule="auto"/>
        <w:jc w:val="both"/>
        <w:rPr>
          <w:rFonts w:cs="Calibri"/>
          <w:b/>
          <w:bCs/>
          <w:color w:val="FF0000"/>
          <w:sz w:val="24"/>
          <w:szCs w:val="24"/>
          <w:lang w:val="fr-FR"/>
        </w:rPr>
      </w:pPr>
    </w:p>
    <w:p w:rsidR="0089405D" w:rsidRDefault="003468E2">
      <w:pPr>
        <w:spacing w:after="0" w:line="312" w:lineRule="auto"/>
        <w:jc w:val="both"/>
        <w:rPr>
          <w:rFonts w:cs="Calibri"/>
          <w:b/>
          <w:bCs/>
          <w:sz w:val="24"/>
          <w:szCs w:val="24"/>
          <w:lang w:val="fr-FR"/>
        </w:rPr>
      </w:pPr>
      <w:r>
        <w:rPr>
          <w:rFonts w:cs="Calibri"/>
          <w:b/>
          <w:bCs/>
          <w:sz w:val="24"/>
          <w:szCs w:val="24"/>
          <w:lang w:val="fr-FR"/>
        </w:rPr>
        <w:t xml:space="preserve">5.5.1.4. Panorama de l’exploitation minière et les pratiques locales de survie </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L’agriculture et la pêche sont les activités les plus pratiquées par la population de Basoko, à cause non seulement des habitudes culturelles des tribus, mais aussi du principe de la productivité des ressources (sol, forêt et eau). Propos d’un notable : « </w:t>
      </w:r>
      <w:r>
        <w:rPr>
          <w:rFonts w:cs="Calibri"/>
          <w:bCs/>
          <w:i/>
          <w:sz w:val="24"/>
          <w:szCs w:val="24"/>
          <w:lang w:val="fr-FR"/>
        </w:rPr>
        <w:t>l’eau est pour nous l’élément essentiel pour notre vie des Basoko dans notre diversité culturelle. Notre vie ne se conçoit pas et ne se vit pas sans rivière, ruisseau ou fleuve. Aujourd’hui, l’exploitation minière sur notre rivière perturbera notre vie quotidienne, malgré les multiples promesses de développement</w:t>
      </w:r>
      <w:r>
        <w:rPr>
          <w:rFonts w:cs="Calibri"/>
          <w:bCs/>
          <w:sz w:val="24"/>
          <w:szCs w:val="24"/>
          <w:lang w:val="fr-FR"/>
        </w:rPr>
        <w:t>. » Un autre déclare : « </w:t>
      </w:r>
      <w:r>
        <w:rPr>
          <w:rFonts w:cs="Calibri"/>
          <w:bCs/>
          <w:i/>
          <w:sz w:val="24"/>
          <w:szCs w:val="24"/>
          <w:lang w:val="fr-FR"/>
        </w:rPr>
        <w:t>cette exploitation ne nous permettra plus de produire riz, arachides, huiles de palme, maïs, ignames, bananes, maniocs etc., sur les terres côtières de la rivière Aruwimi. Nous vivons de cette forêt marécageuse que traverse notre rivière qui nous produit les gibiers, les escargots, les chenilles, les termites, etc. Et la pêche est notre activité quotidienne privilégiée. Nos enfants ne mangeront plus du poisson frais, fumé, salé... ainsi que les produits de l'élevage domestique (poules, porcs, chèvres, moutons…</w:t>
      </w:r>
      <w:r>
        <w:rPr>
          <w:rFonts w:cs="Calibri"/>
          <w:bCs/>
          <w:sz w:val="24"/>
          <w:szCs w:val="24"/>
          <w:lang w:val="fr-FR"/>
        </w:rPr>
        <w:t>».</w:t>
      </w:r>
    </w:p>
    <w:p w:rsidR="0089405D" w:rsidRDefault="0089405D">
      <w:pPr>
        <w:spacing w:after="0" w:line="312" w:lineRule="auto"/>
        <w:rPr>
          <w:rFonts w:cs="Calibri"/>
          <w:b/>
          <w:i/>
          <w:sz w:val="24"/>
          <w:szCs w:val="24"/>
          <w:lang w:val="fr-FR"/>
        </w:rPr>
      </w:pPr>
    </w:p>
    <w:p w:rsidR="0089405D" w:rsidRDefault="003468E2">
      <w:pPr>
        <w:pStyle w:val="Titre1"/>
        <w:spacing w:before="0" w:line="312" w:lineRule="auto"/>
        <w:jc w:val="both"/>
        <w:rPr>
          <w:rFonts w:cs="Calibri"/>
          <w:b/>
          <w:color w:val="auto"/>
          <w:sz w:val="24"/>
          <w:szCs w:val="24"/>
          <w:lang w:val="fr-FR"/>
        </w:rPr>
      </w:pPr>
      <w:bookmarkStart w:id="600" w:name="_Toc111888663"/>
      <w:bookmarkStart w:id="601" w:name="_Toc127187243"/>
      <w:bookmarkStart w:id="602" w:name="_Toc127187520"/>
      <w:bookmarkStart w:id="603" w:name="_Toc127432277"/>
      <w:r>
        <w:rPr>
          <w:rFonts w:cs="Calibri"/>
          <w:b/>
          <w:color w:val="auto"/>
          <w:sz w:val="24"/>
          <w:szCs w:val="24"/>
          <w:lang w:val="fr-FR"/>
        </w:rPr>
        <w:t>5.5.2. REGARDS SUR LES IMPACTS ENVIRONNEMENTAUX : DISCOURS DE LA POPULATION LOCALE</w:t>
      </w:r>
      <w:bookmarkEnd w:id="600"/>
      <w:bookmarkEnd w:id="601"/>
      <w:bookmarkEnd w:id="602"/>
      <w:bookmarkEnd w:id="603"/>
      <w:r>
        <w:rPr>
          <w:rFonts w:cs="Calibri"/>
          <w:b/>
          <w:color w:val="auto"/>
          <w:sz w:val="24"/>
          <w:szCs w:val="24"/>
          <w:lang w:val="fr-FR"/>
        </w:rPr>
        <w:t> </w:t>
      </w:r>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 projet minier sur la rivière Aruwimi dans la zone de Liambe (</w:t>
      </w:r>
      <w:r>
        <w:rPr>
          <w:rFonts w:cs="Calibri"/>
          <w:i/>
          <w:sz w:val="24"/>
          <w:szCs w:val="24"/>
          <w:lang w:val="fr-FR"/>
        </w:rPr>
        <w:t>Baonde, Liambe, Yakoyo, Yangonde-Lioto, Ilongo, Likombe, Bobaula, Mongandjo</w:t>
      </w:r>
      <w:r>
        <w:rPr>
          <w:rFonts w:cs="Calibri"/>
          <w:sz w:val="24"/>
          <w:szCs w:val="24"/>
          <w:lang w:val="fr-FR"/>
        </w:rPr>
        <w:t>…) visant l’exploitation semi-industrielle des gisements aurifères et adamantins est à haut risque pour plus de 80% de la population souligne un leader local.  D’autres témoignages enregistrés élucident que « </w:t>
      </w:r>
      <w:r>
        <w:rPr>
          <w:rFonts w:cs="Calibri"/>
          <w:i/>
          <w:sz w:val="24"/>
          <w:szCs w:val="24"/>
          <w:lang w:val="fr-FR"/>
        </w:rPr>
        <w:t xml:space="preserve">Depuis des générations, les riverains de cette majestueuse rivière vivent principalement des fruits de </w:t>
      </w:r>
      <w:r>
        <w:rPr>
          <w:rFonts w:cs="Calibri"/>
          <w:i/>
          <w:sz w:val="24"/>
          <w:szCs w:val="24"/>
          <w:lang w:val="fr-FR"/>
        </w:rPr>
        <w:lastRenderedPageBreak/>
        <w:t>ses eaux et en usent comme boisson. Et cette rivière sert de colonne vertébrale pour ces communautés et la principale voie de communication pour leur mobilité.</w:t>
      </w:r>
      <w:r>
        <w:rPr>
          <w:rFonts w:cs="Calibri"/>
          <w:sz w:val="24"/>
          <w:szCs w:val="24"/>
          <w:lang w:val="fr-FR"/>
        </w:rPr>
        <w:t xml:space="preserve"> ».  </w:t>
      </w:r>
      <w:r>
        <w:rPr>
          <w:rFonts w:cs="Calibri"/>
          <w:i/>
          <w:sz w:val="24"/>
          <w:szCs w:val="24"/>
          <w:lang w:val="fr-FR"/>
        </w:rPr>
        <w:t>« Si jamais une exploitation minière avait lieu dans Aruwimi, les effets sur la qualité de l’eau et la disponibilité des ressources en eau dans la zone du projet en constitueraient, peut-être, l’impact le plus important »</w:t>
      </w:r>
      <w:r>
        <w:rPr>
          <w:rFonts w:cs="Calibri"/>
          <w:sz w:val="24"/>
          <w:szCs w:val="24"/>
          <w:lang w:val="fr-FR"/>
        </w:rPr>
        <w:t xml:space="preserve">. </w:t>
      </w:r>
    </w:p>
    <w:p w:rsidR="0089405D" w:rsidRDefault="003468E2">
      <w:pPr>
        <w:spacing w:after="0" w:line="312" w:lineRule="auto"/>
        <w:ind w:firstLine="708"/>
        <w:jc w:val="both"/>
        <w:rPr>
          <w:rFonts w:cs="Calibri"/>
          <w:bCs/>
          <w:i/>
          <w:iCs/>
          <w:sz w:val="24"/>
          <w:szCs w:val="24"/>
          <w:lang w:val="fr-FR"/>
        </w:rPr>
      </w:pPr>
      <w:r>
        <w:rPr>
          <w:rFonts w:cs="Calibri"/>
          <w:sz w:val="24"/>
          <w:szCs w:val="24"/>
          <w:lang w:val="fr-FR"/>
        </w:rPr>
        <w:t xml:space="preserve">Les questions clés seraient de savoir si la qualité des eaux, les apports en eau de surface resteraient propices à la consommation humaine et supporteraient la vie aquatique et la faune terrestre native dans la zone du projet. </w:t>
      </w:r>
      <w:r>
        <w:rPr>
          <w:rFonts w:cs="Calibri"/>
          <w:bCs/>
          <w:iCs/>
          <w:sz w:val="24"/>
          <w:szCs w:val="24"/>
          <w:lang w:val="fr-FR"/>
        </w:rPr>
        <w:t>Selon la ligue des chefs coutumiers : « </w:t>
      </w:r>
      <w:r>
        <w:rPr>
          <w:rFonts w:cs="Calibri"/>
          <w:bCs/>
          <w:i/>
          <w:iCs/>
          <w:sz w:val="24"/>
          <w:szCs w:val="24"/>
          <w:lang w:val="fr-FR"/>
        </w:rPr>
        <w:t>Liambe étant dans une zone à forte pluviométrie, des facteurs de pollution des eaux peuvent se produire par le secteur artisanal minier à petite échelle locale et informelle</w:t>
      </w:r>
      <w:r>
        <w:rPr>
          <w:rFonts w:cs="Calibri"/>
          <w:bCs/>
          <w:iCs/>
          <w:sz w:val="24"/>
          <w:szCs w:val="24"/>
          <w:lang w:val="fr-FR"/>
        </w:rPr>
        <w:t xml:space="preserve">». </w:t>
      </w:r>
      <w:r>
        <w:rPr>
          <w:rFonts w:cs="Calibri"/>
          <w:bCs/>
          <w:i/>
          <w:iCs/>
          <w:sz w:val="24"/>
          <w:szCs w:val="24"/>
          <w:lang w:val="fr-FR"/>
        </w:rPr>
        <w:t>Donc, les conséquences seront énormes, pas seulement pour la région d’exploitation, mais aussi au-delà de l’embouchure de la rivière Aruwimi.  Par exemple, dans les eaux de surface, des concentrations élevées de particules dans la colonne d’eau pourront produire des effets toxiques à la fois chroniques et aigus chez les poissons qui sont une des Ressources Régénératrices des Revenues (AGE) et la principale source alimentaire des riverains.</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 xml:space="preserve">L’exemple de Banalia, en amont de la rivière Aruwimi nous renseigne selon le rapport de </w:t>
      </w:r>
      <w:r>
        <w:rPr>
          <w:rFonts w:cs="Calibri"/>
          <w:sz w:val="24"/>
          <w:szCs w:val="24"/>
          <w:lang w:val="fr-FR"/>
        </w:rPr>
        <w:t>SAESSCAM</w:t>
      </w:r>
      <w:r>
        <w:rPr>
          <w:rFonts w:cs="Calibri"/>
          <w:bCs/>
          <w:sz w:val="24"/>
          <w:szCs w:val="24"/>
          <w:lang w:val="fr-FR"/>
        </w:rPr>
        <w:t xml:space="preserve">- Antenne de Kisangani (2020) que : «   </w:t>
      </w:r>
      <w:r>
        <w:rPr>
          <w:rFonts w:cs="Calibri"/>
          <w:bCs/>
          <w:i/>
          <w:sz w:val="24"/>
          <w:szCs w:val="24"/>
          <w:lang w:val="fr-FR"/>
        </w:rPr>
        <w:t>Les grandes quantités d'eau qui seront déversées dans la nature, durant toute la durée de l'exploration, contenant des débris de roches du sol 'argilo-sablonneux', auraient des impacts fâcheux sur la vie végétale et même animale dans la région déversoir. Donc, nous sommes contre cette exploitation, nous les détenteurs de la terre et des eaux ancestraux »</w:t>
      </w:r>
      <w:r>
        <w:rPr>
          <w:rFonts w:cs="Calibri"/>
          <w:bCs/>
          <w:sz w:val="24"/>
          <w:szCs w:val="24"/>
          <w:lang w:val="fr-FR"/>
        </w:rPr>
        <w:t xml:space="preserve">. </w:t>
      </w:r>
    </w:p>
    <w:p w:rsidR="0089405D" w:rsidRDefault="003468E2">
      <w:pPr>
        <w:spacing w:after="0" w:line="312" w:lineRule="auto"/>
        <w:ind w:firstLine="708"/>
        <w:jc w:val="both"/>
        <w:rPr>
          <w:rFonts w:cs="Calibri"/>
          <w:sz w:val="24"/>
          <w:szCs w:val="24"/>
          <w:lang w:val="fr-FR"/>
        </w:rPr>
      </w:pPr>
      <w:r>
        <w:rPr>
          <w:rFonts w:cs="Calibri"/>
          <w:sz w:val="24"/>
          <w:szCs w:val="24"/>
          <w:lang w:val="fr-FR"/>
        </w:rPr>
        <w:t>D’après le même rapport de SAESSCAM</w:t>
      </w:r>
      <w:r>
        <w:rPr>
          <w:rFonts w:cs="Calibri"/>
          <w:bCs/>
          <w:sz w:val="24"/>
          <w:szCs w:val="24"/>
          <w:lang w:val="fr-FR"/>
        </w:rPr>
        <w:t>- Antenne de Kisangani (2020)</w:t>
      </w:r>
      <w:r>
        <w:rPr>
          <w:rFonts w:cs="Calibri"/>
          <w:sz w:val="24"/>
          <w:szCs w:val="24"/>
          <w:lang w:val="fr-FR"/>
        </w:rPr>
        <w:t xml:space="preserve">, toutes les exploitations minières semi-industrielle vécues dans la province de la Tshopo provoquent des dépôts des sédiments dans les eaux de surface, ou dans les plaines d’inondation des vallées des cours d’eau et aggravera davantage les processus d’érosion. La sédimentation causera l’accumulation des couches épaisses des minéraux fins et d’alluvions dans les endroits d’inondation ainsi que la putréfaction des habitats aquatiques et la perte de capacité de stockage des plans d’eau. Le cas de nos voisins de  Baboro de Banalia en est une illustration. Dans le cas de la zone de Liambe et ses environs, vu son sol argilo-sablonneux et érosif, les principaux facteurs qui influenceront l’érosion comprennent le cubage et la promptitude du ruissellement provenant des précipitations, le taux de pénétration dans le sol, la quantité de la couverture végétale qui sera détruite, la distance de la pente ou l’intervalle à partir du point d’origine de l’écoulement en nappe ainsi que les compositions de contrôle d’érosions opérationnelles. </w:t>
      </w:r>
    </w:p>
    <w:p w:rsidR="0089405D" w:rsidRDefault="003468E2">
      <w:pPr>
        <w:spacing w:after="0" w:line="312" w:lineRule="auto"/>
        <w:ind w:firstLine="708"/>
        <w:jc w:val="both"/>
        <w:rPr>
          <w:rFonts w:cs="Calibri"/>
          <w:sz w:val="24"/>
          <w:szCs w:val="24"/>
          <w:lang w:val="fr-FR"/>
        </w:rPr>
      </w:pPr>
      <w:r>
        <w:rPr>
          <w:rFonts w:cs="Calibri"/>
          <w:bCs/>
          <w:sz w:val="24"/>
          <w:szCs w:val="24"/>
          <w:lang w:val="fr-FR"/>
        </w:rPr>
        <w:lastRenderedPageBreak/>
        <w:t>Avant l’exploitation minière, il faut aussi voir l’aspect agricole et comprendre l’évolution du mécanisme de déforestation durant les années à venir. Un chercheur de la lignée royale nous démontra les impacts de déforestation et de dégradation des sols liés à l’exploitation minière semi-industrielle</w:t>
      </w:r>
      <w:r>
        <w:rPr>
          <w:rFonts w:cs="Calibri"/>
          <w:b/>
          <w:bCs/>
          <w:sz w:val="24"/>
          <w:szCs w:val="24"/>
          <w:lang w:val="fr-FR"/>
        </w:rPr>
        <w:t>.</w:t>
      </w:r>
      <w:r>
        <w:rPr>
          <w:rFonts w:cs="Calibri"/>
          <w:bCs/>
          <w:sz w:val="24"/>
          <w:szCs w:val="24"/>
          <w:lang w:val="fr-FR"/>
        </w:rPr>
        <w:t xml:space="preserve"> D’après  lui</w:t>
      </w:r>
      <w:r>
        <w:rPr>
          <w:rFonts w:cs="Calibri"/>
          <w:bCs/>
          <w:i/>
          <w:sz w:val="24"/>
          <w:szCs w:val="24"/>
          <w:lang w:val="fr-FR"/>
        </w:rPr>
        <w:t xml:space="preserve">, </w:t>
      </w:r>
      <w:r>
        <w:rPr>
          <w:rFonts w:cs="Calibri"/>
          <w:bCs/>
          <w:sz w:val="24"/>
          <w:szCs w:val="24"/>
          <w:lang w:val="fr-FR"/>
        </w:rPr>
        <w:t>« </w:t>
      </w:r>
      <w:r>
        <w:rPr>
          <w:rFonts w:cs="Calibri"/>
          <w:b/>
          <w:bCs/>
          <w:i/>
          <w:sz w:val="24"/>
          <w:szCs w:val="24"/>
          <w:lang w:val="fr-FR"/>
        </w:rPr>
        <w:t xml:space="preserve"> </w:t>
      </w:r>
      <w:r>
        <w:rPr>
          <w:rFonts w:cs="Calibri"/>
          <w:bCs/>
          <w:i/>
          <w:sz w:val="24"/>
          <w:szCs w:val="24"/>
          <w:lang w:val="fr-FR"/>
        </w:rPr>
        <w:t>ces activités minières sont des véritables catalyseurs de dégradation profonde des conditions bio- pédoclimatiques qui pourraient entraîner un autre régime thermique ainsi qu’une nouvelle dynamique de l’eau dans le sol et  affecteront les premiers mètres du profil pédologique. Ce fut le cas à Banalia où l’exploitation ne se faisait que sur</w:t>
      </w:r>
      <w:r>
        <w:rPr>
          <w:rFonts w:cs="Calibri"/>
          <w:i/>
          <w:sz w:val="24"/>
          <w:szCs w:val="24"/>
          <w:lang w:val="fr-FR"/>
        </w:rPr>
        <w:t xml:space="preserve"> 10 carrés miniers</w:t>
      </w:r>
      <w:r>
        <w:rPr>
          <w:rFonts w:cs="Calibri"/>
          <w:sz w:val="24"/>
          <w:szCs w:val="24"/>
          <w:lang w:val="fr-FR"/>
        </w:rPr>
        <w:t xml:space="preserve"> ». </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L’exemple de Banalia et de Bafwasende nous avertis par SAESSCAM- Kisangani que</w:t>
      </w:r>
      <w:r>
        <w:rPr>
          <w:rFonts w:cs="Calibri"/>
          <w:b/>
          <w:bCs/>
          <w:sz w:val="24"/>
          <w:szCs w:val="24"/>
          <w:lang w:val="fr-FR"/>
        </w:rPr>
        <w:t xml:space="preserve"> « </w:t>
      </w:r>
      <w:r>
        <w:rPr>
          <w:rFonts w:cs="Calibri"/>
          <w:bCs/>
          <w:i/>
          <w:sz w:val="24"/>
          <w:szCs w:val="24"/>
          <w:lang w:val="fr-FR"/>
        </w:rPr>
        <w:t>on risque de la transférer d’un milieu à un autre, où elle pourrait créer des problèmes environnementaux tout aussi graves, ou même finir par être une source indirecte de pollution du même milieu. Sans être aussi onéreuse qu’une mesure correctrice, la réduction de la pollution en fin de cycle peut augmenter sensiblement le coût des procédés de production sans ajouter de valeur </w:t>
      </w:r>
      <w:r>
        <w:rPr>
          <w:rFonts w:cs="Calibri"/>
          <w:b/>
          <w:bCs/>
          <w:sz w:val="24"/>
          <w:szCs w:val="24"/>
          <w:lang w:val="fr-FR"/>
        </w:rPr>
        <w:t xml:space="preserve">» </w:t>
      </w:r>
      <w:r>
        <w:rPr>
          <w:rFonts w:cs="Calibri"/>
          <w:bCs/>
          <w:sz w:val="24"/>
          <w:szCs w:val="24"/>
          <w:lang w:val="fr-FR"/>
        </w:rPr>
        <w:t>(</w:t>
      </w:r>
      <w:r>
        <w:rPr>
          <w:rFonts w:cs="Calibri"/>
          <w:sz w:val="24"/>
          <w:szCs w:val="24"/>
          <w:lang w:val="fr-FR"/>
        </w:rPr>
        <w:t>SAESSCAM :</w:t>
      </w:r>
      <w:r>
        <w:rPr>
          <w:rFonts w:cs="Calibri"/>
          <w:bCs/>
          <w:sz w:val="24"/>
          <w:szCs w:val="24"/>
          <w:lang w:val="fr-FR"/>
        </w:rPr>
        <w:t xml:space="preserve"> Service d’assistance et d’encadrement du secteur minier de type artisanal) de Kisangani. </w:t>
      </w:r>
    </w:p>
    <w:p w:rsidR="0089405D" w:rsidRDefault="003468E2">
      <w:pPr>
        <w:pStyle w:val="Notedebasdepage"/>
        <w:spacing w:line="312" w:lineRule="auto"/>
        <w:ind w:firstLine="708"/>
        <w:jc w:val="both"/>
        <w:rPr>
          <w:rFonts w:cs="Calibri"/>
          <w:b/>
          <w:bCs/>
          <w:sz w:val="24"/>
          <w:szCs w:val="24"/>
          <w:lang w:val="fr-FR"/>
        </w:rPr>
      </w:pPr>
      <w:r>
        <w:rPr>
          <w:rFonts w:cs="Calibri"/>
          <w:bCs/>
          <w:sz w:val="24"/>
          <w:szCs w:val="24"/>
          <w:lang w:val="fr-FR"/>
        </w:rPr>
        <w:t xml:space="preserve">L’exemple de Banalia et de </w:t>
      </w:r>
      <w:r>
        <w:rPr>
          <w:rFonts w:cs="Calibri"/>
          <w:sz w:val="24"/>
          <w:szCs w:val="24"/>
          <w:lang w:val="fr-FR"/>
        </w:rPr>
        <w:t>Bafwasende</w:t>
      </w:r>
      <w:r>
        <w:rPr>
          <w:rFonts w:cs="Calibri"/>
          <w:bCs/>
          <w:sz w:val="24"/>
          <w:szCs w:val="24"/>
          <w:lang w:val="fr-FR"/>
        </w:rPr>
        <w:t xml:space="preserve"> nous renseigne aussi que :</w:t>
      </w:r>
      <w:r>
        <w:rPr>
          <w:rFonts w:cs="Calibri"/>
          <w:b/>
          <w:bCs/>
          <w:sz w:val="24"/>
          <w:szCs w:val="24"/>
          <w:lang w:val="fr-FR"/>
        </w:rPr>
        <w:t xml:space="preserve"> « </w:t>
      </w:r>
      <w:r>
        <w:rPr>
          <w:rFonts w:cs="Calibri"/>
          <w:bCs/>
          <w:i/>
          <w:sz w:val="24"/>
          <w:szCs w:val="24"/>
          <w:lang w:val="fr-FR"/>
        </w:rPr>
        <w:t>les opérations minières requièrent de grandes quantités de substances et des déchets contenant des particules qui sont souvent dispersées par le vent et sont souvent sources de la contamination atmosphérique dans les opérations minières</w:t>
      </w:r>
      <w:r>
        <w:rPr>
          <w:rFonts w:cs="Calibri"/>
          <w:b/>
          <w:bCs/>
          <w:sz w:val="24"/>
          <w:szCs w:val="24"/>
          <w:lang w:val="fr-FR"/>
        </w:rPr>
        <w:t>» (</w:t>
      </w:r>
      <w:r>
        <w:rPr>
          <w:rFonts w:cs="Calibri"/>
          <w:sz w:val="24"/>
          <w:szCs w:val="24"/>
          <w:lang w:val="fr-FR"/>
        </w:rPr>
        <w:t>SAESSCAM</w:t>
      </w:r>
      <w:r>
        <w:rPr>
          <w:rFonts w:cs="Calibri"/>
          <w:bCs/>
          <w:sz w:val="24"/>
          <w:szCs w:val="24"/>
          <w:lang w:val="fr-FR"/>
        </w:rPr>
        <w:t>- Kisangani)</w:t>
      </w:r>
    </w:p>
    <w:p w:rsidR="0089405D" w:rsidRDefault="003468E2">
      <w:pPr>
        <w:spacing w:after="0" w:line="312" w:lineRule="auto"/>
        <w:ind w:firstLine="708"/>
        <w:jc w:val="both"/>
        <w:rPr>
          <w:rFonts w:cs="Calibri"/>
          <w:b/>
          <w:bCs/>
          <w:color w:val="FF0000"/>
          <w:sz w:val="24"/>
          <w:szCs w:val="24"/>
          <w:lang w:val="fr-FR"/>
        </w:rPr>
      </w:pPr>
      <w:r>
        <w:rPr>
          <w:rFonts w:cs="Calibri"/>
          <w:bCs/>
          <w:sz w:val="24"/>
          <w:szCs w:val="24"/>
          <w:lang w:val="fr-FR"/>
        </w:rPr>
        <w:t xml:space="preserve">D’après un agronome du milieu, en se basant du même rapport de SAESSCAM- Kisangani, </w:t>
      </w:r>
      <w:r>
        <w:rPr>
          <w:rFonts w:cs="Calibri"/>
          <w:b/>
          <w:bCs/>
          <w:sz w:val="24"/>
          <w:szCs w:val="24"/>
          <w:lang w:val="fr-FR"/>
        </w:rPr>
        <w:t>« </w:t>
      </w:r>
      <w:r>
        <w:rPr>
          <w:rFonts w:cs="Calibri"/>
          <w:bCs/>
          <w:i/>
          <w:sz w:val="24"/>
          <w:szCs w:val="24"/>
          <w:lang w:val="fr-FR"/>
        </w:rPr>
        <w:t>ces émissions des particules dans l’atmosphère comprennent : le stockage et le transport de matériaux, le traitement des mines, la poussière fugitive, l’abattage, les activités de construction et les galeries associées aux activités minières, les coussins de lixiviation, les tas de résidus de minerais, les bassins de transvasements et les amas de déchets des roches. Les sources et les caractéristiques des émissions des poussières fugitives dans les opérations minières varient dans chaque cas, il en est de même pour leurs impacts</w:t>
      </w:r>
      <w:r>
        <w:rPr>
          <w:rFonts w:cs="Calibri"/>
          <w:b/>
          <w:bCs/>
          <w:sz w:val="24"/>
          <w:szCs w:val="24"/>
          <w:lang w:val="fr-FR"/>
        </w:rPr>
        <w:t xml:space="preserve">. </w:t>
      </w:r>
      <w:r>
        <w:rPr>
          <w:rFonts w:cs="Calibri"/>
          <w:bCs/>
          <w:i/>
          <w:sz w:val="24"/>
          <w:szCs w:val="24"/>
          <w:lang w:val="fr-FR"/>
        </w:rPr>
        <w:t>Donc, les particules des matières sont  transportées par le vent, à la suite de fouilles d’abattages par explosion, de transport des matériaux, de la désagrégation par le vent, des particules fugitives provenant des installations des résidus, des endroits de culbutage…qui provoquent des effets graves sur la santé humaine (maladie d’origine cardiaque et pneumonie) et sur l’environnement</w:t>
      </w:r>
      <w:r>
        <w:rPr>
          <w:rFonts w:cs="Calibri"/>
          <w:b/>
          <w:bCs/>
          <w:sz w:val="24"/>
          <w:szCs w:val="24"/>
          <w:lang w:val="fr-FR"/>
        </w:rPr>
        <w:t xml:space="preserve"> ». </w:t>
      </w:r>
    </w:p>
    <w:p w:rsidR="0089405D" w:rsidRDefault="003468E2">
      <w:pPr>
        <w:spacing w:after="0" w:line="312" w:lineRule="auto"/>
        <w:jc w:val="both"/>
        <w:rPr>
          <w:rFonts w:cs="Calibri"/>
          <w:color w:val="FF0000"/>
          <w:sz w:val="24"/>
          <w:szCs w:val="24"/>
          <w:lang w:val="fr-FR"/>
        </w:rPr>
      </w:pPr>
      <w:r>
        <w:rPr>
          <w:rFonts w:cs="Calibri"/>
          <w:b/>
          <w:i/>
          <w:sz w:val="24"/>
          <w:szCs w:val="24"/>
          <w:lang w:val="fr-FR"/>
        </w:rPr>
        <w:tab/>
      </w:r>
      <w:r>
        <w:rPr>
          <w:rFonts w:cs="Calibri"/>
          <w:sz w:val="24"/>
          <w:szCs w:val="24"/>
          <w:lang w:val="fr-FR"/>
        </w:rPr>
        <w:t xml:space="preserve">A tous les niveaux, les effets sur l’environnement seront perceptibles.  Ces exploitations présenteront des risques sur l'environnement. En d’autres termes, l’exploitation minière est une des activités ayant le plus fort impact environnemental et à ce titre elle est fortement contestée par les ONG environnementalistes et les communautés </w:t>
      </w:r>
      <w:r>
        <w:rPr>
          <w:rFonts w:cs="Calibri"/>
          <w:sz w:val="24"/>
          <w:szCs w:val="24"/>
          <w:lang w:val="fr-FR"/>
        </w:rPr>
        <w:lastRenderedPageBreak/>
        <w:t>locales qui en subissent directement les effets de la pollution, de la dégradation de l’environnement, les pollutions et des nuisances</w:t>
      </w:r>
      <w:r>
        <w:rPr>
          <w:rFonts w:cs="Calibri"/>
          <w:color w:val="FF0000"/>
          <w:sz w:val="24"/>
          <w:szCs w:val="24"/>
          <w:lang w:val="fr-FR"/>
        </w:rPr>
        <w:t xml:space="preserve">. </w:t>
      </w:r>
    </w:p>
    <w:p w:rsidR="0089405D" w:rsidRDefault="0089405D">
      <w:pPr>
        <w:pStyle w:val="Titre1"/>
        <w:spacing w:before="0" w:line="312" w:lineRule="auto"/>
        <w:rPr>
          <w:rFonts w:eastAsia="Times New Roman" w:cs="Calibri"/>
          <w:b/>
          <w:color w:val="auto"/>
          <w:sz w:val="24"/>
          <w:szCs w:val="24"/>
          <w:lang w:val="fr-FR" w:eastAsia="fr-FR"/>
        </w:rPr>
      </w:pPr>
      <w:bookmarkStart w:id="604" w:name="_Toc60313825"/>
      <w:bookmarkStart w:id="605" w:name="_Toc79393003"/>
    </w:p>
    <w:p w:rsidR="0089405D" w:rsidRDefault="003468E2">
      <w:pPr>
        <w:pStyle w:val="Titre1"/>
        <w:spacing w:before="0" w:line="312" w:lineRule="auto"/>
        <w:rPr>
          <w:rFonts w:eastAsia="Times New Roman" w:cs="Calibri"/>
          <w:b/>
          <w:color w:val="auto"/>
          <w:sz w:val="24"/>
          <w:szCs w:val="24"/>
          <w:lang w:val="fr-FR" w:eastAsia="fr-FR"/>
        </w:rPr>
      </w:pPr>
      <w:bookmarkStart w:id="606" w:name="_Toc111888664"/>
      <w:bookmarkStart w:id="607" w:name="_Toc127187244"/>
      <w:bookmarkStart w:id="608" w:name="_Toc127187521"/>
      <w:bookmarkStart w:id="609" w:name="_Toc127432278"/>
      <w:r>
        <w:rPr>
          <w:rFonts w:eastAsia="Times New Roman" w:cs="Calibri"/>
          <w:b/>
          <w:color w:val="auto"/>
          <w:sz w:val="24"/>
          <w:szCs w:val="24"/>
          <w:lang w:val="fr-FR" w:eastAsia="fr-FR"/>
        </w:rPr>
        <w:t>5.6. DU CONSTAT D’ORDRE JURIDIQUE</w:t>
      </w:r>
      <w:bookmarkEnd w:id="604"/>
      <w:bookmarkEnd w:id="605"/>
      <w:bookmarkEnd w:id="606"/>
      <w:bookmarkEnd w:id="607"/>
      <w:bookmarkEnd w:id="608"/>
      <w:bookmarkEnd w:id="609"/>
    </w:p>
    <w:p w:rsidR="0089405D" w:rsidRDefault="0089405D">
      <w:pPr>
        <w:pStyle w:val="Titre1"/>
        <w:spacing w:before="0" w:line="312" w:lineRule="auto"/>
        <w:rPr>
          <w:rFonts w:eastAsia="Times New Roman" w:cs="Calibri"/>
          <w:b/>
          <w:color w:val="auto"/>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Les Leaders locaux et le directoire de l’Asbl Minorité Silencieuse notent qu’il convient d’examiner certaines dispositions de la loi minière répondant aux normes édictées par la règlementation en vigueur en RDC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xml:space="preserve"> L’article 33, alinéa 2 du Code Minier stipule : « Dans ce cas le Ministre de tutelle réserve, par Arrêté, les droits miniers sur le gisement à l’appel d’offre. Avant de réserver des autorisations des carrières par l’appel d’offres, ce Ministre consulte son homologue au niveau provincial et la communauté locale concernée, dans le cadre d’une commission de consultation, dont les modalités sont fixées par la voie règlementaire».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ab/>
        <w:t xml:space="preserve">De l’analyse de cette disposition, le législateur veut qu’avant toute autorisation à l’entreprise retenue par l’appel d’offre, que le Ministre Provincial des Mines, ainsi que la communauté locale entreprennent des consultations préalables, dans le seul but de fixer à celle-ci le bien fondé de ladite exploitation. Mais pour le cas sous examen, il s’avère que la communauté locale a été surprise de voir l’entreprise débarquer avec des dragues pour l’exploitation sans aucun respect des préalables </w:t>
      </w:r>
      <w:r>
        <w:rPr>
          <w:rFonts w:eastAsia="Calibri" w:cs="Calibri"/>
          <w:sz w:val="24"/>
          <w:szCs w:val="24"/>
          <w:lang w:val="fr-FR" w:eastAsia="en-US"/>
        </w:rPr>
        <w:t xml:space="preserve">(Afundi, N.et al., 2022).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L’article 52 du même Code stipule que : « la durée du permis de recherche est de cinq ans renouvelables une fois pour la même durée et pour toutes les substances minérales. Ce permis d’exploitation ne donne nullement un quelconque droit d’exploitation. Ce droit ne sera effectif qu’après l’épuisement de toute la procédure de recherche en lui octroyant cette fois le permis d’exploitation ». Il sied de dire qu’une fois une entreprise d’exploitation minière a obtenu un permis de recherche, celui-ci lui permet de connaître la superficie de son carré minier et les sortes des gisements qui s’y trouvent, ainsi que la quantité des minerais qu’on trouve dans cette superficie à exploiter.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Un autre constat est que cette entreprise chinoise a été créée au mois de janvier 2020 ayant obtenu son permis de recherche sans pourtant vider la procédure de recherche mais, veut passer directement à la récolte des minerais sur la rivière Aruwimi, en violation des dispositions de la loi sur le droit minier. De ces éclaircissements juridiques, les Leaders Locaux, </w:t>
      </w:r>
      <w:r>
        <w:rPr>
          <w:rFonts w:eastAsia="Times New Roman" w:cs="Calibri"/>
          <w:sz w:val="24"/>
          <w:szCs w:val="24"/>
          <w:lang w:val="fr-FR" w:eastAsia="fr-FR"/>
        </w:rPr>
        <w:lastRenderedPageBreak/>
        <w:t>Le consortium de la Société civile et le bureau de l’Asbl Minorité Silencieuse</w:t>
      </w:r>
      <w:r>
        <w:rPr>
          <w:rFonts w:eastAsia="Times New Roman" w:cs="Calibri"/>
          <w:sz w:val="24"/>
          <w:szCs w:val="24"/>
          <w:vertAlign w:val="superscript"/>
          <w:lang w:val="fr-FR" w:eastAsia="fr-FR"/>
        </w:rPr>
        <w:footnoteReference w:id="63"/>
      </w:r>
      <w:r>
        <w:rPr>
          <w:rFonts w:eastAsia="Times New Roman" w:cs="Calibri"/>
          <w:sz w:val="24"/>
          <w:szCs w:val="24"/>
          <w:lang w:val="fr-FR" w:eastAsia="fr-FR"/>
        </w:rPr>
        <w:t xml:space="preserve"> se posent certaine questions ci-dessous :</w:t>
      </w:r>
    </w:p>
    <w:p w:rsidR="0089405D" w:rsidRDefault="003468E2">
      <w:pPr>
        <w:spacing w:after="0" w:line="312" w:lineRule="auto"/>
        <w:jc w:val="both"/>
        <w:rPr>
          <w:rFonts w:eastAsia="Times New Roman" w:cs="Calibri"/>
          <w:i/>
          <w:sz w:val="24"/>
          <w:szCs w:val="24"/>
          <w:lang w:val="fr-FR" w:eastAsia="fr-FR"/>
        </w:rPr>
      </w:pPr>
      <w:r>
        <w:rPr>
          <w:rFonts w:eastAsia="Times New Roman" w:cs="Calibri"/>
          <w:i/>
          <w:sz w:val="24"/>
          <w:szCs w:val="24"/>
          <w:lang w:val="fr-FR" w:eastAsia="fr-FR"/>
        </w:rPr>
        <w:t>- Pourquoi cet acharnement d’exploiter les minerais à Basoko pendant ce temps d’urgence sanitaire proclamé par le Chef de l’Etat et Président de la République alors que le pays est touché ?</w:t>
      </w:r>
    </w:p>
    <w:p w:rsidR="0089405D" w:rsidRDefault="003468E2">
      <w:pPr>
        <w:spacing w:after="0" w:line="312" w:lineRule="auto"/>
        <w:jc w:val="both"/>
        <w:rPr>
          <w:rFonts w:eastAsia="Times New Roman" w:cs="Calibri"/>
          <w:i/>
          <w:sz w:val="24"/>
          <w:szCs w:val="24"/>
          <w:lang w:val="fr-FR" w:eastAsia="fr-FR"/>
        </w:rPr>
      </w:pPr>
      <w:r>
        <w:rPr>
          <w:rFonts w:eastAsia="Times New Roman" w:cs="Calibri"/>
          <w:i/>
          <w:sz w:val="24"/>
          <w:szCs w:val="24"/>
          <w:lang w:val="fr-FR" w:eastAsia="fr-FR"/>
        </w:rPr>
        <w:t xml:space="preserve">- Comment une société disposant d’un capital d’affaire de 10.000 $ US seulement peut se construire des dragues d’un montant de loin supérieur à sa mise ? </w:t>
      </w:r>
    </w:p>
    <w:p w:rsidR="0089405D" w:rsidRDefault="003468E2">
      <w:pPr>
        <w:spacing w:after="0" w:line="312" w:lineRule="auto"/>
        <w:jc w:val="both"/>
        <w:rPr>
          <w:rFonts w:eastAsia="Times New Roman" w:cs="Calibri"/>
          <w:i/>
          <w:sz w:val="24"/>
          <w:szCs w:val="24"/>
          <w:lang w:val="fr-FR" w:eastAsia="fr-FR"/>
        </w:rPr>
      </w:pPr>
      <w:r>
        <w:rPr>
          <w:rFonts w:eastAsia="Times New Roman" w:cs="Calibri"/>
          <w:i/>
          <w:sz w:val="24"/>
          <w:szCs w:val="24"/>
          <w:lang w:val="fr-FR" w:eastAsia="fr-FR"/>
        </w:rPr>
        <w:t>- Cette exploitation des minerais impactera-t-elle positivement le développement de Basoko ?</w:t>
      </w:r>
    </w:p>
    <w:p w:rsidR="0089405D" w:rsidRDefault="003468E2">
      <w:pPr>
        <w:spacing w:after="0" w:line="312" w:lineRule="auto"/>
        <w:jc w:val="both"/>
        <w:rPr>
          <w:rFonts w:eastAsia="Times New Roman" w:cs="Calibri"/>
          <w:i/>
          <w:sz w:val="24"/>
          <w:szCs w:val="24"/>
          <w:lang w:val="fr-FR" w:eastAsia="fr-FR"/>
        </w:rPr>
      </w:pPr>
      <w:r>
        <w:rPr>
          <w:rFonts w:eastAsia="Times New Roman" w:cs="Calibri"/>
          <w:i/>
          <w:sz w:val="24"/>
          <w:szCs w:val="24"/>
          <w:lang w:val="fr-FR" w:eastAsia="fr-FR"/>
        </w:rPr>
        <w:t>- Ne peut-on pas signer un cahier de charges avec la population riveraine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xml:space="preserve">Les réponses à ces questionnements ouvriront bien sûr des éléments de base qui sont développés dans les chapitres qui suivent dans cet ouvrage.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Les filles et fils de Basoko précisent qu'il s'agit belle et bien d'une exploitation semi-industrielle et sur pieds des articles 33 et 52 du Code minier en vigueur. Ils déplorent que l'Etat congolais soit complice de la fraude des Chinois, par le fait de l'attribution (sans la moindre consultation préalable de la communauté locale de Basoko à la base) à son client </w:t>
      </w:r>
      <w:r>
        <w:rPr>
          <w:rFonts w:eastAsia="Times New Roman" w:cs="Calibri"/>
          <w:i/>
          <w:sz w:val="24"/>
          <w:szCs w:val="24"/>
          <w:lang w:val="fr-FR" w:eastAsia="fr-FR"/>
        </w:rPr>
        <w:t>Xiang Jiang Mining</w:t>
      </w:r>
      <w:r>
        <w:rPr>
          <w:rFonts w:eastAsia="Times New Roman" w:cs="Calibri"/>
          <w:sz w:val="24"/>
          <w:szCs w:val="24"/>
          <w:lang w:val="fr-FR" w:eastAsia="fr-FR"/>
        </w:rPr>
        <w:t xml:space="preserve"> SARL, deux permis de recherche no 14764 et 14765 pour un total de 30 carrés durant 99 ans. </w:t>
      </w:r>
    </w:p>
    <w:p w:rsidR="0089405D" w:rsidRDefault="003468E2">
      <w:pPr>
        <w:spacing w:after="0" w:line="312" w:lineRule="auto"/>
        <w:jc w:val="both"/>
        <w:rPr>
          <w:rFonts w:eastAsia="Calibri" w:cs="Calibri"/>
          <w:sz w:val="24"/>
          <w:szCs w:val="24"/>
          <w:lang w:val="fr-FR" w:eastAsia="en-US"/>
        </w:rPr>
      </w:pPr>
      <w:r>
        <w:rPr>
          <w:rFonts w:eastAsia="Times New Roman" w:cs="Calibri"/>
          <w:sz w:val="24"/>
          <w:szCs w:val="24"/>
          <w:lang w:val="fr-FR" w:eastAsia="fr-FR"/>
        </w:rPr>
        <w:tab/>
      </w:r>
      <w:r>
        <w:rPr>
          <w:rFonts w:eastAsia="Calibri" w:cs="Calibri"/>
          <w:sz w:val="24"/>
          <w:szCs w:val="24"/>
          <w:lang w:val="fr-FR" w:eastAsia="en-US"/>
        </w:rPr>
        <w:t>Conformément à l'article 165 du code minier de 2018, toutes les opérations d'exploitation minière, hormis l'exploitation temporaire de carrières, doivent faire l'objet d'une étude d'impact environnemental du projet et d'un plan de gestion environnementale du projet</w:t>
      </w:r>
      <w:r>
        <w:rPr>
          <w:rFonts w:eastAsia="Calibri" w:cs="Calibri"/>
          <w:sz w:val="24"/>
          <w:szCs w:val="24"/>
          <w:vertAlign w:val="superscript"/>
          <w:lang w:val="fr-FR" w:eastAsia="en-US"/>
        </w:rPr>
        <w:footnoteReference w:id="64"/>
      </w:r>
      <w:r>
        <w:rPr>
          <w:rFonts w:eastAsia="Calibri" w:cs="Calibri"/>
          <w:sz w:val="24"/>
          <w:szCs w:val="24"/>
          <w:lang w:val="fr-FR" w:eastAsia="en-US"/>
        </w:rPr>
        <w:t xml:space="preserve">. Cela est en conformité avec la déclaration de Rio 78. Selon cette déclaration, les procédures d'EIES comportent trois étapes clés :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lastRenderedPageBreak/>
        <w:t xml:space="preserve">-  L'initiation, sa réalisation et son approbation … ;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Le permis d'exploitation de rejets, d'un permis d'exploitation de petite mine ou d'autorisation d'exploitation de carrières tenu de présenter une étude d'impact environnemental accompagné d'un plan de gestion environnementale du projet et d'obtenir l'approbation de son EIES et PGEP  ainsi que de mettre en œuvre ce plan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xml:space="preserve">- Avoir respecté les obligations de maintien de la validité prévues du permis aux articles 196, 197, 198 et 199 du présent Code, en présentant :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la preuve de paiement des droits superficiels annuels par carré et de l’impôt sur la superficie des concessions minières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donner la preuve de la capacité de traiter et de transformer les substances minérales en République Démocratique du Congo et déposer un acte d’engagement de traiter et de transformer ces substances sur le territoire congolais.</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ab/>
        <w:t>Le constat est malheureux, selon les associations de Basoko et la Société Civile. L’Article 75 qui parle du délai de l’instruction environnementale et sociale de la demande du Permis d’exploitation n’a pas été respecté. D’après le code, l’instruction environnementale et sociale de l’EIES et du PGES afférente à une demande de Permis d’exploitation déclarée recevable est réalisée dans les six mois à compter de la date de transmission du dossier de demande par le Cadastre minier à l’Agence Congolaise de l’Environnement  et le Fonds national de promotion et de service social, en collaboration avec la Direction chargée de la protection de l’environnement minier, conformément à la réglementation en matière de protection de l’environnement.</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Enfin, le code prévoit qu’en cas de déplacement des populations, l’opérateur minier est tenu préalablement de procéder à l’indemnisation, à la compensation et à la réinstallation des populations concernées.</w:t>
      </w:r>
      <w:r>
        <w:rPr>
          <w:rFonts w:eastAsia="Calibri" w:cs="Calibri"/>
          <w:sz w:val="24"/>
          <w:szCs w:val="24"/>
          <w:lang w:val="fr-FR" w:eastAsia="en-US"/>
        </w:rPr>
        <w:t xml:space="preserve"> </w:t>
      </w:r>
      <w:r>
        <w:rPr>
          <w:rFonts w:eastAsia="Times New Roman" w:cs="Calibri"/>
          <w:sz w:val="24"/>
          <w:szCs w:val="24"/>
          <w:lang w:val="fr-FR" w:eastAsia="fr-FR"/>
        </w:rPr>
        <w:t>D’après le code dans son Article 281 ajout des alinéas 7 et 7 bis stipulent que : « Toute occupation de terrain privant les ayant-droits de la jouissance du sol, toute modification rendant le terrain impropre à la culture entraîne, pour le titulaire ou l’amodiataire des droits miniers et/ou de carrières, à la demande des ayants-droits du terrain et à leur convenance, l’obligation de payer une juste</w:t>
      </w:r>
      <w:r>
        <w:rPr>
          <w:rFonts w:eastAsia="Calibri" w:cs="Calibri"/>
          <w:sz w:val="24"/>
          <w:szCs w:val="24"/>
          <w:lang w:val="fr-FR" w:eastAsia="en-US"/>
        </w:rPr>
        <w:t xml:space="preserve"> </w:t>
      </w:r>
      <w:r>
        <w:rPr>
          <w:rFonts w:eastAsia="Times New Roman" w:cs="Calibri"/>
          <w:sz w:val="24"/>
          <w:szCs w:val="24"/>
          <w:lang w:val="fr-FR" w:eastAsia="fr-FR"/>
        </w:rPr>
        <w:t xml:space="preserve">valeur du terrain lors de son occupation, augmentée de la moitié… Toutefois, l’occupant du terrain coutumier peut, en accord avec le titulaire, continuer à exercer son droit de culture à condition que les travaux des champs ne </w:t>
      </w:r>
      <w:r>
        <w:rPr>
          <w:rFonts w:eastAsia="Times New Roman" w:cs="Calibri"/>
          <w:sz w:val="24"/>
          <w:szCs w:val="24"/>
          <w:lang w:val="fr-FR" w:eastAsia="fr-FR"/>
        </w:rPr>
        <w:lastRenderedPageBreak/>
        <w:t xml:space="preserve">gênent pas les opérations minières. Le propriétaire du terrain ne pourra dès lors plus continuer à y construire des bâtiments ». Malheureusement, il y a aucun accord signé entre les deux parties prenantes. </w:t>
      </w:r>
    </w:p>
    <w:p w:rsidR="0089405D" w:rsidRDefault="0089405D">
      <w:pPr>
        <w:spacing w:after="0" w:line="312" w:lineRule="auto"/>
        <w:jc w:val="both"/>
        <w:rPr>
          <w:rFonts w:eastAsia="Times New Roman" w:cs="Calibri"/>
          <w:sz w:val="24"/>
          <w:szCs w:val="24"/>
          <w:lang w:val="fr-FR" w:eastAsia="fr-FR"/>
        </w:rPr>
      </w:pPr>
    </w:p>
    <w:p w:rsidR="0089405D" w:rsidRDefault="003468E2">
      <w:pPr>
        <w:pStyle w:val="Titre1"/>
        <w:spacing w:before="0" w:line="312" w:lineRule="auto"/>
        <w:rPr>
          <w:rFonts w:eastAsia="Times New Roman" w:cs="Calibri"/>
          <w:b/>
          <w:color w:val="auto"/>
          <w:sz w:val="24"/>
          <w:szCs w:val="24"/>
          <w:lang w:val="fr-FR" w:eastAsia="fr-FR"/>
        </w:rPr>
      </w:pPr>
      <w:bookmarkStart w:id="610" w:name="_Toc60313826"/>
      <w:bookmarkStart w:id="611" w:name="_Toc79393004"/>
      <w:bookmarkStart w:id="612" w:name="_Toc111888665"/>
      <w:bookmarkStart w:id="613" w:name="_Toc127187245"/>
      <w:bookmarkStart w:id="614" w:name="_Toc127187522"/>
      <w:bookmarkStart w:id="615" w:name="_Toc127432279"/>
      <w:r>
        <w:rPr>
          <w:rFonts w:eastAsia="Times New Roman" w:cs="Calibri"/>
          <w:b/>
          <w:color w:val="auto"/>
          <w:sz w:val="24"/>
          <w:szCs w:val="24"/>
          <w:lang w:val="fr-FR" w:eastAsia="fr-FR"/>
        </w:rPr>
        <w:t>5.6.1. DE L’EVALUATION DU PLAN DE SUIVI DE L’ENVIRONNEMENT</w:t>
      </w:r>
      <w:bookmarkEnd w:id="610"/>
      <w:bookmarkEnd w:id="611"/>
      <w:bookmarkEnd w:id="612"/>
      <w:bookmarkEnd w:id="613"/>
      <w:bookmarkEnd w:id="614"/>
      <w:bookmarkEnd w:id="615"/>
      <w:r>
        <w:rPr>
          <w:rFonts w:eastAsia="Times New Roman" w:cs="Calibri"/>
          <w:b/>
          <w:color w:val="auto"/>
          <w:sz w:val="24"/>
          <w:szCs w:val="24"/>
          <w:lang w:val="fr-FR" w:eastAsia="fr-FR"/>
        </w:rPr>
        <w:t xml:space="preserve">  </w:t>
      </w:r>
    </w:p>
    <w:p w:rsidR="0089405D" w:rsidRDefault="0089405D">
      <w:pPr>
        <w:spacing w:after="0" w:line="312" w:lineRule="auto"/>
        <w:ind w:firstLine="709"/>
        <w:jc w:val="both"/>
        <w:rPr>
          <w:rFonts w:eastAsia="Times New Roman" w:cs="Calibri"/>
          <w:sz w:val="24"/>
          <w:szCs w:val="24"/>
          <w:lang w:val="fr-FR" w:eastAsia="fr-FR"/>
        </w:rPr>
      </w:pP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D’après les analyses et les témoignages, selon la population de Basoko, toutes les promesses de l’EIES risquent d’être une simple illusion à moins que cette dernière établisse les moyens par lesquels la compagnie minière et/ou les fonctionnaires responsables du gouvernement surveilleront l’exécution du projet minier et son impact sur l’environnement.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Comme l’explique la Conservation Internationale : « Le programme de contrôle devrait faire partie du système global de gestion environnementale de la compagnie, et devrait répondre directement aux problèmes environnementaux identifiés dans l’EIE réalisé avant le début des opérations.  Mais les expériences de cette société dans d’autres contrées ont montré ses limites », (Cf. Blom A., 2001). La population constate que le programme de contrôle devrait être développé en utilisant un ensemble d’objectifs et les obligations de la compagnie ainsi que les conditions existantes.  Le programme devrait définir le plan de travail, les responsabilités du personnel minier, les mesures prises pour le suivi et les systèmes de rédaction de rapport.  Les programmes de suivi commencent par des programmes d’échantillonnages de la ligne de référence afin de caractériser l’environnement à l’étape de pré-développement.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Les problèmes environnementaux qui y sont abordés et gérés par le plan se rapportent généralement aux questions telles que le défrichage des terres et la terre végétale, l’eau, les déchets de roche, les résidus, les déchets dangereux, la biologie (espèces, risques pour la santé, biodiversité), la poussière, le bruit et le transport (Geenen, S. &amp; Custers, R. 2010 ; Afundi, N.et al., 2022).</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Le plan de Gestion Environnementale et Sociale (PGES) doit fournir plus que des détails à propos de  où, quand, qui, et à quelle fréquence une compagnie minière procèdera au suivi de la qualité de l’eau, de l’air, du sol à proximité du projet minier, ainsi que la quantité de polluants dans les effluents et les émissions que la compagnie libère dans l’environnement.  Le plan de contrôle de l’environnement doit également indiquer comment ces informations seront fournies aux décideurs du gouvernement et au grand public de sorte qu’elles permettent aux décideurs et au grand public de vérifier si la compagnie minière s’est </w:t>
      </w:r>
      <w:r>
        <w:rPr>
          <w:rFonts w:eastAsia="Times New Roman" w:cs="Calibri"/>
          <w:sz w:val="24"/>
          <w:szCs w:val="24"/>
          <w:lang w:val="fr-FR" w:eastAsia="fr-FR"/>
        </w:rPr>
        <w:lastRenderedPageBreak/>
        <w:t xml:space="preserve">conformée à toutes ses promesses et aux règlements et normes environnementaux appropriés (Geenen, S. &amp; Custers, R. 2010 ; </w:t>
      </w:r>
      <w:r>
        <w:rPr>
          <w:rFonts w:eastAsia="ArialMT" w:cs="Calibri"/>
          <w:sz w:val="24"/>
          <w:szCs w:val="24"/>
          <w:lang w:val="fr-FR"/>
        </w:rPr>
        <w:t>Mongi S., 2021).</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En plus, en se basant sur le livre Canivet G. et al. (2006) qui parle de manuel judiciaire de droit de l’environnement du Programme des Nations Unies pour l’Environnement, il n’y a pas de procédure de consentement préalable</w:t>
      </w:r>
      <w:r>
        <w:rPr>
          <w:rFonts w:eastAsia="Times New Roman" w:cs="Calibri"/>
          <w:sz w:val="24"/>
          <w:szCs w:val="24"/>
          <w:vertAlign w:val="superscript"/>
          <w:lang w:val="fr-FR" w:eastAsia="fr-FR"/>
        </w:rPr>
        <w:footnoteReference w:id="65"/>
      </w:r>
      <w:r>
        <w:rPr>
          <w:rFonts w:eastAsia="Times New Roman" w:cs="Calibri"/>
          <w:sz w:val="24"/>
          <w:szCs w:val="24"/>
          <w:lang w:val="fr-FR" w:eastAsia="fr-FR"/>
        </w:rPr>
        <w:t xml:space="preserve">  (PCP) entre les Chinois et la population de Liambi et de Basoko.</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Par conséquent, il est important que le plan de contrôle de l’environnement spécifie qu’il rapportera promptement toutes les données de suivi au public dans un format facile à utiliser (Butaré, I. &amp; Keita, S. 2012).  Il est également important d’assurer que les citoyens des communautés affectées fassent partie des équipes mises en place pour surveiller la performance environnementale d’une compagnie minière. Ces équipes de suivi pourraient éveiller des soupçons si elles incluent seulement des représentants de l’industrie et/ou d’organismes gouvernementaux (IFC/World Bank,  2007). “La réduction des impacts de l’exploitation minière implique des questions de localisation, des solutions technologiques pour éliminer la contamination, et des programmes de réhabilitation,...’’.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Le plus important pour l’exploitation minière est l’emplacement des opérations minières et des bassins de décantation des résidus de mine pour éviter les habitats sensibles, les marécages, les zones rivulaires, et les zones d’alimentation</w:t>
      </w:r>
      <w:r>
        <w:rPr>
          <w:rFonts w:eastAsia="Calibri" w:cs="Calibri"/>
          <w:sz w:val="24"/>
          <w:szCs w:val="24"/>
          <w:lang w:val="fr-FR" w:eastAsia="en-US"/>
        </w:rPr>
        <w:t xml:space="preserve">. </w:t>
      </w:r>
      <w:r>
        <w:rPr>
          <w:rFonts w:eastAsia="Times New Roman" w:cs="Calibri"/>
          <w:sz w:val="24"/>
          <w:szCs w:val="24"/>
          <w:lang w:val="fr-FR" w:eastAsia="fr-FR"/>
        </w:rPr>
        <w:t>Rien ne se dit à ce sujet par la société, en plus les mesures spécifiques de réduction dépendent du type d’exploitation et du processus spécifique causant les impacts</w:t>
      </w:r>
      <w:r>
        <w:rPr>
          <w:rFonts w:eastAsia="Calibri" w:cs="Calibri"/>
          <w:sz w:val="24"/>
          <w:szCs w:val="24"/>
          <w:lang w:val="fr-FR" w:eastAsia="en-US"/>
        </w:rPr>
        <w:t xml:space="preserve"> (</w:t>
      </w:r>
      <w:r>
        <w:rPr>
          <w:rFonts w:eastAsia="Times New Roman" w:cs="Calibri"/>
          <w:sz w:val="24"/>
          <w:szCs w:val="24"/>
          <w:lang w:val="fr-FR" w:eastAsia="fr-FR"/>
        </w:rPr>
        <w:t xml:space="preserve">Butaré, I. &amp; Keita, S. 2012).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En plus de réduire au minimum les zones perturbées, les activités devraient être programmées dans le temps pour éviter de déranger les plantes et les animaux des environs au cours des périodes cruciales de leur cycle de vie (Miller, G. &amp; Jones, G., 2005 ; </w:t>
      </w:r>
      <w:r>
        <w:rPr>
          <w:rFonts w:eastAsia="Calibri" w:cs="Calibri"/>
          <w:sz w:val="24"/>
          <w:szCs w:val="24"/>
          <w:lang w:val="fr-FR" w:eastAsia="en-US"/>
        </w:rPr>
        <w:t>Caron</w:t>
      </w:r>
      <w:r>
        <w:rPr>
          <w:rFonts w:eastAsia="Times New Roman" w:cs="Calibri"/>
          <w:sz w:val="24"/>
          <w:szCs w:val="24"/>
          <w:lang w:val="fr-FR" w:eastAsia="fr-FR"/>
        </w:rPr>
        <w:t xml:space="preserve">-Malenfant, J. &amp; Conraud T., 2009).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Pour la population de Basoko et de la zone de Liambe, aucun article du code qui est à leur faveur n’a été respecté. C’est pour cette raison qu’elle exige l’exécution de l’Article 290. Le terrain de Liambe est superficiel ; toute exploitation la rendra invraisemblable et illusoire. Hormis cela, il y a d’autres conséquences d’ordre environnemental qui ne permettent pas </w:t>
      </w:r>
      <w:r>
        <w:rPr>
          <w:rFonts w:eastAsia="Times New Roman" w:cs="Calibri"/>
          <w:sz w:val="24"/>
          <w:szCs w:val="24"/>
          <w:lang w:val="fr-FR" w:eastAsia="fr-FR"/>
        </w:rPr>
        <w:lastRenderedPageBreak/>
        <w:t xml:space="preserve">l’exploitation des mines dans cette zone. Le changement climatique et les catastrophes naturelles peuvent également avoir une influence sur la disponibilité et la répartition des ressources naturelles. En se basant sur livre le Canivet G. et al. (2006),  La population de Basoko se base aussi sur la procédure de consentement préalable (PCP) qui est une procédure utilisée avant le commencement des activités afin d'éviter un conflit potentiel et de réduire les risques de dommages environnementaux ou sociaux. </w:t>
      </w:r>
    </w:p>
    <w:p w:rsidR="0089405D" w:rsidRDefault="0089405D">
      <w:pPr>
        <w:spacing w:after="0" w:line="312" w:lineRule="auto"/>
        <w:jc w:val="both"/>
        <w:rPr>
          <w:rFonts w:eastAsia="Calibri" w:cs="Calibri"/>
          <w:sz w:val="24"/>
          <w:szCs w:val="24"/>
          <w:lang w:val="fr-FR" w:eastAsia="en-US"/>
        </w:rPr>
      </w:pPr>
    </w:p>
    <w:p w:rsidR="0089405D" w:rsidRDefault="003468E2">
      <w:pPr>
        <w:pStyle w:val="Titre1"/>
        <w:spacing w:before="0" w:line="312" w:lineRule="auto"/>
        <w:jc w:val="both"/>
        <w:rPr>
          <w:rFonts w:eastAsia="Calibri" w:cs="Calibri"/>
          <w:b/>
          <w:color w:val="auto"/>
          <w:sz w:val="24"/>
          <w:szCs w:val="24"/>
          <w:lang w:val="fr-FR" w:eastAsia="en-US"/>
        </w:rPr>
      </w:pPr>
      <w:bookmarkStart w:id="616" w:name="_Toc111888666"/>
      <w:bookmarkStart w:id="617" w:name="_Toc127187246"/>
      <w:bookmarkStart w:id="618" w:name="_Toc127187523"/>
      <w:bookmarkStart w:id="619" w:name="_Toc127432280"/>
      <w:r>
        <w:rPr>
          <w:rFonts w:eastAsia="Calibri" w:cs="Calibri"/>
          <w:b/>
          <w:color w:val="auto"/>
          <w:sz w:val="24"/>
          <w:szCs w:val="24"/>
          <w:lang w:val="fr-FR" w:eastAsia="en-US"/>
        </w:rPr>
        <w:t>5.6.2. DE LA CRISE ACCELEREE ET DE LA CRISE IRREVERSIBLE ENTRE LES DEUX PARTIES PRENANTES</w:t>
      </w:r>
      <w:bookmarkEnd w:id="616"/>
      <w:bookmarkEnd w:id="617"/>
      <w:bookmarkEnd w:id="618"/>
      <w:bookmarkEnd w:id="619"/>
    </w:p>
    <w:p w:rsidR="0089405D" w:rsidRDefault="0089405D">
      <w:pPr>
        <w:spacing w:after="0" w:line="312" w:lineRule="auto"/>
        <w:ind w:firstLine="709"/>
        <w:jc w:val="both"/>
        <w:rPr>
          <w:rFonts w:eastAsia="Calibri" w:cs="Calibri"/>
          <w:sz w:val="24"/>
          <w:szCs w:val="24"/>
          <w:lang w:val="fr-FR" w:eastAsia="en-US"/>
        </w:rPr>
      </w:pP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La crise due au caractère accéléré et probablement irréversible de l’impact des activités humaines sur la nature requiert des réponses collectives de la part des institutions internationales, des gouvernements et des citoyens</w:t>
      </w:r>
      <w:r>
        <w:rPr>
          <w:rStyle w:val="Appelnotedebasdep"/>
          <w:sz w:val="24"/>
          <w:szCs w:val="24"/>
          <w:lang w:val="fr-FR" w:eastAsia="en-US"/>
        </w:rPr>
        <w:footnoteReference w:id="66"/>
      </w:r>
      <w:r>
        <w:rPr>
          <w:rFonts w:eastAsia="Calibri" w:cs="Calibri"/>
          <w:sz w:val="24"/>
          <w:szCs w:val="24"/>
          <w:lang w:val="fr-FR" w:eastAsia="en-US"/>
        </w:rPr>
        <w:t>. La gouvernance, comprise comme la gestion plurielle de politiques et d’acteurs sociaux et environnementaux, prétend répondre à cette crise en mettant en commun l’expérience et les connaissances de chacune des institutions et de chacun des agents sociaux concernés</w:t>
      </w:r>
      <w:r>
        <w:rPr>
          <w:rFonts w:cs="Calibri"/>
          <w:lang w:val="fr-FR"/>
        </w:rPr>
        <w:t xml:space="preserve"> (</w:t>
      </w:r>
      <w:r>
        <w:rPr>
          <w:rFonts w:eastAsia="Calibri" w:cs="Calibri"/>
          <w:sz w:val="24"/>
          <w:szCs w:val="24"/>
          <w:lang w:val="fr-FR" w:eastAsia="en-US"/>
        </w:rPr>
        <w:t xml:space="preserve">Canivet G. et </w:t>
      </w:r>
      <w:r>
        <w:rPr>
          <w:rFonts w:eastAsia="Calibri" w:cs="Calibri"/>
          <w:i/>
          <w:sz w:val="24"/>
          <w:szCs w:val="24"/>
          <w:lang w:val="fr-FR" w:eastAsia="en-US"/>
        </w:rPr>
        <w:t>al.</w:t>
      </w:r>
      <w:r>
        <w:rPr>
          <w:rFonts w:eastAsia="Calibri" w:cs="Calibri"/>
          <w:sz w:val="24"/>
          <w:szCs w:val="24"/>
          <w:lang w:val="fr-FR" w:eastAsia="en-US"/>
        </w:rPr>
        <w:t xml:space="preserve">, 2006 ; Lacroix J.  &amp; Pranchere J-Y., 2012).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ab/>
        <w:t xml:space="preserve">L’ampleur et la gravité croissantes des problèmes environnementaux qui surgira dans la zone de Liambe causera une diminution de la diversité biologique et la dégradation des écosystèmes déjà menacés par le changement climatique qui va étouffer toute réponse potentielle de la part des différents acteurs et limitent déjà les perspectives de développement économique du territoire de Basoko. Les mesures de protection de l'environnement sont encore très insuffisantes dans cette zone, dès lors qu’on les confronte aux alertes lancées par la communauté scientifique. Ces réformes constituent un lent processus qui exige du temps, de l’énergie, de l’argent et surtout d’abondantes négociations diplomatiques. Cette grave crise environnementale qui se pointe à l’horizon n’est pas capable de susciter des réponses communes de la part des parties prenantes (firme chinoise et la population autochtones).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ab/>
        <w:t xml:space="preserve">Des divisions demeurent, qui ralentissent la possibilité d’une gouvernance environnementale dans ce territoire et même la province de la Tshopo. Il s’agit de savoir s’il est nécessaire ou non de trouver une alternative au système de de tentative d’exploitation </w:t>
      </w:r>
      <w:r>
        <w:rPr>
          <w:rFonts w:eastAsia="Calibri" w:cs="Calibri"/>
          <w:sz w:val="24"/>
          <w:szCs w:val="24"/>
          <w:lang w:val="fr-FR" w:eastAsia="en-US"/>
        </w:rPr>
        <w:lastRenderedPageBreak/>
        <w:t xml:space="preserve">actuelle pour sortir de la crise environnementale. Ce système dispose-t-il de solutions ? La biotechnologie et le développement durable peuvent-ils être considérés comme des solutions ? L’architecture des ensembles de la société civile de protection de l’environnement reflète ce débat. Ces acteurs ont vu défiler tous les acteurs politiques de l’environnement ainsi que toutes les composantes affectées ou concernées d’une manière ou d’une autre par la crise environnementale.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ab/>
        <w:t xml:space="preserve">Force est de constater toutefois que la nature ignore les barrières sociales et politiques et que certains facteurs de transformation environnementale, tels que la contamination de l’eau de cette rivière ne connaitras ni frontières, ni affectations thématiques exclusives de la rivière, mais jusqu’à la majesté fleuve Congo. Ainsi il est nécessaire d’imposer la nécessité d’appliquer des mécanismes prévus par le code minier du point de vue holistique de la durabilité, entre acteurs de cette exploitation et institutions qui se consacrent à l’environnement, mais aussi entre ces acteurs et institutions et ceux et celles qui s’intéressent au commerce international, au développement durable, à la paix, etc. </w:t>
      </w:r>
    </w:p>
    <w:p w:rsidR="0089405D" w:rsidRDefault="0089405D">
      <w:pPr>
        <w:spacing w:after="0" w:line="312" w:lineRule="auto"/>
        <w:jc w:val="both"/>
        <w:rPr>
          <w:rFonts w:eastAsia="Calibri" w:cs="Calibri"/>
          <w:sz w:val="24"/>
          <w:szCs w:val="24"/>
          <w:lang w:val="fr-FR" w:eastAsia="en-US"/>
        </w:rPr>
      </w:pPr>
    </w:p>
    <w:p w:rsidR="0089405D" w:rsidRDefault="003468E2">
      <w:pPr>
        <w:pStyle w:val="Titre1"/>
        <w:spacing w:before="0" w:line="312" w:lineRule="auto"/>
        <w:jc w:val="both"/>
        <w:rPr>
          <w:rFonts w:eastAsia="Calibri" w:cs="Calibri"/>
          <w:b/>
          <w:color w:val="auto"/>
          <w:sz w:val="24"/>
          <w:szCs w:val="24"/>
          <w:lang w:val="fr-FR" w:eastAsia="en-US"/>
        </w:rPr>
      </w:pPr>
      <w:bookmarkStart w:id="620" w:name="_Toc111888667"/>
      <w:bookmarkStart w:id="621" w:name="_Toc127187247"/>
      <w:bookmarkStart w:id="622" w:name="_Toc127187524"/>
      <w:bookmarkStart w:id="623" w:name="_Toc127432281"/>
      <w:r>
        <w:rPr>
          <w:rFonts w:eastAsia="Calibri" w:cs="Calibri"/>
          <w:b/>
          <w:color w:val="auto"/>
          <w:sz w:val="24"/>
          <w:szCs w:val="24"/>
          <w:lang w:val="fr-FR" w:eastAsia="en-US"/>
        </w:rPr>
        <w:t>5.6.3. DU PENCHER SUR LA QUESTION DES ECHELLES DE GESTION</w:t>
      </w:r>
      <w:bookmarkEnd w:id="620"/>
      <w:bookmarkEnd w:id="621"/>
      <w:bookmarkEnd w:id="622"/>
      <w:bookmarkEnd w:id="623"/>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ab/>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Au-delà du partenariat d’un côté, et de l’échelle locale de l’autre, les pôles fondamentaux du développement de la gouvernance environnementale, même si une préoccupation majeure demeure, qui est de parvenir à ce que les échelles intermédiaires (territoriales, provinciale, nationale) deviennent les courroies de distribution effectives entre les initiatives locales et les décisions globales. On peut signaler différents obstacles et défis dans la gouvernance environnementale :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xml:space="preserve">- Il n’a pas été possible de freiner ni d’inverser la tendance à la dégradation des ressources naturelles la zone de Liambe ;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En s’obstinant dans une absence de véritable volonté de résoudre les problèmes environnementaux et de développer une politique en faveur de l’utilisation durable des ressources de cette rivière, la communauté environnementale génère des conséquences telles que le déficit de financement, le déséquilibre et l’insuffisance d’entente avec l’économie etc.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Les ressources financières sont limitées et les investissements directs en faveur de l’environnement sont insuffisants par cette société chinoise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xml:space="preserve">- Les méthodes employées, dépourvues de toute coordination à l’échelle locale, régionale et nationale, ainsi que la multiplication et la fragmentation des mandats ont aggravé la situation </w:t>
      </w:r>
      <w:r>
        <w:rPr>
          <w:rFonts w:eastAsia="Calibri" w:cs="Calibri"/>
          <w:sz w:val="24"/>
          <w:szCs w:val="24"/>
          <w:lang w:val="fr-FR" w:eastAsia="en-US"/>
        </w:rPr>
        <w:lastRenderedPageBreak/>
        <w:t>(Afundi, N.et al., 2022). La gouvernance environnementale actuelle se caractérise de fait par une faible intégration des politiques sectorielles, par des capacités institutionnelles inadéquates, par des priorités mal définies et par des objectifs opérationnels peu clairs. En d’autres termes, elle peut être qualifiée de mauvaise gouvernance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On reconnaît de plus en plus que les problématiques environnementales sont liées non seulement au développement et à une croissance économique durable, mais aussi au commerce, à l’agriculture, à la santé, à la paix et à la sécurité. Pourtant, il n’y a pas non plus de coopération permanente entre les acteurs responsables de ces questions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xml:space="preserve">- Les obligations souscrites en vertu du code minier sur l’environnement à l’échelle nationale sont difficilement observables généralement en raison du manque de la volonté politique ;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On n’intègre ni la perspective de genre dans le traitement de la dégradation de l’environnement ni la question de l’équité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xml:space="preserve">- En dépit de la popularité de certaines questions liées à la crise de l’environnement, les points relatifs à l’organisation et aux décisions en matière de gouvernance environnementale ne semblent pas avoir d’impact sur l’opinion publique. </w:t>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En revanche, pour d’autres, la fragmentation apparente est provoquée par la complexité des problèmes liés à l’environnement. Les gestionnaires de l’environnement doivent faire face, sans intervenir de manière spécifique, aux “ incertitudes scientifiques ” ainsi qu’aux incompatibilités entre les ramifications éthiques et les politiques dictées par le principe de précaution. On peut également remarquer que les problèmes de cette exploitation minière sur le lit de la rivière Aruwimi ne requièrent pas toujours des solutions à l’échelle locale, territoriale, provinciale et locale.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ab/>
        <w:t xml:space="preserve">Dans les processus de prise de décision à l’échelon de la base, on peut notamment parler de gouvernance environnementale « participative » ou « décentralisée ». Autrement dit, il s’agit de modèles qui travaillent à l’échelle locale selon des schémas multipartites de prise de décision concertée, par exemple entre la société civile, les institutions publiques et les acteurs privés. La gouvernance environnementale décentralisée devient « un nouveau cadre institutionnel dans lequel les processus de prise de décision sur l’accès et l’utilisation des ressources naturelles ont tendance à rester sur le plan local ». Nous pensons que quatre éléments permettent de développer ces processus :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Les règles ou procédures formelles et informelles, comme les consultations, la démocratie participative, etc.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lastRenderedPageBreak/>
        <w:t>- L’interaction sociale entre les groupes des  participants, qui peut naître des facteurs externes, comme l’implication dans des programmes de développement proposés par des institutions publiques ou comme la réaction à des situations injustes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La régulation ou la correction de certains comportements sociaux afin de transformer une question privée en une affaire publique et d’être en mesure de négocier collectivement une évolution vers des accords durables et acceptables ;</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 L’horizontalité au niveau de la structure du groupe social des modalités en matière de prise de décision et des mécanismes de relation avec des acteurs externes.</w:t>
      </w:r>
    </w:p>
    <w:p w:rsidR="0089405D" w:rsidRDefault="003468E2">
      <w:pPr>
        <w:spacing w:after="0" w:line="312" w:lineRule="auto"/>
        <w:jc w:val="both"/>
        <w:rPr>
          <w:rFonts w:eastAsia="Times New Roman" w:cs="Calibri"/>
          <w:bCs/>
          <w:i/>
          <w:sz w:val="24"/>
          <w:szCs w:val="24"/>
          <w:lang w:val="fr-FR" w:eastAsia="fr-FR"/>
        </w:rPr>
      </w:pPr>
      <w:r>
        <w:rPr>
          <w:rFonts w:eastAsia="Calibri" w:cs="Calibri"/>
          <w:sz w:val="24"/>
          <w:szCs w:val="24"/>
          <w:lang w:val="fr-FR" w:eastAsia="en-US"/>
        </w:rPr>
        <w:tab/>
        <w:t>La légitimité des décisions adoptées dépend non seulement du taux de participation de la population concernée (important ou faible), mais aussi de la représentativité des acteurs qui participent aux mécanismes de non concertation pour cette exploitation</w:t>
      </w:r>
      <w:r>
        <w:rPr>
          <w:sz w:val="24"/>
          <w:szCs w:val="24"/>
          <w:lang w:val="fr-FR"/>
        </w:rPr>
        <w:t xml:space="preserve"> (</w:t>
      </w:r>
      <w:r>
        <w:rPr>
          <w:rFonts w:eastAsia="Calibri" w:cs="Calibri"/>
          <w:sz w:val="24"/>
          <w:szCs w:val="24"/>
          <w:lang w:val="fr-FR" w:eastAsia="en-US"/>
        </w:rPr>
        <w:t>Lacroix J.  &amp; Pranchere J-Y., 2012). Ce qui confirme  que : « </w:t>
      </w:r>
      <w:r>
        <w:rPr>
          <w:rFonts w:eastAsia="Calibri" w:cs="Calibri"/>
          <w:i/>
          <w:sz w:val="24"/>
          <w:szCs w:val="24"/>
          <w:lang w:val="fr-FR" w:eastAsia="en-US"/>
        </w:rPr>
        <w:t>d</w:t>
      </w:r>
      <w:r>
        <w:rPr>
          <w:rFonts w:eastAsia="Times New Roman" w:cs="Calibri"/>
          <w:bCs/>
          <w:i/>
          <w:sz w:val="24"/>
          <w:szCs w:val="24"/>
          <w:lang w:val="fr-FR" w:eastAsia="fr-FR"/>
        </w:rPr>
        <w:t>ans les pays du Sud, le principal obstacle à l’intégration des niveaux intermédiaires dans le processus d’articulation territoriale de la gouvernance environnementale est souvent l’inertie « développementaliste », une attitude politique dominante de la part des États</w:t>
      </w:r>
      <w:r>
        <w:rPr>
          <w:rFonts w:cs="Calibri"/>
          <w:sz w:val="24"/>
          <w:szCs w:val="24"/>
          <w:lang w:val="fr-FR"/>
        </w:rPr>
        <w:t xml:space="preserve"> (</w:t>
      </w:r>
      <w:r>
        <w:rPr>
          <w:rFonts w:eastAsia="Times New Roman" w:cs="Calibri"/>
          <w:bCs/>
          <w:sz w:val="24"/>
          <w:szCs w:val="24"/>
          <w:lang w:val="fr-FR" w:eastAsia="fr-FR"/>
        </w:rPr>
        <w:t>Miller, G. &amp; Jones, G., 2005).</w:t>
      </w:r>
      <w:r>
        <w:rPr>
          <w:rFonts w:eastAsia="Times New Roman" w:cs="Calibri"/>
          <w:bCs/>
          <w:i/>
          <w:sz w:val="24"/>
          <w:szCs w:val="24"/>
          <w:lang w:val="fr-FR" w:eastAsia="fr-FR"/>
        </w:rPr>
        <w:t xml:space="preserve"> </w:t>
      </w:r>
    </w:p>
    <w:p w:rsidR="0089405D" w:rsidRDefault="003468E2">
      <w:pPr>
        <w:spacing w:after="0" w:line="312" w:lineRule="auto"/>
        <w:jc w:val="both"/>
        <w:rPr>
          <w:rFonts w:eastAsia="Times New Roman" w:cs="Calibri"/>
          <w:bCs/>
          <w:sz w:val="25"/>
          <w:szCs w:val="25"/>
          <w:lang w:val="fr-FR" w:eastAsia="fr-FR"/>
        </w:rPr>
      </w:pPr>
      <w:r>
        <w:rPr>
          <w:rFonts w:eastAsia="Times New Roman" w:cs="Calibri"/>
          <w:bCs/>
          <w:i/>
          <w:sz w:val="25"/>
          <w:szCs w:val="25"/>
          <w:lang w:val="fr-FR" w:eastAsia="fr-FR"/>
        </w:rPr>
        <w:tab/>
      </w:r>
      <w:r>
        <w:rPr>
          <w:rFonts w:eastAsia="Times New Roman" w:cs="Calibri"/>
          <w:bCs/>
          <w:sz w:val="25"/>
          <w:szCs w:val="25"/>
          <w:lang w:val="fr-FR" w:eastAsia="fr-FR"/>
        </w:rPr>
        <w:t>Ainsi, la question de l’environnement n’est pas intégrée de manière effective dans la planification et les agendas nationaux de développement en RDC. Au contraire, l’idée la plus répandue considère que la protection de l’environnement freine le développement économique et social, cette idée étant encouragée par la frénésie exportatrice des matières premières extraites à l’aide de méthodes qui détériorent la nature, qui épuisent les ressources et ne génèrent pas de valeur ajoutée</w:t>
      </w:r>
      <w:r>
        <w:rPr>
          <w:rStyle w:val="Appelnotedebasdep"/>
          <w:bCs/>
          <w:sz w:val="25"/>
          <w:szCs w:val="25"/>
          <w:lang w:val="fr-FR" w:eastAsia="fr-FR"/>
        </w:rPr>
        <w:footnoteReference w:id="67"/>
      </w:r>
      <w:r>
        <w:rPr>
          <w:rFonts w:eastAsia="Times New Roman" w:cs="Calibri"/>
          <w:bCs/>
          <w:sz w:val="25"/>
          <w:szCs w:val="25"/>
          <w:lang w:val="fr-FR" w:eastAsia="fr-FR"/>
        </w:rPr>
        <w:t xml:space="preserve">. </w:t>
      </w:r>
    </w:p>
    <w:p w:rsidR="0089405D" w:rsidRDefault="0089405D">
      <w:pPr>
        <w:spacing w:after="0" w:line="312" w:lineRule="auto"/>
        <w:jc w:val="both"/>
        <w:rPr>
          <w:rFonts w:eastAsia="Calibri" w:cs="Calibri"/>
          <w:sz w:val="24"/>
          <w:szCs w:val="24"/>
          <w:lang w:val="fr-FR" w:eastAsia="en-US"/>
        </w:rPr>
      </w:pPr>
    </w:p>
    <w:p w:rsidR="0089405D" w:rsidRDefault="003468E2">
      <w:pPr>
        <w:pStyle w:val="Titre1"/>
        <w:tabs>
          <w:tab w:val="left" w:pos="8300"/>
        </w:tabs>
        <w:spacing w:before="0" w:line="312" w:lineRule="auto"/>
        <w:rPr>
          <w:rFonts w:eastAsia="Calibri" w:cs="Calibri"/>
          <w:b/>
          <w:color w:val="auto"/>
          <w:sz w:val="24"/>
          <w:szCs w:val="24"/>
          <w:lang w:val="fr-FR" w:eastAsia="en-US"/>
        </w:rPr>
      </w:pPr>
      <w:bookmarkStart w:id="624" w:name="_Toc60313827"/>
      <w:bookmarkStart w:id="625" w:name="_Toc79393005"/>
      <w:bookmarkStart w:id="626" w:name="_Toc111888668"/>
      <w:bookmarkStart w:id="627" w:name="_Toc127187248"/>
      <w:bookmarkStart w:id="628" w:name="_Toc127187525"/>
      <w:bookmarkStart w:id="629" w:name="_Toc127432282"/>
      <w:r>
        <w:rPr>
          <w:rFonts w:eastAsia="Calibri" w:cs="Calibri"/>
          <w:b/>
          <w:color w:val="auto"/>
          <w:sz w:val="24"/>
          <w:szCs w:val="24"/>
          <w:lang w:val="fr-FR" w:eastAsia="en-US"/>
        </w:rPr>
        <w:t>5.7. CONCLUSION</w:t>
      </w:r>
      <w:bookmarkEnd w:id="624"/>
      <w:bookmarkEnd w:id="625"/>
      <w:bookmarkEnd w:id="626"/>
      <w:bookmarkEnd w:id="627"/>
      <w:bookmarkEnd w:id="628"/>
      <w:bookmarkEnd w:id="629"/>
    </w:p>
    <w:p w:rsidR="0089405D" w:rsidRDefault="003468E2">
      <w:pPr>
        <w:pStyle w:val="Titre1"/>
        <w:tabs>
          <w:tab w:val="left" w:pos="8300"/>
        </w:tabs>
        <w:spacing w:before="0" w:line="312" w:lineRule="auto"/>
        <w:rPr>
          <w:rFonts w:eastAsia="Calibri" w:cs="Calibri"/>
          <w:b/>
          <w:color w:val="auto"/>
          <w:sz w:val="24"/>
          <w:szCs w:val="24"/>
          <w:lang w:val="fr-FR" w:eastAsia="en-US"/>
        </w:rPr>
      </w:pPr>
      <w:r>
        <w:rPr>
          <w:rFonts w:eastAsia="Calibri" w:cs="Calibri"/>
          <w:b/>
          <w:color w:val="auto"/>
          <w:sz w:val="24"/>
          <w:szCs w:val="24"/>
          <w:lang w:val="fr-FR" w:eastAsia="en-US"/>
        </w:rPr>
        <w:tab/>
      </w:r>
    </w:p>
    <w:p w:rsidR="0089405D" w:rsidRDefault="003468E2">
      <w:pPr>
        <w:spacing w:after="0" w:line="312" w:lineRule="auto"/>
        <w:jc w:val="both"/>
        <w:rPr>
          <w:rFonts w:eastAsia="Calibri" w:cs="Calibri"/>
          <w:sz w:val="24"/>
          <w:szCs w:val="24"/>
          <w:lang w:val="fr-FR" w:eastAsia="en-US"/>
        </w:rPr>
      </w:pPr>
      <w:r>
        <w:rPr>
          <w:rFonts w:eastAsia="Calibri" w:cs="Calibri"/>
          <w:b/>
          <w:sz w:val="24"/>
          <w:szCs w:val="24"/>
          <w:lang w:val="fr-FR" w:eastAsia="en-US"/>
        </w:rPr>
        <w:t xml:space="preserve"> </w:t>
      </w:r>
      <w:r>
        <w:rPr>
          <w:rFonts w:eastAsia="Calibri" w:cs="Calibri"/>
          <w:b/>
          <w:sz w:val="24"/>
          <w:szCs w:val="24"/>
          <w:lang w:val="fr-FR" w:eastAsia="en-US"/>
        </w:rPr>
        <w:tab/>
      </w:r>
      <w:r>
        <w:rPr>
          <w:rFonts w:eastAsia="Calibri" w:cs="Calibri"/>
          <w:sz w:val="24"/>
          <w:szCs w:val="24"/>
          <w:lang w:val="fr-FR" w:eastAsia="en-US"/>
        </w:rPr>
        <w:t xml:space="preserve">Les droits de l’homme sont ce pourquoi on lutte contre l’oppression, l’injustice,  et sont ce par quoi on défend la légitimité de la lutte. Leur pertinence se bâtit dans ce rapport complexe à la réalité. Ils sont à la fois un réservoir de sens dont s’inspirent les opprimés et des droits dans le sens juridique, c’est-à-dire qui peuvent être intégrés aux systèmes positifs de droits et donc qui sont à même d’assurer la protection juridique des personnes. Mais, tant qu’ils ne perdent pas le rapport à une réalité historique évolutive et changeante, leur contenu normatif serait déterminé en fonction d’un conflit inéluctable du bien commun comme les minerais de la rivière Aruwimi. D’une part, ce rapport à la réalité, c’est-à-dire à une condition </w:t>
      </w:r>
      <w:r>
        <w:rPr>
          <w:rFonts w:eastAsia="Calibri" w:cs="Calibri"/>
          <w:sz w:val="24"/>
          <w:szCs w:val="24"/>
          <w:lang w:val="fr-FR" w:eastAsia="en-US"/>
        </w:rPr>
        <w:lastRenderedPageBreak/>
        <w:t>socio-historique, leur donne un bien-fondé chez les sociétés qui les ont réclamés. On se reconnaît dans ces droits, on se les approprie. D’autre part, ce rapport renvoie toujours aux expériences d’injustice auxquelles ils sont articulés. C’est ainsi que l’universalité des droits de l’homme peut se construire, car l’injustice est la chose la mieux distribuée entre les hommes.</w:t>
      </w:r>
    </w:p>
    <w:p w:rsidR="0089405D" w:rsidRDefault="003468E2">
      <w:pPr>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Pour cette raison, nous dénonçons le fait que, pendant ses opérations d’exploitation il y aura contamination de l’eau et de l’air, la participation à des actes de répression comme des enlèvements et l’expulsion par la force des communautés autochtones de leurs terres. La réactivation de la concession minière, les droits collectifs des peuples autochtones qui vivent dans cette zone sont en contradiction avec les éléments fondateurs des Accords de paix et avec les obligations de l’État au titre notamment de la Convention n°169 de l’OIT et d’autres accords et traités nationaux et internationaux.</w:t>
      </w:r>
    </w:p>
    <w:p w:rsidR="0089405D" w:rsidRDefault="003468E2">
      <w:pPr>
        <w:spacing w:after="0" w:line="312" w:lineRule="auto"/>
        <w:jc w:val="both"/>
        <w:rPr>
          <w:rFonts w:eastAsia="Calibri" w:cs="Calibri"/>
          <w:sz w:val="24"/>
          <w:szCs w:val="24"/>
          <w:lang w:val="fr-FR" w:eastAsia="en-US"/>
        </w:rPr>
      </w:pPr>
      <w:r>
        <w:rPr>
          <w:rFonts w:eastAsia="Calibri" w:cs="Calibri"/>
          <w:sz w:val="24"/>
          <w:szCs w:val="24"/>
          <w:lang w:val="fr-FR" w:eastAsia="en-US"/>
        </w:rPr>
        <w:tab/>
        <w:t>Nous exigeons que le Président de la République annule immédiatement le Décret qui accorde cette concession car il menace cette nation dont les droits de son peuple doivent être respectés. Si ces exigences venaient à ne pas être satisfaites, nous exercerons alors notre droit constitutionnel à la résistance pacifique pour montrer notre désaccord.  Le renforcement du cadre institutionnel et juridique solide qui régit le développement et la gestion de(s) Industrie(s) extractive(s) est indispensable si l’on veut garantir le respect des droits et des intérêts des parties prenantes.</w:t>
      </w:r>
    </w:p>
    <w:p w:rsidR="0089405D" w:rsidRDefault="0089405D">
      <w:pPr>
        <w:spacing w:after="0" w:line="312" w:lineRule="auto"/>
        <w:rPr>
          <w:rFonts w:eastAsia="Calibri" w:cs="Calibri"/>
          <w:sz w:val="24"/>
          <w:szCs w:val="24"/>
          <w:lang w:val="fr-FR" w:eastAsia="en-US"/>
        </w:rPr>
      </w:pPr>
    </w:p>
    <w:p w:rsidR="0089405D" w:rsidRDefault="003468E2">
      <w:pPr>
        <w:pStyle w:val="Titre1"/>
        <w:spacing w:before="0" w:line="312" w:lineRule="auto"/>
        <w:rPr>
          <w:rFonts w:cs="Calibri"/>
          <w:b/>
          <w:color w:val="auto"/>
          <w:sz w:val="24"/>
          <w:szCs w:val="24"/>
          <w:lang w:val="fr-FR" w:eastAsia="en-US"/>
        </w:rPr>
      </w:pPr>
      <w:bookmarkStart w:id="630" w:name="_Toc79393006"/>
      <w:bookmarkStart w:id="631" w:name="_Toc60313828"/>
      <w:bookmarkStart w:id="632" w:name="_Toc111888669"/>
      <w:bookmarkStart w:id="633" w:name="_Toc127187249"/>
      <w:bookmarkStart w:id="634" w:name="_Toc127187526"/>
      <w:bookmarkStart w:id="635" w:name="_Toc127432283"/>
      <w:r>
        <w:rPr>
          <w:rFonts w:cs="Calibri"/>
          <w:b/>
          <w:color w:val="auto"/>
          <w:sz w:val="24"/>
          <w:szCs w:val="24"/>
          <w:lang w:val="fr-FR" w:eastAsia="en-US"/>
        </w:rPr>
        <w:t>RÉFÉRENCES</w:t>
      </w:r>
      <w:bookmarkEnd w:id="630"/>
      <w:r>
        <w:rPr>
          <w:rFonts w:cs="Calibri"/>
          <w:b/>
          <w:color w:val="auto"/>
          <w:sz w:val="24"/>
          <w:szCs w:val="24"/>
          <w:lang w:val="fr-FR" w:eastAsia="en-US"/>
        </w:rPr>
        <w:t xml:space="preserve"> </w:t>
      </w:r>
      <w:bookmarkEnd w:id="631"/>
      <w:r>
        <w:rPr>
          <w:rFonts w:cs="Calibri"/>
          <w:b/>
          <w:color w:val="auto"/>
          <w:sz w:val="24"/>
          <w:szCs w:val="24"/>
          <w:lang w:val="fr-FR" w:eastAsia="en-US"/>
        </w:rPr>
        <w:t>BIBLIOGRAPHIQUES</w:t>
      </w:r>
      <w:bookmarkEnd w:id="632"/>
      <w:bookmarkEnd w:id="633"/>
      <w:bookmarkEnd w:id="634"/>
      <w:bookmarkEnd w:id="635"/>
      <w:r>
        <w:rPr>
          <w:rFonts w:cs="Calibri"/>
          <w:b/>
          <w:color w:val="auto"/>
          <w:sz w:val="24"/>
          <w:szCs w:val="24"/>
          <w:lang w:val="fr-FR" w:eastAsia="en-US"/>
        </w:rPr>
        <w:t xml:space="preserve"> </w:t>
      </w:r>
    </w:p>
    <w:bookmarkEnd w:id="552"/>
    <w:p w:rsidR="0089405D" w:rsidRDefault="0089405D">
      <w:pPr>
        <w:pStyle w:val="Paragraphedeliste"/>
        <w:autoSpaceDE w:val="0"/>
        <w:autoSpaceDN w:val="0"/>
        <w:adjustRightInd w:val="0"/>
        <w:spacing w:line="312" w:lineRule="auto"/>
        <w:ind w:left="720"/>
        <w:jc w:val="both"/>
        <w:rPr>
          <w:rFonts w:cs="Calibri"/>
          <w:bCs/>
          <w:sz w:val="24"/>
          <w:szCs w:val="24"/>
          <w:lang w:val="fr-FR"/>
        </w:rPr>
      </w:pPr>
    </w:p>
    <w:p w:rsidR="0089405D" w:rsidRDefault="003468E2">
      <w:pPr>
        <w:pStyle w:val="Paragraphedeliste"/>
        <w:numPr>
          <w:ilvl w:val="0"/>
          <w:numId w:val="40"/>
        </w:numPr>
        <w:autoSpaceDE w:val="0"/>
        <w:autoSpaceDN w:val="0"/>
        <w:adjustRightInd w:val="0"/>
        <w:spacing w:line="312" w:lineRule="auto"/>
        <w:ind w:left="851" w:hanging="494"/>
        <w:jc w:val="both"/>
        <w:rPr>
          <w:rFonts w:cs="Calibri"/>
          <w:bCs/>
          <w:sz w:val="24"/>
          <w:szCs w:val="24"/>
          <w:lang w:val="fr-FR"/>
        </w:rPr>
      </w:pPr>
      <w:r>
        <w:rPr>
          <w:rFonts w:cs="Calibri"/>
          <w:bCs/>
          <w:sz w:val="24"/>
          <w:szCs w:val="24"/>
        </w:rPr>
        <w:t xml:space="preserve">Afundi, N.; Fundiko C.; Makwatu M.; Ludunge C.; Mulumeoderhwa M.; Mushagalusa K.  &amp; Mangambu M (2022). Procedural irregularities related to the semi-industrial exploitation of the Aruwimi River by Xiang Jiang Mining Sarl in the Basoko territory (Congo Basin, DRC) IOSR Journal Of Humanities  And Social Science (IOSR-JHSS). 27 (7): 63-74 </w:t>
      </w:r>
      <w:hyperlink r:id="rId82" w:history="1">
        <w:r>
          <w:rPr>
            <w:rStyle w:val="Lienhypertexte"/>
            <w:rFonts w:cs="Calibri"/>
            <w:bCs/>
            <w:sz w:val="24"/>
            <w:szCs w:val="24"/>
            <w:lang w:val="fr-FR"/>
          </w:rPr>
          <w:t>https://dx.doi.org/10.9790/0837-2707066374</w:t>
        </w:r>
      </w:hyperlink>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eastAsia="en-US"/>
        </w:rPr>
      </w:pPr>
      <w:r>
        <w:rPr>
          <w:rFonts w:eastAsia="Calibri" w:cs="Calibri"/>
          <w:sz w:val="24"/>
          <w:szCs w:val="24"/>
          <w:lang w:val="fr-FR" w:eastAsia="en-US"/>
        </w:rPr>
        <w:t xml:space="preserve">Anselme, B.; Bousquet, F.; Lyet, A.; Etienne, M.&amp; Fady, B. (2008). </w:t>
      </w:r>
      <w:r>
        <w:rPr>
          <w:rFonts w:eastAsia="Calibri" w:cs="Calibri"/>
          <w:sz w:val="24"/>
          <w:szCs w:val="24"/>
          <w:lang w:eastAsia="en-US"/>
        </w:rPr>
        <w:t xml:space="preserve">Modelling spatial dynamics and biodiversity conservation on Lure Mountain (France). </w:t>
      </w:r>
      <w:r>
        <w:rPr>
          <w:rFonts w:eastAsia="Calibri" w:cs="Calibri"/>
          <w:i/>
          <w:iCs/>
          <w:sz w:val="24"/>
          <w:szCs w:val="24"/>
          <w:lang w:eastAsia="en-US"/>
        </w:rPr>
        <w:t>Environmental Modeling &amp; Software</w:t>
      </w:r>
      <w:r>
        <w:rPr>
          <w:rFonts w:eastAsia="Calibri" w:cs="Calibri"/>
          <w:sz w:val="24"/>
          <w:szCs w:val="24"/>
          <w:lang w:eastAsia="en-US"/>
        </w:rPr>
        <w:t>, in review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eastAsia="en-US"/>
        </w:rPr>
      </w:pPr>
      <w:r>
        <w:rPr>
          <w:rFonts w:eastAsia="Calibri" w:cs="Calibri"/>
          <w:sz w:val="24"/>
          <w:szCs w:val="24"/>
          <w:lang w:eastAsia="en-US"/>
        </w:rPr>
        <w:t xml:space="preserve">Bebbington, A.; Hinojosa, L.; Humphreys </w:t>
      </w:r>
      <w:bookmarkStart w:id="636" w:name="_GoBack"/>
      <w:r>
        <w:rPr>
          <w:rFonts w:eastAsia="Calibri" w:cs="Calibri"/>
          <w:sz w:val="24"/>
          <w:szCs w:val="24"/>
          <w:lang w:eastAsia="en-US"/>
        </w:rPr>
        <w:t>Bebbington</w:t>
      </w:r>
      <w:bookmarkEnd w:id="636"/>
      <w:r>
        <w:rPr>
          <w:rFonts w:eastAsia="Calibri" w:cs="Calibri"/>
          <w:sz w:val="24"/>
          <w:szCs w:val="24"/>
          <w:lang w:eastAsia="en-US"/>
        </w:rPr>
        <w:t>, D.; Burneo, ML. &amp; Warnaars, X. (2008). Contention and Ambiguity: Mining and the Possibilities of Development, Brooks World Poverty Institute Working Paper No. 57, Manchester: Brooks World Poverty Institute.</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eastAsia="en-US"/>
        </w:rPr>
        <w:lastRenderedPageBreak/>
        <w:t xml:space="preserve">Blom, A. (2001). An estimate of the recurrent costs of biodiversity conservation through a system of protected areas in the Guinean-Congolian forest region. </w:t>
      </w:r>
      <w:r>
        <w:rPr>
          <w:rFonts w:eastAsia="Calibri" w:cs="Calibri"/>
          <w:sz w:val="24"/>
          <w:szCs w:val="24"/>
          <w:lang w:val="fr-FR" w:eastAsia="en-US"/>
        </w:rPr>
        <w:t>WWF, Washington DC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val="fr-FR" w:eastAsia="en-US"/>
        </w:rPr>
        <w:t xml:space="preserve">Butaré, I. &amp; Keita, S. (2012). Aspects environnementaux liés au développement du secteur minier en Afrique de l’Ouest. </w:t>
      </w:r>
      <w:hyperlink r:id="rId83" w:history="1">
        <w:r>
          <w:rPr>
            <w:rFonts w:eastAsia="Calibri" w:cs="Calibri"/>
            <w:color w:val="005EA4"/>
            <w:sz w:val="24"/>
            <w:szCs w:val="24"/>
            <w:u w:val="single"/>
            <w:lang w:val="fr-FR" w:eastAsia="en-US"/>
          </w:rPr>
          <w:t>http://www.africabusinessmarket.com/fichier/1290108564aspect.pdf</w:t>
        </w:r>
      </w:hyperlink>
      <w:r>
        <w:rPr>
          <w:rFonts w:eastAsia="Calibri" w:cs="Calibri"/>
          <w:color w:val="005EA4"/>
          <w:sz w:val="24"/>
          <w:szCs w:val="24"/>
          <w:u w:val="single"/>
          <w:lang w:val="fr-FR" w:eastAsia="en-US"/>
        </w:rPr>
        <w:t xml:space="preserve">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val="fr-FR" w:eastAsia="en-US"/>
        </w:rPr>
        <w:t>Canivet G.; Lavrysen L. &amp; Guihal D. (2006). Manuel judiciaire de droit de l’environnement. Programme des Nations unies pour l’environnement. Nairobi</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val="fr-FR" w:eastAsia="fr-FR"/>
        </w:rPr>
        <w:t>Caron-Malenfant, J. ; Conraud T., (2009). Guide pratique de l’acceptabilité sociale : pistes de réflexion et d’action, Québec : Éditions D.P.R.M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eastAsia="en-US"/>
        </w:rPr>
        <w:t xml:space="preserve">Castilla-Gómez, J. &amp; Herrera-Herbert, J. (2015). Environmental analysis of mining operations: Dynamic tools for impact assessment. Minerals Engineering, 76.Gullett, W. (1998). Environmental impact assessment and the precautionary principle: Legislating caution in environmental protection l’environnement. </w:t>
      </w:r>
      <w:r>
        <w:rPr>
          <w:rFonts w:eastAsia="Calibri" w:cs="Calibri"/>
          <w:sz w:val="24"/>
          <w:szCs w:val="24"/>
          <w:lang w:val="fr-FR" w:eastAsia="en-US"/>
        </w:rPr>
        <w:t>Nairobi, 267 p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val="fr-FR" w:eastAsia="en-US"/>
        </w:rPr>
        <w:t>Ekele M. &amp; Mangambu M. (2020). Feuilleton sur l’exploitation des minerais par la société Xiang Jiang Mining sarl, une entreprise chinoise a Basoko (Province de la Tshopo, RD Congo). Edition les Ekeles, Kinshasa, 1-6</w:t>
      </w:r>
    </w:p>
    <w:p w:rsidR="0089405D" w:rsidRDefault="003468E2">
      <w:pPr>
        <w:pStyle w:val="Paragraphedeliste"/>
        <w:numPr>
          <w:ilvl w:val="0"/>
          <w:numId w:val="40"/>
        </w:numPr>
        <w:autoSpaceDE w:val="0"/>
        <w:autoSpaceDN w:val="0"/>
        <w:adjustRightInd w:val="0"/>
        <w:spacing w:line="312" w:lineRule="auto"/>
        <w:ind w:left="851" w:hanging="494"/>
        <w:jc w:val="both"/>
        <w:rPr>
          <w:rFonts w:cs="Calibri"/>
          <w:bCs/>
          <w:sz w:val="24"/>
          <w:szCs w:val="24"/>
          <w:lang w:val="fr-FR"/>
        </w:rPr>
      </w:pPr>
      <w:r>
        <w:rPr>
          <w:rFonts w:cs="Calibri"/>
          <w:bCs/>
          <w:sz w:val="24"/>
          <w:szCs w:val="24"/>
        </w:rPr>
        <w:t xml:space="preserve">Fraser N. (2003). Social Justice in the Age of Identity Politics : Redistribution, Recognition, and Participation », in Axel Honneth and Nancy Fraser, Redistribution or Recognition : A political-philosophical Exchange. </w:t>
      </w:r>
      <w:r>
        <w:rPr>
          <w:rFonts w:cs="Calibri"/>
          <w:bCs/>
          <w:sz w:val="24"/>
          <w:szCs w:val="24"/>
          <w:lang w:val="fr-FR"/>
        </w:rPr>
        <w:t>Verso, London and New York, 9 p.</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val="fr-FR" w:eastAsia="en-US"/>
        </w:rPr>
        <w:t>Geenen, S. &amp; Custers, R. (2010). « Tiraillements autour du secteur minier de l’Est de la RDC ». In S. Vandeginste, F. Reyntjens &amp; S. Marysse (éd.), L’Afrique des Grands Lacs. Annuaire 2009-2010. Paris : Le Harmattan, 231-258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color w:val="005EA4"/>
          <w:sz w:val="24"/>
          <w:szCs w:val="24"/>
          <w:lang w:val="fr-FR" w:eastAsia="en-US"/>
        </w:rPr>
      </w:pPr>
      <w:r>
        <w:rPr>
          <w:rFonts w:eastAsia="Calibri" w:cs="Calibri"/>
          <w:sz w:val="24"/>
          <w:szCs w:val="24"/>
          <w:lang w:val="fr-FR" w:eastAsia="en-US"/>
        </w:rPr>
        <w:t xml:space="preserve">Hamouchène, H.(2019).  Extractivisme et résistance en Afrique du Nord, </w:t>
      </w:r>
      <w:hyperlink r:id="rId84" w:history="1">
        <w:r>
          <w:rPr>
            <w:rFonts w:eastAsia="Calibri" w:cs="Calibri"/>
            <w:color w:val="005EA4"/>
            <w:sz w:val="24"/>
            <w:szCs w:val="24"/>
            <w:u w:val="single"/>
            <w:lang w:val="fr-FR" w:eastAsia="en-US"/>
          </w:rPr>
          <w:t>https://www.tni.org/files/publication</w:t>
        </w:r>
      </w:hyperlink>
    </w:p>
    <w:p w:rsidR="0089405D" w:rsidRDefault="003468E2">
      <w:pPr>
        <w:pStyle w:val="Paragraphedeliste"/>
        <w:numPr>
          <w:ilvl w:val="0"/>
          <w:numId w:val="40"/>
        </w:numPr>
        <w:autoSpaceDE w:val="0"/>
        <w:autoSpaceDN w:val="0"/>
        <w:adjustRightInd w:val="0"/>
        <w:spacing w:line="312" w:lineRule="auto"/>
        <w:ind w:left="851" w:hanging="494"/>
        <w:jc w:val="both"/>
        <w:rPr>
          <w:rFonts w:cs="Calibri"/>
          <w:bCs/>
          <w:sz w:val="24"/>
          <w:szCs w:val="24"/>
          <w:lang w:val="fr-FR"/>
        </w:rPr>
      </w:pPr>
      <w:r>
        <w:rPr>
          <w:rFonts w:cs="Calibri"/>
          <w:bCs/>
          <w:sz w:val="24"/>
          <w:szCs w:val="24"/>
          <w:lang w:val="fr-FR"/>
        </w:rPr>
        <w:t xml:space="preserve">Lacroix J.  &amp; Pranchere J-Y. (2012). Karl Marx fut-il vraiment un opposant aux droits de l’homme ? Emancipation individuelle et théorie des droits », Revue française de sciences politiques, 62 (3) : 433-451.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eastAsia="en-US"/>
        </w:rPr>
        <w:t xml:space="preserve">Mancinia, L. &amp; Sala, S. (2018). Social impact assessment in the mining sector: Review and comparison of indicators frameworks. </w:t>
      </w:r>
      <w:r>
        <w:rPr>
          <w:rFonts w:eastAsia="Calibri" w:cs="Calibri"/>
          <w:sz w:val="24"/>
          <w:szCs w:val="24"/>
          <w:lang w:val="fr-FR" w:eastAsia="en-US"/>
        </w:rPr>
        <w:t>Resources Policy, 57(C), 98–111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val="fr-FR" w:eastAsia="en-US"/>
        </w:rPr>
        <w:t xml:space="preserve">Matheus, P.(2018). Les techniques et conditions d’exploitation des mines aurifères. Annales des Mines - Réalités industrielles, 10-19 </w:t>
      </w:r>
    </w:p>
    <w:p w:rsidR="0089405D" w:rsidRDefault="003468E2">
      <w:pPr>
        <w:pStyle w:val="Paragraphedeliste"/>
        <w:numPr>
          <w:ilvl w:val="0"/>
          <w:numId w:val="40"/>
        </w:numPr>
        <w:spacing w:line="312" w:lineRule="auto"/>
        <w:ind w:left="851" w:hanging="494"/>
        <w:jc w:val="both"/>
        <w:rPr>
          <w:rFonts w:cs="Calibri"/>
          <w:bCs/>
          <w:sz w:val="24"/>
          <w:szCs w:val="24"/>
          <w:lang w:val="fr-FR"/>
        </w:rPr>
      </w:pPr>
      <w:r>
        <w:rPr>
          <w:rFonts w:cs="Calibri"/>
          <w:bCs/>
          <w:sz w:val="24"/>
          <w:szCs w:val="24"/>
          <w:lang w:val="fr-FR"/>
        </w:rPr>
        <w:lastRenderedPageBreak/>
        <w:t xml:space="preserve">Mongi S. (2021). Les expériences d’injustice et la fonction émancipatrice des droits de l’homme », La Revue des droits de l’homme. </w:t>
      </w:r>
      <w:hyperlink r:id="rId85" w:history="1">
        <w:r>
          <w:rPr>
            <w:rStyle w:val="Lienhypertexte"/>
            <w:rFonts w:cs="Calibri"/>
            <w:bCs/>
            <w:sz w:val="24"/>
            <w:szCs w:val="24"/>
            <w:lang w:val="fr-FR"/>
          </w:rPr>
          <w:t>https://doi.org/10.4000/revdh.11336</w:t>
        </w:r>
      </w:hyperlink>
    </w:p>
    <w:p w:rsidR="0089405D" w:rsidRDefault="003468E2">
      <w:pPr>
        <w:pStyle w:val="Paragraphedeliste"/>
        <w:numPr>
          <w:ilvl w:val="0"/>
          <w:numId w:val="40"/>
        </w:numPr>
        <w:autoSpaceDE w:val="0"/>
        <w:autoSpaceDN w:val="0"/>
        <w:adjustRightInd w:val="0"/>
        <w:spacing w:line="312" w:lineRule="auto"/>
        <w:ind w:left="851" w:hanging="494"/>
        <w:jc w:val="both"/>
        <w:rPr>
          <w:rFonts w:cs="Calibri"/>
          <w:bCs/>
          <w:sz w:val="24"/>
          <w:szCs w:val="24"/>
          <w:lang w:val="fr-FR"/>
        </w:rPr>
      </w:pPr>
      <w:r>
        <w:rPr>
          <w:rFonts w:cs="Calibri"/>
          <w:bCs/>
          <w:sz w:val="24"/>
          <w:szCs w:val="24"/>
          <w:lang w:val="fr-FR"/>
        </w:rPr>
        <w:t xml:space="preserve"> Renault E. (2004). L’expérience de l’injustice : Reconnaissance et clinique de l’injustice, La Découverte, Paris, 141p. </w:t>
      </w:r>
    </w:p>
    <w:p w:rsidR="0089405D" w:rsidRDefault="003468E2">
      <w:pPr>
        <w:pStyle w:val="Paragraphedeliste"/>
        <w:numPr>
          <w:ilvl w:val="0"/>
          <w:numId w:val="40"/>
        </w:numPr>
        <w:autoSpaceDE w:val="0"/>
        <w:autoSpaceDN w:val="0"/>
        <w:adjustRightInd w:val="0"/>
        <w:spacing w:line="312" w:lineRule="auto"/>
        <w:ind w:left="851" w:hanging="494"/>
        <w:jc w:val="both"/>
        <w:rPr>
          <w:rFonts w:eastAsia="Calibri" w:cs="Calibri"/>
          <w:sz w:val="24"/>
          <w:szCs w:val="24"/>
          <w:lang w:val="fr-FR" w:eastAsia="en-US"/>
        </w:rPr>
      </w:pPr>
      <w:r>
        <w:rPr>
          <w:rFonts w:eastAsia="Calibri" w:cs="Calibri"/>
          <w:sz w:val="24"/>
          <w:szCs w:val="24"/>
          <w:lang w:val="fr-FR" w:eastAsia="en-US"/>
        </w:rPr>
        <w:t>Wakenge, C., (2019). Stade Coltan: extraction minière artisanale, réformes et changement social à l’Est de la RDC », L’harmattan, Collection Etudes Africaines, 248 p.</w:t>
      </w:r>
      <w:r>
        <w:rPr>
          <w:lang w:val="fr-FR"/>
        </w:rPr>
        <w:t xml:space="preserve"> </w:t>
      </w:r>
    </w:p>
    <w:p w:rsidR="0089405D" w:rsidRDefault="003468E2">
      <w:pPr>
        <w:spacing w:after="0" w:line="312" w:lineRule="auto"/>
        <w:rPr>
          <w:rFonts w:cs="Calibri"/>
          <w:bCs/>
          <w:sz w:val="24"/>
          <w:szCs w:val="24"/>
          <w:lang w:val="fr-FR"/>
        </w:rPr>
      </w:pPr>
      <w:r>
        <w:rPr>
          <w:rFonts w:cs="Calibri"/>
          <w:bCs/>
          <w:sz w:val="24"/>
          <w:szCs w:val="24"/>
          <w:lang w:val="fr-FR"/>
        </w:rPr>
        <w:br w:type="page"/>
      </w:r>
    </w:p>
    <w:p w:rsidR="0089405D" w:rsidRDefault="003468E2">
      <w:pPr>
        <w:pStyle w:val="Titre1"/>
        <w:spacing w:before="0" w:line="312" w:lineRule="auto"/>
        <w:jc w:val="center"/>
        <w:rPr>
          <w:rFonts w:cs="Calibri"/>
          <w:b/>
          <w:bCs/>
          <w:color w:val="auto"/>
          <w:sz w:val="28"/>
          <w:szCs w:val="28"/>
          <w:lang w:val="fr-FR"/>
        </w:rPr>
      </w:pPr>
      <w:bookmarkStart w:id="637" w:name="_Toc59458363"/>
      <w:bookmarkStart w:id="638" w:name="_Toc73431853"/>
      <w:bookmarkStart w:id="639" w:name="_Toc79393023"/>
      <w:bookmarkStart w:id="640" w:name="_Toc111888670"/>
      <w:bookmarkStart w:id="641" w:name="_Toc127187250"/>
      <w:bookmarkStart w:id="642" w:name="_Toc127187527"/>
      <w:bookmarkStart w:id="643" w:name="_Toc127432284"/>
      <w:r>
        <w:rPr>
          <w:rFonts w:cs="Calibri"/>
          <w:b/>
          <w:bCs/>
          <w:color w:val="auto"/>
          <w:sz w:val="28"/>
          <w:szCs w:val="28"/>
          <w:lang w:val="fr-FR"/>
        </w:rPr>
        <w:lastRenderedPageBreak/>
        <w:t>IMPACTS ENVIRONNEMENTAL DE L’EXPLOITATION MINIERE</w:t>
      </w:r>
      <w:bookmarkEnd w:id="637"/>
      <w:r>
        <w:rPr>
          <w:rFonts w:cs="Calibri"/>
          <w:b/>
          <w:bCs/>
          <w:color w:val="auto"/>
          <w:sz w:val="28"/>
          <w:szCs w:val="28"/>
          <w:lang w:val="fr-FR"/>
        </w:rPr>
        <w:t> :</w:t>
      </w:r>
      <w:r>
        <w:rPr>
          <w:rFonts w:cs="Calibri"/>
          <w:color w:val="auto"/>
          <w:sz w:val="28"/>
          <w:szCs w:val="28"/>
          <w:lang w:val="fr-FR"/>
        </w:rPr>
        <w:t xml:space="preserve"> </w:t>
      </w:r>
      <w:r>
        <w:rPr>
          <w:rFonts w:cs="Calibri"/>
          <w:b/>
          <w:bCs/>
          <w:color w:val="auto"/>
          <w:sz w:val="28"/>
          <w:szCs w:val="28"/>
          <w:lang w:val="fr-FR"/>
        </w:rPr>
        <w:t>PARADOXES SUR ECOSYSTEMES FRAGILES AU LE DEVELOPPEMENT DURABLE</w:t>
      </w:r>
      <w:bookmarkEnd w:id="638"/>
      <w:bookmarkEnd w:id="639"/>
      <w:bookmarkEnd w:id="640"/>
      <w:bookmarkEnd w:id="641"/>
      <w:bookmarkEnd w:id="642"/>
      <w:bookmarkEnd w:id="643"/>
    </w:p>
    <w:p w:rsidR="0089405D" w:rsidRDefault="0089405D">
      <w:pPr>
        <w:spacing w:after="0" w:line="312" w:lineRule="auto"/>
        <w:jc w:val="both"/>
        <w:rPr>
          <w:rFonts w:cs="Calibri"/>
          <w:b/>
          <w:sz w:val="24"/>
          <w:szCs w:val="24"/>
          <w:lang w:val="fr-FR" w:eastAsia="fr-FR"/>
        </w:rPr>
      </w:pPr>
    </w:p>
    <w:p w:rsidR="0089405D" w:rsidRDefault="003468E2">
      <w:pPr>
        <w:keepNext/>
        <w:keepLines/>
        <w:widowControl w:val="0"/>
        <w:spacing w:after="0" w:line="312" w:lineRule="auto"/>
        <w:jc w:val="both"/>
        <w:outlineLvl w:val="0"/>
        <w:rPr>
          <w:b/>
          <w:sz w:val="28"/>
          <w:szCs w:val="28"/>
          <w:lang w:val="fr-FR"/>
        </w:rPr>
      </w:pPr>
      <w:bookmarkStart w:id="644" w:name="_Toc127181776"/>
      <w:bookmarkStart w:id="645" w:name="_Toc127182171"/>
      <w:bookmarkStart w:id="646" w:name="_Toc127187251"/>
      <w:bookmarkStart w:id="647" w:name="_Toc127187528"/>
      <w:bookmarkStart w:id="648" w:name="_Toc127432285"/>
      <w:bookmarkStart w:id="649" w:name="_Toc59458364"/>
      <w:bookmarkStart w:id="650" w:name="_Toc73431855"/>
      <w:bookmarkStart w:id="651" w:name="_Toc79393025"/>
      <w:bookmarkStart w:id="652" w:name="_Toc111888673"/>
      <w:r>
        <w:rPr>
          <w:b/>
          <w:sz w:val="28"/>
          <w:szCs w:val="28"/>
          <w:lang w:val="fr-FR"/>
        </w:rPr>
        <w:t>Mokili Kanda Etikola José-Zobel, Asimbo Bondoo</w:t>
      </w:r>
      <w:r>
        <w:rPr>
          <w:lang w:val="fr-FR"/>
        </w:rPr>
        <w:t xml:space="preserve"> </w:t>
      </w:r>
      <w:r>
        <w:rPr>
          <w:b/>
          <w:sz w:val="28"/>
          <w:szCs w:val="28"/>
          <w:lang w:val="fr-FR"/>
        </w:rPr>
        <w:t>Norbert,  Makumi Motosia Willy &amp; Mangambu Mokoso Jean De Dieu</w:t>
      </w:r>
      <w:bookmarkEnd w:id="644"/>
      <w:bookmarkEnd w:id="645"/>
      <w:bookmarkEnd w:id="646"/>
      <w:bookmarkEnd w:id="647"/>
      <w:bookmarkEnd w:id="648"/>
    </w:p>
    <w:p w:rsidR="0089405D" w:rsidRDefault="0089405D">
      <w:pPr>
        <w:keepNext/>
        <w:keepLines/>
        <w:widowControl w:val="0"/>
        <w:spacing w:after="0" w:line="312" w:lineRule="auto"/>
        <w:outlineLvl w:val="0"/>
        <w:rPr>
          <w:lang w:val="fr-FR"/>
        </w:rPr>
      </w:pPr>
    </w:p>
    <w:p w:rsidR="0089405D" w:rsidRDefault="003468E2">
      <w:pPr>
        <w:keepNext/>
        <w:keepLines/>
        <w:widowControl w:val="0"/>
        <w:spacing w:after="0" w:line="312" w:lineRule="auto"/>
        <w:outlineLvl w:val="0"/>
        <w:rPr>
          <w:rFonts w:cs="Calibri"/>
          <w:b/>
          <w:bCs/>
          <w:sz w:val="24"/>
          <w:szCs w:val="24"/>
          <w:lang w:val="fr-FR"/>
        </w:rPr>
      </w:pPr>
      <w:bookmarkStart w:id="653" w:name="_Toc127187252"/>
      <w:bookmarkStart w:id="654" w:name="_Toc127187529"/>
      <w:bookmarkStart w:id="655" w:name="_Toc127432286"/>
      <w:r>
        <w:rPr>
          <w:rFonts w:cs="Calibri"/>
          <w:b/>
          <w:bCs/>
          <w:sz w:val="24"/>
          <w:szCs w:val="24"/>
          <w:lang w:val="fr-FR"/>
        </w:rPr>
        <w:t>6.1. INTRODUCTION</w:t>
      </w:r>
      <w:bookmarkEnd w:id="649"/>
      <w:bookmarkEnd w:id="650"/>
      <w:bookmarkEnd w:id="651"/>
      <w:bookmarkEnd w:id="652"/>
      <w:bookmarkEnd w:id="653"/>
      <w:bookmarkEnd w:id="654"/>
      <w:bookmarkEnd w:id="655"/>
      <w:r>
        <w:rPr>
          <w:rFonts w:cs="Calibri"/>
          <w:b/>
          <w:bCs/>
          <w:sz w:val="24"/>
          <w:szCs w:val="24"/>
          <w:lang w:val="fr-FR"/>
        </w:rPr>
        <w:t xml:space="preserve"> </w:t>
      </w:r>
    </w:p>
    <w:p w:rsidR="0089405D" w:rsidRDefault="0089405D">
      <w:pPr>
        <w:keepNext/>
        <w:keepLines/>
        <w:widowControl w:val="0"/>
        <w:spacing w:after="0" w:line="312" w:lineRule="auto"/>
        <w:outlineLvl w:val="0"/>
        <w:rPr>
          <w:rFonts w:cs="Calibri"/>
          <w:b/>
          <w:bCs/>
          <w:vanish/>
          <w:sz w:val="24"/>
          <w:szCs w:val="24"/>
          <w:lang w:val="fr-FR"/>
        </w:rPr>
      </w:pPr>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Dans son Encyclique sur le Progrès des peuples (1967), le Pape Paul VI avait souligné la problématique écologique, en la présentant comme une crise qui est  une conséquence dramatique de l’activité sans contrôle de l’être humain : « </w:t>
      </w:r>
      <w:r>
        <w:rPr>
          <w:rFonts w:cs="Calibri"/>
          <w:i/>
          <w:sz w:val="24"/>
          <w:szCs w:val="24"/>
          <w:lang w:val="fr-FR"/>
        </w:rPr>
        <w:t>par une exploitation inconsidérée de la nature (l’être humain) risque de la détruire et d’être à son  tour  la  victime de cette dégradation </w:t>
      </w:r>
      <w:r>
        <w:rPr>
          <w:rFonts w:cs="Calibri"/>
          <w:sz w:val="24"/>
          <w:szCs w:val="24"/>
          <w:lang w:val="fr-FR"/>
        </w:rPr>
        <w:t xml:space="preserve">».  Dans le cadre d’exploitation minière, les rejets miniers peuvent impacter négativement la santé des employés et des populations des localités abritant les mines, avec des conséquences inévitables sur le bien-être général des populations riveraines.  </w:t>
      </w:r>
    </w:p>
    <w:p w:rsidR="0089405D" w:rsidRDefault="003468E2">
      <w:pPr>
        <w:spacing w:after="0" w:line="312" w:lineRule="auto"/>
        <w:jc w:val="both"/>
        <w:rPr>
          <w:rFonts w:cs="Calibri"/>
          <w:sz w:val="24"/>
          <w:szCs w:val="24"/>
          <w:lang w:val="fr-FR"/>
        </w:rPr>
      </w:pPr>
      <w:r>
        <w:rPr>
          <w:rFonts w:cs="Calibri"/>
          <w:sz w:val="24"/>
          <w:szCs w:val="24"/>
          <w:lang w:val="fr-FR"/>
        </w:rPr>
        <w:tab/>
        <w:t>Les nouveaux projets d'exploitation minière, et tout particulièrement dans les régions des pays économiquement faibles, conduisent souvent à un afflux de nouveaux arrivants de l'extérieur de la zone à la recherche d'emplois sur le projet, ou à l'installation d'entreprises qui entendent tirer profit de la nouvelle activité économique. En tant qu'activité de grande valeur, l'exploitation minière génère des emplois et des services périphériques, et si elle est accompagnée d'une amélioration des infrastructures, elle est encore plus à même d'attirer les populations.</w:t>
      </w:r>
      <w:r>
        <w:rPr>
          <w:rFonts w:cs="Calibri"/>
          <w:lang w:val="fr-FR"/>
        </w:rPr>
        <w:t xml:space="preserve"> </w:t>
      </w:r>
      <w:r>
        <w:rPr>
          <w:rFonts w:cs="Calibri"/>
          <w:sz w:val="24"/>
          <w:szCs w:val="24"/>
          <w:lang w:val="fr-FR"/>
        </w:rPr>
        <w:t xml:space="preserve">Sur le plan logistique, un accroissement soudain de la population peut conduire à des pressions supplémentaires sur les ressources en eau, en terrain, en logements et sur d'autres ressources encore, ainsi que sur l'infrastructure publique et les services sociaux existants, y compris les services d'assainissement, de la santé et de l'éducation. Les  villes champignons  peuvent avoir d'autres effets négatifs. La cohésion sociale au sein de la communauté peut être menacée. Des maladies, la toxicomanie, des perturbations de la loi et de l'ordre public, et des conflits sociaux peuvent devenir des problèmes majeurs (Mangambu M. et al., 2021a).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Un afflux incontrôlé des populations peut avoir un impact profond sur les habitants et sur la stabilité sociale et politique de la région. La gestion des risques inhérents à un tel afflux est maintenant considérée comme représentant un défi majeur dans le cadre du développement responsable d'une mine. Ici encore, les entreprises minières internationales </w:t>
      </w:r>
      <w:r>
        <w:rPr>
          <w:rFonts w:cs="Calibri"/>
          <w:sz w:val="24"/>
          <w:szCs w:val="24"/>
          <w:lang w:val="fr-FR"/>
        </w:rPr>
        <w:lastRenderedPageBreak/>
        <w:t>avant-gardistes développent et déploient des stratégies de recrutement de main d'œuvre et de logement qui minimisent ces risques, et développent d'autres politiques et procédures en collaboration avec le gouvernement local et les autorités nationales pour garder cette immigration sous contrôle (Afundi, N. et al., 2022).</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Ainsi, le principe I de la déclaration de Rio sur l'Environnement et le Développement en 1992 stipule que : « les êtres humains sont au centre des préoccupations relatives au développement durable. Ils ont droit à une vie saine et productive en harmonie avec la nature ». La santé, au-delà d'être un objectif indispensable pour espérer un développement durable, est un droit fondamental pour tout être humain (OMS, 1948 ; Abadie J., 2008).  </w:t>
      </w:r>
    </w:p>
    <w:p w:rsidR="0089405D" w:rsidRDefault="003468E2">
      <w:pPr>
        <w:spacing w:after="0" w:line="312" w:lineRule="auto"/>
        <w:jc w:val="both"/>
        <w:rPr>
          <w:rFonts w:cs="Calibri"/>
          <w:sz w:val="24"/>
          <w:szCs w:val="24"/>
          <w:lang w:val="fr-FR"/>
        </w:rPr>
      </w:pPr>
      <w:r>
        <w:rPr>
          <w:rFonts w:cs="Calibri"/>
          <w:sz w:val="24"/>
          <w:szCs w:val="24"/>
          <w:lang w:val="fr-FR"/>
        </w:rPr>
        <w:tab/>
        <w:t>Dans cette perspective, l’on ne peut qualifier de « durable » une activité industrielle qui repose sur l’exploitation des ressources non renouvelables sans tenir compte de sa finitude et de son épuisement et son exploitation sur l’environnement. Une mine est épuisable, son contenu n’est pas infini. Elle est destinée à être fermée un jour, parce que ses minerais finiront par s’épuiser, peu importe sa durée d’exploitation. La prise de conscience de cet état des choses nécessaire pour humaniser ce secteur  (Figure 6.1).</w:t>
      </w:r>
    </w:p>
    <w:p w:rsidR="0089405D" w:rsidRDefault="003468E2">
      <w:pPr>
        <w:spacing w:after="0" w:line="312" w:lineRule="auto"/>
        <w:ind w:firstLine="709"/>
        <w:jc w:val="both"/>
        <w:rPr>
          <w:rFonts w:cs="Calibri"/>
          <w:sz w:val="24"/>
          <w:szCs w:val="24"/>
          <w:lang w:val="fr-FR"/>
        </w:rPr>
      </w:pPr>
      <w:r>
        <w:rPr>
          <w:rFonts w:cs="Calibri"/>
          <w:sz w:val="24"/>
          <w:szCs w:val="24"/>
          <w:lang w:val="fr-FR"/>
        </w:rPr>
        <w:t>C’est dans cette optique que le modèle économique traditionnel est en train de subir une mutation vers un système plus sociétal et durable. En effet, le modèle économique traditionnel est linéaire, il est axé sur le paradigme « extraire-fabriquer-consommer-jeter ». Les effets de la croissance démographique galopante et de l’urbanisation y afférant entretiennent une économie de masse et une société de consommation incompatible avec la finitude des ressources naturelles. Un modèle industriel où les produits sont réinjectés dans la chaîne de valeur afin de prolonger leur durée de vie est en train de s’imposer ; les pratiques visant à préserver les ressources non renouvelables se multiplient sous l’appellation de l’économie circulaire. C’est dans cette optique que l’Assemblée générale des Nations-Unies a adopté le 27 septembre 2015 les 17 objectifs du développement durable déclinés en 169 cibles pour la période allant de 2015 à 2030 (Afundi, N. et al., 2022). Ces objectifs sont un programme commun vers un monde durable qui vise à piloter une transition à la fois économique, sociétale et environnementale vers un développement soutenable pour la planète et pour l’homme. Il est entendu donc qu’il n y a pas de croissance économique sans gestion durable des ressources naturelles, sans solidarité et sans progrès humain.</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La conciliation entre l’expansion de l’industrie minière et les exigences du DD représente effectivement un grand défi et plusieurs insuffisances persistent en matière d’opérationnalisation du concept dans ce secteur. D’aucuns pourraient croire qu’il s’agit d’un dilemme qui s’apparente à la quadrature du cercle. Le monde doit travailler dans cette </w:t>
      </w:r>
      <w:r>
        <w:rPr>
          <w:rFonts w:cs="Calibri"/>
          <w:sz w:val="24"/>
          <w:szCs w:val="24"/>
          <w:lang w:val="fr-FR"/>
        </w:rPr>
        <w:lastRenderedPageBreak/>
        <w:t>perspective et toutes les conditions doivent être mises en œuvre pour la promotion du nouveau paradigme industriel et économique (économie circulaire) et pour empêcher l’écroulement de notre « maison commune ».</w:t>
      </w:r>
    </w:p>
    <w:p w:rsidR="0089405D" w:rsidRDefault="0089405D">
      <w:pPr>
        <w:spacing w:after="0" w:line="312" w:lineRule="auto"/>
        <w:ind w:firstLine="709"/>
        <w:jc w:val="both"/>
        <w:rPr>
          <w:rFonts w:cs="Calibri"/>
          <w:sz w:val="24"/>
          <w:szCs w:val="24"/>
          <w:lang w:val="fr-FR"/>
        </w:rPr>
      </w:pPr>
    </w:p>
    <w:p w:rsidR="0089405D" w:rsidRDefault="003468E2">
      <w:pPr>
        <w:spacing w:after="0" w:line="312" w:lineRule="auto"/>
        <w:jc w:val="center"/>
        <w:rPr>
          <w:rFonts w:cs="Calibri"/>
          <w:sz w:val="24"/>
          <w:szCs w:val="24"/>
          <w:lang w:val="fr-FR"/>
        </w:rPr>
      </w:pPr>
      <w:r>
        <w:rPr>
          <w:rFonts w:cs="Calibri"/>
          <w:sz w:val="24"/>
          <w:szCs w:val="24"/>
          <w:lang w:val="fr-FR"/>
        </w:rPr>
        <w:tab/>
      </w:r>
      <w:r>
        <w:rPr>
          <w:rFonts w:eastAsia="Times New Roman" w:cs="Calibri"/>
          <w:b/>
          <w:noProof/>
          <w:sz w:val="24"/>
          <w:szCs w:val="24"/>
          <w:lang w:val="fr-FR" w:eastAsia="fr-FR"/>
        </w:rPr>
        <w:drawing>
          <wp:inline distT="0" distB="0" distL="0" distR="0">
            <wp:extent cx="4772025" cy="3590925"/>
            <wp:effectExtent l="19050" t="19050" r="28575" b="28575"/>
            <wp:docPr id="1044"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1"/>
                    <pic:cNvPicPr/>
                  </pic:nvPicPr>
                  <pic:blipFill>
                    <a:blip r:embed="rId86" cstate="print"/>
                    <a:srcRect/>
                    <a:stretch/>
                  </pic:blipFill>
                  <pic:spPr>
                    <a:xfrm>
                      <a:off x="0" y="0"/>
                      <a:ext cx="4772025" cy="3590925"/>
                    </a:xfrm>
                    <a:prstGeom prst="rect">
                      <a:avLst/>
                    </a:prstGeom>
                    <a:ln w="3175" cap="flat" cmpd="sng">
                      <a:solidFill>
                        <a:srgbClr val="000000"/>
                      </a:solidFill>
                      <a:prstDash val="solid"/>
                      <a:round/>
                      <a:headEnd/>
                      <a:tailEnd/>
                    </a:ln>
                  </pic:spPr>
                </pic:pic>
              </a:graphicData>
            </a:graphic>
          </wp:inline>
        </w:drawing>
      </w:r>
    </w:p>
    <w:p w:rsidR="0089405D" w:rsidRDefault="003468E2">
      <w:pPr>
        <w:spacing w:after="0" w:line="312" w:lineRule="auto"/>
        <w:jc w:val="both"/>
        <w:rPr>
          <w:rFonts w:cs="Calibri"/>
          <w:sz w:val="24"/>
          <w:szCs w:val="24"/>
          <w:lang w:val="fr-FR"/>
        </w:rPr>
      </w:pPr>
      <w:bookmarkStart w:id="656" w:name="_Toc80352140"/>
      <w:bookmarkStart w:id="657" w:name="_Toc111888539"/>
      <w:bookmarkStart w:id="658" w:name="_Toc111888948"/>
      <w:bookmarkStart w:id="659" w:name="_Toc125612073"/>
      <w:bookmarkStart w:id="660" w:name="_Toc127181826"/>
      <w:bookmarkStart w:id="661" w:name="_Toc127182221"/>
      <w:bookmarkStart w:id="662" w:name="_Toc127182768"/>
      <w:bookmarkStart w:id="663" w:name="_Toc127182943"/>
      <w:r>
        <w:rPr>
          <w:rFonts w:eastAsia="Times New Roman" w:cs="Calibri"/>
          <w:b/>
          <w:i/>
          <w:sz w:val="24"/>
          <w:szCs w:val="24"/>
          <w:lang w:val="fr-FR" w:eastAsia="fr-FR"/>
        </w:rPr>
        <w:t>Figure 6.1. Focus de sensibilisation des leaders locaux sur les conséquences d’exploitation minières pour la sauvegarde de l’écosystème aquatique et ses services (Photo M. Silencieuse, 2019).</w:t>
      </w:r>
      <w:bookmarkEnd w:id="656"/>
      <w:bookmarkEnd w:id="657"/>
      <w:bookmarkEnd w:id="658"/>
      <w:bookmarkEnd w:id="659"/>
      <w:bookmarkEnd w:id="660"/>
      <w:bookmarkEnd w:id="661"/>
      <w:bookmarkEnd w:id="662"/>
      <w:bookmarkEnd w:id="663"/>
    </w:p>
    <w:p w:rsidR="0089405D" w:rsidRDefault="003468E2">
      <w:pPr>
        <w:spacing w:after="0" w:line="312" w:lineRule="auto"/>
        <w:jc w:val="both"/>
        <w:rPr>
          <w:rFonts w:cs="Calibri"/>
          <w:sz w:val="24"/>
          <w:szCs w:val="24"/>
          <w:lang w:val="fr-FR"/>
        </w:rPr>
      </w:pPr>
      <w:r>
        <w:rPr>
          <w:rFonts w:cs="Calibri"/>
          <w:sz w:val="24"/>
          <w:szCs w:val="24"/>
          <w:lang w:val="fr-FR"/>
        </w:rPr>
        <w:tab/>
      </w:r>
    </w:p>
    <w:p w:rsidR="0089405D" w:rsidRDefault="003468E2">
      <w:pPr>
        <w:spacing w:after="0" w:line="312" w:lineRule="auto"/>
        <w:jc w:val="both"/>
        <w:rPr>
          <w:rFonts w:cs="Calibri"/>
          <w:sz w:val="24"/>
          <w:szCs w:val="24"/>
          <w:lang w:val="fr-FR"/>
        </w:rPr>
      </w:pPr>
      <w:r>
        <w:rPr>
          <w:rFonts w:cs="Calibri"/>
          <w:sz w:val="24"/>
          <w:szCs w:val="24"/>
          <w:lang w:val="fr-FR"/>
        </w:rPr>
        <w:tab/>
        <w:t xml:space="preserve">Dans ce chapitre, les auteurs s’emploieront à analyser les impacts environnementaux prévisibles des exploitations minières dans le lit d’Aruwimi, en territoire de Basoko. Précisons pour nos lecteurs que notre analyse ne vise pas nécessairement la société chinoise </w:t>
      </w:r>
      <w:r>
        <w:rPr>
          <w:rFonts w:cs="Calibri"/>
          <w:i/>
          <w:sz w:val="24"/>
          <w:szCs w:val="24"/>
          <w:lang w:val="fr-FR"/>
        </w:rPr>
        <w:t>Xiang Jiang Mining Sarl</w:t>
      </w:r>
      <w:r>
        <w:rPr>
          <w:rFonts w:cs="Calibri"/>
          <w:sz w:val="24"/>
          <w:szCs w:val="24"/>
          <w:lang w:val="fr-FR"/>
        </w:rPr>
        <w:t xml:space="preserve">, mais plutôt toute exploitation minière de son genre sur le même site, de nature à détruire la culture des peuples autochtones et à les déchoir de leur mode de vie spirituelle. Toutes ces préoccupations soient universelles. </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bCs/>
          <w:sz w:val="24"/>
          <w:szCs w:val="24"/>
          <w:lang w:val="fr-FR"/>
        </w:rPr>
      </w:pPr>
      <w:bookmarkStart w:id="664" w:name="_Toc59458365"/>
      <w:bookmarkStart w:id="665" w:name="_Toc73431856"/>
      <w:bookmarkStart w:id="666" w:name="_Toc79393026"/>
      <w:bookmarkStart w:id="667" w:name="_Toc111888674"/>
      <w:bookmarkStart w:id="668" w:name="_Toc127187253"/>
      <w:bookmarkStart w:id="669" w:name="_Toc127187530"/>
      <w:bookmarkStart w:id="670" w:name="_Toc127432287"/>
      <w:r>
        <w:rPr>
          <w:rFonts w:cs="Calibri"/>
          <w:b/>
          <w:bCs/>
          <w:sz w:val="24"/>
          <w:szCs w:val="24"/>
          <w:lang w:val="fr-FR"/>
        </w:rPr>
        <w:lastRenderedPageBreak/>
        <w:t>6.2. IMPACTS SUR LES RESSOURCES EN EAU</w:t>
      </w:r>
      <w:bookmarkEnd w:id="664"/>
      <w:bookmarkEnd w:id="665"/>
      <w:bookmarkEnd w:id="666"/>
      <w:bookmarkEnd w:id="667"/>
      <w:bookmarkEnd w:id="668"/>
      <w:bookmarkEnd w:id="669"/>
      <w:bookmarkEnd w:id="670"/>
    </w:p>
    <w:p w:rsidR="0089405D" w:rsidRDefault="0089405D">
      <w:pPr>
        <w:keepNext/>
        <w:keepLines/>
        <w:widowControl w:val="0"/>
        <w:spacing w:after="0" w:line="312" w:lineRule="auto"/>
        <w:outlineLvl w:val="0"/>
        <w:rPr>
          <w:rFonts w:cs="Calibri"/>
          <w:b/>
          <w:bCs/>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 projet minier de la société </w:t>
      </w:r>
      <w:r>
        <w:rPr>
          <w:rFonts w:cs="Calibri"/>
          <w:i/>
          <w:sz w:val="24"/>
          <w:szCs w:val="24"/>
          <w:lang w:val="fr-FR"/>
        </w:rPr>
        <w:t>Xiang Jiang Mining SARL</w:t>
      </w:r>
      <w:r>
        <w:rPr>
          <w:rFonts w:cs="Calibri"/>
          <w:sz w:val="24"/>
          <w:szCs w:val="24"/>
          <w:lang w:val="fr-FR"/>
        </w:rPr>
        <w:t xml:space="preserve"> est d'exploiter les gisements aurifères et autres du lit de la rivière Lohale mieux connu sous le nom d'Aruwimi. Depuis des générations, les riverains de cette majestueuse rivière vivent principalement des fruits de ses eaux et en use comme boisson ou pour sa fonction de voie de communication. Si jamais une exploitation minière s’exécute dans Aruwimi comme elle en a fait ailleurs, les impacts environnementaux et sociaux de l’exploitation minière seront trop lourds dans cette rivière. </w:t>
      </w:r>
    </w:p>
    <w:p w:rsidR="0089405D" w:rsidRDefault="003468E2">
      <w:pPr>
        <w:spacing w:after="0" w:line="312" w:lineRule="auto"/>
        <w:jc w:val="both"/>
        <w:rPr>
          <w:rFonts w:cs="Calibri"/>
          <w:sz w:val="24"/>
          <w:szCs w:val="24"/>
          <w:lang w:val="fr-FR"/>
        </w:rPr>
      </w:pPr>
      <w:r>
        <w:rPr>
          <w:rFonts w:cs="Calibri"/>
          <w:sz w:val="24"/>
          <w:szCs w:val="24"/>
          <w:lang w:val="fr-FR"/>
        </w:rPr>
        <w:tab/>
        <w:t xml:space="preserve">Les effets sur la qualité de l’eau et la disponibilité des ressources en eau dans la zone du projet en constitueraient, peut-être, l’impact le plus important. Les questions clés seraient de savoir si les fournitures en eau de surface et en eaux souterraines resteraient appropriées à la consommation humaine, et si la qualité des eaux de surface dans la zone du projet resterait propice pour supporter la vie aquatique et la faune terrestre native (Busse, M. et al., 2016). </w:t>
      </w:r>
    </w:p>
    <w:p w:rsidR="0089405D" w:rsidRDefault="003468E2">
      <w:pPr>
        <w:spacing w:after="0" w:line="312" w:lineRule="auto"/>
        <w:ind w:firstLine="709"/>
        <w:jc w:val="both"/>
        <w:rPr>
          <w:rFonts w:cs="Calibri"/>
          <w:sz w:val="24"/>
          <w:szCs w:val="24"/>
          <w:lang w:val="fr-FR"/>
        </w:rPr>
      </w:pPr>
      <w:r>
        <w:rPr>
          <w:rFonts w:cs="Calibri"/>
          <w:sz w:val="24"/>
          <w:szCs w:val="24"/>
          <w:lang w:val="fr-FR"/>
        </w:rPr>
        <w:t>En RDC, plusieurs cas ont déjà été dénoncé avant. En décembre 2012, une commission d’enquête du Sénat de la RDC a été mise en place sur la pollution causée par l’exploitation pétrolière dans le Bas-Congo. Cette commission avait mis en cause l’entreprise pétrolière PERENCO (Compagnie pétrolière et gazière française) et déplorait « l’irresponsabilité » du gouvernement face à la pollution de la cité de Moanda. Pour la commission, sur place à Moanda, les sénateurs ont notamment prélevé des échantillons du sol, de l’air et de l’eau. Les analyses ont confirmées que l’air, le sol et les eaux de cette cité sont pollués. Selon leur conclusion: «PERENCO qui est en exploitation le fait en dehors des normes environnementales requises au pays et au monde. La population du milieu ne peut plus cultiver, elle n’a  plus d’eau potable, les rivières sont polluées, … ».</w:t>
      </w:r>
    </w:p>
    <w:p w:rsidR="0089405D" w:rsidRDefault="003468E2">
      <w:pPr>
        <w:spacing w:after="0" w:line="312" w:lineRule="auto"/>
        <w:ind w:firstLine="709"/>
        <w:jc w:val="both"/>
        <w:rPr>
          <w:rFonts w:cs="Calibri"/>
          <w:bCs/>
          <w:iCs/>
          <w:sz w:val="24"/>
          <w:szCs w:val="24"/>
          <w:lang w:val="fr-FR"/>
        </w:rPr>
      </w:pPr>
      <w:r>
        <w:rPr>
          <w:rFonts w:cs="Calibri"/>
          <w:sz w:val="24"/>
          <w:szCs w:val="24"/>
          <w:lang w:val="fr-FR"/>
        </w:rPr>
        <w:t>Ainsi ; les conséquences de l’exploitation minière sur les ressources en eau sont :</w:t>
      </w:r>
      <w:r>
        <w:rPr>
          <w:rFonts w:cs="Calibri"/>
          <w:b/>
          <w:bCs/>
          <w:iCs/>
          <w:sz w:val="24"/>
          <w:szCs w:val="24"/>
          <w:lang w:val="fr-FR"/>
        </w:rPr>
        <w:t xml:space="preserve"> -</w:t>
      </w:r>
      <w:r>
        <w:rPr>
          <w:rFonts w:cs="Calibri"/>
          <w:bCs/>
          <w:iCs/>
          <w:sz w:val="24"/>
          <w:szCs w:val="24"/>
          <w:lang w:val="fr-FR"/>
        </w:rPr>
        <w:t>le drainage d’acide minier et la lixiviation des contaminants ;</w:t>
      </w:r>
    </w:p>
    <w:p w:rsidR="0089405D" w:rsidRDefault="003468E2">
      <w:pPr>
        <w:spacing w:after="0" w:line="312" w:lineRule="auto"/>
        <w:jc w:val="both"/>
        <w:rPr>
          <w:rFonts w:cs="Calibri"/>
          <w:sz w:val="24"/>
          <w:szCs w:val="24"/>
          <w:lang w:val="fr-FR"/>
        </w:rPr>
      </w:pPr>
      <w:r>
        <w:rPr>
          <w:rFonts w:cs="Calibri"/>
          <w:bCs/>
          <w:iCs/>
          <w:sz w:val="24"/>
          <w:szCs w:val="24"/>
          <w:lang w:val="fr-FR"/>
        </w:rPr>
        <w:t xml:space="preserve">- </w:t>
      </w:r>
      <w:r>
        <w:rPr>
          <w:rFonts w:cs="Calibri"/>
          <w:sz w:val="24"/>
          <w:szCs w:val="24"/>
          <w:lang w:val="fr-FR"/>
        </w:rPr>
        <w:t>l’érosion des sols et des déchets miniers dans les eaux de surface ;</w:t>
      </w:r>
    </w:p>
    <w:p w:rsidR="0089405D" w:rsidRDefault="003468E2">
      <w:pPr>
        <w:spacing w:after="0" w:line="312" w:lineRule="auto"/>
        <w:jc w:val="both"/>
        <w:rPr>
          <w:rFonts w:cs="Calibri"/>
          <w:sz w:val="24"/>
          <w:szCs w:val="24"/>
          <w:lang w:val="fr-FR"/>
        </w:rPr>
      </w:pPr>
      <w:r>
        <w:rPr>
          <w:rFonts w:cs="Calibri"/>
          <w:sz w:val="24"/>
          <w:szCs w:val="24"/>
          <w:lang w:val="fr-FR"/>
        </w:rPr>
        <w:t>- les bassins de décantation des résidus ;</w:t>
      </w:r>
    </w:p>
    <w:p w:rsidR="0089405D" w:rsidRDefault="003468E2">
      <w:pPr>
        <w:spacing w:after="0" w:line="312" w:lineRule="auto"/>
        <w:jc w:val="both"/>
        <w:rPr>
          <w:rFonts w:cs="Calibri"/>
          <w:sz w:val="24"/>
          <w:szCs w:val="24"/>
          <w:lang w:val="fr-FR"/>
        </w:rPr>
      </w:pPr>
      <w:r>
        <w:rPr>
          <w:rFonts w:cs="Calibri"/>
          <w:sz w:val="24"/>
          <w:szCs w:val="24"/>
          <w:lang w:val="fr-FR"/>
        </w:rPr>
        <w:t>- des déchets de roche ;</w:t>
      </w:r>
    </w:p>
    <w:p w:rsidR="0089405D" w:rsidRDefault="003468E2">
      <w:pPr>
        <w:spacing w:after="0" w:line="312" w:lineRule="auto"/>
        <w:jc w:val="both"/>
        <w:rPr>
          <w:rFonts w:cs="Calibri"/>
          <w:sz w:val="24"/>
          <w:szCs w:val="24"/>
          <w:lang w:val="fr-FR"/>
        </w:rPr>
      </w:pPr>
      <w:r>
        <w:rPr>
          <w:rFonts w:cs="Calibri"/>
          <w:sz w:val="24"/>
          <w:szCs w:val="24"/>
          <w:lang w:val="fr-FR"/>
        </w:rPr>
        <w:t>- de la lixiviation en tas et des installations de stockage de lixiviats ;</w:t>
      </w:r>
    </w:p>
    <w:p w:rsidR="0089405D" w:rsidRDefault="003468E2">
      <w:pPr>
        <w:spacing w:after="0" w:line="312" w:lineRule="auto"/>
        <w:jc w:val="both"/>
        <w:rPr>
          <w:rFonts w:cs="Calibri"/>
          <w:sz w:val="24"/>
          <w:szCs w:val="24"/>
          <w:lang w:val="fr-FR"/>
        </w:rPr>
      </w:pPr>
      <w:r>
        <w:rPr>
          <w:rFonts w:cs="Calibri"/>
          <w:sz w:val="24"/>
          <w:szCs w:val="24"/>
          <w:lang w:val="fr-FR"/>
        </w:rPr>
        <w:t>- l’exhaure des mines ;</w:t>
      </w:r>
    </w:p>
    <w:p w:rsidR="0089405D" w:rsidRDefault="003468E2">
      <w:pPr>
        <w:spacing w:after="0" w:line="312" w:lineRule="auto"/>
        <w:jc w:val="both"/>
        <w:rPr>
          <w:rFonts w:cs="Calibri"/>
          <w:sz w:val="24"/>
          <w:szCs w:val="24"/>
          <w:lang w:val="fr-FR"/>
        </w:rPr>
      </w:pPr>
      <w:r>
        <w:rPr>
          <w:rFonts w:cs="Calibri"/>
          <w:sz w:val="24"/>
          <w:szCs w:val="24"/>
          <w:lang w:val="fr-FR"/>
        </w:rPr>
        <w:t xml:space="preserve">- la diminution ou l’épuisement de la quantité d’eau et les pollutions. </w:t>
      </w:r>
    </w:p>
    <w:p w:rsidR="0089405D" w:rsidRDefault="003468E2">
      <w:pPr>
        <w:spacing w:after="0" w:line="312" w:lineRule="auto"/>
        <w:jc w:val="both"/>
        <w:rPr>
          <w:rFonts w:cs="Calibri"/>
          <w:bCs/>
          <w:iCs/>
          <w:sz w:val="24"/>
          <w:szCs w:val="24"/>
          <w:lang w:val="fr-FR"/>
        </w:rPr>
      </w:pPr>
      <w:r>
        <w:rPr>
          <w:rFonts w:cs="Calibri"/>
          <w:bCs/>
          <w:iCs/>
          <w:sz w:val="24"/>
          <w:szCs w:val="24"/>
          <w:lang w:val="fr-FR"/>
        </w:rPr>
        <w:lastRenderedPageBreak/>
        <w:t>Pour expliciter les impacts sur les ressources en eau, nous allons développer certains points ci-dessous</w:t>
      </w:r>
      <w:r>
        <w:rPr>
          <w:rFonts w:cs="Calibri"/>
          <w:bCs/>
          <w:iCs/>
          <w:sz w:val="24"/>
          <w:szCs w:val="24"/>
          <w:vertAlign w:val="superscript"/>
          <w:lang w:val="fr-FR"/>
        </w:rPr>
        <w:footnoteReference w:id="68"/>
      </w:r>
      <w:r>
        <w:rPr>
          <w:rFonts w:cs="Calibri"/>
          <w:bCs/>
          <w:iCs/>
          <w:sz w:val="24"/>
          <w:szCs w:val="24"/>
          <w:lang w:val="fr-FR"/>
        </w:rPr>
        <w:t>.</w:t>
      </w:r>
    </w:p>
    <w:p w:rsidR="0089405D" w:rsidRDefault="0089405D">
      <w:pPr>
        <w:spacing w:after="0" w:line="312" w:lineRule="auto"/>
        <w:jc w:val="both"/>
        <w:rPr>
          <w:rFonts w:cs="Calibri"/>
          <w:b/>
          <w:bCs/>
          <w:iCs/>
          <w:sz w:val="24"/>
          <w:szCs w:val="24"/>
          <w:lang w:val="fr-FR"/>
        </w:rPr>
      </w:pPr>
      <w:bookmarkStart w:id="671" w:name="_Toc59458366"/>
    </w:p>
    <w:p w:rsidR="0089405D" w:rsidRDefault="003468E2">
      <w:pPr>
        <w:keepNext/>
        <w:keepLines/>
        <w:widowControl w:val="0"/>
        <w:spacing w:after="0" w:line="312" w:lineRule="auto"/>
        <w:outlineLvl w:val="0"/>
        <w:rPr>
          <w:rFonts w:cs="Calibri"/>
          <w:b/>
          <w:bCs/>
          <w:iCs/>
          <w:sz w:val="24"/>
          <w:szCs w:val="24"/>
          <w:lang w:val="fr-FR"/>
        </w:rPr>
      </w:pPr>
      <w:bookmarkStart w:id="672" w:name="_Toc73431857"/>
      <w:bookmarkStart w:id="673" w:name="_Toc79393027"/>
      <w:bookmarkStart w:id="674" w:name="_Toc111888675"/>
      <w:bookmarkStart w:id="675" w:name="_Toc127187254"/>
      <w:bookmarkStart w:id="676" w:name="_Toc127187531"/>
      <w:bookmarkStart w:id="677" w:name="_Toc127432288"/>
      <w:r>
        <w:rPr>
          <w:rFonts w:cs="Calibri"/>
          <w:b/>
          <w:bCs/>
          <w:iCs/>
          <w:sz w:val="24"/>
          <w:szCs w:val="24"/>
          <w:lang w:val="fr-FR"/>
        </w:rPr>
        <w:t>6.2.1. LE DRAINAGE D’ACIDE MINIER ET LA LIXIVIATION DES CONTAMINANTS</w:t>
      </w:r>
      <w:bookmarkEnd w:id="671"/>
      <w:bookmarkEnd w:id="672"/>
      <w:bookmarkEnd w:id="673"/>
      <w:bookmarkEnd w:id="674"/>
      <w:bookmarkEnd w:id="675"/>
      <w:bookmarkEnd w:id="676"/>
      <w:bookmarkEnd w:id="677"/>
    </w:p>
    <w:p w:rsidR="0089405D" w:rsidRDefault="0089405D">
      <w:pPr>
        <w:keepNext/>
        <w:keepLines/>
        <w:widowControl w:val="0"/>
        <w:spacing w:after="0" w:line="312" w:lineRule="auto"/>
        <w:outlineLvl w:val="0"/>
        <w:rPr>
          <w:rFonts w:cs="Calibri"/>
          <w:bCs/>
          <w:iCs/>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La lixiviation (du latin lixivium=lessive) est la méthode d'extraction de minerai par lavage et percolation, pour le cas d’espèce, à l'acide sulfurique. </w:t>
      </w:r>
      <w:r>
        <w:rPr>
          <w:rFonts w:cs="Calibri"/>
          <w:b/>
          <w:sz w:val="24"/>
          <w:szCs w:val="24"/>
          <w:lang w:val="fr-FR"/>
        </w:rPr>
        <w:t xml:space="preserve">La </w:t>
      </w:r>
      <w:r>
        <w:rPr>
          <w:rFonts w:cs="Calibri"/>
          <w:sz w:val="24"/>
          <w:szCs w:val="24"/>
          <w:lang w:val="fr-FR"/>
        </w:rPr>
        <w:t xml:space="preserve">capacité de drainage de l’acide minier est une question-clé. La réponse déterminera si ce projet minier dans le lit d’Aruwimi est acceptable pour l’environnement (Lu JL., 2012). D‘après André, P.et al., (2006) , lorsque des matériaux minés sont excavés, et exposés à l’eau et à l’oxygène, des acides peuvent se former si les minéraux sulfurés de fer (en particulier la pyrite, ou ‘ l’or des idiots’) sont abondants et si il y a une quantité insuffisante de matériaux neutralisants pour purifier. Pour contrebalancer, il y aura la formation d’acide, à son tour, lessivera ou dissoudra les métaux et autres contaminants dans les matériaux minés et formera alors une solution acide, à forte teneur en sulfate et riche en métal.  </w:t>
      </w:r>
    </w:p>
    <w:p w:rsidR="0089405D" w:rsidRDefault="003468E2">
      <w:pPr>
        <w:spacing w:after="0" w:line="312" w:lineRule="auto"/>
        <w:jc w:val="both"/>
        <w:rPr>
          <w:rFonts w:cs="Calibri"/>
          <w:bCs/>
          <w:sz w:val="24"/>
          <w:szCs w:val="24"/>
          <w:lang w:val="fr-FR"/>
        </w:rPr>
      </w:pPr>
      <w:r>
        <w:rPr>
          <w:rFonts w:cs="Calibri"/>
          <w:color w:val="FF0000"/>
          <w:sz w:val="24"/>
          <w:szCs w:val="24"/>
          <w:lang w:val="fr-FR"/>
        </w:rPr>
        <w:tab/>
      </w:r>
      <w:r>
        <w:rPr>
          <w:rFonts w:cs="Calibri"/>
          <w:sz w:val="24"/>
          <w:szCs w:val="24"/>
          <w:lang w:val="fr-FR"/>
        </w:rPr>
        <w:t>Les zones choisies sont à forte pluviométrie, l'eau de pluie charriera alors ladite solution acide résultant du lessivage des métaux précieux jusqu'à polluer le rivage des constituants toxiques ou en métaux indésirables (cadmium, cuivre, plomb, zinc, arsenic, etc.). Aussi, comme la roche qui contient le minerai fait partie d'un terrain argilo-sablonneux, avec des gangues (minéraux sans valeurs commerciales qui s'associe au minerai utile dans la roche dont on se débarrasse après traitement) argileuses, le 'rejet' sera presque toujours égale à 'l'alimentation'. Tout l'acide utilisé dans la lixiviation se retrouvera 'rejeté' dans la nature. Et pour avoir un bon résultat en termes de minerai à commercialiser, il sera nécessaire que l'on use de grande quantité d'acides. Ces gangues imbibées d'acides, constituent d'importants facteurs de pollution des eaux. Notons cependant que, ces constituants toxiques, tels que l’arsenic, le sélénium et les métaux, peuvent se produire même si les conditions acides ne sont pas présentes (Lanmafankpotin, G. et al., 2013). L</w:t>
      </w:r>
      <w:r>
        <w:rPr>
          <w:rFonts w:cs="Calibri"/>
          <w:bCs/>
          <w:sz w:val="24"/>
          <w:szCs w:val="24"/>
          <w:lang w:val="fr-FR"/>
        </w:rPr>
        <w:t xml:space="preserve">es principaux effets des </w:t>
      </w:r>
      <w:r>
        <w:rPr>
          <w:rFonts w:cs="Calibri"/>
          <w:sz w:val="24"/>
          <w:szCs w:val="24"/>
          <w:lang w:val="fr-FR"/>
        </w:rPr>
        <w:t>constituants toxiques</w:t>
      </w:r>
      <w:r>
        <w:rPr>
          <w:rFonts w:cs="Calibri"/>
          <w:bCs/>
          <w:sz w:val="24"/>
          <w:szCs w:val="24"/>
          <w:lang w:val="fr-FR"/>
        </w:rPr>
        <w:t xml:space="preserve"> sur la santé (</w:t>
      </w:r>
      <w:r>
        <w:rPr>
          <w:rFonts w:cs="Calibri"/>
          <w:sz w:val="24"/>
          <w:szCs w:val="24"/>
          <w:shd w:val="clear" w:color="auto" w:fill="FFFFFF"/>
          <w:lang w:val="fr-FR"/>
        </w:rPr>
        <w:t>Harrison R, 2014</w:t>
      </w:r>
      <w:r>
        <w:rPr>
          <w:rFonts w:cs="Calibri"/>
          <w:bCs/>
          <w:sz w:val="24"/>
          <w:szCs w:val="24"/>
          <w:lang w:val="fr-FR"/>
        </w:rPr>
        <w:t>).</w:t>
      </w:r>
    </w:p>
    <w:p w:rsidR="0089405D" w:rsidRDefault="0089405D">
      <w:pPr>
        <w:spacing w:after="0" w:line="312" w:lineRule="auto"/>
        <w:jc w:val="both"/>
        <w:rPr>
          <w:rFonts w:cs="Calibri"/>
          <w:bCs/>
          <w:sz w:val="24"/>
          <w:szCs w:val="24"/>
          <w:lang w:val="fr-FR"/>
        </w:rPr>
      </w:pPr>
    </w:p>
    <w:p w:rsidR="0089405D" w:rsidRDefault="003468E2">
      <w:pPr>
        <w:spacing w:after="0" w:line="312" w:lineRule="auto"/>
        <w:jc w:val="both"/>
        <w:rPr>
          <w:rFonts w:cs="Calibri"/>
          <w:sz w:val="24"/>
          <w:szCs w:val="24"/>
          <w:lang w:val="fr-FR"/>
        </w:rPr>
      </w:pPr>
      <w:r>
        <w:rPr>
          <w:rFonts w:cs="Calibri"/>
          <w:b/>
          <w:bCs/>
          <w:sz w:val="24"/>
          <w:szCs w:val="24"/>
          <w:lang w:val="fr-FR"/>
        </w:rPr>
        <w:t>6.2.1.1. Le mercure</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lastRenderedPageBreak/>
        <w:t>Le mercure est toxique quelle que soit sa dose, sous toutes ses formes organiques et pour tous ses états chimiques. L'</w:t>
      </w:r>
      <w:hyperlink r:id="rId87" w:history="1">
        <w:r>
          <w:rPr>
            <w:rFonts w:cs="Calibri"/>
            <w:sz w:val="24"/>
            <w:szCs w:val="24"/>
            <w:lang w:val="fr-FR" w:eastAsia="fr-FR"/>
          </w:rPr>
          <w:t>anxiété</w:t>
        </w:r>
      </w:hyperlink>
      <w:r>
        <w:rPr>
          <w:rFonts w:eastAsia="Times New Roman" w:cs="Calibri"/>
          <w:sz w:val="24"/>
          <w:szCs w:val="24"/>
          <w:lang w:val="fr-FR" w:eastAsia="fr-FR"/>
        </w:rPr>
        <w:t>, la perte de mémoire, la </w:t>
      </w:r>
      <w:hyperlink r:id="rId88" w:history="1">
        <w:r>
          <w:rPr>
            <w:rFonts w:cs="Calibri"/>
            <w:sz w:val="24"/>
            <w:szCs w:val="24"/>
            <w:lang w:val="fr-FR" w:eastAsia="fr-FR"/>
          </w:rPr>
          <w:t>dépression</w:t>
        </w:r>
      </w:hyperlink>
      <w:r>
        <w:rPr>
          <w:rFonts w:eastAsia="Times New Roman" w:cs="Calibri"/>
          <w:sz w:val="24"/>
          <w:szCs w:val="24"/>
          <w:lang w:val="fr-FR" w:eastAsia="fr-FR"/>
        </w:rPr>
        <w:t>, les </w:t>
      </w:r>
      <w:hyperlink r:id="rId89" w:history="1">
        <w:r>
          <w:rPr>
            <w:rFonts w:cs="Calibri"/>
            <w:sz w:val="24"/>
            <w:szCs w:val="24"/>
            <w:lang w:val="fr-FR" w:eastAsia="fr-FR"/>
          </w:rPr>
          <w:t>migraines</w:t>
        </w:r>
      </w:hyperlink>
      <w:r>
        <w:rPr>
          <w:rFonts w:eastAsia="Times New Roman" w:cs="Calibri"/>
          <w:sz w:val="24"/>
          <w:szCs w:val="24"/>
          <w:lang w:val="fr-FR" w:eastAsia="fr-FR"/>
        </w:rPr>
        <w:t> chroniques, les allergies et certains cancers sont directement liés au mercure. L'exposition aux vapeurs de certains amalgames dentaires au mercure augmente le risque d'</w:t>
      </w:r>
      <w:hyperlink r:id="rId90" w:history="1">
        <w:r>
          <w:rPr>
            <w:rFonts w:cs="Calibri"/>
            <w:sz w:val="24"/>
            <w:szCs w:val="24"/>
            <w:lang w:val="fr-FR" w:eastAsia="fr-FR"/>
          </w:rPr>
          <w:t>Alzheimer</w:t>
        </w:r>
      </w:hyperlink>
      <w:r>
        <w:rPr>
          <w:rFonts w:eastAsia="Times New Roman" w:cs="Calibri"/>
          <w:sz w:val="24"/>
          <w:szCs w:val="24"/>
          <w:lang w:val="fr-FR" w:eastAsia="fr-FR"/>
        </w:rPr>
        <w:t>, des maladies des reins, des </w:t>
      </w:r>
      <w:hyperlink r:id="rId91" w:history="1">
        <w:r>
          <w:rPr>
            <w:rFonts w:cs="Calibri"/>
            <w:sz w:val="24"/>
            <w:szCs w:val="24"/>
            <w:lang w:val="fr-FR" w:eastAsia="fr-FR"/>
          </w:rPr>
          <w:t>arthrites</w:t>
        </w:r>
      </w:hyperlink>
      <w:r>
        <w:rPr>
          <w:rFonts w:eastAsia="Times New Roman" w:cs="Calibri"/>
          <w:sz w:val="24"/>
          <w:szCs w:val="24"/>
          <w:lang w:val="fr-FR" w:eastAsia="fr-FR"/>
        </w:rPr>
        <w:t> et de la </w:t>
      </w:r>
      <w:hyperlink r:id="rId92" w:history="1">
        <w:r>
          <w:rPr>
            <w:rFonts w:cs="Calibri"/>
            <w:sz w:val="24"/>
            <w:szCs w:val="24"/>
            <w:lang w:val="fr-FR" w:eastAsia="fr-FR"/>
          </w:rPr>
          <w:t>sclérose en plaques</w:t>
        </w:r>
      </w:hyperlink>
      <w:r>
        <w:rPr>
          <w:rFonts w:eastAsia="Calibri" w:cs="Calibri"/>
          <w:sz w:val="24"/>
          <w:szCs w:val="24"/>
          <w:lang w:val="fr-FR" w:eastAsia="en-US"/>
        </w:rPr>
        <w:t xml:space="preserve"> (</w:t>
      </w:r>
      <w:r>
        <w:rPr>
          <w:rFonts w:cs="Calibri"/>
          <w:sz w:val="24"/>
          <w:szCs w:val="24"/>
          <w:lang w:val="fr-FR" w:eastAsia="fr-FR"/>
        </w:rPr>
        <w:t xml:space="preserve">Cordero B. &amp; al., 2008).  </w:t>
      </w:r>
      <w:r>
        <w:rPr>
          <w:rFonts w:eastAsia="Times New Roman" w:cs="Calibri"/>
          <w:sz w:val="24"/>
          <w:szCs w:val="24"/>
          <w:lang w:val="fr-FR" w:eastAsia="fr-FR"/>
        </w:rPr>
        <w:t xml:space="preserve">La présence de mercure chez certains poissons peut engendrer des problèmes dans la chaîne alimentaire. Il perturbe la reproduction et le comportement des espèces impliquées dans la chaîne alimentaire. </w:t>
      </w:r>
      <w:r>
        <w:rPr>
          <w:rFonts w:eastAsia="Calibri" w:cs="Calibri"/>
          <w:sz w:val="24"/>
          <w:szCs w:val="24"/>
          <w:lang w:val="fr-FR" w:eastAsia="en-US"/>
        </w:rPr>
        <w:t>(</w:t>
      </w:r>
      <w:r>
        <w:rPr>
          <w:rFonts w:eastAsia="Times New Roman" w:cs="Calibri"/>
          <w:sz w:val="24"/>
          <w:szCs w:val="24"/>
          <w:lang w:val="fr-FR" w:eastAsia="fr-FR"/>
        </w:rPr>
        <w:t>David R., 2009).</w:t>
      </w:r>
    </w:p>
    <w:p w:rsidR="0089405D" w:rsidRDefault="0089405D">
      <w:pPr>
        <w:keepNext/>
        <w:keepLines/>
        <w:spacing w:after="0" w:line="312" w:lineRule="auto"/>
        <w:jc w:val="both"/>
        <w:outlineLvl w:val="2"/>
        <w:rPr>
          <w:rFonts w:cs="Calibri"/>
          <w:b/>
          <w:bCs/>
          <w:sz w:val="24"/>
          <w:szCs w:val="24"/>
          <w:lang w:val="fr-FR"/>
        </w:rPr>
      </w:pPr>
    </w:p>
    <w:p w:rsidR="0089405D" w:rsidRDefault="003468E2">
      <w:pPr>
        <w:spacing w:after="0" w:line="312" w:lineRule="auto"/>
        <w:rPr>
          <w:rFonts w:cs="Calibri"/>
          <w:sz w:val="24"/>
          <w:szCs w:val="24"/>
          <w:lang w:val="fr-FR"/>
        </w:rPr>
      </w:pPr>
      <w:r>
        <w:rPr>
          <w:rFonts w:cs="Calibri"/>
          <w:b/>
          <w:bCs/>
          <w:sz w:val="24"/>
          <w:szCs w:val="24"/>
          <w:lang w:val="fr-FR"/>
        </w:rPr>
        <w:t>6.2.1.2. Le plomb</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Les industries à usage des hydrocarbures utilisent abondamment le plomb et en rejettent des particules dans l'air (Dulski T., 1996). Il s'infiltre également dans l'eau potable par de vieux tuyaux de plomb. Ce métal est la cause du plus grand nombre d'empoissonnements parmi tous les métaux</w:t>
      </w:r>
      <w:r>
        <w:rPr>
          <w:rFonts w:eastAsia="Calibri" w:cs="Calibri"/>
          <w:sz w:val="24"/>
          <w:szCs w:val="24"/>
          <w:lang w:val="fr-FR" w:eastAsia="en-US"/>
        </w:rPr>
        <w:t xml:space="preserve"> (</w:t>
      </w:r>
      <w:r>
        <w:rPr>
          <w:rFonts w:eastAsia="Times New Roman" w:cs="Calibri"/>
          <w:sz w:val="24"/>
          <w:szCs w:val="24"/>
          <w:lang w:val="fr-FR" w:eastAsia="fr-FR"/>
        </w:rPr>
        <w:t>Pilliere F., 2004). Les symptômes fréquents sont les douleurs abdominales, l'</w:t>
      </w:r>
      <w:hyperlink r:id="rId93" w:history="1">
        <w:r>
          <w:rPr>
            <w:rFonts w:cs="Calibri"/>
            <w:sz w:val="24"/>
            <w:szCs w:val="24"/>
            <w:lang w:val="fr-FR" w:eastAsia="fr-FR"/>
          </w:rPr>
          <w:t>hypertension</w:t>
        </w:r>
      </w:hyperlink>
      <w:r>
        <w:rPr>
          <w:rFonts w:eastAsia="Times New Roman" w:cs="Calibri"/>
          <w:sz w:val="24"/>
          <w:szCs w:val="24"/>
          <w:lang w:val="fr-FR" w:eastAsia="fr-FR"/>
        </w:rPr>
        <w:t>, la fatigue, l'</w:t>
      </w:r>
      <w:hyperlink r:id="rId94" w:history="1">
        <w:r>
          <w:rPr>
            <w:rFonts w:cs="Calibri"/>
            <w:sz w:val="24"/>
            <w:szCs w:val="24"/>
            <w:lang w:val="fr-FR" w:eastAsia="fr-FR"/>
          </w:rPr>
          <w:t>autisme</w:t>
        </w:r>
      </w:hyperlink>
      <w:r>
        <w:rPr>
          <w:rFonts w:eastAsia="Times New Roman" w:cs="Calibri"/>
          <w:sz w:val="24"/>
          <w:szCs w:val="24"/>
          <w:lang w:val="fr-FR" w:eastAsia="fr-FR"/>
        </w:rPr>
        <w:t>, la faiblesse musculaire, et bien d'autres choses</w:t>
      </w:r>
      <w:r>
        <w:rPr>
          <w:rFonts w:eastAsia="Calibri" w:cs="Calibri"/>
          <w:sz w:val="24"/>
          <w:szCs w:val="24"/>
          <w:lang w:val="fr-FR" w:eastAsia="en-US"/>
        </w:rPr>
        <w:t xml:space="preserve"> (</w:t>
      </w:r>
      <w:r>
        <w:rPr>
          <w:rFonts w:eastAsia="Times New Roman" w:cs="Calibri"/>
          <w:sz w:val="24"/>
          <w:szCs w:val="24"/>
          <w:lang w:val="fr-FR" w:eastAsia="fr-FR"/>
        </w:rPr>
        <w:t>Hamadouche A &amp; Slimani M., 2017).</w:t>
      </w:r>
    </w:p>
    <w:p w:rsidR="0089405D" w:rsidRDefault="0089405D">
      <w:pPr>
        <w:spacing w:after="0" w:line="312" w:lineRule="auto"/>
        <w:rPr>
          <w:rFonts w:cs="Calibri"/>
          <w:b/>
          <w:bCs/>
          <w:sz w:val="24"/>
          <w:szCs w:val="24"/>
          <w:lang w:val="fr-FR"/>
        </w:rPr>
      </w:pPr>
    </w:p>
    <w:p w:rsidR="0089405D" w:rsidRDefault="003468E2">
      <w:pPr>
        <w:spacing w:after="0" w:line="312" w:lineRule="auto"/>
        <w:rPr>
          <w:rFonts w:cs="Calibri"/>
          <w:sz w:val="24"/>
          <w:szCs w:val="24"/>
          <w:lang w:val="fr-FR"/>
        </w:rPr>
      </w:pPr>
      <w:r>
        <w:rPr>
          <w:rFonts w:cs="Calibri"/>
          <w:b/>
          <w:bCs/>
          <w:sz w:val="24"/>
          <w:szCs w:val="24"/>
          <w:lang w:val="fr-FR"/>
        </w:rPr>
        <w:t>6.2.1.3. L’aluminium</w:t>
      </w:r>
    </w:p>
    <w:p w:rsidR="0089405D" w:rsidRDefault="003468E2">
      <w:pPr>
        <w:spacing w:after="0" w:line="312" w:lineRule="auto"/>
        <w:ind w:firstLine="709"/>
        <w:jc w:val="both"/>
        <w:rPr>
          <w:rFonts w:eastAsia="Times New Roman" w:cs="Calibri"/>
          <w:sz w:val="24"/>
          <w:szCs w:val="24"/>
          <w:shd w:val="clear" w:color="auto" w:fill="FFFFFF"/>
          <w:lang w:val="fr-FR" w:eastAsia="fr-FR"/>
        </w:rPr>
      </w:pPr>
      <w:r>
        <w:rPr>
          <w:rFonts w:eastAsia="Times New Roman" w:cs="Calibri"/>
          <w:sz w:val="24"/>
          <w:szCs w:val="24"/>
          <w:shd w:val="clear" w:color="auto" w:fill="FFFFFF"/>
          <w:lang w:val="fr-FR" w:eastAsia="fr-FR"/>
        </w:rPr>
        <w:t>L’aluminium est un métal naturellement présent dans la croûte terrestre</w:t>
      </w:r>
      <w:r>
        <w:rPr>
          <w:rFonts w:eastAsia="Calibri" w:cs="Calibri"/>
          <w:sz w:val="24"/>
          <w:szCs w:val="24"/>
          <w:lang w:val="fr-FR" w:eastAsia="en-US"/>
        </w:rPr>
        <w:t xml:space="preserve"> (</w:t>
      </w:r>
      <w:r>
        <w:rPr>
          <w:rFonts w:eastAsia="Times New Roman" w:cs="Calibri"/>
          <w:sz w:val="24"/>
          <w:szCs w:val="24"/>
          <w:shd w:val="clear" w:color="auto" w:fill="FFFFFF"/>
          <w:lang w:val="fr-FR" w:eastAsia="fr-FR"/>
        </w:rPr>
        <w:t xml:space="preserve">Ward RM, et al., 2001). Nous y sommes donc exposés de façon commune via l’air, l’eau, la terre et les roches. Même si pratiquement tout l’aluminium absorbé est éliminé, notre organisme contient environ 30 à 50 mg d’aluminium, stocké majoritairement dans les os, le foie et les poumons. Cependant on peut également en retrouver dans le cerveau, surtout chez les patients ayant une fonction rénale diminuée (notamment chez les patients dialysés (Roskams AJ. &amp; Connor JR ; 1990).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shd w:val="clear" w:color="auto" w:fill="FFFFFF"/>
          <w:lang w:val="fr-FR" w:eastAsia="fr-FR"/>
        </w:rPr>
        <w:tab/>
        <w:t xml:space="preserve">Une étude a également montré qu’une fraction d’aluminium pouvait passer la barrière placentaire, et pourrait donc atteindre le fœtus. </w:t>
      </w:r>
      <w:r>
        <w:rPr>
          <w:rFonts w:eastAsia="Times New Roman" w:cs="Calibri"/>
          <w:sz w:val="24"/>
          <w:szCs w:val="24"/>
          <w:lang w:val="fr-FR" w:eastAsia="fr-FR"/>
        </w:rPr>
        <w:t>Les symptômes de toxicité liés à l'aluminium sont multiples (Yamanaka K. et al., 1999 ; Walton JR., 2012): hypertension, problèmes rénaux, perte d'appétit, fatigue, vertiges, hallucinations, migraines, tremblements, arthrite, allergies, faiblesse musculaire...</w:t>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rPr>
          <w:rFonts w:cs="Calibri"/>
          <w:sz w:val="24"/>
          <w:szCs w:val="24"/>
          <w:lang w:val="fr-FR"/>
        </w:rPr>
      </w:pPr>
      <w:r>
        <w:rPr>
          <w:rFonts w:cs="Calibri"/>
          <w:b/>
          <w:bCs/>
          <w:sz w:val="24"/>
          <w:szCs w:val="24"/>
          <w:lang w:val="fr-FR"/>
        </w:rPr>
        <w:t>6.2.1.4. Le cadmium</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Il est aussi diffusé dans l'environnement de façon naturelle par les feux de forêts et les volcans. Le cadmium est particulièrement toxique pour le corps humain où il n'a pas de </w:t>
      </w:r>
      <w:r>
        <w:rPr>
          <w:rFonts w:eastAsia="Times New Roman" w:cs="Calibri"/>
          <w:sz w:val="24"/>
          <w:szCs w:val="24"/>
          <w:lang w:val="fr-FR" w:eastAsia="fr-FR"/>
        </w:rPr>
        <w:lastRenderedPageBreak/>
        <w:t>rôle physiologique à y jouer, même à faible concentration (Heanmaire L et al. 1976). On peut le retrouver en faible quantité et de façon naturelle dans certains aliments comme le </w:t>
      </w:r>
      <w:hyperlink r:id="rId95" w:history="1">
        <w:r>
          <w:rPr>
            <w:rFonts w:cs="Calibri"/>
            <w:sz w:val="24"/>
            <w:szCs w:val="24"/>
            <w:lang w:val="fr-FR" w:eastAsia="fr-FR"/>
          </w:rPr>
          <w:t>foie</w:t>
        </w:r>
      </w:hyperlink>
      <w:r>
        <w:rPr>
          <w:rFonts w:eastAsia="Times New Roman" w:cs="Calibri"/>
          <w:sz w:val="24"/>
          <w:szCs w:val="24"/>
          <w:lang w:val="fr-FR" w:eastAsia="fr-FR"/>
        </w:rPr>
        <w:t>, les </w:t>
      </w:r>
      <w:hyperlink r:id="rId96" w:history="1">
        <w:r>
          <w:rPr>
            <w:rFonts w:cs="Calibri"/>
            <w:sz w:val="24"/>
            <w:szCs w:val="24"/>
            <w:lang w:val="fr-FR" w:eastAsia="fr-FR"/>
          </w:rPr>
          <w:t>champignons</w:t>
        </w:r>
      </w:hyperlink>
      <w:r>
        <w:rPr>
          <w:rFonts w:eastAsia="Times New Roman" w:cs="Calibri"/>
          <w:sz w:val="24"/>
          <w:szCs w:val="24"/>
          <w:lang w:val="fr-FR" w:eastAsia="fr-FR"/>
        </w:rPr>
        <w:t>, les </w:t>
      </w:r>
      <w:hyperlink r:id="rId97" w:history="1">
        <w:r>
          <w:rPr>
            <w:rFonts w:cs="Calibri"/>
            <w:sz w:val="24"/>
            <w:szCs w:val="24"/>
            <w:lang w:val="fr-FR" w:eastAsia="fr-FR"/>
          </w:rPr>
          <w:t>moules</w:t>
        </w:r>
      </w:hyperlink>
      <w:r>
        <w:rPr>
          <w:rFonts w:eastAsia="Times New Roman" w:cs="Calibri"/>
          <w:sz w:val="24"/>
          <w:szCs w:val="24"/>
          <w:lang w:val="fr-FR" w:eastAsia="fr-FR"/>
        </w:rPr>
        <w:t xml:space="preserve">, les crustacées, la poudre de cacao et les algues séchées (Bengtsson, B.  et al, 1975 ;  Goullé J-P, et al., 2010).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La fumée de tabac transporte aussi dans les poumons du cadmium. Dans un premier temps, le cadmium va s'accumuler provisoirement dans le foie puis dans les reins. Il pourra provoquer des lésions irréversibles à ces organes (Jackson, A. P. &amp; Alloway, B. J., 2017). L'exposition chronique au cadmium peut conduire à des maladies d'obstruction des poumons, à des maladies rénales et des os fragiles, ainsi qu'à des retards de croissance, de l'</w:t>
      </w:r>
      <w:hyperlink r:id="rId98" w:history="1">
        <w:r>
          <w:rPr>
            <w:rFonts w:cs="Calibri"/>
            <w:sz w:val="24"/>
            <w:szCs w:val="24"/>
            <w:lang w:val="fr-FR" w:eastAsia="fr-FR"/>
          </w:rPr>
          <w:t>ostéoporose</w:t>
        </w:r>
      </w:hyperlink>
      <w:r>
        <w:rPr>
          <w:rFonts w:eastAsia="Times New Roman" w:cs="Calibri"/>
          <w:sz w:val="24"/>
          <w:szCs w:val="24"/>
          <w:lang w:val="fr-FR" w:eastAsia="fr-FR"/>
        </w:rPr>
        <w:t> et des maladies cardio-vasculaires (Goullé J-P. et al., 2010).</w:t>
      </w:r>
    </w:p>
    <w:p w:rsidR="0089405D" w:rsidRDefault="0089405D">
      <w:pPr>
        <w:spacing w:after="0" w:line="312" w:lineRule="auto"/>
        <w:rPr>
          <w:rFonts w:eastAsia="Times New Roman" w:cs="Calibri"/>
          <w:sz w:val="24"/>
          <w:szCs w:val="24"/>
          <w:lang w:val="fr-FR" w:eastAsia="fr-FR"/>
        </w:rPr>
      </w:pPr>
    </w:p>
    <w:p w:rsidR="0089405D" w:rsidRDefault="003468E2">
      <w:pPr>
        <w:spacing w:after="0" w:line="312" w:lineRule="auto"/>
        <w:rPr>
          <w:rFonts w:eastAsia="Times New Roman" w:cs="Calibri"/>
          <w:sz w:val="24"/>
          <w:szCs w:val="24"/>
          <w:lang w:val="fr-FR" w:eastAsia="fr-FR"/>
        </w:rPr>
      </w:pPr>
      <w:r>
        <w:rPr>
          <w:rFonts w:eastAsia="Times New Roman" w:cs="Calibri"/>
          <w:b/>
          <w:bCs/>
          <w:sz w:val="24"/>
          <w:szCs w:val="24"/>
          <w:lang w:val="fr-FR" w:eastAsia="fr-FR"/>
        </w:rPr>
        <w:t>6.2.1.5. L’arsenic</w:t>
      </w:r>
    </w:p>
    <w:p w:rsidR="0089405D" w:rsidRDefault="003468E2">
      <w:pPr>
        <w:shd w:val="clear" w:color="auto" w:fill="FFFFFF"/>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Le tableau clinique d’une intoxication à l’arsenic varie selon le type d’exposition. À la suite d’une exposition importante sur une courte période (jours ou semaines), les manifestations sont sévères et peuvent apparaître sur une période de quelques heures à plusieurs semaines</w:t>
      </w:r>
      <w:r>
        <w:rPr>
          <w:rFonts w:eastAsia="Calibri" w:cs="Calibri"/>
          <w:sz w:val="24"/>
          <w:szCs w:val="24"/>
          <w:lang w:val="fr-FR" w:eastAsia="en-US"/>
        </w:rPr>
        <w:t xml:space="preserve"> (</w:t>
      </w:r>
      <w:r>
        <w:rPr>
          <w:rFonts w:eastAsia="Times New Roman" w:cs="Calibri"/>
          <w:sz w:val="24"/>
          <w:szCs w:val="24"/>
          <w:lang w:val="fr-FR" w:eastAsia="fr-FR"/>
        </w:rPr>
        <w:t>Gibaud S. &amp; Jaouen G., 2010). Les manifestations précoces sont gastro-intestinales (douleurs abdominales sévères, nausées, vomissements, diarrhée aqueuse sanguinolente) et les personnes intoxiquées se plaignent également de céphalées importantes, d’étourdissements, de faiblesse et de léthargie. Des atteintes importantes peuvent survenir sur les plans cardiovasculaire, respiratoire, neurologique, hépatique, rénal et hématologique, et peuvent entraîner la mort</w:t>
      </w:r>
      <w:r>
        <w:rPr>
          <w:rFonts w:cs="Calibri"/>
          <w:sz w:val="24"/>
          <w:szCs w:val="24"/>
          <w:vertAlign w:val="superscript"/>
          <w:lang w:val="fr-FR" w:eastAsia="fr-FR"/>
        </w:rPr>
        <w:footnoteReference w:id="69"/>
      </w:r>
      <w:r>
        <w:rPr>
          <w:rFonts w:eastAsia="Times New Roman" w:cs="Calibri"/>
          <w:sz w:val="24"/>
          <w:szCs w:val="24"/>
          <w:lang w:val="fr-FR" w:eastAsia="fr-FR"/>
        </w:rPr>
        <w:t>.</w:t>
      </w:r>
    </w:p>
    <w:p w:rsidR="0089405D" w:rsidRDefault="003468E2">
      <w:pPr>
        <w:shd w:val="clear" w:color="auto" w:fill="FFFFFF"/>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Une intoxication subaigüe ou chronique, avec absorption d’une plus petite quantité d’arsenic sur une période de semaines ou de mois, peut également entraîner des effets dans presque tous les systèmes, tels que la fatigue, des symptômes gastro-intestinaux, des atteintes des systèmes nerveux, cardiaque et vasculaire (phénomène de Raynaud). Il peut aussi provoquer des lésions de la peau (hyperpigmentation et hyperkératose des paumes des mains et de la plante des pieds), des sensations de brûlure et peut également provoquer une perte de fonctionnement des nerfs progressifs, une anémie et une atteinte hépatique. Le diabète, l’hypertension et des maladies respiratoires ont également été reliées à une </w:t>
      </w:r>
      <w:r>
        <w:rPr>
          <w:rFonts w:eastAsia="Times New Roman" w:cs="Calibri"/>
          <w:sz w:val="24"/>
          <w:szCs w:val="24"/>
          <w:lang w:val="fr-FR" w:eastAsia="fr-FR"/>
        </w:rPr>
        <w:lastRenderedPageBreak/>
        <w:t>intoxication chronique à l’arsenic. Des séquelles sont fréquentes, tant à la suite d’une intoxication aigüe que chronique</w:t>
      </w:r>
      <w:r>
        <w:rPr>
          <w:rFonts w:eastAsia="Calibri" w:cs="Calibri"/>
          <w:sz w:val="24"/>
          <w:szCs w:val="24"/>
          <w:lang w:val="fr-FR" w:eastAsia="en-US"/>
        </w:rPr>
        <w:t xml:space="preserve"> (</w:t>
      </w:r>
      <w:r>
        <w:rPr>
          <w:rFonts w:eastAsia="Times New Roman" w:cs="Calibri"/>
          <w:sz w:val="24"/>
          <w:szCs w:val="24"/>
          <w:lang w:val="fr-FR" w:eastAsia="fr-FR"/>
        </w:rPr>
        <w:t>Gibaud S. &amp; Jaouen G., 2010)</w:t>
      </w:r>
    </w:p>
    <w:p w:rsidR="0089405D" w:rsidRDefault="003468E2">
      <w:pPr>
        <w:shd w:val="clear" w:color="auto" w:fill="FFFFFF"/>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 xml:space="preserve">L’arsenic est un cancérogène reconnu par le Centre international de recherche sur le cancer (CIRC) pour le poumon, la peau et la vessie et a été associé au cancer du rein, du foie, de la prostate et du sang (Hugues de Thé, G., 2017). </w:t>
      </w:r>
    </w:p>
    <w:p w:rsidR="0089405D" w:rsidRDefault="003468E2">
      <w:pPr>
        <w:shd w:val="clear" w:color="auto" w:fill="FFFFFF"/>
        <w:spacing w:after="0" w:line="312" w:lineRule="auto"/>
        <w:ind w:firstLine="709"/>
        <w:jc w:val="both"/>
        <w:rPr>
          <w:rFonts w:cs="Calibri"/>
          <w:sz w:val="24"/>
          <w:szCs w:val="24"/>
          <w:lang w:val="fr-FR"/>
        </w:rPr>
      </w:pPr>
      <w:r>
        <w:rPr>
          <w:rFonts w:cs="Calibri"/>
          <w:sz w:val="24"/>
          <w:szCs w:val="24"/>
          <w:lang w:val="fr-FR"/>
        </w:rPr>
        <w:t xml:space="preserve"> Donc les conséquences de l’exploitation minière dans le lit d’Aruwimi seront énormes, pas seulement sur la région d’exploitation, mais aussi au-delà de l’embouchure de la rivière Aruwimi ; et que les riverains sont les plus exposés à cette catastrophe. </w:t>
      </w:r>
    </w:p>
    <w:p w:rsidR="0089405D" w:rsidRDefault="003468E2">
      <w:pPr>
        <w:spacing w:after="0" w:line="312" w:lineRule="auto"/>
        <w:ind w:firstLine="709"/>
        <w:jc w:val="both"/>
        <w:rPr>
          <w:rFonts w:cs="Calibri"/>
          <w:sz w:val="24"/>
          <w:szCs w:val="24"/>
          <w:lang w:val="fr-FR"/>
        </w:rPr>
      </w:pPr>
      <w:bookmarkStart w:id="678" w:name="_Toc59458367"/>
      <w:r>
        <w:rPr>
          <w:rFonts w:cs="Calibri"/>
          <w:sz w:val="24"/>
          <w:szCs w:val="24"/>
          <w:lang w:val="fr-FR"/>
        </w:rPr>
        <w:t xml:space="preserve">Les exemples frappants en RDC sont ceux de la rivière Kasaï et de la rivière Tshikapa en an 2021. Selon la déclaration du Chef de bureau du service du système d’informations géographiques du ministère provincial de l’Environnement, Malonga Kulibali, les poissons et autres espèces aquatiques ont quitté la rivière Kasaï, dans la province du Kwilu, à la suite de la destruction de leur biotope par des substances toxiques dernièrement versées sur cette rivière depuis l’Angola par une industrie. </w:t>
      </w:r>
      <w:r>
        <w:rPr>
          <w:rFonts w:cs="Calibri"/>
          <w:i/>
          <w:sz w:val="24"/>
          <w:szCs w:val="24"/>
          <w:lang w:val="fr-FR"/>
        </w:rPr>
        <w:t>« Les poissons se sont déplacés suite à cette catastrophe de la pollution de la rivière Kasaï, une pollution de nature industrielle. Puisqu’il y a des substances toxiques qui se sont mélangé à l’eau, les poissons ont diminué dans cette partie, ils ont fui cette pollution. Nous, nous subissons seulement les effets. Il faut une réparation, il faut un dédommagement de la part de l’Angola puisque c’est une industrie angolaise qui a provoqué cette pollution</w:t>
      </w:r>
      <w:r>
        <w:rPr>
          <w:rFonts w:cs="Calibri"/>
          <w:b/>
          <w:sz w:val="24"/>
          <w:szCs w:val="24"/>
          <w:lang w:val="fr-FR"/>
        </w:rPr>
        <w:t xml:space="preserve"> </w:t>
      </w:r>
      <w:r>
        <w:rPr>
          <w:rFonts w:cs="Calibri"/>
          <w:sz w:val="24"/>
          <w:szCs w:val="24"/>
          <w:lang w:val="fr-FR"/>
        </w:rPr>
        <w:t>», a-t-il indiqué.</w:t>
      </w:r>
    </w:p>
    <w:p w:rsidR="0089405D" w:rsidRDefault="003468E2">
      <w:pPr>
        <w:spacing w:after="0" w:line="312" w:lineRule="auto"/>
        <w:ind w:firstLine="709"/>
        <w:jc w:val="both"/>
        <w:rPr>
          <w:rFonts w:cs="Calibri"/>
          <w:sz w:val="24"/>
          <w:szCs w:val="24"/>
          <w:lang w:val="fr-FR"/>
        </w:rPr>
      </w:pPr>
      <w:r>
        <w:rPr>
          <w:rFonts w:cs="Calibri"/>
          <w:sz w:val="24"/>
          <w:szCs w:val="24"/>
          <w:lang w:val="fr-FR"/>
        </w:rPr>
        <w:t>Selon la même source, le gouvernement de la République par l’entremise du ministre de l'Environnement, a confirmé que cette pollution de la rivière Kasaï était provoquée par des rejets toxiques d'une entreprise minière angolaise et a causé la mort d'au moins 12 personnes et des milliers de cas de diarrhées et maladies cutanées dans le sud de la RD Congo, une catastrophe écologique</w:t>
      </w:r>
      <w:r>
        <w:rPr>
          <w:rStyle w:val="Appelnotedebasdep"/>
          <w:rFonts w:cs="Calibri"/>
          <w:sz w:val="24"/>
          <w:szCs w:val="24"/>
          <w:lang w:val="fr-FR"/>
        </w:rPr>
        <w:footnoteReference w:id="70"/>
      </w:r>
      <w:r>
        <w:rPr>
          <w:rFonts w:cs="Calibri"/>
          <w:sz w:val="24"/>
          <w:szCs w:val="24"/>
          <w:lang w:val="fr-FR"/>
        </w:rPr>
        <w:t>.</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Un autre exemple concret est celui de la rivière Tshikapa au Kasaï. Selon Julie Ochano, présidente de l’ONG "Binadamu en action, après la coloration des eaux qui ont pris la couleur </w:t>
      </w:r>
      <w:r>
        <w:rPr>
          <w:rFonts w:cs="Calibri"/>
          <w:sz w:val="24"/>
          <w:szCs w:val="24"/>
          <w:lang w:val="fr-FR"/>
        </w:rPr>
        <w:lastRenderedPageBreak/>
        <w:t>rouge, nous avons mort d’hommes, la mort en cascade de poissons, des crocodiles, des hippopotames (…) qui sont mangés par la population. Nous avons aussi observé des lésions vaginales chez plus de 50 femmes, des éruptions cutanées chez les adultes et les enfants, des dysenteries. Nous avons documenté quatre femmes qui nous ont dit qu’elles avaient la diarrhée accompagnée de sang et se sont des femmes enceintes", a expliqué un activiste qui estime que justice doit être rendu.</w:t>
      </w:r>
    </w:p>
    <w:p w:rsidR="0089405D" w:rsidRDefault="0089405D">
      <w:pPr>
        <w:spacing w:after="0" w:line="312" w:lineRule="auto"/>
        <w:jc w:val="both"/>
        <w:rPr>
          <w:rFonts w:cs="Calibri"/>
          <w:b/>
          <w:sz w:val="24"/>
          <w:szCs w:val="24"/>
          <w:lang w:val="fr-FR"/>
        </w:rPr>
      </w:pPr>
    </w:p>
    <w:p w:rsidR="0089405D" w:rsidRDefault="003468E2">
      <w:pPr>
        <w:spacing w:after="0" w:line="312" w:lineRule="auto"/>
        <w:jc w:val="both"/>
        <w:rPr>
          <w:rFonts w:cs="Calibri"/>
          <w:b/>
          <w:sz w:val="24"/>
          <w:szCs w:val="24"/>
          <w:lang w:val="fr-FR"/>
        </w:rPr>
      </w:pPr>
      <w:r>
        <w:rPr>
          <w:rFonts w:cs="Calibri"/>
          <w:b/>
          <w:sz w:val="24"/>
          <w:szCs w:val="24"/>
          <w:lang w:val="fr-FR"/>
        </w:rPr>
        <w:t>6.2.2. L’EROSION DES SOLS ET DES DECHETS MINIERS DANS LES EAUX DE SURFACE</w:t>
      </w:r>
      <w:bookmarkEnd w:id="678"/>
    </w:p>
    <w:p w:rsidR="0089405D" w:rsidRDefault="0089405D">
      <w:pPr>
        <w:spacing w:after="0" w:line="312" w:lineRule="auto"/>
        <w:jc w:val="both"/>
        <w:rPr>
          <w:rFonts w:cs="Calibri"/>
          <w:b/>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 sol de Liambe et de toute la zone où le projet minier voudrait s’implanter est argilo-sablonneux ; il est souvent sec, pauvre en substances nutritives, très drainants et subit des érosions régulières. Ce potentiel d’érosion de sol et de sédiments dans l’eau de surface et la dégradation de la qualité de celle-ci est un grave problème. (Harrison R., 2014). </w:t>
      </w:r>
    </w:p>
    <w:p w:rsidR="0089405D" w:rsidRDefault="003468E2">
      <w:pPr>
        <w:spacing w:after="0" w:line="312" w:lineRule="auto"/>
        <w:jc w:val="both"/>
        <w:rPr>
          <w:rFonts w:cs="Calibri"/>
          <w:sz w:val="24"/>
          <w:szCs w:val="24"/>
          <w:lang w:val="fr-FR"/>
        </w:rPr>
      </w:pPr>
      <w:r>
        <w:rPr>
          <w:rFonts w:cs="Calibri"/>
          <w:sz w:val="24"/>
          <w:szCs w:val="24"/>
          <w:lang w:val="fr-FR"/>
        </w:rPr>
        <w:tab/>
        <w:t>Selon une étude menée par la Communauté européenne dans le Katanga et le Kasaï, il est avéré que la grande superficie de terre est endommagée par l’exploitation minière et par des grandes quantités de matériaux qui sont exposées sur les sites. L’érosion peut donc être une préoccupation majeure sur les sites miniers (Glasson, J. &amp; Therivel, R., 2013).</w:t>
      </w:r>
    </w:p>
    <w:p w:rsidR="0089405D" w:rsidRDefault="003468E2">
      <w:pPr>
        <w:spacing w:after="0" w:line="312" w:lineRule="auto"/>
        <w:jc w:val="both"/>
        <w:rPr>
          <w:rFonts w:cs="Calibri"/>
          <w:sz w:val="24"/>
          <w:szCs w:val="24"/>
          <w:lang w:val="fr-FR"/>
        </w:rPr>
      </w:pPr>
      <w:r>
        <w:rPr>
          <w:rFonts w:cs="Calibri"/>
          <w:sz w:val="24"/>
          <w:szCs w:val="24"/>
          <w:lang w:val="fr-FR"/>
        </w:rPr>
        <w:tab/>
        <w:t>Par conséquent, la lutte contre l’érosion doit être de mise, depuis le début des opérations jusqu’à l’achèvement des travaux de réhabilitation. Le sol de Liambe est d’abord de nature érosive, toute exploitation de genre minier ne pourrait que provoquer des chargements importants des sédiments vers des plans d’eau proches, surtout pendant des tempêtes sévères et de grandes périodes de montée des eaux de la rivière Aruwimi. La population de Liambe jusqu’à Yakoyo serait obligée d’émigrer, mieux de se délocaliser. Mais où ?  Alors que sans exploitation minière, l’eau de ruissellement chargée de sédiments est au départ un mince filet qui grandit progressivement jusqu’à se transformer en ravines naturelles ou en exutoires artificiels. Ses effets sont visibles à l’œil nu. Qu’adviendrait-il avec l’implication des engins ?</w:t>
      </w:r>
    </w:p>
    <w:p w:rsidR="0089405D" w:rsidRDefault="003468E2">
      <w:pPr>
        <w:spacing w:after="0" w:line="312" w:lineRule="auto"/>
        <w:jc w:val="both"/>
        <w:rPr>
          <w:rFonts w:cs="Calibri"/>
          <w:sz w:val="24"/>
          <w:szCs w:val="24"/>
          <w:lang w:val="fr-FR"/>
        </w:rPr>
      </w:pPr>
      <w:r>
        <w:rPr>
          <w:rFonts w:cs="Calibri"/>
          <w:sz w:val="24"/>
          <w:szCs w:val="24"/>
          <w:lang w:val="fr-FR"/>
        </w:rPr>
        <w:tab/>
        <w:t xml:space="preserve">Il s’en suivra que toute exploitation minière semi-industrielle pourra provoquer des dépôts des sédiments dans les eaux de surface ou dans les plaines d’inondation d’une vallée de cours d’eau et aggravera davantage les processus d’érosion. La sédimentation causera l’accumulation de couches épaisses de minéraux fins et de sédiments dans les plaines d’inondation régionales ainsi que l’altération des habitats aquatiques et la perte de capacité de stockage des plans d’eau (Otto, J, 2009 ; Vaessen V. &amp; Brentführer R., 2015). </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Dans le cas de la zone de Liambe, vu son sol argilo-sablonneux et érosif, les principaux facteurs qui influenceront l’érosion comprennent le volume et la vitesse du ruissellement provenant des précipitations, le taux d’infiltration des précipitations dans le sol. La quantité de la couverture végétale qui sera détruite, la longueur de la pente ou la distance à partir du point d’origine du ruissellement en nappe au point où la sédimentation commence, ainsi que les structures de contrôle d’érosion opérationnelles (Vaessen V. &amp; Brentführer R., 2015).</w:t>
      </w:r>
    </w:p>
    <w:p w:rsidR="0089405D" w:rsidRDefault="003468E2">
      <w:pPr>
        <w:spacing w:after="0" w:line="312" w:lineRule="auto"/>
        <w:jc w:val="both"/>
        <w:rPr>
          <w:rFonts w:cs="Calibri"/>
          <w:sz w:val="24"/>
          <w:szCs w:val="24"/>
          <w:lang w:val="fr-FR"/>
        </w:rPr>
      </w:pPr>
      <w:r>
        <w:rPr>
          <w:rFonts w:cs="Calibri"/>
          <w:sz w:val="24"/>
          <w:szCs w:val="24"/>
          <w:lang w:val="fr-FR"/>
        </w:rPr>
        <w:tab/>
        <w:t>En outre, les incidences pourraient inclure une baisse considérable du pH ou des accumulations des métaux dans les eaux de surface et/ou la contamination persistante des sources d’eaux souterraines. Les sédiments contaminés peuvent également réduire le pH des sols, de telle sorte que la végétation et les habitats qui s’y rattachent seront effrités au point d’entamer la productivité agricole et de créer des perturbations climatiques au niveau local (Busse, M. &amp; Gröning, S., 2013 ; Mangambu, M et al., 2018a).</w:t>
      </w:r>
      <w:r>
        <w:rPr>
          <w:rFonts w:cs="Calibri"/>
          <w:sz w:val="24"/>
          <w:szCs w:val="24"/>
          <w:lang w:val="fr-FR"/>
        </w:rPr>
        <w:tab/>
      </w:r>
      <w:r>
        <w:rPr>
          <w:rFonts w:cs="Calibri"/>
          <w:sz w:val="24"/>
          <w:szCs w:val="24"/>
          <w:lang w:val="fr-FR"/>
        </w:rPr>
        <w:tab/>
      </w:r>
      <w:r>
        <w:rPr>
          <w:rFonts w:cs="Calibri"/>
          <w:sz w:val="24"/>
          <w:szCs w:val="24"/>
          <w:lang w:val="fr-FR"/>
        </w:rPr>
        <w:tab/>
      </w:r>
      <w:r>
        <w:rPr>
          <w:rFonts w:cs="Calibri"/>
          <w:sz w:val="24"/>
          <w:szCs w:val="24"/>
          <w:lang w:val="fr-FR"/>
        </w:rPr>
        <w:tab/>
      </w:r>
    </w:p>
    <w:p w:rsidR="0089405D" w:rsidRDefault="003468E2">
      <w:pPr>
        <w:spacing w:after="0" w:line="312" w:lineRule="auto"/>
        <w:jc w:val="both"/>
        <w:rPr>
          <w:rFonts w:cs="Calibri"/>
          <w:sz w:val="24"/>
          <w:szCs w:val="24"/>
          <w:lang w:val="fr-FR"/>
        </w:rPr>
      </w:pPr>
      <w:r>
        <w:rPr>
          <w:rFonts w:cs="Calibri"/>
          <w:sz w:val="24"/>
          <w:szCs w:val="24"/>
          <w:lang w:val="fr-FR"/>
        </w:rPr>
        <w:tab/>
        <w:t xml:space="preserve">Au-delà du potentiel pour des impacts polluants sur la vie humaine et aquatique, il existe des impacts physiques potentiels associés à l’augmentation du volume et de la vitesse de ruissellement découlant des nouvelles activités de perturbation des terres. Des vitesses et volumes accrus peuvent conduire à des inondations en aval, à l’érosion des canaux de cours d’eau et des dommages structuraux au niveau des pieux des ponts et des entrées des ponceaux (Stratos I., 2011). </w:t>
      </w:r>
    </w:p>
    <w:p w:rsidR="0089405D" w:rsidRDefault="003468E2">
      <w:pPr>
        <w:spacing w:after="0" w:line="312" w:lineRule="auto"/>
        <w:jc w:val="both"/>
        <w:rPr>
          <w:rFonts w:cs="Calibri"/>
          <w:sz w:val="24"/>
          <w:szCs w:val="24"/>
          <w:lang w:val="fr-FR"/>
        </w:rPr>
      </w:pPr>
      <w:r>
        <w:rPr>
          <w:rFonts w:cs="Calibri"/>
          <w:sz w:val="24"/>
          <w:szCs w:val="24"/>
          <w:lang w:val="fr-FR"/>
        </w:rPr>
        <w:tab/>
        <w:t>Une observation scientifique laisse penser que dans la zone de Liambe et ses environs, les émissions atmosphériques ont déposé des particules acides où la végétation indigène a été détruite ; le ruissellement a le potentiel d’augmenter le taux d’érosion et de conduire à la suppression du sol de la zone concernée. Cette hypothèse repose sur son paysage caractérisé par des pentes rocheuses et en escaliers. Une fois que ce sol sera encore érodé par les effets d’exploitation décrits ci-haut, la végétation de la pente se reconstituera difficilement, que ce soit naturellement ou avec assistance humaine.</w:t>
      </w:r>
    </w:p>
    <w:p w:rsidR="0089405D" w:rsidRDefault="0089405D">
      <w:pPr>
        <w:spacing w:after="0" w:line="312" w:lineRule="auto"/>
        <w:jc w:val="both"/>
        <w:rPr>
          <w:rFonts w:cs="Calibri"/>
          <w:b/>
          <w:sz w:val="24"/>
          <w:szCs w:val="24"/>
          <w:lang w:val="fr-FR"/>
        </w:rPr>
      </w:pPr>
      <w:bookmarkStart w:id="679" w:name="_Toc59458368"/>
    </w:p>
    <w:p w:rsidR="0089405D" w:rsidRDefault="003468E2">
      <w:pPr>
        <w:keepNext/>
        <w:keepLines/>
        <w:widowControl w:val="0"/>
        <w:spacing w:after="0" w:line="312" w:lineRule="auto"/>
        <w:outlineLvl w:val="0"/>
        <w:rPr>
          <w:rFonts w:cs="Calibri"/>
          <w:b/>
          <w:bCs/>
          <w:iCs/>
          <w:sz w:val="24"/>
          <w:szCs w:val="24"/>
          <w:lang w:val="fr-FR"/>
        </w:rPr>
      </w:pPr>
      <w:bookmarkStart w:id="680" w:name="_Toc73431858"/>
      <w:bookmarkStart w:id="681" w:name="_Toc79393028"/>
      <w:bookmarkStart w:id="682" w:name="_Toc111888676"/>
      <w:bookmarkStart w:id="683" w:name="_Toc127187255"/>
      <w:bookmarkStart w:id="684" w:name="_Toc127187532"/>
      <w:bookmarkStart w:id="685" w:name="_Toc127432289"/>
      <w:r>
        <w:rPr>
          <w:rFonts w:cs="Calibri"/>
          <w:b/>
          <w:sz w:val="24"/>
          <w:szCs w:val="24"/>
          <w:lang w:val="fr-FR"/>
        </w:rPr>
        <w:t>6.2.</w:t>
      </w:r>
      <w:r>
        <w:rPr>
          <w:rFonts w:cs="Calibri"/>
          <w:b/>
          <w:bCs/>
          <w:iCs/>
          <w:sz w:val="24"/>
          <w:szCs w:val="24"/>
          <w:lang w:val="fr-FR"/>
        </w:rPr>
        <w:t>3. IMPACTS DES BASSINS DE DECANTATION DES RESIDUS, DE DECHETS DE ROCHE, DE LA LIXIVIATION EN TAS ET DES INSTALLATIONS DE STOCKAGE DE LIXIVIATS</w:t>
      </w:r>
      <w:bookmarkEnd w:id="679"/>
      <w:bookmarkEnd w:id="680"/>
      <w:bookmarkEnd w:id="681"/>
      <w:bookmarkEnd w:id="682"/>
      <w:bookmarkEnd w:id="683"/>
      <w:bookmarkEnd w:id="684"/>
      <w:bookmarkEnd w:id="685"/>
    </w:p>
    <w:p w:rsidR="0089405D" w:rsidRDefault="0089405D">
      <w:pPr>
        <w:spacing w:after="0" w:line="312" w:lineRule="auto"/>
        <w:ind w:firstLine="709"/>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Les impacts des bassins de décantation des résidus de mine, des déchets de roche, de la lixiviation en tas et des installations de stockage de lixiviats sur la qualité de l’eau pourront aussi avoir des conséquences graves dans les zones d’exploitation (Liambe, Likombe, Ilongo). Ces effets comprennent normalement la contamination des eaux souterraines en dessous de ces installations et des eaux de surface. Les substances toxiques peuvent alors lessiver ces </w:t>
      </w:r>
      <w:r>
        <w:rPr>
          <w:rFonts w:cs="Calibri"/>
          <w:sz w:val="24"/>
          <w:szCs w:val="24"/>
          <w:lang w:val="fr-FR"/>
        </w:rPr>
        <w:lastRenderedPageBreak/>
        <w:t>installations, filtrer à travers le sol et contaminer les eaux souterraines, surtout si la base de ces installations n’est pas équipée d’un revêtement imperméable (Boularbah, A. et al., 2006 ; Vaessen V. &amp; Brentführer R., 2015).</w:t>
      </w:r>
    </w:p>
    <w:p w:rsidR="0089405D" w:rsidRDefault="003468E2">
      <w:pPr>
        <w:spacing w:after="0" w:line="312" w:lineRule="auto"/>
        <w:jc w:val="both"/>
        <w:rPr>
          <w:rFonts w:cs="Calibri"/>
          <w:sz w:val="24"/>
          <w:szCs w:val="24"/>
          <w:lang w:val="fr-FR"/>
        </w:rPr>
      </w:pPr>
      <w:r>
        <w:rPr>
          <w:rFonts w:cs="Calibri"/>
          <w:sz w:val="24"/>
          <w:szCs w:val="24"/>
          <w:lang w:val="fr-FR"/>
        </w:rPr>
        <w:tab/>
        <w:t>D’après ACI - RDC (2009), au Katanga par exemple, les terrils (un sous-produit du traitement de minerai métallique) représentent de gros volumes de déchets qui peuvent contenir des quantités de substances toxiques dangereuses, telles que l’arsenic, le plomb, le cadmium, le chrome, le nickel et le cyanure (si la lixiviation au cyanure est utilisée). Bien qu’elle soit rarement l’option préférable du point de vue environnemental, la plupart des compagnies minières de la RD Congo ne se débarrassent pas des terrils en les mélangeant avec de l’eau (pour former une pulpe) et retient cette pulpe dans un grand bassin de décantation de résidus de mine ACI -RDC (2009). Vu que le minerai est généralement extrait comme une pulpe, les déchets qui en résultent contiennent de grandes quantités d’eau et généralement forment des étangs tout au sommet des bassins de résidus et donc constituer une menace pour la faune et une cause des maladies d’origine hydrique (ACI –RDC, 2009).</w:t>
      </w:r>
    </w:p>
    <w:p w:rsidR="0089405D" w:rsidRDefault="003468E2">
      <w:pPr>
        <w:spacing w:after="0" w:line="312" w:lineRule="auto"/>
        <w:jc w:val="both"/>
        <w:rPr>
          <w:rFonts w:cs="Calibri"/>
          <w:sz w:val="24"/>
          <w:szCs w:val="24"/>
          <w:lang w:val="fr-FR"/>
        </w:rPr>
      </w:pPr>
      <w:r>
        <w:rPr>
          <w:rFonts w:cs="Calibri"/>
          <w:sz w:val="24"/>
          <w:szCs w:val="24"/>
          <w:lang w:val="fr-FR"/>
        </w:rPr>
        <w:tab/>
      </w:r>
      <w:bookmarkStart w:id="686" w:name="_Toc59458369"/>
      <w:r>
        <w:rPr>
          <w:rFonts w:cs="Calibri"/>
          <w:sz w:val="24"/>
          <w:szCs w:val="24"/>
          <w:lang w:val="fr-FR"/>
        </w:rPr>
        <w:t>L’exemple concret est le cas de la société PERENCO (Compagnie pétrolière et gazière française), considérée par le journal de mode comme boîte noire pétrolière et toxique en RDC</w:t>
      </w:r>
      <w:r>
        <w:rPr>
          <w:rStyle w:val="Appelnotedebasdep"/>
          <w:rFonts w:cs="Calibri"/>
          <w:sz w:val="24"/>
          <w:szCs w:val="24"/>
          <w:lang w:val="fr-FR"/>
        </w:rPr>
        <w:footnoteReference w:id="71"/>
      </w:r>
      <w:r>
        <w:rPr>
          <w:rFonts w:cs="Calibri"/>
          <w:sz w:val="24"/>
          <w:szCs w:val="24"/>
          <w:lang w:val="fr-FR"/>
        </w:rPr>
        <w:t>.</w:t>
      </w:r>
      <w:r>
        <w:rPr>
          <w:rFonts w:cs="Calibri"/>
          <w:lang w:val="fr-FR"/>
        </w:rPr>
        <w:t xml:space="preserve"> Selon ce journal, l</w:t>
      </w:r>
      <w:r>
        <w:rPr>
          <w:rFonts w:cs="Calibri"/>
          <w:sz w:val="24"/>
          <w:szCs w:val="24"/>
          <w:lang w:val="fr-FR"/>
        </w:rPr>
        <w:t>e groupe familial franco-britannique PERENCO n’apprécie guère de devoir s’expliquer sur les préjudices environnementaux présumés causés par son activité en République démocratique du Congo (RDC). Plus grave et catastrophique, lorsque les bassins de décantation de résidus de mine cèdent, ils déversent de grandes quantités d’eaux toxiques qui peuvent tuer la vie aquatique et empoisonner l’alimentation en eau potable sur de nombreux kilomètres en aval du bassin de décantation comme le cas du PERENCO aux envions de la ville côtière de Muanda.</w:t>
      </w:r>
    </w:p>
    <w:p w:rsidR="0089405D" w:rsidRDefault="0089405D">
      <w:pPr>
        <w:spacing w:after="0" w:line="312" w:lineRule="auto"/>
        <w:jc w:val="both"/>
        <w:rPr>
          <w:rFonts w:cs="Calibri"/>
          <w:b/>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687" w:name="_Toc73431859"/>
      <w:bookmarkStart w:id="688" w:name="_Toc79393029"/>
      <w:bookmarkStart w:id="689" w:name="_Toc111888677"/>
      <w:bookmarkStart w:id="690" w:name="_Toc127187256"/>
      <w:bookmarkStart w:id="691" w:name="_Toc127187533"/>
      <w:bookmarkStart w:id="692" w:name="_Toc127432290"/>
      <w:r>
        <w:rPr>
          <w:rFonts w:cs="Calibri"/>
          <w:b/>
          <w:sz w:val="24"/>
          <w:szCs w:val="24"/>
          <w:lang w:val="fr-FR"/>
        </w:rPr>
        <w:t>6.2.4. IMPACTS DE L’EXHAURE DES MINES</w:t>
      </w:r>
      <w:bookmarkEnd w:id="686"/>
      <w:bookmarkEnd w:id="687"/>
      <w:bookmarkEnd w:id="688"/>
      <w:bookmarkEnd w:id="689"/>
      <w:bookmarkEnd w:id="690"/>
      <w:bookmarkEnd w:id="691"/>
      <w:bookmarkEnd w:id="692"/>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Cette méthode à ciel ouvert, comme prévu dans le contrat du projet minier d’exploitation minière par la Société </w:t>
      </w:r>
      <w:r>
        <w:rPr>
          <w:rFonts w:cs="Calibri"/>
          <w:i/>
          <w:sz w:val="24"/>
          <w:szCs w:val="24"/>
          <w:lang w:val="fr-FR"/>
        </w:rPr>
        <w:t>Xiang Jiang Mining</w:t>
      </w:r>
      <w:r>
        <w:rPr>
          <w:rFonts w:cs="Calibri"/>
          <w:sz w:val="24"/>
          <w:szCs w:val="24"/>
          <w:lang w:val="fr-FR"/>
        </w:rPr>
        <w:t xml:space="preserve"> Sarl dans le territoire de Basoko, intercepte la nappe phréatique et les eaux souterraines envahissent les puits. Pour poursuivre les travaux d’exploration, les compagnies minières doivent pomper cette eau vers un autre </w:t>
      </w:r>
      <w:r>
        <w:rPr>
          <w:rFonts w:cs="Calibri"/>
          <w:sz w:val="24"/>
          <w:szCs w:val="24"/>
          <w:lang w:val="fr-FR"/>
        </w:rPr>
        <w:lastRenderedPageBreak/>
        <w:t xml:space="preserve">endroit. Le pompage et le déversement des eaux provoquent un ensemble unique d’impacts environnementaux qui sont bien décrits dans une étude commanditée par la Communauté européenne menée au Katanga et au Kassaï (ACI-RDC, 2009). </w:t>
      </w:r>
    </w:p>
    <w:p w:rsidR="0089405D" w:rsidRDefault="003468E2">
      <w:pPr>
        <w:spacing w:after="0" w:line="312" w:lineRule="auto"/>
        <w:jc w:val="both"/>
        <w:rPr>
          <w:rFonts w:cs="Calibri"/>
          <w:sz w:val="24"/>
          <w:szCs w:val="24"/>
          <w:highlight w:val="red"/>
          <w:lang w:val="fr-FR"/>
        </w:rPr>
      </w:pPr>
      <w:r>
        <w:rPr>
          <w:rFonts w:cs="Calibri"/>
          <w:sz w:val="24"/>
          <w:szCs w:val="24"/>
          <w:lang w:val="fr-FR"/>
        </w:rPr>
        <w:tab/>
        <w:t xml:space="preserve">D’après Coleman J., (2018), alternativement, l’eau peut être pompée à partir des puits entourant la mine pour créer un cône de dépression dans le niveau de la nappe, réduisant ainsi l’infiltration. Lorsque la mine est opérationnelle, l’eau de mine doit être continuellement retirée de la mine pour faciliter la récupération du minerai. Cependant, une fois que les opérations minières prennent fin, le pompage et la gestion de l’eau de mine souvent s’arrêtent aussi, entraînant une possible accumulation dans les fractures de roche, puits, tunnels, puits à ciel ouvert et aussi des rejets incontrôlés dans l’environnement et les impacts pourraient durer plusieurs décennies.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L’exemple en RDC est celui du Katanga par le projet d’exploitation de cuivre et de cobalt de Tenke-Fungurume qui a causé deux types de risques naturels et artificiels. Parmi les risques artificiels. On pourrait citer les accidents ou les dysfonctionnements au niveau de l’usine de traitement ou des autres installations, notamment les accidents ferroviaires et routiers (par exemple, le déversement accidentel de polluants ou les collisions avec des personnes). À cet égard, le programme de transport prévoit des mesures d’atténuation en vue de réduire au minimum les risques liés au déversement accidentel de polluants et des mesures d’atténuation des risques de collision seront mises en œuvre pour tous les scénarios de risques majeurs. </w:t>
      </w:r>
    </w:p>
    <w:p w:rsidR="0089405D" w:rsidRDefault="0089405D">
      <w:pPr>
        <w:keepNext/>
        <w:keepLines/>
        <w:widowControl w:val="0"/>
        <w:spacing w:after="0" w:line="312" w:lineRule="auto"/>
        <w:outlineLvl w:val="0"/>
        <w:rPr>
          <w:rFonts w:cs="Calibri"/>
          <w:sz w:val="24"/>
          <w:szCs w:val="24"/>
          <w:lang w:val="fr-FR"/>
        </w:rPr>
      </w:pPr>
      <w:bookmarkStart w:id="693" w:name="_Toc73431860"/>
      <w:bookmarkStart w:id="694" w:name="_Toc79393030"/>
    </w:p>
    <w:p w:rsidR="0089405D" w:rsidRDefault="003468E2">
      <w:pPr>
        <w:keepNext/>
        <w:keepLines/>
        <w:widowControl w:val="0"/>
        <w:spacing w:after="0" w:line="312" w:lineRule="auto"/>
        <w:outlineLvl w:val="0"/>
        <w:rPr>
          <w:rFonts w:cs="Calibri"/>
          <w:b/>
          <w:sz w:val="24"/>
          <w:szCs w:val="24"/>
          <w:lang w:val="fr-FR"/>
        </w:rPr>
      </w:pPr>
      <w:bookmarkStart w:id="695" w:name="_Toc111888678"/>
      <w:bookmarkStart w:id="696" w:name="_Toc127187257"/>
      <w:bookmarkStart w:id="697" w:name="_Toc127187534"/>
      <w:bookmarkStart w:id="698" w:name="_Toc127432291"/>
      <w:r>
        <w:rPr>
          <w:rFonts w:cs="Calibri"/>
          <w:b/>
          <w:sz w:val="24"/>
          <w:szCs w:val="24"/>
          <w:lang w:val="fr-FR"/>
        </w:rPr>
        <w:t>6.2.5. DIMINUTION OU EPUISEMENT DE QUANTITE D’EAU</w:t>
      </w:r>
      <w:bookmarkEnd w:id="693"/>
      <w:bookmarkEnd w:id="694"/>
      <w:bookmarkEnd w:id="695"/>
      <w:bookmarkEnd w:id="696"/>
      <w:bookmarkEnd w:id="697"/>
      <w:bookmarkEnd w:id="698"/>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L’extraction des minerais peut épuiser les bassins d’eau souterraine et de surface. Les mines drainent l’eau des bassins d’eau souterraine et les détruisent du même fait. (Harrison R., 2014)</w:t>
      </w:r>
    </w:p>
    <w:p w:rsidR="0089405D" w:rsidRDefault="0089405D">
      <w:pPr>
        <w:spacing w:after="0" w:line="312" w:lineRule="auto"/>
        <w:jc w:val="both"/>
        <w:rPr>
          <w:rFonts w:cs="Calibri"/>
          <w:sz w:val="24"/>
          <w:szCs w:val="24"/>
          <w:lang w:val="fr-FR"/>
        </w:rPr>
      </w:pPr>
    </w:p>
    <w:p w:rsidR="0089405D" w:rsidRDefault="003468E2">
      <w:pPr>
        <w:pStyle w:val="Titre1"/>
        <w:spacing w:before="0" w:line="312" w:lineRule="auto"/>
        <w:jc w:val="both"/>
        <w:rPr>
          <w:rFonts w:cs="Calibri"/>
          <w:b/>
          <w:color w:val="auto"/>
          <w:sz w:val="24"/>
          <w:szCs w:val="24"/>
          <w:lang w:val="fr-FR"/>
        </w:rPr>
      </w:pPr>
      <w:bookmarkStart w:id="699" w:name="_Toc111888679"/>
      <w:bookmarkStart w:id="700" w:name="_Toc127187258"/>
      <w:bookmarkStart w:id="701" w:name="_Toc127187535"/>
      <w:bookmarkStart w:id="702" w:name="_Toc127432292"/>
      <w:r>
        <w:rPr>
          <w:rFonts w:cs="Calibri"/>
          <w:b/>
          <w:color w:val="auto"/>
          <w:sz w:val="24"/>
          <w:szCs w:val="24"/>
          <w:lang w:val="fr-FR"/>
        </w:rPr>
        <w:t>6.2.6. POLLUTION DE LA RIVIERE ARUWIMI, PENURIE DE POISSONS A BASOKO ?</w:t>
      </w:r>
      <w:bookmarkEnd w:id="699"/>
      <w:bookmarkEnd w:id="700"/>
      <w:bookmarkEnd w:id="701"/>
      <w:bookmarkEnd w:id="702"/>
    </w:p>
    <w:p w:rsidR="0089405D" w:rsidRDefault="0089405D">
      <w:pPr>
        <w:pStyle w:val="Titre1"/>
        <w:spacing w:before="0" w:line="312" w:lineRule="auto"/>
        <w:jc w:val="both"/>
        <w:rPr>
          <w:rFonts w:cs="Calibri"/>
          <w:b/>
          <w:color w:val="auto"/>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Fortement dépendants de la rivière Aruwimi pour sa sécurité alimentaire, Basoko-centre et ses environs feront face à la rareté de poissons, alors que cette rivière est réputée poissonneuse durant toute la période de l’année. De ce fait, on pense que la famine sera aux portes du territoire de Basoko et les territoires voisins comme Isangi, Banalia, … issue de la grande province Orientale démembrée. </w:t>
      </w:r>
    </w:p>
    <w:p w:rsidR="0089405D" w:rsidRDefault="003468E2">
      <w:pPr>
        <w:spacing w:after="0" w:line="312" w:lineRule="auto"/>
        <w:ind w:firstLine="709"/>
        <w:jc w:val="both"/>
        <w:rPr>
          <w:rFonts w:cs="Calibri"/>
          <w:sz w:val="24"/>
          <w:szCs w:val="24"/>
          <w:lang w:val="fr-FR"/>
        </w:rPr>
      </w:pPr>
      <w:r>
        <w:rPr>
          <w:rFonts w:cs="Calibri"/>
          <w:sz w:val="24"/>
          <w:szCs w:val="24"/>
          <w:lang w:val="fr-FR"/>
        </w:rPr>
        <w:lastRenderedPageBreak/>
        <w:t>En effet, la rareté de poissons, produits vivriers de première nécessité dans cette partie du pays, a des répercussions néfastes sur la sécurité alimentaire de toute la province. Ceci entrainera la pollution de l’écosystème comme observé dans d’autres sites que cette société chinoise a fait son exploitation.</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Selon nos enquêtes sur terrain, nous avons constaté avec amertume qu’à Banalia l’écosystème de la rivière Aruwimi a été souillé et ne permet plus aux poissons et autres habitants aquacoles de résister. Il y a alors disparition et d’autres méfaits secondaires seront manifestés aux populations riveraines », renseigne les autres un scientifiques qui avaient alerté les écologistes et autres partenaires pour qu’ils viennent assister à cette Menace destructive contre le développement durable. </w:t>
      </w:r>
    </w:p>
    <w:p w:rsidR="0089405D" w:rsidRDefault="003468E2">
      <w:pPr>
        <w:spacing w:after="0" w:line="312" w:lineRule="auto"/>
        <w:ind w:firstLine="709"/>
        <w:jc w:val="both"/>
        <w:rPr>
          <w:rFonts w:cs="Calibri"/>
          <w:sz w:val="24"/>
          <w:szCs w:val="24"/>
          <w:lang w:val="fr-FR"/>
        </w:rPr>
      </w:pPr>
      <w:r>
        <w:rPr>
          <w:rFonts w:cs="Calibri"/>
          <w:sz w:val="24"/>
          <w:szCs w:val="24"/>
          <w:lang w:val="fr-FR"/>
        </w:rPr>
        <w:t>On se souviendra du passage, il y a quelques mois après le scandale de la pollution des rivières Kasaï et Tshikapa, d’une mission gouvernementale conduite par la Vice-Premier Ministre en charge de l’Environnement et du développement durable de la RDC, des mesures avaient été préconisées à l’encontre des exploitants chinois de Jiang Xiang Mining. Il est plus qu’important de se pencher sur la gestion durable des écosystèmes forestiers et aquatiques afin de pouvoir pallier aux effets de changement climatique, tel est le résonnement d’un scientifique du milieu. Il sied de rappeler qu’actuellement, à en croire certains environnementalistes, que « ce ne sont plus les forêts qui contribuent significativement au changement climatique mais c’est plutôt les écosystèmes aquatiques à travers le phénomène upwelling et downlling ». Si en ces jours, tout le stock de CO</w:t>
      </w:r>
      <w:r>
        <w:rPr>
          <w:rFonts w:cs="Calibri"/>
          <w:sz w:val="24"/>
          <w:szCs w:val="24"/>
          <w:vertAlign w:val="subscript"/>
          <w:lang w:val="fr-FR"/>
        </w:rPr>
        <w:t>2</w:t>
      </w:r>
      <w:r>
        <w:rPr>
          <w:rFonts w:cs="Calibri"/>
          <w:sz w:val="24"/>
          <w:szCs w:val="24"/>
          <w:lang w:val="fr-FR"/>
        </w:rPr>
        <w:t xml:space="preserve"> gardé au niveau souterrain des océans ou des fonds riverains sortaient en surface, l’avenir même de la planète serait compromis.</w:t>
      </w:r>
    </w:p>
    <w:p w:rsidR="0089405D" w:rsidRDefault="003468E2">
      <w:pPr>
        <w:spacing w:after="0" w:line="312" w:lineRule="auto"/>
        <w:ind w:firstLine="709"/>
        <w:jc w:val="both"/>
        <w:rPr>
          <w:rFonts w:cs="Calibri"/>
          <w:sz w:val="24"/>
          <w:szCs w:val="24"/>
          <w:lang w:val="fr-FR"/>
        </w:rPr>
      </w:pPr>
      <w:r>
        <w:rPr>
          <w:rFonts w:cs="Calibri"/>
          <w:sz w:val="24"/>
          <w:szCs w:val="24"/>
          <w:lang w:val="fr-FR"/>
        </w:rPr>
        <w:t>S’affirmant de l’école de pyrrhonisme, bien qu’ayant épousé à vrai l’alerte concernant l’état actuel de l’eau de rivière Aruwimi de Mongandjo jusqu’à ce qu’au confluent de Tindaito à Basoko (où Aruwimi se jette au fleuve Congo), d’autres observateurs abordent cette qu’il aura une rareté de poisson sous un autre angle. Aaprès un séjour d’analyse à Basoko-centre, il s’est observé que les pêcheurs professionnels de filet à maille autorisée et conventionnelle admise par l’inspection de pêche et élevage de la Tshopo, ne sont pas innocents », affirment-ils. Mais tous estiment qu’il est toujours nécessaire de faire une étude d’impact environnemental et social avant installation de tout projet d’exploitation minière, forestière ou même de pêche. Sinon, il faut être prêt à supporter simplement les conséquences des actions car tout geste fonctionne compte.</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Selon le chef territorial de l’environnement local, « chaque action que nous posons dans un environnement quelconque, ce dernier nous donnera une réaction. C’est donc la </w:t>
      </w:r>
      <w:r>
        <w:rPr>
          <w:rFonts w:cs="Calibri"/>
          <w:sz w:val="24"/>
          <w:szCs w:val="24"/>
          <w:lang w:val="fr-FR"/>
        </w:rPr>
        <w:lastRenderedPageBreak/>
        <w:t xml:space="preserve">réaction de l’environnement face à l’exploitation minière qui se réalise dans ce biotope en général. Les espèces sensibles disparaîtront et d’autres développeront des mécanismes d’adaptation », conclu un habitant de Basoko. </w:t>
      </w:r>
    </w:p>
    <w:p w:rsidR="0089405D" w:rsidRDefault="003468E2">
      <w:pPr>
        <w:spacing w:after="0" w:line="312" w:lineRule="auto"/>
        <w:ind w:firstLine="709"/>
        <w:jc w:val="both"/>
        <w:rPr>
          <w:rFonts w:cs="Calibri"/>
          <w:sz w:val="24"/>
          <w:szCs w:val="24"/>
          <w:highlight w:val="yellow"/>
          <w:lang w:val="fr-FR"/>
        </w:rPr>
      </w:pPr>
      <w:r>
        <w:rPr>
          <w:rFonts w:cs="Calibri"/>
          <w:sz w:val="24"/>
          <w:szCs w:val="24"/>
          <w:lang w:val="fr-FR"/>
        </w:rPr>
        <w:t>Il est possible d’utiliser les indicateurs biologiques pendant cette période de l’exploration pour plus de précisions sur la qualité des eaux et proposer des alternatives appropriées, selon les cas et les milieux. Il faut donc tout un projet pour y arriver, pensent nombre de visionnaires ». Ceci rappelle comment et pourquoi, l’organisation communautaire des originaires de Basoko, Minorité silencieuse (MS), continue de se battre contre l’exploitation dévastatrice de la forêt de Yaliwasa par les Chinois de FODECO, et l’exploitation avenir illicite de l’or et du diamant dans le lit de la rivière Aruwimi à Liambe, soir disant la période de l’exploration. Selon un membre de la société civile locale,   « la lutte de la MS, était d’amener le gouvernement congolais à comprendre que l’écosystème ainsi détruit, pouvait être refait par un reboisement responsable, tel qu’édicté par le code forestier RDC. De fil en aiguille, l’exploitation responsable de l’or et du diamant assurerait le développement durable du territoire, dans le respect de l’environnement.</w:t>
      </w:r>
    </w:p>
    <w:p w:rsidR="0089405D" w:rsidRDefault="0089405D">
      <w:pPr>
        <w:keepNext/>
        <w:keepLines/>
        <w:widowControl w:val="0"/>
        <w:spacing w:after="0" w:line="312" w:lineRule="auto"/>
        <w:outlineLvl w:val="0"/>
        <w:rPr>
          <w:rFonts w:cs="Calibri"/>
          <w:b/>
          <w:sz w:val="24"/>
          <w:szCs w:val="24"/>
          <w:lang w:val="fr-FR"/>
        </w:rPr>
      </w:pPr>
      <w:bookmarkStart w:id="703" w:name="_Toc59458370"/>
      <w:bookmarkStart w:id="704" w:name="_Toc73431861"/>
      <w:bookmarkStart w:id="705" w:name="_Toc79393031"/>
    </w:p>
    <w:p w:rsidR="0089405D" w:rsidRDefault="003468E2">
      <w:pPr>
        <w:keepNext/>
        <w:keepLines/>
        <w:widowControl w:val="0"/>
        <w:spacing w:after="0" w:line="312" w:lineRule="auto"/>
        <w:outlineLvl w:val="0"/>
        <w:rPr>
          <w:rFonts w:cs="Calibri"/>
          <w:b/>
          <w:sz w:val="24"/>
          <w:szCs w:val="24"/>
          <w:lang w:val="fr-FR"/>
        </w:rPr>
      </w:pPr>
      <w:bookmarkStart w:id="706" w:name="_Toc111888680"/>
      <w:bookmarkStart w:id="707" w:name="_Toc127187259"/>
      <w:bookmarkStart w:id="708" w:name="_Toc127187536"/>
      <w:bookmarkStart w:id="709" w:name="_Toc127432293"/>
      <w:r>
        <w:rPr>
          <w:rFonts w:cs="Calibri"/>
          <w:b/>
          <w:sz w:val="24"/>
          <w:szCs w:val="24"/>
          <w:lang w:val="fr-FR"/>
        </w:rPr>
        <w:t>6.3. IMPACTS DE PROJETS MINIERS SUR LA QUALITE DE L’AIR</w:t>
      </w:r>
      <w:bookmarkEnd w:id="703"/>
      <w:bookmarkEnd w:id="704"/>
      <w:bookmarkEnd w:id="705"/>
      <w:bookmarkEnd w:id="706"/>
      <w:bookmarkEnd w:id="707"/>
      <w:bookmarkEnd w:id="708"/>
      <w:bookmarkEnd w:id="709"/>
    </w:p>
    <w:p w:rsidR="0089405D" w:rsidRDefault="0089405D">
      <w:pPr>
        <w:keepNext/>
        <w:keepLines/>
        <w:widowControl w:val="0"/>
        <w:spacing w:after="0" w:line="312" w:lineRule="auto"/>
        <w:outlineLvl w:val="0"/>
        <w:rPr>
          <w:rFonts w:cs="Calibri"/>
          <w:b/>
          <w:sz w:val="24"/>
          <w:szCs w:val="24"/>
          <w:lang w:val="fr-FR"/>
        </w:rPr>
      </w:pPr>
      <w:bookmarkStart w:id="710" w:name="_Toc59458371"/>
      <w:bookmarkStart w:id="711" w:name="_Toc73431862"/>
      <w:bookmarkStart w:id="712" w:name="_Toc79393032"/>
    </w:p>
    <w:p w:rsidR="0089405D" w:rsidRDefault="003468E2">
      <w:pPr>
        <w:keepNext/>
        <w:keepLines/>
        <w:widowControl w:val="0"/>
        <w:spacing w:after="0" w:line="312" w:lineRule="auto"/>
        <w:outlineLvl w:val="0"/>
        <w:rPr>
          <w:rFonts w:cs="Calibri"/>
          <w:b/>
          <w:sz w:val="24"/>
          <w:szCs w:val="24"/>
          <w:lang w:val="fr-FR"/>
        </w:rPr>
      </w:pPr>
      <w:bookmarkStart w:id="713" w:name="_Toc111888681"/>
      <w:bookmarkStart w:id="714" w:name="_Toc127187260"/>
      <w:bookmarkStart w:id="715" w:name="_Toc127187537"/>
      <w:bookmarkStart w:id="716" w:name="_Toc127432294"/>
      <w:r>
        <w:rPr>
          <w:rFonts w:cs="Calibri"/>
          <w:b/>
          <w:sz w:val="24"/>
          <w:szCs w:val="24"/>
          <w:lang w:val="fr-FR"/>
        </w:rPr>
        <w:t>6.3.1. LES EMISSIONS ATMOSPHERIQUES A CHAQUE ETAPE DU CYCLE DE LA MINE</w:t>
      </w:r>
      <w:bookmarkEnd w:id="710"/>
      <w:bookmarkEnd w:id="711"/>
      <w:bookmarkEnd w:id="712"/>
      <w:bookmarkEnd w:id="713"/>
      <w:bookmarkEnd w:id="714"/>
      <w:bookmarkEnd w:id="715"/>
      <w:bookmarkEnd w:id="716"/>
      <w:r>
        <w:rPr>
          <w:rFonts w:cs="Calibri"/>
          <w:b/>
          <w:sz w:val="24"/>
          <w:szCs w:val="24"/>
          <w:lang w:val="fr-FR"/>
        </w:rPr>
        <w:t xml:space="preserve"> </w:t>
      </w:r>
    </w:p>
    <w:p w:rsidR="0089405D" w:rsidRDefault="0089405D">
      <w:pPr>
        <w:spacing w:after="0" w:line="312" w:lineRule="auto"/>
        <w:ind w:firstLine="709"/>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Les émissions atmosphériques se produisent à chaque étape du cycle de la mine, mais surtout pendant l’exploration, le développement, la construction et les activités opérationnelles (ACI-RDC, 2009). En réduisant la pollution en fin de cycle, on risque de la transférer d’un milieu à un autre, où elle pourrait créer des problèmes environnementaux tout aussi graves, ou même finir par être une source indirecte de pollution du même milieu. Sans être aussi onéreuse qu’une mesure correctrice, la réduction de la pollution en fin de cycle peut augmenter sensiblement le coût des procédés de production sans ajouter de valeur (ATSDR, 2011).</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Les opérations minières mobilisent de grandes quantités de matières ; et des déchets de piles contenant des particules de petite taille sont facilement dispersés par le vent. Les plus importantes sources de pollution atmosphérique dans les opérations minières sont ces </w:t>
      </w:r>
      <w:r>
        <w:rPr>
          <w:rFonts w:cs="Calibri"/>
          <w:bCs/>
          <w:iCs/>
          <w:sz w:val="24"/>
          <w:szCs w:val="24"/>
          <w:lang w:val="fr-FR"/>
        </w:rPr>
        <w:t>émissions fugitives et</w:t>
      </w:r>
      <w:r>
        <w:rPr>
          <w:rFonts w:cs="Calibri"/>
          <w:b/>
          <w:bCs/>
          <w:i/>
          <w:iCs/>
          <w:sz w:val="24"/>
          <w:szCs w:val="24"/>
          <w:lang w:val="fr-FR"/>
        </w:rPr>
        <w:t xml:space="preserve"> </w:t>
      </w:r>
      <w:r>
        <w:rPr>
          <w:rFonts w:cs="Calibri"/>
          <w:sz w:val="24"/>
          <w:szCs w:val="24"/>
          <w:lang w:val="fr-FR"/>
        </w:rPr>
        <w:t>les particules de matières.</w:t>
      </w:r>
    </w:p>
    <w:p w:rsidR="0089405D" w:rsidRDefault="003468E2">
      <w:pPr>
        <w:spacing w:after="0" w:line="312" w:lineRule="auto"/>
        <w:jc w:val="both"/>
        <w:rPr>
          <w:rFonts w:cs="Calibri"/>
          <w:sz w:val="24"/>
          <w:szCs w:val="24"/>
          <w:lang w:val="fr-FR"/>
        </w:rPr>
      </w:pPr>
      <w:r>
        <w:rPr>
          <w:rFonts w:cs="Calibri"/>
          <w:b/>
          <w:sz w:val="24"/>
          <w:szCs w:val="24"/>
          <w:lang w:val="fr-FR"/>
        </w:rPr>
        <w:t xml:space="preserve">- Les particules de matières </w:t>
      </w:r>
      <w:r>
        <w:rPr>
          <w:rFonts w:cs="Calibri"/>
          <w:sz w:val="24"/>
          <w:szCs w:val="24"/>
          <w:lang w:val="fr-FR"/>
        </w:rPr>
        <w:t xml:space="preserve">sont transportées par le vent, à la suite de fouilles d’abattages par explosion, de transport de matériaux, de l’érosion par le vent, des poussières fugitives </w:t>
      </w:r>
      <w:r>
        <w:rPr>
          <w:rFonts w:cs="Calibri"/>
          <w:sz w:val="24"/>
          <w:szCs w:val="24"/>
          <w:lang w:val="fr-FR"/>
        </w:rPr>
        <w:lastRenderedPageBreak/>
        <w:t>provenant des installations de résidus, des stations de culbutage…qui provoquent des effets graves sur la santé humaine (maladie d’origine cardiaque et pneumonie) et sur l’environnement.</w:t>
      </w:r>
    </w:p>
    <w:p w:rsidR="0089405D" w:rsidRDefault="003468E2">
      <w:pPr>
        <w:spacing w:after="0" w:line="312" w:lineRule="auto"/>
        <w:jc w:val="both"/>
        <w:rPr>
          <w:rFonts w:cs="Calibri"/>
          <w:sz w:val="24"/>
          <w:szCs w:val="24"/>
          <w:lang w:val="fr-FR"/>
        </w:rPr>
      </w:pPr>
      <w:r>
        <w:rPr>
          <w:rFonts w:cs="Calibri"/>
          <w:b/>
          <w:sz w:val="24"/>
          <w:szCs w:val="24"/>
          <w:lang w:val="fr-FR"/>
        </w:rPr>
        <w:t xml:space="preserve">- Les émissions fugitives </w:t>
      </w:r>
      <w:r>
        <w:rPr>
          <w:rFonts w:cs="Calibri"/>
          <w:sz w:val="24"/>
          <w:szCs w:val="24"/>
          <w:lang w:val="fr-FR"/>
        </w:rPr>
        <w:t>sont des émissions qui ne pourraient pas raisonnablement passer par une tuyauterie, une cheminée, un orifice ou d’autres ouvertures à fonction équivalente, qui sont des sources courantes d’émissions d’après l’Agence de Protection Environnementale des U.S. (EPA)</w:t>
      </w:r>
    </w:p>
    <w:p w:rsidR="0089405D" w:rsidRDefault="003468E2">
      <w:pPr>
        <w:spacing w:after="0" w:line="312" w:lineRule="auto"/>
        <w:jc w:val="both"/>
        <w:rPr>
          <w:rFonts w:cs="Calibri"/>
          <w:sz w:val="24"/>
          <w:szCs w:val="24"/>
          <w:lang w:val="fr-FR"/>
        </w:rPr>
      </w:pPr>
      <w:r>
        <w:rPr>
          <w:rFonts w:cs="Calibri"/>
          <w:sz w:val="24"/>
          <w:szCs w:val="24"/>
          <w:lang w:val="fr-FR"/>
        </w:rPr>
        <w:tab/>
        <w:t>Les émissions fugitives comprennent : le stockage et la manutention de matériaux; le traitement de mine; la poussière fugitive, l’abattage, les activités de construction et les galeries associées aux activités minières; les coussins de lixiviation, les tas de résidus de minerais, les bassins de décantations et les tas de déchets de roches. Les sources et les caractéristiques des émissions de poussières fugitives dans les opérations minières varient dans chaque cas, il en est de même pour leurs impacts.</w:t>
      </w:r>
    </w:p>
    <w:p w:rsidR="0089405D" w:rsidRDefault="0089405D">
      <w:pPr>
        <w:keepNext/>
        <w:keepLines/>
        <w:widowControl w:val="0"/>
        <w:spacing w:after="0" w:line="312" w:lineRule="auto"/>
        <w:outlineLvl w:val="0"/>
        <w:rPr>
          <w:rFonts w:cs="Calibri"/>
          <w:b/>
          <w:sz w:val="24"/>
          <w:szCs w:val="24"/>
          <w:lang w:val="fr-FR"/>
        </w:rPr>
      </w:pPr>
      <w:bookmarkStart w:id="717" w:name="_Toc59458372"/>
    </w:p>
    <w:p w:rsidR="0089405D" w:rsidRDefault="003468E2">
      <w:pPr>
        <w:keepNext/>
        <w:keepLines/>
        <w:widowControl w:val="0"/>
        <w:spacing w:after="0" w:line="312" w:lineRule="auto"/>
        <w:outlineLvl w:val="0"/>
        <w:rPr>
          <w:rFonts w:cs="Calibri"/>
          <w:b/>
          <w:bCs/>
          <w:iCs/>
          <w:sz w:val="24"/>
          <w:szCs w:val="24"/>
          <w:lang w:val="fr-FR"/>
        </w:rPr>
      </w:pPr>
      <w:bookmarkStart w:id="718" w:name="_Toc73431863"/>
      <w:bookmarkStart w:id="719" w:name="_Toc79393033"/>
      <w:bookmarkStart w:id="720" w:name="_Toc111888682"/>
      <w:bookmarkStart w:id="721" w:name="_Toc127187261"/>
      <w:bookmarkStart w:id="722" w:name="_Toc127187538"/>
      <w:bookmarkStart w:id="723" w:name="_Toc127432295"/>
      <w:r>
        <w:rPr>
          <w:rFonts w:cs="Calibri"/>
          <w:b/>
          <w:sz w:val="24"/>
          <w:szCs w:val="24"/>
          <w:lang w:val="fr-FR"/>
        </w:rPr>
        <w:t>6</w:t>
      </w:r>
      <w:r>
        <w:rPr>
          <w:rFonts w:cs="Calibri"/>
          <w:b/>
          <w:bCs/>
          <w:iCs/>
          <w:sz w:val="24"/>
          <w:szCs w:val="24"/>
          <w:lang w:val="fr-FR"/>
        </w:rPr>
        <w:t>.3.2. REJETS FORTUITS DE MERCURE</w:t>
      </w:r>
      <w:bookmarkEnd w:id="717"/>
      <w:bookmarkEnd w:id="718"/>
      <w:bookmarkEnd w:id="719"/>
      <w:bookmarkEnd w:id="720"/>
      <w:bookmarkEnd w:id="721"/>
      <w:bookmarkEnd w:id="722"/>
      <w:bookmarkEnd w:id="723"/>
    </w:p>
    <w:p w:rsidR="0089405D" w:rsidRDefault="0089405D">
      <w:pPr>
        <w:keepNext/>
        <w:keepLines/>
        <w:widowControl w:val="0"/>
        <w:spacing w:after="0" w:line="312" w:lineRule="auto"/>
        <w:outlineLvl w:val="0"/>
        <w:rPr>
          <w:rFonts w:cs="Calibri"/>
          <w:b/>
          <w:bCs/>
          <w:iCs/>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Dans le projet d’exploitation de la région de Liambe, est prévue l’exploitation de l’or et de Diamant. Or, le mercure est généralement présent dans les minerais d’or et dans les déchets associés. Mais les concentrations varient considérablement, même au sein d’un gisement spécifique. D’après les études menées par les chercheurs de l’Université du Burundi (2019), la teneur en mercure dans un minerai d’or est de 10 mg/kg et un million de tonnes de minerai traitées dans un site minier particulier (des concentrations pas inhabituelles).  Ses études signalent que 10 tonnes de mercure sont potentiellement rejetées dans l’environnement chez les Bandro mailing au Sud-Kivu. En fait l’or s’avère comme une source majeure de mercure qui doit être contrôlée (PNUD, 2016).</w:t>
      </w:r>
    </w:p>
    <w:p w:rsidR="0089405D" w:rsidRDefault="0089405D">
      <w:pPr>
        <w:spacing w:after="0" w:line="312" w:lineRule="auto"/>
        <w:ind w:firstLine="709"/>
        <w:jc w:val="both"/>
        <w:rPr>
          <w:rFonts w:cs="Calibri"/>
          <w:sz w:val="24"/>
          <w:szCs w:val="24"/>
          <w:lang w:val="fr-FR"/>
        </w:rPr>
      </w:pPr>
    </w:p>
    <w:p w:rsidR="0089405D" w:rsidRDefault="003468E2">
      <w:pPr>
        <w:spacing w:after="0" w:line="312" w:lineRule="auto"/>
        <w:jc w:val="both"/>
        <w:rPr>
          <w:rFonts w:cs="Calibri"/>
          <w:b/>
          <w:bCs/>
          <w:iCs/>
          <w:sz w:val="24"/>
          <w:szCs w:val="24"/>
          <w:lang w:val="fr-FR"/>
        </w:rPr>
      </w:pPr>
      <w:bookmarkStart w:id="724" w:name="_Toc59458373"/>
      <w:r>
        <w:rPr>
          <w:rFonts w:cs="Calibri"/>
          <w:b/>
          <w:sz w:val="24"/>
          <w:szCs w:val="24"/>
          <w:lang w:val="fr-FR"/>
        </w:rPr>
        <w:t>6</w:t>
      </w:r>
      <w:r>
        <w:rPr>
          <w:rFonts w:cs="Calibri"/>
          <w:b/>
          <w:bCs/>
          <w:iCs/>
          <w:sz w:val="24"/>
          <w:szCs w:val="24"/>
          <w:lang w:val="fr-FR"/>
        </w:rPr>
        <w:t>.3.3. BRUITS ET VIBRATIONS</w:t>
      </w:r>
      <w:bookmarkEnd w:id="724"/>
    </w:p>
    <w:p w:rsidR="0089405D" w:rsidRDefault="0089405D">
      <w:pPr>
        <w:spacing w:after="0" w:line="312" w:lineRule="auto"/>
        <w:jc w:val="both"/>
        <w:rPr>
          <w:rFonts w:cs="Calibri"/>
          <w:b/>
          <w:bCs/>
          <w:iCs/>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La pollution par le bruit associé à l’exploitation minière, appelée communément pollution sonore, peut inclure des bruits en provenance des moteurs des véhicules, le chargement et le déchargement de roches dans des tombereaux en acier, les toboggans, la production électrique, et d’autres sources. Les impacts cumulatifs des pelles mécaniques, du recadrage, du forage, de l’abattage par explosion, du transport, du concassage, du broyage et du stockage en grandes quantités peuvent affecter de manière significative la faune et les </w:t>
      </w:r>
      <w:r>
        <w:rPr>
          <w:rFonts w:cs="Calibri"/>
          <w:sz w:val="24"/>
          <w:szCs w:val="24"/>
          <w:lang w:val="fr-FR"/>
        </w:rPr>
        <w:lastRenderedPageBreak/>
        <w:t xml:space="preserve">proches résidents. La vibration affecte la stabilité des infrastructures, les bâtiments et les maisons des personnes vivant à proximité des opérations des grandes mines à ciel ouvert.  </w:t>
      </w:r>
    </w:p>
    <w:p w:rsidR="0089405D" w:rsidRDefault="003468E2">
      <w:pPr>
        <w:spacing w:after="0" w:line="312" w:lineRule="auto"/>
        <w:jc w:val="both"/>
        <w:rPr>
          <w:rFonts w:cs="Calibri"/>
          <w:i/>
          <w:iCs/>
          <w:sz w:val="24"/>
          <w:szCs w:val="24"/>
          <w:lang w:val="fr-FR"/>
        </w:rPr>
      </w:pPr>
      <w:r>
        <w:rPr>
          <w:rFonts w:cs="Calibri"/>
          <w:sz w:val="24"/>
          <w:szCs w:val="24"/>
          <w:lang w:val="fr-FR"/>
        </w:rPr>
        <w:tab/>
        <w:t xml:space="preserve">Selon une étude commanditée par l’Union européenne en 2010 dans les mines chinoises en RDC : </w:t>
      </w:r>
      <w:r>
        <w:rPr>
          <w:rFonts w:cs="Calibri"/>
          <w:i/>
          <w:iCs/>
          <w:sz w:val="24"/>
          <w:szCs w:val="24"/>
          <w:lang w:val="fr-FR"/>
        </w:rPr>
        <w:t>“Les chocs et les vibrations, à la suite d’abattages en relation avec l’exploitation minière peuvent entraîner du bruit, de la poussière et conduire à la destruction des structures dans les zones environnantes non-habitées. La vie animale, dont la population locale peut dépendre, pourrait également être perturbée.</w:t>
      </w:r>
    </w:p>
    <w:p w:rsidR="0089405D" w:rsidRDefault="0089405D">
      <w:pPr>
        <w:spacing w:after="0" w:line="312" w:lineRule="auto"/>
        <w:jc w:val="both"/>
        <w:rPr>
          <w:rFonts w:cs="Calibri"/>
          <w:b/>
          <w:sz w:val="24"/>
          <w:szCs w:val="24"/>
          <w:lang w:val="fr-FR"/>
        </w:rPr>
      </w:pPr>
      <w:bookmarkStart w:id="725" w:name="_Toc59458374"/>
    </w:p>
    <w:p w:rsidR="0089405D" w:rsidRDefault="003468E2">
      <w:pPr>
        <w:keepNext/>
        <w:keepLines/>
        <w:widowControl w:val="0"/>
        <w:spacing w:after="0" w:line="312" w:lineRule="auto"/>
        <w:jc w:val="both"/>
        <w:outlineLvl w:val="0"/>
        <w:rPr>
          <w:rFonts w:cs="Calibri"/>
          <w:b/>
          <w:bCs/>
          <w:sz w:val="24"/>
          <w:szCs w:val="24"/>
          <w:lang w:val="fr-FR"/>
        </w:rPr>
      </w:pPr>
      <w:bookmarkStart w:id="726" w:name="_Toc73431864"/>
      <w:bookmarkStart w:id="727" w:name="_Toc79393034"/>
      <w:bookmarkStart w:id="728" w:name="_Toc111888683"/>
      <w:bookmarkStart w:id="729" w:name="_Toc127187262"/>
      <w:bookmarkStart w:id="730" w:name="_Toc127187539"/>
      <w:bookmarkStart w:id="731" w:name="_Toc127432296"/>
      <w:r>
        <w:rPr>
          <w:rFonts w:cs="Calibri"/>
          <w:b/>
          <w:sz w:val="24"/>
          <w:szCs w:val="24"/>
          <w:lang w:val="fr-FR"/>
        </w:rPr>
        <w:t>6</w:t>
      </w:r>
      <w:r>
        <w:rPr>
          <w:rFonts w:cs="Calibri"/>
          <w:b/>
          <w:bCs/>
          <w:sz w:val="24"/>
          <w:szCs w:val="24"/>
          <w:lang w:val="fr-FR"/>
        </w:rPr>
        <w:t>.4. IMPACTS DES PROJETS MINIERS SUR LA BIODIVERSITE ET PERTE D’HABITAT</w:t>
      </w:r>
      <w:bookmarkEnd w:id="725"/>
      <w:bookmarkEnd w:id="726"/>
      <w:bookmarkEnd w:id="727"/>
      <w:bookmarkEnd w:id="728"/>
      <w:bookmarkEnd w:id="729"/>
      <w:bookmarkEnd w:id="730"/>
      <w:bookmarkEnd w:id="731"/>
    </w:p>
    <w:p w:rsidR="0089405D" w:rsidRDefault="0089405D">
      <w:pPr>
        <w:keepNext/>
        <w:keepLines/>
        <w:widowControl w:val="0"/>
        <w:spacing w:after="0" w:line="312" w:lineRule="auto"/>
        <w:jc w:val="both"/>
        <w:outlineLvl w:val="0"/>
        <w:rPr>
          <w:rFonts w:cs="Calibri"/>
          <w:b/>
          <w:bCs/>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La hiérarchie d’atténuation est une approche itérative s’appuyant sur les bonnes pratiques internationales, qui vise à limiter et gérer les impacts négatifs des projets miniers, afin d’aligner les besoins environnementaux et sociaux avec les priorités de développement (Lanmafankpotin, G. et al., 2013). L’exploitation minière a une incidence sur l’environnement et les biotes associés par le biais de la suppression de la végétation ainsi que le sol de couverture, le déplacement de la faune, le dégagement de polluants et la génération de bruit (Kemp, D. 2009). </w:t>
      </w:r>
    </w:p>
    <w:p w:rsidR="0089405D" w:rsidRDefault="003468E2">
      <w:pPr>
        <w:spacing w:after="0" w:line="312" w:lineRule="auto"/>
        <w:ind w:firstLine="709"/>
        <w:jc w:val="both"/>
        <w:rPr>
          <w:rFonts w:cs="Calibri"/>
          <w:bCs/>
          <w:sz w:val="24"/>
          <w:szCs w:val="24"/>
          <w:lang w:val="fr-FR"/>
        </w:rPr>
      </w:pPr>
      <w:r>
        <w:rPr>
          <w:rFonts w:cs="Calibri"/>
          <w:bCs/>
          <w:sz w:val="24"/>
          <w:szCs w:val="24"/>
          <w:lang w:val="fr-FR"/>
        </w:rPr>
        <w:t>La perte d’habitat est l’un des impacts majeurs des projets miniers sur la biodiversité. Les mines à ciel ouvert provoquent du défrichement et donc la perte directe d’habitats naturels. Les impacts indirects découlant de l’immigration de personnes à la recherche d’une meilleure situation économique peut également aggraver la perte d’habitats (et leur dégradation). Les espèces de la faune vivent dans des communautés qui dépendent les unes des autres. La survie de ces espèces peut dépendre des conditions du sol, du climat local, de l’altitude et d’autres caractéristiques de l’habitat local. L’exploitation minière de Liambe et ses environs pourraient provoquer des dommages directs et indirects sur la faune (Mangambu M. et al., 2021b). Les impacts proviennent principalement de la perturbation, du déplacement et de la redistribution de la surface du sol. Certains impacts sont de court terme et sont limités au site de la mine ; d’autres peuvent avoir des répercussions profondes et des effets de long terme (Ekele M. &amp; Mangambu M., 2020).</w:t>
      </w:r>
    </w:p>
    <w:p w:rsidR="0089405D" w:rsidRDefault="003468E2">
      <w:pPr>
        <w:spacing w:after="0" w:line="312" w:lineRule="auto"/>
        <w:jc w:val="both"/>
        <w:rPr>
          <w:rFonts w:cs="Calibri"/>
          <w:bCs/>
          <w:sz w:val="24"/>
          <w:szCs w:val="24"/>
          <w:lang w:val="fr-FR"/>
        </w:rPr>
      </w:pPr>
      <w:r>
        <w:rPr>
          <w:rFonts w:cs="Calibri"/>
          <w:bCs/>
          <w:sz w:val="24"/>
          <w:szCs w:val="24"/>
          <w:lang w:val="fr-FR"/>
        </w:rPr>
        <w:tab/>
        <w:t>L’effet le plus direct sur la faune est la destruction ou le déplacement des espèces dans les zones d’excavation et d’accumulation des déchets miniers. Les espèces mobiles de la faune, comme le gibier, les oiseaux et les prédateurs, quittent ces zones. Les animaux plus sédentaires, comme les invertébrés, de nombreux reptiles, les rongeurs fouisseurs et les petits mammifères, peuvent être plus sévèrement affectés (Mangambu M., 2020).</w:t>
      </w:r>
    </w:p>
    <w:p w:rsidR="0089405D" w:rsidRDefault="003468E2">
      <w:pPr>
        <w:spacing w:after="0" w:line="312" w:lineRule="auto"/>
        <w:jc w:val="both"/>
        <w:rPr>
          <w:rFonts w:cs="Calibri"/>
          <w:bCs/>
          <w:sz w:val="24"/>
          <w:szCs w:val="24"/>
          <w:lang w:val="fr-FR"/>
        </w:rPr>
      </w:pPr>
      <w:r>
        <w:rPr>
          <w:rFonts w:cs="Calibri"/>
          <w:bCs/>
          <w:sz w:val="24"/>
          <w:szCs w:val="24"/>
          <w:lang w:val="fr-FR"/>
        </w:rPr>
        <w:lastRenderedPageBreak/>
        <w:tab/>
        <w:t>Comme c’est le cas pour la rivière Aruwimi, les cours d’eau et les marais sont comblés ou drainés auquel cas les poissons, les invertébrés aquatiques et les amphibiens sont sévèrement touchés. L’approvisionnement en nourriture des prédateurs est réduit par la disparition de ces espèces terrestres et aquatiques. De nombreuses espèces de la faune sont fortement dépendantes de la végétation grandissant dans les drainages naturels (Busse, M. &amp; Gröning, S., 2013). Cette végétation fournit les aliments essentiels, les sites de nidification et des abris pour échapper aux prédateurs (PNUD, 2012).</w:t>
      </w:r>
    </w:p>
    <w:p w:rsidR="0089405D" w:rsidRDefault="003468E2">
      <w:pPr>
        <w:spacing w:after="0" w:line="312" w:lineRule="auto"/>
        <w:jc w:val="both"/>
        <w:rPr>
          <w:rFonts w:cs="Calibri"/>
          <w:bCs/>
          <w:sz w:val="24"/>
          <w:szCs w:val="24"/>
          <w:lang w:val="fr-FR"/>
        </w:rPr>
      </w:pPr>
      <w:r>
        <w:rPr>
          <w:rFonts w:cs="Calibri"/>
          <w:bCs/>
          <w:sz w:val="24"/>
          <w:szCs w:val="24"/>
          <w:lang w:val="fr-FR"/>
        </w:rPr>
        <w:tab/>
        <w:t>Toute activité qui détruit la végétation près des étangs, des réservoirs, des marais et des marécages réduit la qualité et la quantité de l’habitat essentiel pour les oiseaux aquatiques, les oiseaux de rivage et de nombreuses espèces terrestres (Kemp, D. 2009 ; Bahati, C. et al., 2016).Les exigences de l’habitat de nombreuses espèces animales ne leur permettent pas de s’adapter aux changements créés par le bouleversement du terrain. Ces modifications réduisent l’espace vital. Le degré auquel les animaux tolèrent la concurrence humaine pour l’espace varie (Busse, M. &amp; Gröning, S. ; 2013). Certaines espèces tolèrent très peu de perturbation. Dans le cas où un habitat particulièrement critique devient limité, ou une zone de reproduction primaire, une espèce pourrait disparaître.</w:t>
      </w:r>
    </w:p>
    <w:p w:rsidR="0089405D" w:rsidRDefault="003468E2">
      <w:pPr>
        <w:spacing w:after="0" w:line="312" w:lineRule="auto"/>
        <w:jc w:val="both"/>
        <w:rPr>
          <w:rFonts w:cs="Calibri"/>
          <w:bCs/>
          <w:sz w:val="24"/>
          <w:szCs w:val="24"/>
          <w:lang w:val="fr-FR"/>
        </w:rPr>
      </w:pPr>
      <w:r>
        <w:rPr>
          <w:rFonts w:cs="Calibri"/>
          <w:bCs/>
          <w:sz w:val="24"/>
          <w:szCs w:val="24"/>
          <w:lang w:val="fr-FR"/>
        </w:rPr>
        <w:tab/>
        <w:t xml:space="preserve">Les mines à ciel ouvert comme prévu dans le cas de Liambe dans le Territoire de Basoko peuvent dégrader les habitats aquatiques avec des impacts ressentis à de nombreux kilomètres du site minier (Ashanti Goldfields Kilo, 2015). Par exemple, la contamination des sédiments de la rivière Aruwimi et de cours d’eau est courante avec l’exploitation à ciel ouvert (Figure 6.2). </w:t>
      </w:r>
      <w:bookmarkStart w:id="732" w:name="_Toc59458375"/>
    </w:p>
    <w:p w:rsidR="0089405D" w:rsidRDefault="0089405D">
      <w:pPr>
        <w:keepNext/>
        <w:keepLines/>
        <w:widowControl w:val="0"/>
        <w:spacing w:after="0" w:line="312" w:lineRule="auto"/>
        <w:outlineLvl w:val="0"/>
        <w:rPr>
          <w:rFonts w:cs="Calibri"/>
          <w:b/>
          <w:sz w:val="24"/>
          <w:szCs w:val="24"/>
          <w:lang w:val="fr-FR"/>
        </w:rPr>
      </w:pPr>
      <w:bookmarkStart w:id="733" w:name="_Toc73431865"/>
      <w:bookmarkStart w:id="734" w:name="_Toc79393035"/>
      <w:bookmarkStart w:id="735" w:name="_Toc111888684"/>
      <w:bookmarkStart w:id="736" w:name="_Toc127187263"/>
      <w:bookmarkStart w:id="737" w:name="_Toc127187540"/>
      <w:bookmarkStart w:id="738" w:name="_Toc127432297"/>
    </w:p>
    <w:p w:rsidR="0089405D" w:rsidRDefault="003468E2">
      <w:pPr>
        <w:keepNext/>
        <w:keepLines/>
        <w:widowControl w:val="0"/>
        <w:spacing w:after="0" w:line="312" w:lineRule="auto"/>
        <w:outlineLvl w:val="0"/>
        <w:rPr>
          <w:rFonts w:cs="Calibri"/>
          <w:b/>
          <w:bCs/>
          <w:sz w:val="24"/>
          <w:szCs w:val="24"/>
          <w:lang w:val="fr-FR"/>
        </w:rPr>
      </w:pPr>
      <w:r>
        <w:rPr>
          <w:rFonts w:cs="Calibri"/>
          <w:b/>
          <w:sz w:val="24"/>
          <w:szCs w:val="24"/>
          <w:lang w:val="fr-FR"/>
        </w:rPr>
        <w:t>6</w:t>
      </w:r>
      <w:r>
        <w:rPr>
          <w:rFonts w:cs="Calibri"/>
          <w:b/>
          <w:bCs/>
          <w:sz w:val="24"/>
          <w:szCs w:val="24"/>
          <w:lang w:val="fr-FR"/>
        </w:rPr>
        <w:t>.4.1. DEGRADATION DES HABITATS</w:t>
      </w:r>
      <w:bookmarkEnd w:id="733"/>
      <w:bookmarkEnd w:id="734"/>
      <w:bookmarkEnd w:id="735"/>
      <w:bookmarkEnd w:id="736"/>
      <w:bookmarkEnd w:id="737"/>
      <w:bookmarkEnd w:id="738"/>
    </w:p>
    <w:p w:rsidR="0089405D" w:rsidRDefault="0089405D">
      <w:pPr>
        <w:keepNext/>
        <w:keepLines/>
        <w:widowControl w:val="0"/>
        <w:spacing w:after="0" w:line="312" w:lineRule="auto"/>
        <w:outlineLvl w:val="0"/>
        <w:rPr>
          <w:rFonts w:cs="Calibri"/>
          <w:b/>
          <w:bCs/>
          <w:sz w:val="24"/>
          <w:szCs w:val="24"/>
          <w:lang w:val="fr-FR"/>
        </w:rPr>
      </w:pPr>
    </w:p>
    <w:p w:rsidR="0089405D" w:rsidRDefault="003468E2">
      <w:pPr>
        <w:spacing w:after="0" w:line="312" w:lineRule="auto"/>
        <w:jc w:val="both"/>
        <w:rPr>
          <w:rFonts w:cs="Calibri"/>
          <w:bCs/>
          <w:sz w:val="24"/>
          <w:szCs w:val="24"/>
          <w:lang w:val="fr-FR"/>
        </w:rPr>
      </w:pPr>
      <w:r>
        <w:rPr>
          <w:rFonts w:cs="Calibri"/>
          <w:bCs/>
          <w:sz w:val="24"/>
          <w:szCs w:val="24"/>
          <w:lang w:val="fr-FR"/>
        </w:rPr>
        <w:t>Les activités minières peuvent réduire la qualité des habitats de plusieurs manières. Par exemple, la qualité des habitats aquatiques peut être détériorée en raison du drainage minier acide, de l’érosion, de la sédimentation et du rejet de résidus non-traités. Cela peut à son tour avoir des effets toxiques sur les plantes et les animaux, y compris les poissons et les oiseaux.).</w:t>
      </w:r>
    </w:p>
    <w:p w:rsidR="0089405D" w:rsidRDefault="003468E2">
      <w:pPr>
        <w:spacing w:after="0" w:line="312" w:lineRule="auto"/>
        <w:ind w:firstLine="709"/>
        <w:jc w:val="both"/>
        <w:rPr>
          <w:rFonts w:cs="Calibri"/>
          <w:bCs/>
          <w:sz w:val="24"/>
          <w:szCs w:val="24"/>
          <w:lang w:val="fr-FR"/>
        </w:rPr>
      </w:pPr>
      <w:r>
        <w:rPr>
          <w:rFonts w:cs="Calibri"/>
          <w:bCs/>
          <w:sz w:val="24"/>
          <w:szCs w:val="24"/>
          <w:lang w:val="fr-FR"/>
        </w:rPr>
        <w:t>Ces impacts peuvent également s’étendre aux écosystèmes côtiers et estuariens. La poussière provenant des activités minières peut également provoquer une dégradation des habitats terrestres naturels, à la fois sur le site du projet et dans les alentours (Mercier J.R. &amp; Bekhechi M. A., 2003).</w:t>
      </w:r>
    </w:p>
    <w:p w:rsidR="0089405D" w:rsidRDefault="0089405D">
      <w:pPr>
        <w:spacing w:after="0" w:line="312" w:lineRule="auto"/>
        <w:jc w:val="both"/>
        <w:rPr>
          <w:rFonts w:cs="Calibri"/>
          <w:sz w:val="24"/>
          <w:szCs w:val="24"/>
          <w:lang w:val="fr-FR"/>
        </w:rPr>
      </w:pPr>
    </w:p>
    <w:p w:rsidR="0089405D" w:rsidRDefault="003468E2">
      <w:pPr>
        <w:spacing w:after="0" w:line="312" w:lineRule="auto"/>
        <w:jc w:val="center"/>
        <w:rPr>
          <w:rFonts w:cs="Calibri"/>
          <w:sz w:val="24"/>
          <w:szCs w:val="24"/>
          <w:lang w:val="fr-FR"/>
        </w:rPr>
      </w:pPr>
      <w:r>
        <w:rPr>
          <w:rFonts w:eastAsia="Times New Roman" w:cs="Calibri"/>
          <w:noProof/>
          <w:sz w:val="24"/>
          <w:szCs w:val="24"/>
          <w:lang w:val="fr-FR" w:eastAsia="fr-FR"/>
        </w:rPr>
        <w:lastRenderedPageBreak/>
        <w:drawing>
          <wp:inline distT="0" distB="0" distL="0" distR="0">
            <wp:extent cx="4886325" cy="3952874"/>
            <wp:effectExtent l="19050" t="19050" r="28575" b="28575"/>
            <wp:docPr id="1045" name="Image 10" descr="C:\Users\MANGAMBU J DE DIEU\Desktop\Présentation1\Diapositive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0"/>
                    <pic:cNvPicPr/>
                  </pic:nvPicPr>
                  <pic:blipFill>
                    <a:blip r:embed="rId99" cstate="print"/>
                    <a:srcRect/>
                    <a:stretch/>
                  </pic:blipFill>
                  <pic:spPr>
                    <a:xfrm>
                      <a:off x="0" y="0"/>
                      <a:ext cx="4886325" cy="3952874"/>
                    </a:xfrm>
                    <a:prstGeom prst="rect">
                      <a:avLst/>
                    </a:prstGeom>
                    <a:ln w="3175" cap="flat" cmpd="sng">
                      <a:solidFill>
                        <a:srgbClr val="000000"/>
                      </a:solidFill>
                      <a:prstDash val="solid"/>
                      <a:round/>
                      <a:headEnd/>
                      <a:tailEnd/>
                    </a:ln>
                  </pic:spPr>
                </pic:pic>
              </a:graphicData>
            </a:graphic>
          </wp:inline>
        </w:drawing>
      </w:r>
    </w:p>
    <w:p w:rsidR="0089405D" w:rsidRDefault="003468E2">
      <w:pPr>
        <w:pStyle w:val="Titre1"/>
        <w:spacing w:before="0" w:line="312" w:lineRule="auto"/>
        <w:jc w:val="both"/>
        <w:rPr>
          <w:rFonts w:cs="Calibri"/>
          <w:color w:val="auto"/>
          <w:sz w:val="24"/>
          <w:szCs w:val="24"/>
          <w:lang w:val="fr-FR"/>
        </w:rPr>
      </w:pPr>
      <w:bookmarkStart w:id="739" w:name="_Toc80352138"/>
      <w:bookmarkStart w:id="740" w:name="_Toc111888537"/>
      <w:bookmarkStart w:id="741" w:name="_Toc111888946"/>
      <w:bookmarkStart w:id="742" w:name="_Toc125612071"/>
      <w:bookmarkStart w:id="743" w:name="_Toc127181824"/>
      <w:bookmarkStart w:id="744" w:name="_Toc127182219"/>
      <w:bookmarkStart w:id="745" w:name="_Toc127182766"/>
      <w:bookmarkStart w:id="746" w:name="_Toc127182941"/>
      <w:bookmarkStart w:id="747" w:name="_Toc127187124"/>
      <w:bookmarkStart w:id="748" w:name="_Toc127187299"/>
      <w:bookmarkStart w:id="749" w:name="_Toc127187576"/>
      <w:bookmarkStart w:id="750" w:name="_Toc127432333"/>
      <w:bookmarkStart w:id="751" w:name="_Toc59458316"/>
      <w:r>
        <w:rPr>
          <w:rFonts w:eastAsia="Times New Roman" w:cs="Calibri"/>
          <w:b/>
          <w:i/>
          <w:color w:val="auto"/>
          <w:sz w:val="24"/>
          <w:szCs w:val="24"/>
          <w:lang w:val="fr-FR" w:eastAsia="fr-FR"/>
        </w:rPr>
        <w:t>Figure 6.2 : la destruction de belge de la rivière Aruwimi aux environs de la Localité de Likombe, Territoire de Basoko (Photo M.Silience, 2019).</w:t>
      </w:r>
      <w:bookmarkEnd w:id="739"/>
      <w:bookmarkEnd w:id="740"/>
      <w:bookmarkEnd w:id="741"/>
      <w:bookmarkEnd w:id="742"/>
      <w:bookmarkEnd w:id="743"/>
      <w:bookmarkEnd w:id="744"/>
      <w:bookmarkEnd w:id="745"/>
      <w:bookmarkEnd w:id="746"/>
      <w:bookmarkEnd w:id="747"/>
      <w:bookmarkEnd w:id="748"/>
      <w:bookmarkEnd w:id="749"/>
      <w:bookmarkEnd w:id="750"/>
    </w:p>
    <w:bookmarkEnd w:id="751"/>
    <w:p w:rsidR="0089405D" w:rsidRDefault="0089405D">
      <w:pPr>
        <w:spacing w:after="0" w:line="312" w:lineRule="auto"/>
        <w:jc w:val="both"/>
        <w:rPr>
          <w:rFonts w:cs="Calibri"/>
          <w:b/>
          <w:sz w:val="24"/>
          <w:szCs w:val="24"/>
          <w:lang w:val="fr-FR"/>
        </w:rPr>
      </w:pPr>
    </w:p>
    <w:p w:rsidR="0089405D" w:rsidRDefault="003468E2">
      <w:pPr>
        <w:keepNext/>
        <w:keepLines/>
        <w:widowControl w:val="0"/>
        <w:spacing w:after="0" w:line="312" w:lineRule="auto"/>
        <w:outlineLvl w:val="0"/>
        <w:rPr>
          <w:rFonts w:cs="Calibri"/>
          <w:b/>
          <w:bCs/>
          <w:sz w:val="24"/>
          <w:szCs w:val="24"/>
          <w:lang w:val="fr-FR"/>
        </w:rPr>
      </w:pPr>
      <w:bookmarkStart w:id="752" w:name="_Toc59458376"/>
      <w:bookmarkStart w:id="753" w:name="_Toc73431866"/>
      <w:bookmarkStart w:id="754" w:name="_Toc79393036"/>
      <w:bookmarkStart w:id="755" w:name="_Toc111888685"/>
      <w:bookmarkStart w:id="756" w:name="_Toc127187264"/>
      <w:bookmarkStart w:id="757" w:name="_Toc127187541"/>
      <w:bookmarkStart w:id="758" w:name="_Toc127432298"/>
      <w:bookmarkEnd w:id="732"/>
      <w:r>
        <w:rPr>
          <w:rFonts w:cs="Calibri"/>
          <w:b/>
          <w:sz w:val="24"/>
          <w:szCs w:val="24"/>
          <w:lang w:val="fr-FR"/>
        </w:rPr>
        <w:t>6</w:t>
      </w:r>
      <w:r>
        <w:rPr>
          <w:rFonts w:cs="Calibri"/>
          <w:b/>
          <w:bCs/>
          <w:sz w:val="24"/>
          <w:szCs w:val="24"/>
          <w:lang w:val="fr-FR"/>
        </w:rPr>
        <w:t>.4.2. FRAGMENTATION DES HABITATS</w:t>
      </w:r>
      <w:bookmarkEnd w:id="752"/>
      <w:bookmarkEnd w:id="753"/>
      <w:bookmarkEnd w:id="754"/>
      <w:bookmarkEnd w:id="755"/>
      <w:bookmarkEnd w:id="756"/>
      <w:bookmarkEnd w:id="757"/>
      <w:bookmarkEnd w:id="758"/>
    </w:p>
    <w:p w:rsidR="0089405D" w:rsidRDefault="0089405D">
      <w:pPr>
        <w:keepNext/>
        <w:keepLines/>
        <w:widowControl w:val="0"/>
        <w:spacing w:after="0" w:line="312" w:lineRule="auto"/>
        <w:outlineLvl w:val="0"/>
        <w:rPr>
          <w:rFonts w:cs="Calibri"/>
          <w:b/>
          <w:bCs/>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 xml:space="preserve">La construction des routes d’accès et d’autres infrastructures linéaires à l’intérieur du site minier peut créer des barrières limitant les mouvements des espèces ou les empêchant d’accéder à des ressources vitales (par ex. l’eau). On observe souvent un effet des lisières sur la végétation restante, puisque les routes ouvrent de nouveaux accès qui favorisent l’exploitation forestière, l’agriculture et la chasse à petite échelle (Mercier J.R. &amp; Bekhechi M. A., 2003 ; </w:t>
      </w:r>
      <w:r>
        <w:rPr>
          <w:rFonts w:cs="Calibri"/>
          <w:sz w:val="24"/>
          <w:szCs w:val="24"/>
          <w:lang w:val="fr-FR"/>
        </w:rPr>
        <w:t>Assimbo B. et al., 2021).</w:t>
      </w:r>
    </w:p>
    <w:p w:rsidR="0089405D" w:rsidRDefault="0089405D">
      <w:pPr>
        <w:spacing w:after="0" w:line="312" w:lineRule="auto"/>
        <w:ind w:firstLine="709"/>
        <w:jc w:val="both"/>
        <w:rPr>
          <w:rFonts w:cs="Calibri"/>
          <w:bCs/>
          <w:sz w:val="24"/>
          <w:szCs w:val="24"/>
          <w:lang w:val="fr-FR"/>
        </w:rPr>
      </w:pPr>
    </w:p>
    <w:p w:rsidR="0089405D" w:rsidRDefault="003468E2">
      <w:pPr>
        <w:pStyle w:val="Titre1"/>
        <w:spacing w:before="0" w:line="312" w:lineRule="auto"/>
        <w:rPr>
          <w:rFonts w:cs="Calibri"/>
          <w:b/>
          <w:bCs/>
          <w:color w:val="auto"/>
          <w:sz w:val="24"/>
          <w:szCs w:val="24"/>
          <w:lang w:val="fr-FR"/>
        </w:rPr>
      </w:pPr>
      <w:bookmarkStart w:id="759" w:name="_Toc59458377"/>
      <w:bookmarkStart w:id="760" w:name="_Toc111888686"/>
      <w:bookmarkStart w:id="761" w:name="_Toc127187265"/>
      <w:bookmarkStart w:id="762" w:name="_Toc127187542"/>
      <w:bookmarkStart w:id="763" w:name="_Toc127432299"/>
      <w:r>
        <w:rPr>
          <w:rFonts w:cs="Calibri"/>
          <w:b/>
          <w:color w:val="auto"/>
          <w:sz w:val="24"/>
          <w:szCs w:val="24"/>
          <w:lang w:val="fr-FR"/>
        </w:rPr>
        <w:t>6</w:t>
      </w:r>
      <w:r>
        <w:rPr>
          <w:rFonts w:cs="Calibri"/>
          <w:b/>
          <w:bCs/>
          <w:color w:val="auto"/>
          <w:sz w:val="24"/>
          <w:szCs w:val="24"/>
          <w:lang w:val="fr-FR"/>
        </w:rPr>
        <w:t>.4.3. PERTURBATION DES ESPECES</w:t>
      </w:r>
      <w:bookmarkEnd w:id="759"/>
      <w:bookmarkEnd w:id="760"/>
      <w:bookmarkEnd w:id="761"/>
      <w:bookmarkEnd w:id="762"/>
      <w:bookmarkEnd w:id="763"/>
    </w:p>
    <w:p w:rsidR="0089405D" w:rsidRDefault="0089405D">
      <w:pPr>
        <w:pStyle w:val="Titre1"/>
        <w:spacing w:before="0" w:line="312" w:lineRule="auto"/>
        <w:rPr>
          <w:rFonts w:cs="Calibri"/>
          <w:b/>
          <w:bCs/>
          <w:color w:val="auto"/>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 xml:space="preserve">Les perturbations provoquées par les activités minières (par ex. le bruit, les vibrations, la luminosité et la présence de personnes) peuvent interrompre les communications, les mouvements et les comportements alimentaires et reproductifs des animaux. L’immigration </w:t>
      </w:r>
      <w:r>
        <w:rPr>
          <w:rFonts w:cs="Calibri"/>
          <w:bCs/>
          <w:sz w:val="24"/>
          <w:szCs w:val="24"/>
          <w:lang w:val="fr-FR"/>
        </w:rPr>
        <w:lastRenderedPageBreak/>
        <w:t>de personnes peut provoquer des perturbations d’autant plus significatives (Mangambu, M et al., 2021a).</w:t>
      </w:r>
    </w:p>
    <w:p w:rsidR="0089405D" w:rsidRDefault="0089405D">
      <w:pPr>
        <w:spacing w:after="0" w:line="312" w:lineRule="auto"/>
        <w:jc w:val="both"/>
        <w:rPr>
          <w:rFonts w:cs="Calibri"/>
          <w:b/>
          <w:sz w:val="24"/>
          <w:szCs w:val="24"/>
          <w:lang w:val="fr-FR"/>
        </w:rPr>
      </w:pPr>
      <w:bookmarkStart w:id="764" w:name="_Toc59458378"/>
    </w:p>
    <w:p w:rsidR="0089405D" w:rsidRDefault="003468E2">
      <w:pPr>
        <w:keepNext/>
        <w:keepLines/>
        <w:widowControl w:val="0"/>
        <w:spacing w:after="0" w:line="312" w:lineRule="auto"/>
        <w:outlineLvl w:val="0"/>
        <w:rPr>
          <w:rFonts w:cs="Calibri"/>
          <w:b/>
          <w:bCs/>
          <w:sz w:val="24"/>
          <w:szCs w:val="24"/>
          <w:lang w:val="fr-FR"/>
        </w:rPr>
      </w:pPr>
      <w:bookmarkStart w:id="765" w:name="_Toc73431867"/>
      <w:bookmarkStart w:id="766" w:name="_Toc79393037"/>
      <w:bookmarkStart w:id="767" w:name="_Toc111888687"/>
      <w:bookmarkStart w:id="768" w:name="_Toc127187266"/>
      <w:bookmarkStart w:id="769" w:name="_Toc127187543"/>
      <w:bookmarkStart w:id="770" w:name="_Toc127432300"/>
      <w:r>
        <w:rPr>
          <w:rFonts w:cs="Calibri"/>
          <w:b/>
          <w:sz w:val="24"/>
          <w:szCs w:val="24"/>
          <w:lang w:val="fr-FR"/>
        </w:rPr>
        <w:t>6</w:t>
      </w:r>
      <w:r>
        <w:rPr>
          <w:rFonts w:cs="Calibri"/>
          <w:b/>
          <w:bCs/>
          <w:sz w:val="24"/>
          <w:szCs w:val="24"/>
          <w:lang w:val="fr-FR"/>
        </w:rPr>
        <w:t>.4.4. INTRODUCTION D’ESPECES ENVAHISSANTES</w:t>
      </w:r>
      <w:bookmarkEnd w:id="764"/>
      <w:bookmarkEnd w:id="765"/>
      <w:bookmarkEnd w:id="766"/>
      <w:bookmarkEnd w:id="767"/>
      <w:bookmarkEnd w:id="768"/>
      <w:bookmarkEnd w:id="769"/>
      <w:bookmarkEnd w:id="770"/>
    </w:p>
    <w:p w:rsidR="0089405D" w:rsidRDefault="0089405D">
      <w:pPr>
        <w:spacing w:after="0" w:line="312" w:lineRule="auto"/>
        <w:ind w:firstLine="709"/>
        <w:jc w:val="both"/>
        <w:rPr>
          <w:rFonts w:cs="Calibri"/>
          <w:bCs/>
          <w:sz w:val="24"/>
          <w:szCs w:val="24"/>
          <w:lang w:val="fr-FR"/>
        </w:rPr>
      </w:pPr>
    </w:p>
    <w:p w:rsidR="0089405D" w:rsidRDefault="003468E2">
      <w:pPr>
        <w:spacing w:after="0" w:line="312" w:lineRule="auto"/>
        <w:ind w:firstLine="709"/>
        <w:jc w:val="both"/>
        <w:rPr>
          <w:rFonts w:cs="Calibri"/>
          <w:bCs/>
          <w:sz w:val="24"/>
          <w:szCs w:val="24"/>
          <w:lang w:val="fr-FR"/>
        </w:rPr>
      </w:pPr>
      <w:r>
        <w:rPr>
          <w:rFonts w:cs="Calibri"/>
          <w:bCs/>
          <w:sz w:val="24"/>
          <w:szCs w:val="24"/>
          <w:lang w:val="fr-FR"/>
        </w:rPr>
        <w:t>Les espèces envahissantes (non indigènes) sont une menace pour la biodiversité, car elles peuvent supplanter ou se nourrir d‘espèces indigènes. Les espèces envahissantes peuvent être introduites par accident sur le site minier, par le biais d’équipements ou de matériaux en provenance d’autres régions. Si elles ne sont pas gérées de façon adéquate, elles peuvent provoquer la disparition d’espèces indigènes</w:t>
      </w:r>
      <w:r>
        <w:rPr>
          <w:rFonts w:cs="Calibri"/>
          <w:sz w:val="24"/>
          <w:szCs w:val="24"/>
          <w:lang w:val="fr-FR"/>
        </w:rPr>
        <w:t xml:space="preserve"> (</w:t>
      </w:r>
      <w:r>
        <w:rPr>
          <w:rFonts w:cs="Calibri"/>
          <w:bCs/>
          <w:sz w:val="24"/>
          <w:szCs w:val="24"/>
          <w:lang w:val="fr-FR"/>
        </w:rPr>
        <w:t>Mangambu, M. et al., 2021a). Ce risque est particulièrement grave sur les îles, où les espèces endémiques indigènes disposent de défenses naturelles limitées face aux espèces envahissantes.</w:t>
      </w:r>
    </w:p>
    <w:p w:rsidR="0089405D" w:rsidRDefault="0089405D">
      <w:pPr>
        <w:keepNext/>
        <w:keepLines/>
        <w:widowControl w:val="0"/>
        <w:spacing w:after="0" w:line="312" w:lineRule="auto"/>
        <w:outlineLvl w:val="0"/>
        <w:rPr>
          <w:rFonts w:cs="Calibri"/>
          <w:b/>
          <w:sz w:val="24"/>
          <w:szCs w:val="24"/>
          <w:lang w:val="fr-FR"/>
        </w:rPr>
      </w:pPr>
      <w:bookmarkStart w:id="771" w:name="_Toc59458379"/>
      <w:bookmarkStart w:id="772" w:name="_Toc73431868"/>
      <w:bookmarkStart w:id="773" w:name="_Toc79393038"/>
    </w:p>
    <w:p w:rsidR="0089405D" w:rsidRDefault="003468E2">
      <w:pPr>
        <w:keepNext/>
        <w:keepLines/>
        <w:widowControl w:val="0"/>
        <w:spacing w:after="0" w:line="312" w:lineRule="auto"/>
        <w:jc w:val="both"/>
        <w:outlineLvl w:val="0"/>
        <w:rPr>
          <w:rFonts w:cs="Calibri"/>
          <w:b/>
          <w:sz w:val="24"/>
          <w:szCs w:val="24"/>
          <w:lang w:val="fr-FR"/>
        </w:rPr>
      </w:pPr>
      <w:bookmarkStart w:id="774" w:name="_Toc111888688"/>
      <w:bookmarkStart w:id="775" w:name="_Toc127187267"/>
      <w:bookmarkStart w:id="776" w:name="_Toc127187544"/>
      <w:bookmarkStart w:id="777" w:name="_Toc127432301"/>
      <w:r>
        <w:rPr>
          <w:rFonts w:cs="Calibri"/>
          <w:b/>
          <w:sz w:val="24"/>
          <w:szCs w:val="24"/>
          <w:lang w:val="fr-FR"/>
        </w:rPr>
        <w:t>6.4.5. MORCELLEMENT DE L’HABITAT A LA SUITE DES ACTIVITES MINIERES</w:t>
      </w:r>
      <w:bookmarkEnd w:id="771"/>
      <w:bookmarkEnd w:id="772"/>
      <w:bookmarkEnd w:id="773"/>
      <w:bookmarkEnd w:id="774"/>
      <w:bookmarkEnd w:id="775"/>
      <w:bookmarkEnd w:id="776"/>
      <w:bookmarkEnd w:id="777"/>
      <w:r>
        <w:rPr>
          <w:rFonts w:cs="Calibri"/>
          <w:b/>
          <w:sz w:val="24"/>
          <w:szCs w:val="24"/>
          <w:lang w:val="fr-FR"/>
        </w:rPr>
        <w:t xml:space="preserve"> </w:t>
      </w:r>
    </w:p>
    <w:p w:rsidR="0089405D" w:rsidRDefault="0089405D">
      <w:pPr>
        <w:keepNext/>
        <w:keepLines/>
        <w:widowControl w:val="0"/>
        <w:spacing w:after="0" w:line="312" w:lineRule="auto"/>
        <w:jc w:val="both"/>
        <w:outlineLvl w:val="0"/>
        <w:rPr>
          <w:rFonts w:cs="Calibri"/>
          <w:b/>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 morcellement de l’habitat se produit lorsque de grandes portions de terres sont scindées en des parcelles de plus en plus petites, rendant difficile ou impossible la dispersion des espèces indigènes d’une parcelle à une autre entravant ainsi les routes migratoires naturelles. L’isolement peut conduire à un déclin des espèces locales ou des effets génétiques comme la consanguinité. Les espèces qui nécessitent des parcelles de forêts importantes disparaissent tout simplement (Harrison R, 2014 ; </w:t>
      </w:r>
      <w:r>
        <w:rPr>
          <w:rFonts w:cs="Calibri"/>
          <w:bCs/>
          <w:sz w:val="24"/>
          <w:szCs w:val="24"/>
          <w:lang w:val="fr-FR"/>
        </w:rPr>
        <w:t>Mangambu, M. et al., 2021</w:t>
      </w:r>
      <w:r>
        <w:rPr>
          <w:rFonts w:cs="Calibri"/>
          <w:sz w:val="24"/>
          <w:szCs w:val="24"/>
          <w:lang w:val="fr-FR"/>
        </w:rPr>
        <w:t>).</w:t>
      </w:r>
    </w:p>
    <w:p w:rsidR="0089405D" w:rsidRDefault="0089405D">
      <w:pPr>
        <w:spacing w:after="0" w:line="312" w:lineRule="auto"/>
        <w:jc w:val="both"/>
        <w:rPr>
          <w:rFonts w:cs="Calibri"/>
          <w:b/>
          <w:sz w:val="24"/>
          <w:szCs w:val="24"/>
          <w:lang w:val="fr-FR"/>
        </w:rPr>
      </w:pPr>
      <w:bookmarkStart w:id="778" w:name="_Toc59458380"/>
    </w:p>
    <w:p w:rsidR="0089405D" w:rsidRDefault="003468E2">
      <w:pPr>
        <w:keepNext/>
        <w:keepLines/>
        <w:widowControl w:val="0"/>
        <w:spacing w:after="0" w:line="312" w:lineRule="auto"/>
        <w:outlineLvl w:val="0"/>
        <w:rPr>
          <w:rFonts w:cs="Calibri"/>
          <w:b/>
          <w:sz w:val="24"/>
          <w:szCs w:val="24"/>
          <w:lang w:val="fr-FR"/>
        </w:rPr>
      </w:pPr>
      <w:bookmarkStart w:id="779" w:name="_Toc73431869"/>
      <w:bookmarkStart w:id="780" w:name="_Toc79393039"/>
      <w:bookmarkStart w:id="781" w:name="_Toc111888689"/>
      <w:bookmarkStart w:id="782" w:name="_Toc127187268"/>
      <w:bookmarkStart w:id="783" w:name="_Toc127187545"/>
      <w:bookmarkStart w:id="784" w:name="_Toc127432302"/>
      <w:r>
        <w:rPr>
          <w:rFonts w:cs="Calibri"/>
          <w:b/>
          <w:sz w:val="24"/>
          <w:szCs w:val="24"/>
          <w:lang w:val="fr-FR"/>
        </w:rPr>
        <w:t>6.4.6. PERTE DE SERVICES ECOSYSTEMIQUES</w:t>
      </w:r>
      <w:bookmarkEnd w:id="778"/>
      <w:bookmarkEnd w:id="779"/>
      <w:bookmarkEnd w:id="780"/>
      <w:bookmarkEnd w:id="781"/>
      <w:bookmarkEnd w:id="782"/>
      <w:bookmarkEnd w:id="783"/>
      <w:bookmarkEnd w:id="784"/>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La perte ou la dégradation des habitats et des espèces impactent également la subsistance et le bien-être des personnes. Les communautés dépendent des services écosystémiques (c’est à dire des avantages qu’elles retirent de l’environnement), notamment pour l’eau potable, l’alimentation, les combustibles et la médecine traditionnelle (Mangambu, M. et al, 2010). Cela est particulièrement le cas dans les Îles du Pacifique, en raison du grand nombre de personnes qui dépendent des ressources naturelles, et du manque de ressources alternatives (Mangambu, M et al., 2018c ; Assimbo B. et al., 2021).</w:t>
      </w:r>
    </w:p>
    <w:p w:rsidR="0089405D" w:rsidRDefault="003468E2">
      <w:pPr>
        <w:keepNext/>
        <w:keepLines/>
        <w:widowControl w:val="0"/>
        <w:spacing w:after="0" w:line="312" w:lineRule="auto"/>
        <w:outlineLvl w:val="0"/>
        <w:rPr>
          <w:rFonts w:cs="Calibri"/>
          <w:b/>
          <w:sz w:val="24"/>
          <w:szCs w:val="24"/>
          <w:lang w:val="fr-FR"/>
        </w:rPr>
      </w:pPr>
      <w:bookmarkStart w:id="785" w:name="_Toc59458381"/>
      <w:bookmarkStart w:id="786" w:name="_Toc73431870"/>
      <w:bookmarkStart w:id="787" w:name="_Toc79393040"/>
      <w:bookmarkStart w:id="788" w:name="_Toc111888690"/>
      <w:bookmarkStart w:id="789" w:name="_Toc127187269"/>
      <w:bookmarkStart w:id="790" w:name="_Toc127187546"/>
      <w:bookmarkStart w:id="791" w:name="_Toc127432303"/>
      <w:r>
        <w:rPr>
          <w:rFonts w:cs="Calibri"/>
          <w:b/>
          <w:sz w:val="24"/>
          <w:szCs w:val="24"/>
          <w:lang w:val="fr-FR"/>
        </w:rPr>
        <w:lastRenderedPageBreak/>
        <w:t>6.5. IMPACTS DES PROJETS MINIERS SUR LA QUALITE DU SOL</w:t>
      </w:r>
      <w:bookmarkEnd w:id="785"/>
      <w:bookmarkEnd w:id="786"/>
      <w:bookmarkEnd w:id="787"/>
      <w:bookmarkEnd w:id="788"/>
      <w:bookmarkEnd w:id="789"/>
      <w:bookmarkEnd w:id="790"/>
      <w:bookmarkEnd w:id="791"/>
    </w:p>
    <w:p w:rsidR="0089405D" w:rsidRDefault="0089405D">
      <w:pPr>
        <w:keepNext/>
        <w:keepLines/>
        <w:widowControl w:val="0"/>
        <w:spacing w:after="0" w:line="312" w:lineRule="auto"/>
        <w:outlineLvl w:val="0"/>
        <w:rPr>
          <w:rFonts w:cs="Calibri"/>
          <w:b/>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792" w:name="_Toc59458382"/>
      <w:bookmarkStart w:id="793" w:name="_Toc73431871"/>
      <w:bookmarkStart w:id="794" w:name="_Toc79393041"/>
      <w:bookmarkStart w:id="795" w:name="_Toc111888691"/>
      <w:bookmarkStart w:id="796" w:name="_Toc127187270"/>
      <w:bookmarkStart w:id="797" w:name="_Toc127187547"/>
      <w:bookmarkStart w:id="798" w:name="_Toc127432304"/>
      <w:r>
        <w:rPr>
          <w:rFonts w:cs="Calibri"/>
          <w:b/>
          <w:sz w:val="24"/>
          <w:szCs w:val="24"/>
          <w:lang w:val="fr-FR"/>
        </w:rPr>
        <w:t>6.5.1. CREATIONS DES EROSIONS ET DE LA PERTURBATION DES ACTIVITES AGRICOLES</w:t>
      </w:r>
      <w:bookmarkEnd w:id="792"/>
      <w:bookmarkEnd w:id="793"/>
      <w:bookmarkEnd w:id="794"/>
      <w:bookmarkEnd w:id="795"/>
      <w:bookmarkEnd w:id="796"/>
      <w:bookmarkEnd w:id="797"/>
      <w:bookmarkEnd w:id="798"/>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L’exploitation minière peut contaminer les sols sur de vastes zones. Les activités agricoles proches d’un projet d’exploitation minière peuvent être particulièrement touchées. Selon une étude menée par la Communauté Européenne dans l’Ituri en RDC (Becker, H &amp; Vanclay, F., 2018 ; Mangambu, M et al., 2018a) : les opérations minières ont modifié le paysage environnant en exposant des sols qui étaient précédemment intacts. L’érosion des sols exposés, les minerais extraits, les terrils et les matériaux fins dans les tas de déchets de roches peuvent entraîner des charges substantielles de sédiments dans les eaux de surface et les voies de drainage des eaux</w:t>
      </w:r>
      <w:r>
        <w:rPr>
          <w:lang w:val="fr-FR"/>
        </w:rPr>
        <w:t xml:space="preserve"> (</w:t>
      </w:r>
      <w:r>
        <w:rPr>
          <w:rFonts w:cs="Calibri"/>
          <w:sz w:val="24"/>
          <w:szCs w:val="24"/>
          <w:lang w:val="fr-FR"/>
        </w:rPr>
        <w:t xml:space="preserve">Mangambu M. et al., 2021a). </w:t>
      </w:r>
    </w:p>
    <w:p w:rsidR="0089405D" w:rsidRDefault="003468E2">
      <w:pPr>
        <w:spacing w:after="0" w:line="312" w:lineRule="auto"/>
        <w:ind w:firstLine="708"/>
        <w:jc w:val="both"/>
        <w:rPr>
          <w:rFonts w:cs="Calibri"/>
          <w:sz w:val="24"/>
          <w:szCs w:val="24"/>
          <w:lang w:val="fr-FR"/>
        </w:rPr>
      </w:pPr>
      <w:r>
        <w:rPr>
          <w:rFonts w:cs="Calibri"/>
          <w:sz w:val="24"/>
          <w:szCs w:val="24"/>
          <w:lang w:val="fr-FR"/>
        </w:rPr>
        <w:t>En outre, les déversements et fuites de matières dangereuses et les dépôts de poussières contaminées fouettées par le vent peuvent conduire à la contamination du sol (Murphy C. et al., 1989)</w:t>
      </w:r>
    </w:p>
    <w:p w:rsidR="0089405D" w:rsidRDefault="0089405D">
      <w:pPr>
        <w:spacing w:after="0" w:line="312" w:lineRule="auto"/>
        <w:jc w:val="both"/>
        <w:rPr>
          <w:rFonts w:cs="Calibri"/>
          <w:b/>
          <w:sz w:val="24"/>
          <w:szCs w:val="24"/>
          <w:lang w:val="fr-FR"/>
        </w:rPr>
      </w:pPr>
      <w:bookmarkStart w:id="799" w:name="_Toc59458383"/>
    </w:p>
    <w:p w:rsidR="0089405D" w:rsidRDefault="003468E2">
      <w:pPr>
        <w:keepNext/>
        <w:keepLines/>
        <w:widowControl w:val="0"/>
        <w:spacing w:after="0" w:line="312" w:lineRule="auto"/>
        <w:outlineLvl w:val="0"/>
        <w:rPr>
          <w:rFonts w:cs="Calibri"/>
          <w:b/>
          <w:sz w:val="24"/>
          <w:szCs w:val="24"/>
          <w:lang w:val="fr-FR"/>
        </w:rPr>
      </w:pPr>
      <w:bookmarkStart w:id="800" w:name="_Toc73431872"/>
      <w:bookmarkStart w:id="801" w:name="_Toc79393042"/>
      <w:bookmarkStart w:id="802" w:name="_Toc111888692"/>
      <w:bookmarkStart w:id="803" w:name="_Toc127187271"/>
      <w:bookmarkStart w:id="804" w:name="_Toc127187548"/>
      <w:bookmarkStart w:id="805" w:name="_Toc127432305"/>
      <w:r>
        <w:rPr>
          <w:rFonts w:cs="Calibri"/>
          <w:b/>
          <w:sz w:val="24"/>
          <w:szCs w:val="24"/>
          <w:lang w:val="fr-FR"/>
        </w:rPr>
        <w:t>6.5.2. CONTAMINATION DU SOL</w:t>
      </w:r>
      <w:bookmarkEnd w:id="799"/>
      <w:bookmarkEnd w:id="800"/>
      <w:bookmarkEnd w:id="801"/>
      <w:bookmarkEnd w:id="802"/>
      <w:bookmarkEnd w:id="803"/>
      <w:bookmarkEnd w:id="804"/>
      <w:bookmarkEnd w:id="805"/>
      <w:r>
        <w:rPr>
          <w:rFonts w:cs="Calibri"/>
          <w:b/>
          <w:sz w:val="24"/>
          <w:szCs w:val="24"/>
          <w:lang w:val="fr-FR"/>
        </w:rPr>
        <w:t xml:space="preserve"> </w:t>
      </w:r>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Les risques sur la santé humaine et sur l’environnement provenant de sols appartiennent généralement à deux catégories (Boularbah, A. et al., 2006 ;  Becker, H  &amp; Vanclay, F, 2018) : </w:t>
      </w:r>
    </w:p>
    <w:p w:rsidR="0089405D" w:rsidRDefault="003468E2">
      <w:pPr>
        <w:spacing w:after="0" w:line="312" w:lineRule="auto"/>
        <w:jc w:val="both"/>
        <w:rPr>
          <w:rFonts w:cs="Calibri"/>
          <w:sz w:val="24"/>
          <w:szCs w:val="24"/>
          <w:lang w:val="fr-FR"/>
        </w:rPr>
      </w:pPr>
      <w:r>
        <w:rPr>
          <w:rFonts w:cs="Calibri"/>
          <w:sz w:val="24"/>
          <w:szCs w:val="24"/>
          <w:lang w:val="fr-FR"/>
        </w:rPr>
        <w:t xml:space="preserve">- sol contaminé provenant des poussières fouettés par le vent et </w:t>
      </w:r>
    </w:p>
    <w:p w:rsidR="0089405D" w:rsidRDefault="003468E2">
      <w:pPr>
        <w:spacing w:after="0" w:line="312" w:lineRule="auto"/>
        <w:jc w:val="both"/>
        <w:rPr>
          <w:rFonts w:cs="Calibri"/>
          <w:sz w:val="24"/>
          <w:szCs w:val="24"/>
          <w:lang w:val="fr-FR"/>
        </w:rPr>
      </w:pPr>
      <w:r>
        <w:rPr>
          <w:rFonts w:cs="Calibri"/>
          <w:sz w:val="24"/>
          <w:szCs w:val="24"/>
          <w:lang w:val="fr-FR"/>
        </w:rPr>
        <w:t xml:space="preserve">- les sols contaminés à partir de déversements de produits chimiques et de résidus.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La poussière fugitive peut poser des problèmes environnementaux significatifs dans certaines mines. La toxicité inhérente de la poussière dépend de la proximité des récepteurs environnementaux et du type de minerai exploité. Des niveaux élevés d’arsenic, de plomb et de radionucléides dans la poussière fouettée par le vent constituent généralement le plus grand risque. La prolifération  de  pollutions  aux  métaux  lourds  naturellement  présents  dans  le  minerai  d’or  (arsenic  et  plomb  en  particulier),  le  rejet  de  cyanure  dans la nature, la dissémination de mercure venant des mines artisanales, ou encore la  pollution  atmosphérique présentent des dangers pour l’environnement et les espèces vivantes dont l’homme (Brereton, D., 2004). </w:t>
      </w:r>
    </w:p>
    <w:p w:rsidR="0089405D" w:rsidRDefault="003468E2">
      <w:pPr>
        <w:spacing w:after="0" w:line="312" w:lineRule="auto"/>
        <w:jc w:val="both"/>
        <w:rPr>
          <w:rFonts w:cs="Calibri"/>
          <w:sz w:val="24"/>
          <w:szCs w:val="24"/>
          <w:lang w:val="fr-FR"/>
        </w:rPr>
      </w:pPr>
      <w:r>
        <w:rPr>
          <w:rFonts w:cs="Calibri"/>
          <w:sz w:val="24"/>
          <w:szCs w:val="24"/>
          <w:lang w:val="fr-FR"/>
        </w:rPr>
        <w:tab/>
        <w:t xml:space="preserve">Au Ghana par exemple, la pollution atmosphérique aux  alentours  des mines  d’or industrielles a été associée à une incidence accrue de toux  et à la fuite de la population </w:t>
      </w:r>
      <w:r>
        <w:rPr>
          <w:rFonts w:cs="Calibri"/>
          <w:sz w:val="24"/>
          <w:szCs w:val="24"/>
          <w:lang w:val="fr-FR"/>
        </w:rPr>
        <w:lastRenderedPageBreak/>
        <w:t>autochtone (Aragon et Rud, 2013). Dans le bandeau de Liambe, le sol qui serait contaminé à partir de déversements de produits chimiques et des résidus sur les sites de la mine poserait un risque de contact direct, car ces matériaux sont utilisés abusivement comme matériaux de remblayage, pour la création de zones vertes ornementales ou encore comme suppléments de sol.</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806" w:name="_Toc59458384"/>
      <w:bookmarkStart w:id="807" w:name="_Toc73431873"/>
      <w:bookmarkStart w:id="808" w:name="_Toc79393043"/>
      <w:bookmarkStart w:id="809" w:name="_Toc111888693"/>
      <w:bookmarkStart w:id="810" w:name="_Toc127187272"/>
      <w:bookmarkStart w:id="811" w:name="_Toc127187549"/>
      <w:bookmarkStart w:id="812" w:name="_Toc127432306"/>
      <w:r>
        <w:rPr>
          <w:rFonts w:cs="Calibri"/>
          <w:b/>
          <w:sz w:val="24"/>
          <w:szCs w:val="24"/>
          <w:lang w:val="fr-FR"/>
        </w:rPr>
        <w:t>6.6. CONSIDERATIONS SUR LES CHANGEMENTS CLIMATIQUES</w:t>
      </w:r>
      <w:bookmarkEnd w:id="806"/>
      <w:bookmarkEnd w:id="807"/>
      <w:bookmarkEnd w:id="808"/>
      <w:bookmarkEnd w:id="809"/>
      <w:bookmarkEnd w:id="810"/>
      <w:bookmarkEnd w:id="811"/>
      <w:bookmarkEnd w:id="812"/>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Toute étude d'Impacts Environnementaux et sociaux d’un projet qui a le potentiel pour modifier le bilan carbone global devraient inclure une évaluation de l'impact carbone du projet (Bonneuil, C. et al, 2013). Les grands projets miniers ont le potentiel pour modifier le carbone global de l'une au moins des manières suivantes (Bridge, G., 2004).</w:t>
      </w:r>
    </w:p>
    <w:p w:rsidR="0089405D" w:rsidRDefault="003468E2">
      <w:pPr>
        <w:spacing w:after="0" w:line="312" w:lineRule="auto"/>
        <w:jc w:val="both"/>
        <w:rPr>
          <w:rFonts w:cs="Calibri"/>
          <w:sz w:val="24"/>
          <w:szCs w:val="24"/>
          <w:lang w:val="fr-FR"/>
        </w:rPr>
      </w:pPr>
      <w:r>
        <w:rPr>
          <w:rFonts w:cs="Calibri"/>
          <w:sz w:val="24"/>
          <w:szCs w:val="24"/>
          <w:lang w:val="fr-FR"/>
        </w:rPr>
        <w:tab/>
        <w:t>Perte d'absorption de dioxyde de carbone (CO</w:t>
      </w:r>
      <w:r>
        <w:rPr>
          <w:rFonts w:cs="Calibri"/>
          <w:sz w:val="24"/>
          <w:szCs w:val="24"/>
          <w:vertAlign w:val="subscript"/>
          <w:lang w:val="fr-FR"/>
        </w:rPr>
        <w:t>2</w:t>
      </w:r>
      <w:r>
        <w:rPr>
          <w:rFonts w:cs="Calibri"/>
          <w:sz w:val="24"/>
          <w:szCs w:val="24"/>
          <w:lang w:val="fr-FR"/>
        </w:rPr>
        <w:t>) par les forêts et la végétation qui ont été abattues. Beaucoup de grands projets miniers sont proposés dans les zones fortement boisées des régions tropicales qui sont cruciaux dans l'absorption de dioxyde de carbone atmosphérique (CO</w:t>
      </w:r>
      <w:r>
        <w:rPr>
          <w:rFonts w:cs="Calibri"/>
          <w:sz w:val="24"/>
          <w:szCs w:val="24"/>
          <w:vertAlign w:val="subscript"/>
          <w:lang w:val="fr-FR"/>
        </w:rPr>
        <w:t>2</w:t>
      </w:r>
      <w:r>
        <w:rPr>
          <w:rFonts w:cs="Calibri"/>
          <w:sz w:val="24"/>
          <w:szCs w:val="24"/>
          <w:lang w:val="fr-FR"/>
        </w:rPr>
        <w:t>) et dans le maintien d'un équilibre sain entre les émissions et l'absorption de CO</w:t>
      </w:r>
      <w:r>
        <w:rPr>
          <w:rFonts w:cs="Calibri"/>
          <w:sz w:val="24"/>
          <w:szCs w:val="24"/>
          <w:vertAlign w:val="subscript"/>
          <w:lang w:val="fr-FR"/>
        </w:rPr>
        <w:t>2</w:t>
      </w:r>
      <w:r>
        <w:rPr>
          <w:rFonts w:cs="Calibri"/>
          <w:sz w:val="24"/>
          <w:szCs w:val="24"/>
          <w:lang w:val="fr-FR"/>
        </w:rPr>
        <w:t xml:space="preserve">. Certains projets miniers conduisent à la destruction à long terme ou même permanente de forêts tropicales (Bryceson, D. &amp; Jønsson, J., 2010). </w:t>
      </w:r>
    </w:p>
    <w:p w:rsidR="0089405D" w:rsidRDefault="003468E2">
      <w:pPr>
        <w:spacing w:after="0" w:line="312" w:lineRule="auto"/>
        <w:jc w:val="both"/>
        <w:rPr>
          <w:rFonts w:cs="Calibri"/>
          <w:sz w:val="24"/>
          <w:szCs w:val="24"/>
          <w:lang w:val="fr-FR"/>
        </w:rPr>
      </w:pPr>
      <w:r>
        <w:rPr>
          <w:rFonts w:cs="Calibri"/>
          <w:sz w:val="24"/>
          <w:szCs w:val="24"/>
          <w:lang w:val="fr-FR"/>
        </w:rPr>
        <w:tab/>
        <w:t>Le programme d'EIE (Etude d'Impacts Environnementaux) pour les projets d'exploitation minière doit inclure une comptabilité minutieuse de la façon dont toute perturbation proposée des forêts tropicales modifierait le bilan carbone (Bryceson, D. F. &amp; Jønsson, J. 2010). L'EIES (Etude d'Impacts Environnementaux et Sociaux) doit aussi inclure une analyse du potentiel de perte du pays hôte de financement de consortiums internationaux qui sont et seront établis pour préserver les forêts tropicales. Le CO</w:t>
      </w:r>
      <w:r>
        <w:rPr>
          <w:rFonts w:cs="Calibri"/>
          <w:sz w:val="24"/>
          <w:szCs w:val="24"/>
          <w:vertAlign w:val="subscript"/>
          <w:lang w:val="fr-FR"/>
        </w:rPr>
        <w:t>2</w:t>
      </w:r>
      <w:r>
        <w:rPr>
          <w:rFonts w:cs="Calibri"/>
          <w:sz w:val="24"/>
          <w:szCs w:val="24"/>
          <w:lang w:val="fr-FR"/>
        </w:rPr>
        <w:t xml:space="preserve"> émis par les machines (par exemple, véhicules lourds fonctionnant au diesel) sont aussi impliqués dans l'extraction et le transport de minerai (</w:t>
      </w:r>
      <w:r>
        <w:rPr>
          <w:rFonts w:eastAsia="Calibri" w:cs="Calibri"/>
          <w:sz w:val="24"/>
          <w:szCs w:val="24"/>
          <w:lang w:val="fr-FR" w:eastAsia="en-US"/>
        </w:rPr>
        <w:t xml:space="preserve">Bridge, G. 2004 ; </w:t>
      </w:r>
      <w:r>
        <w:rPr>
          <w:rFonts w:cs="Calibri"/>
          <w:sz w:val="24"/>
          <w:szCs w:val="24"/>
          <w:lang w:val="fr-FR"/>
        </w:rPr>
        <w:t>Brereton, D., 2004 ; Mangambu M. et al., 2021a).</w:t>
      </w:r>
    </w:p>
    <w:p w:rsidR="0089405D" w:rsidRDefault="003468E2">
      <w:pPr>
        <w:spacing w:after="0" w:line="312" w:lineRule="auto"/>
        <w:ind w:firstLine="708"/>
        <w:jc w:val="both"/>
        <w:rPr>
          <w:rFonts w:cs="Calibri"/>
          <w:sz w:val="24"/>
          <w:szCs w:val="24"/>
          <w:lang w:val="fr-FR"/>
        </w:rPr>
      </w:pPr>
      <w:r>
        <w:rPr>
          <w:rFonts w:cs="Calibri"/>
          <w:sz w:val="24"/>
          <w:szCs w:val="24"/>
          <w:lang w:val="fr-FR"/>
        </w:rPr>
        <w:t>Les EIES doivent inclure une estimation quantitative des émissions de CO</w:t>
      </w:r>
      <w:r>
        <w:rPr>
          <w:rFonts w:cs="Calibri"/>
          <w:sz w:val="24"/>
          <w:szCs w:val="24"/>
          <w:vertAlign w:val="subscript"/>
          <w:lang w:val="fr-FR"/>
        </w:rPr>
        <w:t>2</w:t>
      </w:r>
      <w:r>
        <w:rPr>
          <w:rFonts w:cs="Calibri"/>
          <w:sz w:val="24"/>
          <w:szCs w:val="24"/>
          <w:lang w:val="fr-FR"/>
        </w:rPr>
        <w:t xml:space="preserve"> des machines et véhicules qui seront nécessaires pendant la durée totale du projet minier. Ces estimations peuvent être basées sur le taux de consommation de carburant (généralement le carburant diesel) multiplié par un facteur de conversion qui établit un rapport entre les unités (généralement litres ou gallons) de carburant consommées et les unités (généralement tonnes) de CO</w:t>
      </w:r>
      <w:r>
        <w:rPr>
          <w:rFonts w:cs="Calibri"/>
          <w:sz w:val="24"/>
          <w:szCs w:val="24"/>
          <w:vertAlign w:val="subscript"/>
          <w:lang w:val="fr-FR"/>
        </w:rPr>
        <w:t>2</w:t>
      </w:r>
      <w:r>
        <w:rPr>
          <w:rFonts w:cs="Calibri"/>
          <w:sz w:val="24"/>
          <w:szCs w:val="24"/>
          <w:lang w:val="fr-FR"/>
        </w:rPr>
        <w:t xml:space="preserve"> qui sont émises. </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Quant au CO</w:t>
      </w:r>
      <w:r>
        <w:rPr>
          <w:rFonts w:cs="Calibri"/>
          <w:sz w:val="24"/>
          <w:szCs w:val="24"/>
          <w:vertAlign w:val="subscript"/>
          <w:lang w:val="fr-FR"/>
        </w:rPr>
        <w:t>2</w:t>
      </w:r>
      <w:r>
        <w:rPr>
          <w:rFonts w:cs="Calibri"/>
          <w:sz w:val="24"/>
          <w:szCs w:val="24"/>
          <w:lang w:val="fr-FR"/>
        </w:rPr>
        <w:t xml:space="preserve"> émis par la transformation du minerai en métal (par exemple, techniques pyrométallurgiques versus hydrométallurgiques). Un exemple est trouvé dans une évaluation réalisée par CsIRO Minerals of Australia qui a utilisé la méthodologie de l'évaluation du cycle de vie pour estimer les émissions de cycle de vie des gaz à effet de serre provenant de la production de cuivre et de nickel, y compris l'exploitation de la mine</w:t>
      </w:r>
      <w:r>
        <w:rPr>
          <w:rFonts w:cs="Calibri"/>
          <w:sz w:val="24"/>
          <w:szCs w:val="24"/>
          <w:vertAlign w:val="superscript"/>
          <w:lang w:val="fr-FR"/>
        </w:rPr>
        <w:footnoteReference w:id="72"/>
      </w:r>
      <w:r>
        <w:rPr>
          <w:rFonts w:cs="Calibri"/>
          <w:sz w:val="24"/>
          <w:szCs w:val="24"/>
          <w:lang w:val="fr-FR"/>
        </w:rPr>
        <w:t>.</w:t>
      </w:r>
    </w:p>
    <w:p w:rsidR="0089405D" w:rsidRDefault="003468E2">
      <w:pPr>
        <w:spacing w:after="0" w:line="312" w:lineRule="auto"/>
        <w:jc w:val="both"/>
        <w:rPr>
          <w:rFonts w:cs="Calibri"/>
          <w:sz w:val="24"/>
          <w:szCs w:val="24"/>
          <w:lang w:val="fr-FR"/>
        </w:rPr>
      </w:pPr>
      <w:r>
        <w:rPr>
          <w:rFonts w:cs="Calibri"/>
          <w:sz w:val="24"/>
          <w:szCs w:val="24"/>
          <w:lang w:val="fr-FR"/>
        </w:rPr>
        <w:tab/>
        <w:t>Cette évaluation a conclu que les émissions de gaz à effet de serre du cycle de vie du cuivre et de la gamme de production de nickel vont de 3.3 kilogrammes (kg) de CO2 par kg de métal pour le cuivre produit par fusion à 16,1 kg de CO</w:t>
      </w:r>
      <w:r>
        <w:rPr>
          <w:rFonts w:cs="Calibri"/>
          <w:sz w:val="24"/>
          <w:szCs w:val="24"/>
          <w:vertAlign w:val="subscript"/>
          <w:lang w:val="fr-FR"/>
        </w:rPr>
        <w:t>2</w:t>
      </w:r>
      <w:r>
        <w:rPr>
          <w:rFonts w:cs="Calibri"/>
          <w:sz w:val="24"/>
          <w:szCs w:val="24"/>
          <w:lang w:val="fr-FR"/>
        </w:rPr>
        <w:t xml:space="preserve"> par kg de métal pour le nickel produit par lixiviation acide sous pression suivie d'extraction par solvant et extraction par voie électrolytique</w:t>
      </w:r>
      <w:r>
        <w:rPr>
          <w:rFonts w:cs="Calibri"/>
          <w:sz w:val="24"/>
          <w:szCs w:val="24"/>
          <w:vertAlign w:val="superscript"/>
          <w:lang w:val="fr-FR"/>
        </w:rPr>
        <w:footnoteReference w:id="73"/>
      </w:r>
      <w:r>
        <w:rPr>
          <w:rFonts w:cs="Calibri"/>
          <w:sz w:val="24"/>
          <w:szCs w:val="24"/>
          <w:lang w:val="fr-FR"/>
        </w:rPr>
        <w:t xml:space="preserve">. Le résultat important est que les mines métalliques génèrent plus de 1 kg de gaz à effet de serre pour 1 kg de métal qui est produit, et cela ne prend pas en compte la perte de l'absorption de carbone par des forêts détruites. Des impacts graves sur la santé tels que des cancers, des leucémies, des malformations pour des nouveau-nés, des fausses-couches, des infections cutanées, des problèmes respiratoires et digestifs etc., dus à la pollution de l’air, des eaux, du sol… (Busse, M. et al., 2016 ; </w:t>
      </w:r>
      <w:r>
        <w:rPr>
          <w:rFonts w:cs="Calibri"/>
          <w:sz w:val="24"/>
          <w:szCs w:val="24"/>
          <w:lang w:val="fr-FR" w:eastAsia="fr-FR"/>
        </w:rPr>
        <w:t>Dialga I., 2017</w:t>
      </w:r>
      <w:r>
        <w:rPr>
          <w:rFonts w:cs="Calibri"/>
          <w:sz w:val="24"/>
          <w:szCs w:val="24"/>
          <w:lang w:val="fr-FR"/>
        </w:rPr>
        <w:t xml:space="preserve">). </w:t>
      </w:r>
    </w:p>
    <w:p w:rsidR="0089405D" w:rsidRDefault="003468E2">
      <w:pPr>
        <w:spacing w:after="0" w:line="312" w:lineRule="auto"/>
        <w:jc w:val="both"/>
        <w:rPr>
          <w:rFonts w:cs="Calibri"/>
          <w:kern w:val="24"/>
          <w:sz w:val="24"/>
          <w:szCs w:val="24"/>
          <w:lang w:val="fr-FR" w:eastAsia="fr-FR"/>
        </w:rPr>
      </w:pPr>
      <w:r>
        <w:rPr>
          <w:rFonts w:cs="Calibri"/>
          <w:b/>
          <w:sz w:val="24"/>
          <w:szCs w:val="24"/>
          <w:lang w:val="fr-FR"/>
        </w:rPr>
        <w:tab/>
      </w:r>
      <w:bookmarkStart w:id="813" w:name="_Toc59458385"/>
      <w:r>
        <w:rPr>
          <w:rFonts w:cs="Calibri"/>
          <w:sz w:val="24"/>
          <w:szCs w:val="24"/>
          <w:lang w:val="fr-FR"/>
        </w:rPr>
        <w:t>En bref,</w:t>
      </w:r>
      <w:r>
        <w:rPr>
          <w:rFonts w:cs="Calibri"/>
          <w:b/>
          <w:sz w:val="24"/>
          <w:szCs w:val="24"/>
          <w:lang w:val="fr-FR"/>
        </w:rPr>
        <w:t xml:space="preserve"> </w:t>
      </w:r>
      <w:r>
        <w:rPr>
          <w:rFonts w:cs="Calibri"/>
          <w:kern w:val="24"/>
          <w:sz w:val="24"/>
          <w:szCs w:val="24"/>
          <w:lang w:val="fr-FR" w:eastAsia="fr-FR"/>
        </w:rPr>
        <w:t>toute activité humaine, matérielle consomme des matières premières et produit à plus au moins à long terme des déchets. Ces déchets entraînent des problèmes écologiques, environnementaux qui affectent différemment les collectivités locales, les pays et même la planète. Ainsi, tout déchet produit dans un pays ou exporté et importé, doit être géré de façon écologique pour protéger la santé et l`environnement.</w:t>
      </w:r>
    </w:p>
    <w:p w:rsidR="0089405D" w:rsidRDefault="0089405D">
      <w:pPr>
        <w:spacing w:after="0" w:line="312" w:lineRule="auto"/>
        <w:jc w:val="both"/>
        <w:rPr>
          <w:rFonts w:eastAsia="Calibri" w:cs="Calibri"/>
          <w:sz w:val="24"/>
          <w:szCs w:val="24"/>
          <w:lang w:val="fr-FR" w:eastAsia="en-US"/>
        </w:rPr>
      </w:pPr>
      <w:bookmarkStart w:id="814" w:name="_Toc73431874"/>
      <w:bookmarkStart w:id="815" w:name="_Toc79393044"/>
    </w:p>
    <w:p w:rsidR="0089405D" w:rsidRDefault="003468E2">
      <w:pPr>
        <w:keepNext/>
        <w:keepLines/>
        <w:widowControl w:val="0"/>
        <w:spacing w:after="0" w:line="312" w:lineRule="auto"/>
        <w:jc w:val="both"/>
        <w:outlineLvl w:val="0"/>
        <w:rPr>
          <w:rFonts w:eastAsia="Times New Roman" w:cs="Calibri"/>
          <w:b/>
          <w:sz w:val="24"/>
          <w:szCs w:val="24"/>
          <w:lang w:val="fr-FR" w:eastAsia="fr-FR"/>
        </w:rPr>
      </w:pPr>
      <w:bookmarkStart w:id="816" w:name="_Toc59458318"/>
      <w:bookmarkStart w:id="817" w:name="_Toc71470327"/>
      <w:bookmarkStart w:id="818" w:name="_Toc73431908"/>
      <w:bookmarkStart w:id="819" w:name="_Toc79393082"/>
      <w:bookmarkStart w:id="820" w:name="_Toc111888694"/>
      <w:bookmarkStart w:id="821" w:name="_Toc127187273"/>
      <w:bookmarkStart w:id="822" w:name="_Toc127187550"/>
      <w:bookmarkStart w:id="823" w:name="_Toc127432307"/>
      <w:r>
        <w:rPr>
          <w:rFonts w:eastAsia="Times New Roman" w:cs="Calibri"/>
          <w:b/>
          <w:sz w:val="24"/>
          <w:szCs w:val="24"/>
          <w:lang w:val="fr-FR" w:eastAsia="fr-FR"/>
        </w:rPr>
        <w:lastRenderedPageBreak/>
        <w:t>6.7.</w:t>
      </w:r>
      <w:bookmarkEnd w:id="816"/>
      <w:r>
        <w:rPr>
          <w:rFonts w:eastAsia="Times New Roman" w:cs="Calibri"/>
          <w:b/>
          <w:sz w:val="24"/>
          <w:szCs w:val="24"/>
          <w:lang w:val="fr-FR" w:eastAsia="fr-FR"/>
        </w:rPr>
        <w:t xml:space="preserve"> MALEDICTION DES RESSOURCES NATURELLES DANS UN DEVELOPPEMENT DURABLE FONDE SUR L’EXPLOITATION MINIERE</w:t>
      </w:r>
      <w:bookmarkEnd w:id="817"/>
      <w:bookmarkEnd w:id="818"/>
      <w:bookmarkEnd w:id="819"/>
      <w:bookmarkEnd w:id="820"/>
      <w:bookmarkEnd w:id="821"/>
      <w:bookmarkEnd w:id="822"/>
      <w:bookmarkEnd w:id="823"/>
      <w:r>
        <w:rPr>
          <w:rFonts w:eastAsia="Times New Roman" w:cs="Calibri"/>
          <w:b/>
          <w:sz w:val="24"/>
          <w:szCs w:val="24"/>
          <w:lang w:val="fr-FR" w:eastAsia="fr-FR"/>
        </w:rPr>
        <w:t xml:space="preserve"> </w:t>
      </w:r>
    </w:p>
    <w:p w:rsidR="0089405D" w:rsidRDefault="0089405D">
      <w:pPr>
        <w:keepNext/>
        <w:keepLines/>
        <w:widowControl w:val="0"/>
        <w:spacing w:after="0" w:line="312" w:lineRule="auto"/>
        <w:jc w:val="both"/>
        <w:outlineLvl w:val="0"/>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Le concept de développement durable a émergé des revendications environnementales mais s’inscrit également dans le prolongement des débats sur le développement et la revendication d’une autre mondialisation basée sur des modèles de développement alternatifs (Banque Mondiale, 1992a). En dépit des immenses impacts sociaux et environnementaux qui lui sont associés, l’approche du développement par l’exploitation des ressources minérales se justifie par des arguments voulant que celles-ci constituent du point de vue économique, un capital naturel dont l’extraction produit de la richesse qui peut être consommée ou réinvestie dans la production d’autres types de capital (Murphy et coll. 1989; Banque Mondiale, 1992b ; </w:t>
      </w:r>
      <w:r>
        <w:rPr>
          <w:rFonts w:cs="Calibri"/>
          <w:sz w:val="24"/>
          <w:szCs w:val="24"/>
          <w:lang w:val="fr-FR"/>
        </w:rPr>
        <w:t xml:space="preserve"> Defailly, D. 2000</w:t>
      </w:r>
      <w:r>
        <w:rPr>
          <w:rFonts w:eastAsia="Times New Roman" w:cs="Calibri"/>
          <w:sz w:val="24"/>
          <w:szCs w:val="24"/>
          <w:lang w:val="fr-FR" w:eastAsia="fr-FR"/>
        </w:rPr>
        <w:t xml:space="preserve">).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Ces auteurs partent du constat qu’il y a un lien fort entre disponibilité de ressources naturelles (fossiles pour la plupart, et minières) et un développement économique non durable ni équitable, une récurrence d’instabilités et des conflits permanents (Lee, G. et al., 2002 ; </w:t>
      </w:r>
      <w:r>
        <w:rPr>
          <w:rFonts w:cs="Calibri"/>
          <w:sz w:val="24"/>
          <w:szCs w:val="24"/>
          <w:lang w:val="fr-FR"/>
        </w:rPr>
        <w:t>Mangambu M. et al., 2021b)</w:t>
      </w:r>
      <w:r>
        <w:rPr>
          <w:rFonts w:eastAsia="Times New Roman" w:cs="Calibri"/>
          <w:sz w:val="24"/>
          <w:szCs w:val="24"/>
          <w:lang w:val="fr-FR" w:eastAsia="fr-FR"/>
        </w:rPr>
        <w:t xml:space="preserve">. Le paradoxe économique tient au fait que la découverte de ressources naturelles devrait procurer des devises, stimuler l’investissement intérieur, attirer les investissements étrangers et fournir des matières premières pour la production et partant, booster l’industrie du pays, moteur d’un développement économique. Malheureusement nombre de pays riches en RN présentent des profils opposés à ceux attendus.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En effet, plusieurs traits caractéristiques sont communs à la plupart des pays riches en ressources naturelles. La corruption et la mauvaise administration des recettes minières sont parmi d’autres symptômes de la malédiction des ressources naturelles</w:t>
      </w:r>
      <w:r>
        <w:rPr>
          <w:rFonts w:eastAsia="Calibri" w:cs="Calibri"/>
          <w:sz w:val="24"/>
          <w:szCs w:val="24"/>
          <w:lang w:val="fr-FR" w:eastAsia="en-US"/>
        </w:rPr>
        <w:t xml:space="preserve"> (</w:t>
      </w:r>
      <w:r>
        <w:rPr>
          <w:rFonts w:eastAsia="Times New Roman" w:cs="Calibri"/>
          <w:sz w:val="24"/>
          <w:szCs w:val="24"/>
          <w:lang w:val="fr-FR" w:eastAsia="fr-FR"/>
        </w:rPr>
        <w:t xml:space="preserve">Audet, R. et al., 2010, </w:t>
      </w:r>
      <w:r>
        <w:rPr>
          <w:rFonts w:cs="Calibri"/>
          <w:sz w:val="24"/>
          <w:szCs w:val="24"/>
          <w:lang w:val="fr-FR"/>
        </w:rPr>
        <w:t>Mangambu M. et al., 2021a</w:t>
      </w:r>
      <w:r>
        <w:rPr>
          <w:rFonts w:eastAsia="Times New Roman" w:cs="Calibri"/>
          <w:sz w:val="24"/>
          <w:szCs w:val="24"/>
          <w:lang w:val="fr-FR" w:eastAsia="fr-FR"/>
        </w:rPr>
        <w:t>). Les organisations de la Société civile notamment les organismes internationaux s’engagent de plus en plus dans le combat contre ces phénomènes (Dmoergue, C.  &amp;  Mpoyi  M.,  2012 ; Mangambu, M. et al., 2018b).</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 xml:space="preserve">  </w:t>
      </w:r>
    </w:p>
    <w:p w:rsidR="0089405D" w:rsidRDefault="003468E2">
      <w:pPr>
        <w:keepNext/>
        <w:keepLines/>
        <w:widowControl w:val="0"/>
        <w:spacing w:after="0" w:line="312" w:lineRule="auto"/>
        <w:outlineLvl w:val="0"/>
        <w:rPr>
          <w:rFonts w:cs="Calibri"/>
          <w:b/>
          <w:sz w:val="24"/>
          <w:szCs w:val="24"/>
          <w:lang w:val="fr-FR"/>
        </w:rPr>
      </w:pPr>
      <w:bookmarkStart w:id="824" w:name="_Toc111888695"/>
      <w:bookmarkStart w:id="825" w:name="_Toc127187274"/>
      <w:bookmarkStart w:id="826" w:name="_Toc127187551"/>
      <w:bookmarkStart w:id="827" w:name="_Toc127432308"/>
      <w:r>
        <w:rPr>
          <w:rFonts w:cs="Calibri"/>
          <w:b/>
          <w:sz w:val="24"/>
          <w:szCs w:val="24"/>
          <w:lang w:val="fr-FR"/>
        </w:rPr>
        <w:t>6.7. CONCLUSION</w:t>
      </w:r>
      <w:bookmarkEnd w:id="813"/>
      <w:bookmarkEnd w:id="814"/>
      <w:bookmarkEnd w:id="815"/>
      <w:bookmarkEnd w:id="824"/>
      <w:bookmarkEnd w:id="825"/>
      <w:bookmarkEnd w:id="826"/>
      <w:bookmarkEnd w:id="827"/>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Longtemps perçue comme source d’enrichissement, l’exploitation minière est de plus en plus considérée d’abord comme une menace à l’environnement. L’exploitation prédatrice qui a longtemps dominé, multipliant les paysages dégradés et polluant des milliers de kilomètres de cours d’eau à beaucoup contribué à justifier cette perception. Il est impératif que l'exploitation des ressources minières de lit de la rivière Aruwimi puisse engendrer des </w:t>
      </w:r>
      <w:r>
        <w:rPr>
          <w:rFonts w:cs="Calibri"/>
          <w:sz w:val="24"/>
          <w:szCs w:val="24"/>
          <w:lang w:val="fr-FR"/>
        </w:rPr>
        <w:lastRenderedPageBreak/>
        <w:t xml:space="preserve">calamités et des désastres sur les populations et sur l'environnement. Elle apporterait plutôt plus de problèmes que de solutions. Tout projet allant dans ce sens (d’exploitation minière) dans cette zone serait tout simplement inopportun. </w:t>
      </w:r>
    </w:p>
    <w:p w:rsidR="0089405D" w:rsidRDefault="003468E2">
      <w:pPr>
        <w:spacing w:after="0" w:line="312" w:lineRule="auto"/>
        <w:jc w:val="both"/>
        <w:rPr>
          <w:rFonts w:cs="Calibri"/>
          <w:sz w:val="24"/>
          <w:szCs w:val="24"/>
          <w:lang w:val="fr-FR"/>
        </w:rPr>
      </w:pPr>
      <w:r>
        <w:rPr>
          <w:rFonts w:cs="Calibri"/>
          <w:sz w:val="24"/>
          <w:szCs w:val="24"/>
          <w:lang w:val="fr-FR"/>
        </w:rPr>
        <w:tab/>
        <w:t xml:space="preserve">Au regard de la littérature scientifique parcourue et les réalités vécues sous d’autres cieux, les zones de Liambe, Likombe, Ilongo et ses environs s’exposeraient aux conséquences suivantes : </w:t>
      </w:r>
    </w:p>
    <w:p w:rsidR="0089405D" w:rsidRDefault="003468E2">
      <w:pPr>
        <w:spacing w:after="0" w:line="312" w:lineRule="auto"/>
        <w:jc w:val="both"/>
        <w:rPr>
          <w:rFonts w:cs="Calibri"/>
          <w:b/>
          <w:sz w:val="24"/>
          <w:szCs w:val="24"/>
          <w:lang w:val="fr-FR"/>
        </w:rPr>
      </w:pPr>
      <w:r>
        <w:rPr>
          <w:rFonts w:cs="Calibri"/>
          <w:sz w:val="24"/>
          <w:szCs w:val="24"/>
          <w:lang w:val="fr-FR"/>
        </w:rPr>
        <w:t>- Les concessions minérales dans les carrés hors de la surface d’eau se trouvant sur le territoire des peuples indigènes subiraient menaces d’acculturation, voie de disparition ;</w:t>
      </w:r>
    </w:p>
    <w:p w:rsidR="0089405D" w:rsidRDefault="003468E2">
      <w:pPr>
        <w:spacing w:after="0" w:line="312" w:lineRule="auto"/>
        <w:jc w:val="both"/>
        <w:rPr>
          <w:rFonts w:cs="Calibri"/>
          <w:sz w:val="24"/>
          <w:szCs w:val="24"/>
          <w:lang w:val="fr-FR"/>
        </w:rPr>
      </w:pPr>
      <w:r>
        <w:rPr>
          <w:rFonts w:cs="Calibri"/>
          <w:sz w:val="24"/>
          <w:szCs w:val="24"/>
          <w:lang w:val="fr-FR"/>
        </w:rPr>
        <w:t xml:space="preserve">-La déforestation et la perte de la biodiversité terrestre et d’eau douce. </w:t>
      </w:r>
    </w:p>
    <w:p w:rsidR="0089405D" w:rsidRDefault="003468E2">
      <w:pPr>
        <w:spacing w:after="0" w:line="312" w:lineRule="auto"/>
        <w:jc w:val="both"/>
        <w:rPr>
          <w:rFonts w:cs="Calibri"/>
          <w:sz w:val="24"/>
          <w:szCs w:val="24"/>
          <w:lang w:val="fr-FR"/>
        </w:rPr>
      </w:pPr>
      <w:r>
        <w:rPr>
          <w:rFonts w:cs="Calibri"/>
          <w:sz w:val="24"/>
          <w:szCs w:val="24"/>
          <w:lang w:val="fr-FR"/>
        </w:rPr>
        <w:t>- La pollution des eaux et des sols : contaminations accidentelles (ruptures de pipeline) et/ou déversements intentionnels des déchets (notamment eaux de formation) ;</w:t>
      </w:r>
    </w:p>
    <w:p w:rsidR="0089405D" w:rsidRDefault="003468E2">
      <w:pPr>
        <w:spacing w:after="0" w:line="312" w:lineRule="auto"/>
        <w:jc w:val="both"/>
        <w:rPr>
          <w:rFonts w:cs="Calibri"/>
          <w:sz w:val="24"/>
          <w:szCs w:val="24"/>
          <w:lang w:val="fr-FR"/>
        </w:rPr>
      </w:pPr>
      <w:r>
        <w:rPr>
          <w:rFonts w:cs="Calibri"/>
          <w:sz w:val="24"/>
          <w:szCs w:val="24"/>
          <w:lang w:val="fr-FR"/>
        </w:rPr>
        <w:t>- La pollution de l'air (flammes des torchères, brûlage de la végétation imprégnée de cru lors des opérations de nettoyage).</w:t>
      </w:r>
    </w:p>
    <w:p w:rsidR="0089405D" w:rsidRDefault="003468E2">
      <w:pPr>
        <w:spacing w:after="0" w:line="312" w:lineRule="auto"/>
        <w:jc w:val="both"/>
        <w:rPr>
          <w:rFonts w:cs="Calibri"/>
          <w:sz w:val="24"/>
          <w:szCs w:val="24"/>
          <w:lang w:val="fr-FR"/>
        </w:rPr>
      </w:pPr>
      <w:r>
        <w:rPr>
          <w:rFonts w:cs="Calibri"/>
          <w:sz w:val="24"/>
          <w:szCs w:val="24"/>
          <w:lang w:val="fr-FR"/>
        </w:rPr>
        <w:t>- Les pertes économiques pour les populations locales (mort du bétail et dégâts pour les cultures, diminution de la productivité des sols à cause de la pollution).</w:t>
      </w:r>
    </w:p>
    <w:p w:rsidR="0089405D" w:rsidRDefault="003468E2">
      <w:pPr>
        <w:spacing w:after="0" w:line="312" w:lineRule="auto"/>
        <w:jc w:val="both"/>
        <w:rPr>
          <w:rFonts w:cs="Calibri"/>
          <w:sz w:val="24"/>
          <w:szCs w:val="24"/>
          <w:lang w:val="fr-FR"/>
        </w:rPr>
      </w:pPr>
      <w:r>
        <w:rPr>
          <w:rFonts w:cs="Calibri"/>
          <w:sz w:val="24"/>
          <w:szCs w:val="24"/>
          <w:lang w:val="fr-FR"/>
        </w:rPr>
        <w:t>- La déstabilisation de l'équilibre stratigraphique (stabilisation par superposition des couches géologiques) du sol qui conduira à la multiplication d'érosions dans la région. Cela risquerait d'ouvrir la boîte aux pandores si ces érosions touchaient les tourbières de la région...et libéraient par conséquent, le CO</w:t>
      </w:r>
      <w:r>
        <w:rPr>
          <w:rFonts w:cs="Calibri"/>
          <w:sz w:val="24"/>
          <w:szCs w:val="24"/>
          <w:vertAlign w:val="subscript"/>
          <w:lang w:val="fr-FR"/>
        </w:rPr>
        <w:t>2</w:t>
      </w:r>
      <w:r>
        <w:rPr>
          <w:rFonts w:cs="Calibri"/>
          <w:sz w:val="24"/>
          <w:szCs w:val="24"/>
          <w:lang w:val="fr-FR"/>
        </w:rPr>
        <w:t xml:space="preserve"> emprisonné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 xml:space="preserve">En outre, étant donné que l’exploitation minière génère plus de substances très toxiques et cancérogènes, des mesures de prévention strictes doivent être établies au préalable avant l’exécution du projet, en vue de réduite au plus bas niveau possible les conséquences.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Pour les travailleuses et travailleurs exposés à ces constituants toxiques et cancérogènes, un programme de surveillance biologique peut être mis en place : des dosages urinaires des métaux lourds (d’arsenic, plomb, cadmium, mercure, aluminium) doivent être réalisés à la fin de la semaine de travail, car comme l’élimination rénale de ces constituants est rapide ; le dosage urinaire reflète davantage une exposition récente survenue au cours des jours précédant le prélèvement. Ceci doit être suivi des analyses microbiologiques et physico-chimiques hebdomadaires des différents points d’approvisionnement en eau que consommerait la population riveraine par des spécialistes en la matière, afin d’arrêter trop tôt la chaîne de transmission des conséquences. </w:t>
      </w:r>
    </w:p>
    <w:p w:rsidR="0089405D" w:rsidRDefault="003468E2">
      <w:pPr>
        <w:spacing w:after="0" w:line="312" w:lineRule="auto"/>
        <w:jc w:val="both"/>
        <w:rPr>
          <w:rFonts w:cs="Calibri"/>
          <w:sz w:val="24"/>
          <w:szCs w:val="24"/>
          <w:lang w:val="fr-FR"/>
        </w:rPr>
      </w:pPr>
      <w:r>
        <w:rPr>
          <w:rFonts w:cs="Calibri"/>
          <w:sz w:val="24"/>
          <w:szCs w:val="24"/>
          <w:lang w:val="fr-FR"/>
        </w:rPr>
        <w:tab/>
        <w:t xml:space="preserve">Bref, de manière générale, la meilleure action à mener pour lutter contre la pollution repose sur des mesures préventives, car elles englobent tous les aspects de la pollution (air, </w:t>
      </w:r>
      <w:r>
        <w:rPr>
          <w:rFonts w:cs="Calibri"/>
          <w:sz w:val="24"/>
          <w:szCs w:val="24"/>
          <w:lang w:val="fr-FR"/>
        </w:rPr>
        <w:lastRenderedPageBreak/>
        <w:t>eaux, sols, etc.) et supposent une coordination entre divers domaines comme le développement industriel, l’urbanisme, la mise en valeur des ressources en eau et la politique des transports. La démarche de prévention met directement l’accent sur l’emploi de procédés, méthodes, matières et énergies qui évitent ou réduisent au minimum la création de polluants et de déchets à la source, au lieu de préconiser des mesures qui interviennent en aval.</w:t>
      </w:r>
    </w:p>
    <w:p w:rsidR="0089405D" w:rsidRDefault="0089405D">
      <w:pPr>
        <w:spacing w:after="0" w:line="312" w:lineRule="auto"/>
        <w:jc w:val="both"/>
        <w:rPr>
          <w:rFonts w:cs="Calibri"/>
          <w:b/>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828" w:name="_Toc73431875"/>
      <w:bookmarkStart w:id="829" w:name="_Toc79393045"/>
      <w:bookmarkStart w:id="830" w:name="_Toc111888696"/>
      <w:bookmarkStart w:id="831" w:name="_Toc127187275"/>
      <w:bookmarkStart w:id="832" w:name="_Toc127187552"/>
      <w:bookmarkStart w:id="833" w:name="_Toc127432309"/>
      <w:r>
        <w:rPr>
          <w:rFonts w:cs="Calibri"/>
          <w:b/>
          <w:sz w:val="24"/>
          <w:szCs w:val="24"/>
          <w:lang w:val="fr-FR"/>
        </w:rPr>
        <w:t>REFERENCES BIBLIOGRAPHIES</w:t>
      </w:r>
      <w:bookmarkEnd w:id="828"/>
      <w:bookmarkEnd w:id="829"/>
      <w:bookmarkEnd w:id="830"/>
      <w:bookmarkEnd w:id="831"/>
      <w:bookmarkEnd w:id="832"/>
      <w:bookmarkEnd w:id="833"/>
      <w:r>
        <w:rPr>
          <w:rFonts w:cs="Calibri"/>
          <w:b/>
          <w:sz w:val="24"/>
          <w:szCs w:val="24"/>
          <w:lang w:val="fr-FR"/>
        </w:rPr>
        <w:t xml:space="preserve">  </w:t>
      </w:r>
    </w:p>
    <w:p w:rsidR="0089405D" w:rsidRDefault="0089405D">
      <w:pPr>
        <w:keepNext/>
        <w:keepLines/>
        <w:widowControl w:val="0"/>
        <w:spacing w:after="0" w:line="312" w:lineRule="auto"/>
        <w:outlineLvl w:val="0"/>
        <w:rPr>
          <w:rFonts w:cs="Calibri"/>
          <w:b/>
          <w:sz w:val="24"/>
          <w:szCs w:val="24"/>
          <w:lang w:val="fr-FR"/>
        </w:rPr>
      </w:pPr>
    </w:p>
    <w:p w:rsidR="0089405D" w:rsidRDefault="003468E2">
      <w:pPr>
        <w:pStyle w:val="Sansinterligne"/>
        <w:numPr>
          <w:ilvl w:val="0"/>
          <w:numId w:val="43"/>
        </w:numPr>
        <w:spacing w:line="312" w:lineRule="auto"/>
        <w:jc w:val="both"/>
        <w:rPr>
          <w:rFonts w:cs="Calibri"/>
          <w:sz w:val="24"/>
          <w:szCs w:val="24"/>
        </w:rPr>
      </w:pPr>
      <w:r>
        <w:rPr>
          <w:rFonts w:cs="Calibri"/>
          <w:sz w:val="24"/>
          <w:szCs w:val="24"/>
        </w:rPr>
        <w:t>Abadie J.C. (2008). La nature ordinaire face aux pressions humaines : le cas des plantes communes. Méthodes de suivis et évaluation de l’impact des activités humaines, Paris, Musée national d’histoire naturelle</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ACI (Actuar en Cristianos Informados) -RDC (2009). Exploitation minière au Katanga : un atout pour le développement ou une colonisation économique ? Lubumbashi/RDC, 30 p</w:t>
      </w:r>
    </w:p>
    <w:p w:rsidR="0089405D" w:rsidRDefault="003468E2">
      <w:pPr>
        <w:pStyle w:val="Sansinterligne"/>
        <w:numPr>
          <w:ilvl w:val="0"/>
          <w:numId w:val="43"/>
        </w:numPr>
        <w:spacing w:line="312" w:lineRule="auto"/>
        <w:ind w:left="714" w:hanging="357"/>
        <w:jc w:val="both"/>
        <w:rPr>
          <w:rFonts w:cs="Calibri"/>
          <w:sz w:val="24"/>
          <w:szCs w:val="24"/>
        </w:rPr>
      </w:pPr>
      <w:r>
        <w:rPr>
          <w:rFonts w:cs="Calibri"/>
          <w:sz w:val="24"/>
          <w:szCs w:val="24"/>
          <w:lang w:val="en-US"/>
        </w:rPr>
        <w:t xml:space="preserve">Afundi, N.; Fundiko C.; Makwatu M.; Ludunge C.; Mulumeoderhwa M. ; Mushagalusa K.  &amp; Mangambu M (2022). Procedural irregularities related to the semi-industrial exploitation of the Aruwimi River by Xiang Jiang Mining Sarl in the Basoko territory (Congo Basin, DRC) IOSR Journal Of Humanities  And Social Science (IOSR-JHSS). 27 (7): 63-74 </w:t>
      </w:r>
      <w:hyperlink r:id="rId100" w:history="1">
        <w:r>
          <w:rPr>
            <w:rStyle w:val="Lienhypertexte"/>
            <w:rFonts w:cs="Calibri"/>
            <w:sz w:val="24"/>
            <w:szCs w:val="24"/>
          </w:rPr>
          <w:t>https://dx.doi.org/10.9790/0837-2707066374</w:t>
        </w:r>
      </w:hyperlink>
    </w:p>
    <w:p w:rsidR="0089405D" w:rsidRDefault="003468E2">
      <w:pPr>
        <w:pStyle w:val="Sansinterligne"/>
        <w:numPr>
          <w:ilvl w:val="0"/>
          <w:numId w:val="43"/>
        </w:numPr>
        <w:spacing w:line="312" w:lineRule="auto"/>
        <w:jc w:val="both"/>
        <w:rPr>
          <w:rFonts w:cs="Calibri"/>
          <w:sz w:val="24"/>
          <w:szCs w:val="24"/>
        </w:rPr>
      </w:pPr>
      <w:r>
        <w:rPr>
          <w:rFonts w:cs="Calibri"/>
          <w:sz w:val="24"/>
          <w:szCs w:val="24"/>
        </w:rPr>
        <w:t>André, P. ; Delisle C.-E. &amp; Reveret, J.-P. (2010). L’évaluation des impacts sur l’environnement. Processus, acteurs et pratique pour un développement durable. Montréal: Presses internationales Polytechnique, 3e édition</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Ashanti Goldfields Kilo, (2015). Ce Résumé d’Etude d’Impact Environnemental et du Plan de Gestion Environnemental du projet minier Mongbwalu, Kinshasa/RDC 46 p</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Asimbo B.; Mokili Kanda E. &amp; Mangambu M. (2021). Pragmatic Vision of the Socio-Economic Impacts of Semi-Industrial Mining On the Aruwimi River: A Bad Paradigm on the Rivers of the Congo Basin (Basoko Territory, DRC). Journal of Environmental Science, Toxicology and Food Technology 15 (9), 09-20 </w:t>
      </w:r>
      <w:hyperlink r:id="rId101" w:history="1">
        <w:r>
          <w:rPr>
            <w:rStyle w:val="Lienhypertexte"/>
            <w:rFonts w:cs="Calibri"/>
            <w:sz w:val="24"/>
            <w:szCs w:val="24"/>
            <w:lang w:val="en-US"/>
          </w:rPr>
          <w:t>https://doi.org/10.9790/2402-1509020920</w:t>
        </w:r>
      </w:hyperlink>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ATSDR (Agency for Toxic Substances and Disease Registry) (2011). Toxicological profile for cyanide. </w:t>
      </w:r>
      <w:hyperlink r:id="rId102" w:history="1">
        <w:r>
          <w:rPr>
            <w:rFonts w:cs="Calibri"/>
            <w:color w:val="0070C0"/>
            <w:sz w:val="24"/>
            <w:szCs w:val="24"/>
            <w:u w:val="single"/>
            <w:lang w:val="en-US"/>
          </w:rPr>
          <w:t>http://www.atsdr.cdc.gov/toxprofiles/tp.asp?id=72&amp;tid=19</w:t>
        </w:r>
      </w:hyperlink>
    </w:p>
    <w:p w:rsidR="0089405D" w:rsidRDefault="003468E2">
      <w:pPr>
        <w:pStyle w:val="Paragraphedeliste"/>
        <w:numPr>
          <w:ilvl w:val="0"/>
          <w:numId w:val="43"/>
        </w:numPr>
        <w:spacing w:line="312" w:lineRule="auto"/>
        <w:jc w:val="both"/>
        <w:rPr>
          <w:rFonts w:cs="Calibri"/>
          <w:color w:val="0070C0"/>
          <w:sz w:val="24"/>
          <w:szCs w:val="24"/>
          <w:lang w:val="fr-FR" w:eastAsia="fr-FR"/>
        </w:rPr>
      </w:pPr>
      <w:r>
        <w:rPr>
          <w:rFonts w:cs="Calibri"/>
          <w:sz w:val="24"/>
          <w:szCs w:val="24"/>
          <w:lang w:eastAsia="fr-FR"/>
        </w:rPr>
        <w:t xml:space="preserve">Bahati, C.; Amani C.; Kaboni, N.; Mangambu, M.; Ushindi C. &amp; Mulwa, G (2016). Forest management and water in the Democratic Rupublic of Congo. In: Forest Management </w:t>
      </w:r>
      <w:r>
        <w:rPr>
          <w:rFonts w:cs="Calibri"/>
          <w:sz w:val="24"/>
          <w:szCs w:val="24"/>
          <w:lang w:eastAsia="fr-FR"/>
        </w:rPr>
        <w:lastRenderedPageBreak/>
        <w:t xml:space="preserve">and the impact on water resources: a review of 13 countries IHP - VIII / Technical document Nº 37 Latin America and the Caribbean (Pablo A. Garcia-Chevesich, Daniel G. Neary, David F. Scott, Richard G. Benyon, and Teresa Reyna. </w:t>
      </w:r>
      <w:r>
        <w:rPr>
          <w:rFonts w:cs="Calibri"/>
          <w:sz w:val="24"/>
          <w:szCs w:val="24"/>
          <w:lang w:val="fr-FR" w:eastAsia="fr-FR"/>
        </w:rPr>
        <w:t xml:space="preserve">(Eds.) , pp.67-86. UNESCO, Paris, France. </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 xml:space="preserve">Becker, H. &amp; Vanclay, F. (2018). The International Handbook of Social Impact Assessment: Concept and Methodological Advances. </w:t>
      </w:r>
      <w:r>
        <w:rPr>
          <w:rFonts w:cs="Calibri"/>
          <w:sz w:val="24"/>
          <w:szCs w:val="24"/>
        </w:rPr>
        <w:t>Edward Algar. Cheltenham UK. pp. 74-91</w:t>
      </w:r>
    </w:p>
    <w:p w:rsidR="0089405D" w:rsidRDefault="003468E2">
      <w:pPr>
        <w:pStyle w:val="Sansinterligne"/>
        <w:numPr>
          <w:ilvl w:val="0"/>
          <w:numId w:val="43"/>
        </w:numPr>
        <w:spacing w:line="312" w:lineRule="auto"/>
        <w:jc w:val="both"/>
        <w:rPr>
          <w:rFonts w:cs="Calibri"/>
          <w:sz w:val="24"/>
          <w:szCs w:val="24"/>
          <w:lang w:val="en-US"/>
        </w:rPr>
      </w:pPr>
      <w:r>
        <w:rPr>
          <w:rFonts w:eastAsia="Times New Roman" w:cs="Calibri"/>
          <w:sz w:val="24"/>
          <w:szCs w:val="24"/>
          <w:lang w:val="en-US"/>
        </w:rPr>
        <w:t xml:space="preserve">Bengtsson, B. E.; Carlin, C. H. ; Larsson, Å. &amp; Svanberg, O. (1975). </w:t>
      </w:r>
      <w:r>
        <w:rPr>
          <w:rFonts w:eastAsia="Times New Roman" w:cs="Calibri"/>
          <w:iCs/>
          <w:sz w:val="24"/>
          <w:szCs w:val="24"/>
          <w:lang w:val="en-US"/>
        </w:rPr>
        <w:t>Vertebral damage in minnows, Phoxinus phoxinus L., exposed to cadmium</w:t>
      </w:r>
      <w:r>
        <w:rPr>
          <w:rFonts w:eastAsia="Times New Roman" w:cs="Calibri"/>
          <w:sz w:val="24"/>
          <w:szCs w:val="24"/>
          <w:lang w:val="en-US"/>
        </w:rPr>
        <w:t xml:space="preserve">, </w:t>
      </w:r>
      <w:r>
        <w:rPr>
          <w:rFonts w:eastAsia="Times New Roman" w:cs="Calibri"/>
          <w:iCs/>
          <w:sz w:val="24"/>
          <w:szCs w:val="24"/>
          <w:lang w:val="en-US"/>
        </w:rPr>
        <w:t>Ambio</w:t>
      </w:r>
      <w:r>
        <w:rPr>
          <w:rFonts w:eastAsia="Times New Roman" w:cs="Calibri"/>
          <w:sz w:val="24"/>
          <w:szCs w:val="24"/>
          <w:lang w:val="en-US"/>
        </w:rPr>
        <w:t>, 166-168;</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Bonneuil, C. ; Pessis, C. ; Topcçu, S. &amp; others (2013). Une autre histoire des "Trente Glorieuses" : Modernisation, contestations et pollutions dans la France d’après-guerre. Paris, La Découverte </w:t>
      </w:r>
    </w:p>
    <w:p w:rsidR="0089405D" w:rsidRDefault="003468E2">
      <w:pPr>
        <w:pStyle w:val="Sansinterligne"/>
        <w:numPr>
          <w:ilvl w:val="0"/>
          <w:numId w:val="43"/>
        </w:numPr>
        <w:spacing w:line="312" w:lineRule="auto"/>
        <w:jc w:val="both"/>
        <w:rPr>
          <w:rFonts w:cs="Calibri"/>
          <w:sz w:val="24"/>
          <w:szCs w:val="24"/>
          <w:lang w:val="en-US"/>
        </w:rPr>
      </w:pPr>
      <w:r>
        <w:rPr>
          <w:rFonts w:eastAsia="Calibri" w:cs="Calibri"/>
          <w:sz w:val="24"/>
          <w:szCs w:val="24"/>
          <w:lang w:eastAsia="en-US"/>
        </w:rPr>
        <w:t xml:space="preserve">Boularbah, A. ; Schwartz, C.; Bitton, G. et Morel J. L. (2006). </w:t>
      </w:r>
      <w:r>
        <w:rPr>
          <w:rFonts w:eastAsia="Calibri" w:cs="Calibri"/>
          <w:sz w:val="24"/>
          <w:szCs w:val="24"/>
          <w:lang w:val="en-US" w:eastAsia="en-US"/>
        </w:rPr>
        <w:t xml:space="preserve">Heavy metal contamination from mining sites in South Morocco: 1. Use of a biotest to assess metal toxicity of tailings and soils. </w:t>
      </w:r>
      <w:r>
        <w:rPr>
          <w:rFonts w:eastAsia="Calibri" w:cs="Calibri"/>
          <w:iCs/>
          <w:sz w:val="24"/>
          <w:szCs w:val="24"/>
          <w:lang w:val="en-US" w:eastAsia="en-US"/>
        </w:rPr>
        <w:t xml:space="preserve">Chemosphere </w:t>
      </w:r>
      <w:r>
        <w:rPr>
          <w:rFonts w:eastAsia="Calibri" w:cs="Calibri"/>
          <w:sz w:val="24"/>
          <w:szCs w:val="24"/>
          <w:lang w:val="en-US" w:eastAsia="en-US"/>
        </w:rPr>
        <w:t>63: 802-810</w:t>
      </w:r>
    </w:p>
    <w:p w:rsidR="0089405D" w:rsidRDefault="003468E2">
      <w:pPr>
        <w:pStyle w:val="Sansinterligne"/>
        <w:numPr>
          <w:ilvl w:val="0"/>
          <w:numId w:val="43"/>
        </w:numPr>
        <w:spacing w:line="312" w:lineRule="auto"/>
        <w:jc w:val="both"/>
        <w:rPr>
          <w:rFonts w:cs="Calibri"/>
          <w:sz w:val="24"/>
          <w:szCs w:val="24"/>
        </w:rPr>
      </w:pPr>
      <w:r>
        <w:rPr>
          <w:rFonts w:eastAsia="Calibri" w:cs="Calibri"/>
          <w:sz w:val="24"/>
          <w:szCs w:val="24"/>
          <w:lang w:val="en-US" w:eastAsia="en-US"/>
        </w:rPr>
        <w:t xml:space="preserve">Brereton, D. (2004). </w:t>
      </w:r>
      <w:r>
        <w:rPr>
          <w:rFonts w:eastAsia="Calibri" w:cs="Calibri"/>
          <w:iCs/>
          <w:sz w:val="24"/>
          <w:szCs w:val="24"/>
          <w:lang w:val="en-US" w:eastAsia="en-US"/>
        </w:rPr>
        <w:t xml:space="preserve">Promoting sustainable development in the minerais industry: a multidisciplinary approach. </w:t>
      </w:r>
      <w:r>
        <w:rPr>
          <w:rFonts w:eastAsia="Calibri" w:cs="Calibri"/>
          <w:sz w:val="24"/>
          <w:szCs w:val="24"/>
          <w:lang w:eastAsia="en-US"/>
        </w:rPr>
        <w:t>Centre for Social Responsibility in Mining</w:t>
      </w:r>
    </w:p>
    <w:p w:rsidR="0089405D" w:rsidRDefault="003468E2">
      <w:pPr>
        <w:pStyle w:val="Sansinterligne"/>
        <w:numPr>
          <w:ilvl w:val="0"/>
          <w:numId w:val="43"/>
        </w:numPr>
        <w:spacing w:line="312" w:lineRule="auto"/>
        <w:jc w:val="both"/>
        <w:rPr>
          <w:rFonts w:cs="Calibri"/>
          <w:sz w:val="24"/>
          <w:szCs w:val="24"/>
        </w:rPr>
      </w:pPr>
      <w:r>
        <w:rPr>
          <w:rFonts w:eastAsia="Calibri" w:cs="Calibri"/>
          <w:sz w:val="24"/>
          <w:szCs w:val="24"/>
          <w:lang w:val="en-US" w:eastAsia="en-US"/>
        </w:rPr>
        <w:t xml:space="preserve">Bridge, G. (2004). Contested terrain: Mining and the environment. </w:t>
      </w:r>
      <w:r>
        <w:rPr>
          <w:rFonts w:eastAsia="Calibri" w:cs="Calibri"/>
          <w:iCs/>
          <w:sz w:val="24"/>
          <w:szCs w:val="24"/>
          <w:lang w:eastAsia="en-US"/>
        </w:rPr>
        <w:t xml:space="preserve">Annual Review of Environment and Resources </w:t>
      </w:r>
      <w:r>
        <w:rPr>
          <w:rFonts w:eastAsia="Calibri" w:cs="Calibri"/>
          <w:sz w:val="24"/>
          <w:szCs w:val="24"/>
          <w:lang w:eastAsia="en-US"/>
        </w:rPr>
        <w:t>29: 205-259 </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Bryceson, D. F. &amp; Jønsson, J. B. (2010). Gold digging careers in rural east africa : Small-scale miners’ livelihood choices. World Development, 38(3):379–392</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 xml:space="preserve">Busse, M. &amp; Gröning, S. (2013). The resource curse revisited: governance and natural resources. Public Choice, 154(1-2):1–20. </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 xml:space="preserve">Hinton J, Veiga MM &amp; Beinhoff C (2003b). Women, mercury and artisanal gold mining: risk communication and mitigation. </w:t>
      </w:r>
      <w:r>
        <w:rPr>
          <w:rFonts w:cs="Calibri"/>
          <w:sz w:val="24"/>
          <w:szCs w:val="24"/>
        </w:rPr>
        <w:t>Journal de Physique IV. 107: 617-620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Busse, M.; Erdogan, C. &amp; Mühlen, H. (2016). China’s Impact on Africa – TheRole of Trade, FDI and Aid. Kyklos, 69(2):228–262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Coleman J.; Guven, B.; Johnson L. &amp; Sachs, L. (2018). What do we mean by investment facilitation? Columbia Center on Sustainable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rPr>
        <w:t xml:space="preserve">Cordero B.; Gómez V.; Platero-Prats A.E.; Revés M. ; Echeverría J.; Cremades E. ; Barragán F. et Alvarez S. (2008).  </w:t>
      </w:r>
      <w:r>
        <w:rPr>
          <w:rFonts w:cs="Calibri"/>
          <w:sz w:val="24"/>
          <w:szCs w:val="24"/>
          <w:lang w:val="en-US"/>
        </w:rPr>
        <w:t xml:space="preserve">Covalent radii revisited. Dalton Transactions,‎ 2008, 2832 - 2838 p.  </w:t>
      </w:r>
      <w:hyperlink r:id="rId103" w:history="1">
        <w:r>
          <w:rPr>
            <w:rStyle w:val="Lienhypertexte"/>
            <w:rFonts w:cs="Calibri"/>
            <w:sz w:val="24"/>
            <w:szCs w:val="24"/>
            <w:lang w:val="en-US"/>
          </w:rPr>
          <w:t>https://doi.org/10.1039/b801115j</w:t>
        </w:r>
      </w:hyperlink>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David R.  (2009). Handbook of Chemistry and Physics, CRC Press Inc, 2009, 90e éd., 2804 p. ISBN 978-1-420-09084-0</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lastRenderedPageBreak/>
        <w:t>Dialga I. (2017). Un développement durable fondé sur l’exploitation minière est-il envisageable ? Élaboration d’un Indice de Soutenabilité des Pays Miniers appliqué au Burkina Faso et au Niger, Thèse de Doctorat, Université Bretagne Loire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Dulski T. R (1996), A manual for the chemical analysis of metals, vol. 25, ASTM International, 251 p. ISBN 0803120664</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 xml:space="preserve">Ekele M. &amp; Mangambu M., (2020). Feuilleton sur l’exploitation des minerais par la société Xiang Jiang Mining sarl, une entreprise chinoise a Basoko (Province de la Tshopo, RD Congo). Edition les Ekeles, Kinshansa, 1- 6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Gibaud S. et Jaouen G. (2010), « Arsenic - based drugs: from Fowler’s solution to modern anticancer chemotherapy ». Topics in Organometallic Chemistry 321-20 </w:t>
      </w:r>
      <w:hyperlink r:id="rId104" w:history="1">
        <w:r>
          <w:rPr>
            <w:rFonts w:cs="Calibri"/>
            <w:color w:val="0563C1"/>
            <w:sz w:val="24"/>
            <w:szCs w:val="24"/>
            <w:u w:val="single"/>
            <w:lang w:val="en-US"/>
          </w:rPr>
          <w:t>https://doi.org/10.1007/978-3-642-13185-1_1</w:t>
        </w:r>
      </w:hyperlink>
      <w:r>
        <w:rPr>
          <w:rFonts w:cs="Calibri"/>
          <w:color w:val="0563C1"/>
          <w:sz w:val="24"/>
          <w:szCs w:val="24"/>
          <w:u w:val="single"/>
          <w:lang w:val="en-US"/>
        </w:rPr>
        <w:t xml:space="preserve">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Glasson, J. &amp; Therivel, R. (2013). Introduction to environmental impact assessment (4th ed.). London: Routledge. </w:t>
      </w:r>
    </w:p>
    <w:p w:rsidR="0089405D" w:rsidRDefault="003468E2">
      <w:pPr>
        <w:pStyle w:val="Sansinterligne"/>
        <w:numPr>
          <w:ilvl w:val="0"/>
          <w:numId w:val="43"/>
        </w:numPr>
        <w:spacing w:line="312" w:lineRule="auto"/>
        <w:jc w:val="both"/>
        <w:rPr>
          <w:rFonts w:cs="Calibri"/>
          <w:sz w:val="24"/>
          <w:szCs w:val="24"/>
        </w:rPr>
      </w:pPr>
      <w:r>
        <w:rPr>
          <w:rFonts w:eastAsia="Times New Roman" w:cs="Calibri"/>
          <w:sz w:val="24"/>
          <w:szCs w:val="24"/>
        </w:rPr>
        <w:t xml:space="preserve">Goullé J-P. ;  Saussereau E. ;  Mahieu L. ; Bouige D. ; Guerbet M. &amp; Lacroix C. (2010). </w:t>
      </w:r>
      <w:r>
        <w:rPr>
          <w:rFonts w:eastAsia="Times New Roman" w:cs="Calibri"/>
          <w:iCs/>
          <w:sz w:val="24"/>
          <w:szCs w:val="24"/>
        </w:rPr>
        <w:t>Une nouvelle approche biologique : le profil métallique</w:t>
      </w:r>
      <w:r>
        <w:rPr>
          <w:rFonts w:eastAsia="Times New Roman" w:cs="Calibri"/>
          <w:sz w:val="24"/>
          <w:szCs w:val="24"/>
        </w:rPr>
        <w:t xml:space="preserve">, </w:t>
      </w:r>
      <w:r>
        <w:rPr>
          <w:rFonts w:eastAsia="Times New Roman" w:cs="Calibri"/>
          <w:iCs/>
          <w:sz w:val="24"/>
          <w:szCs w:val="24"/>
        </w:rPr>
        <w:t>Annales de Biologie Clinique</w:t>
      </w:r>
      <w:r>
        <w:rPr>
          <w:rFonts w:eastAsia="Times New Roman" w:cs="Calibri"/>
          <w:sz w:val="24"/>
          <w:szCs w:val="24"/>
        </w:rPr>
        <w:t>, vol. 68, n</w:t>
      </w:r>
      <w:r>
        <w:rPr>
          <w:rFonts w:eastAsia="Times New Roman" w:cs="Calibri"/>
          <w:sz w:val="24"/>
          <w:szCs w:val="24"/>
          <w:vertAlign w:val="superscript"/>
        </w:rPr>
        <w:t>o</w:t>
      </w:r>
      <w:r>
        <w:rPr>
          <w:rFonts w:eastAsia="Times New Roman" w:cs="Calibri"/>
          <w:sz w:val="24"/>
          <w:szCs w:val="24"/>
        </w:rPr>
        <w:t xml:space="preserve"> 4, p. 429-440, juillet-août 2010, </w:t>
      </w:r>
      <w:r>
        <w:rPr>
          <w:color w:val="0070C0"/>
          <w:sz w:val="24"/>
          <w:szCs w:val="24"/>
          <w:u w:val="single"/>
        </w:rPr>
        <w:t>https://doi.org/</w:t>
      </w:r>
      <w:hyperlink r:id="rId105" w:history="1">
        <w:r>
          <w:rPr>
            <w:rFonts w:eastAsia="Times New Roman" w:cs="Calibri"/>
            <w:color w:val="0070C0"/>
            <w:sz w:val="24"/>
            <w:szCs w:val="24"/>
            <w:u w:val="single"/>
          </w:rPr>
          <w:t>10.1684/abc.2010.0442</w:t>
        </w:r>
      </w:hyperlink>
      <w:r>
        <w:rPr>
          <w:rFonts w:eastAsia="Times New Roman" w:cs="Calibri"/>
          <w:color w:val="0070C0"/>
          <w:sz w:val="24"/>
          <w:szCs w:val="24"/>
        </w:rPr>
        <w:t> </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 xml:space="preserve">Hamadouche A et Slimani M. (2017) Toxicité du plomb et fertilité Toxicologie-clinique. Laboratoire de biochimie appliquée / département de biologie </w:t>
      </w:r>
    </w:p>
    <w:p w:rsidR="0089405D" w:rsidRDefault="003468E2">
      <w:pPr>
        <w:pStyle w:val="Sansinterligne"/>
        <w:numPr>
          <w:ilvl w:val="0"/>
          <w:numId w:val="43"/>
        </w:numPr>
        <w:spacing w:line="312" w:lineRule="auto"/>
        <w:jc w:val="both"/>
        <w:rPr>
          <w:rFonts w:cs="Calibri"/>
          <w:sz w:val="24"/>
          <w:szCs w:val="24"/>
          <w:lang w:val="en-US"/>
        </w:rPr>
      </w:pPr>
      <w:r>
        <w:rPr>
          <w:rFonts w:eastAsia="Times New Roman" w:cs="Calibri"/>
          <w:sz w:val="24"/>
          <w:szCs w:val="24"/>
        </w:rPr>
        <w:t xml:space="preserve">Heanmaire L. ; Patti F. ; Gros R. ; Cappelini L. ; Garcet M. &amp; La-Porte J (1976). Rapport, CEA-R-4800. Fontenay-aux-Roses : Centre d’Études Nucléaires, n.p. Nriagu J.O. (1980), « Human influence on the global cadmium cycle ». </w:t>
      </w:r>
      <w:r>
        <w:rPr>
          <w:rFonts w:eastAsia="Times New Roman" w:cs="Calibri"/>
          <w:sz w:val="24"/>
          <w:szCs w:val="24"/>
          <w:lang w:val="en-US"/>
        </w:rPr>
        <w:t xml:space="preserve">Dans Nriagu J.O. Éd., </w:t>
      </w:r>
      <w:r>
        <w:rPr>
          <w:rFonts w:eastAsia="Times New Roman" w:cs="Calibri"/>
          <w:iCs/>
          <w:sz w:val="24"/>
          <w:szCs w:val="24"/>
          <w:lang w:val="en-US"/>
        </w:rPr>
        <w:t>Cadmium in the Environment</w:t>
      </w:r>
      <w:r>
        <w:rPr>
          <w:rFonts w:eastAsia="Times New Roman" w:cs="Calibri"/>
          <w:sz w:val="24"/>
          <w:szCs w:val="24"/>
          <w:lang w:val="en-US"/>
        </w:rPr>
        <w:t>, Part I, New York, John Wiley, p. 2-12</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Hugues de Thé (2017).  Differentiation Therapy Revisited. Nature Reviews Cancer 18 (2) 117-127, </w:t>
      </w:r>
      <w:r>
        <w:rPr>
          <w:rFonts w:cs="Calibri"/>
          <w:color w:val="0070C0"/>
          <w:sz w:val="24"/>
          <w:szCs w:val="24"/>
          <w:u w:val="single"/>
          <w:lang w:val="en-US"/>
        </w:rPr>
        <w:t>https://doi.org/10.1038/nrc.2017.103</w:t>
      </w:r>
    </w:p>
    <w:p w:rsidR="0089405D" w:rsidRDefault="003468E2">
      <w:pPr>
        <w:pStyle w:val="Sansinterligne"/>
        <w:numPr>
          <w:ilvl w:val="0"/>
          <w:numId w:val="43"/>
        </w:numPr>
        <w:spacing w:line="312" w:lineRule="auto"/>
        <w:jc w:val="both"/>
        <w:rPr>
          <w:rFonts w:cs="Calibri"/>
          <w:sz w:val="24"/>
          <w:szCs w:val="24"/>
          <w:lang w:val="en-US"/>
        </w:rPr>
      </w:pPr>
      <w:r>
        <w:rPr>
          <w:rFonts w:eastAsia="Times New Roman" w:cs="Calibri"/>
          <w:sz w:val="24"/>
          <w:szCs w:val="24"/>
          <w:lang w:val="en-US"/>
        </w:rPr>
        <w:t xml:space="preserve">Jackson, A. P. &amp; Alloway, B. J. (2017). </w:t>
      </w:r>
      <w:r>
        <w:rPr>
          <w:rFonts w:eastAsia="Times New Roman" w:cs="Calibri"/>
          <w:iCs/>
          <w:sz w:val="24"/>
          <w:szCs w:val="24"/>
          <w:lang w:val="en-US"/>
        </w:rPr>
        <w:t>The transfer of cadmium from agricultural soils to the human food chain</w:t>
      </w:r>
      <w:r>
        <w:rPr>
          <w:rFonts w:eastAsia="Times New Roman" w:cs="Calibri"/>
          <w:sz w:val="24"/>
          <w:szCs w:val="24"/>
          <w:lang w:val="en-US"/>
        </w:rPr>
        <w:t xml:space="preserve">. Dans </w:t>
      </w:r>
      <w:r>
        <w:rPr>
          <w:rFonts w:eastAsia="Times New Roman" w:cs="Calibri"/>
          <w:iCs/>
          <w:sz w:val="24"/>
          <w:szCs w:val="24"/>
          <w:lang w:val="en-US"/>
        </w:rPr>
        <w:t>Biogeochemistry of trace metals</w:t>
      </w:r>
      <w:r>
        <w:rPr>
          <w:rFonts w:eastAsia="Times New Roman" w:cs="Calibri"/>
          <w:sz w:val="24"/>
          <w:szCs w:val="24"/>
          <w:lang w:val="en-US"/>
        </w:rPr>
        <w:t>, p. 121-170, CRC Press</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Kemp, D. (2009). Community Relations in the Global Mining Industry: Exploring the Internal Dimensions of Externally Orientated Work, Corporate Social Responsibility and Environmental Management. Ministerial Council on Mineral and Petroleum Resources (MCMPR). 2005. Principles of Engagement with Communities and Stakeholders. Canberra</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shd w:val="clear" w:color="auto" w:fill="FFFFFF"/>
          <w:lang w:val="en-US"/>
        </w:rPr>
        <w:t>LaDou J. &amp; Harrison R. (2014). Current Occupational &amp; Environmental Medicine, Fifth Edition, McGraw-Hill Education, USA</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lastRenderedPageBreak/>
        <w:t>Lanmafankpotin, G. ; André, P. ; Samoura, K. ; Côté, L. ;  Beaudet, R. ; &amp; Bernier, M. (2013). La participation publique dans l’évaluation environnementale en Afrique francophone. Québec, Institut de la Francophonie pour le développement durable. Points de repère No. 23</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 xml:space="preserve">Lu JL (2012). Occupational health and safety in small scale mining: focus on women workers in the Philippines. </w:t>
      </w:r>
      <w:r>
        <w:rPr>
          <w:rFonts w:cs="Calibri"/>
          <w:sz w:val="24"/>
          <w:szCs w:val="24"/>
        </w:rPr>
        <w:t>Journal of International Women's Studies. 13(3): 103-113 ;</w:t>
      </w:r>
    </w:p>
    <w:p w:rsidR="0089405D" w:rsidRDefault="003468E2">
      <w:pPr>
        <w:pStyle w:val="Sansinterligne"/>
        <w:numPr>
          <w:ilvl w:val="0"/>
          <w:numId w:val="43"/>
        </w:numPr>
        <w:spacing w:line="312" w:lineRule="auto"/>
        <w:ind w:left="714" w:hanging="357"/>
        <w:jc w:val="both"/>
        <w:rPr>
          <w:rFonts w:cs="Calibri"/>
          <w:b/>
          <w:sz w:val="24"/>
          <w:szCs w:val="24"/>
        </w:rPr>
      </w:pPr>
      <w:r>
        <w:rPr>
          <w:rFonts w:cs="Calibri"/>
          <w:sz w:val="24"/>
          <w:szCs w:val="24"/>
        </w:rPr>
        <w:t xml:space="preserve">Mangambu M. ; Aruna S. ; Byalungwe M. ; Lubula B. ; Lwimo M. ; Mushangalusa K.&amp; Kambale K. (2021b). Savoir Traditionnel et Conservation de la Biodiversité dans le Rift Albertin: cas des Peuples Pygmée et Lega Riverains de la Réserve Naturelle d’Itombwe à l’Est de la RD Congo. European Scientific Journal, ESJ, 17 (32), 319. </w:t>
      </w:r>
      <w:hyperlink r:id="rId106" w:history="1">
        <w:r>
          <w:rPr>
            <w:rStyle w:val="Lienhypertexte"/>
            <w:rFonts w:cs="Calibri"/>
            <w:sz w:val="24"/>
            <w:szCs w:val="24"/>
          </w:rPr>
          <w:t>https://doi.org/10.19044/esj.2021.v17n32p319</w:t>
        </w:r>
      </w:hyperlink>
    </w:p>
    <w:p w:rsidR="0089405D" w:rsidRDefault="003468E2">
      <w:pPr>
        <w:pStyle w:val="Sansinterligne"/>
        <w:numPr>
          <w:ilvl w:val="0"/>
          <w:numId w:val="43"/>
        </w:numPr>
        <w:spacing w:line="312" w:lineRule="auto"/>
        <w:jc w:val="both"/>
        <w:rPr>
          <w:rStyle w:val="Lienhypertexte"/>
          <w:rFonts w:cs="Calibri"/>
          <w:color w:val="auto"/>
          <w:sz w:val="24"/>
          <w:szCs w:val="24"/>
          <w:u w:val="none"/>
        </w:rPr>
      </w:pPr>
      <w:r>
        <w:rPr>
          <w:rFonts w:cs="Calibri"/>
          <w:sz w:val="24"/>
          <w:szCs w:val="24"/>
        </w:rPr>
        <w:t xml:space="preserve">Mangambu M. ; Asimbo B. &amp; Ekele M., (2021a). regards sur les impacts environnementaux de projet d’exploitation minière semi - industrielle dans le bassin du Congo : cas de la rivière Aruwimi (Territoire De Basoko, RD Congo). European Scientific Journal, Sciences Humaines, 17 (29) : 330-363, </w:t>
      </w:r>
      <w:hyperlink r:id="rId107" w:history="1">
        <w:r>
          <w:rPr>
            <w:rStyle w:val="Lienhypertexte"/>
            <w:rFonts w:cs="Calibri"/>
            <w:sz w:val="24"/>
            <w:szCs w:val="24"/>
          </w:rPr>
          <w:t>https://doi.org/10.19044/esj.2021.v17n29p328</w:t>
        </w:r>
      </w:hyperlink>
    </w:p>
    <w:p w:rsidR="0089405D" w:rsidRDefault="003468E2">
      <w:pPr>
        <w:pStyle w:val="Paragraphedeliste"/>
        <w:numPr>
          <w:ilvl w:val="0"/>
          <w:numId w:val="43"/>
        </w:numPr>
        <w:spacing w:line="312" w:lineRule="auto"/>
        <w:ind w:left="714" w:hanging="357"/>
        <w:jc w:val="both"/>
        <w:rPr>
          <w:rFonts w:cs="Calibri"/>
          <w:sz w:val="24"/>
          <w:szCs w:val="24"/>
          <w:lang w:eastAsia="fr-FR"/>
        </w:rPr>
      </w:pPr>
      <w:r>
        <w:rPr>
          <w:rFonts w:cs="Calibri"/>
          <w:sz w:val="24"/>
          <w:szCs w:val="24"/>
          <w:lang w:eastAsia="fr-FR"/>
        </w:rPr>
        <w:t xml:space="preserve">Mangambu, M.; Ntahobavuka, H.; Basinyize, B.; Lokumu, I. &amp; Robbrecht, E. (2018a). Pteridaie: indicator of the vegetation succession and dynamics in the forests Chablis and Edges in Kahuzi-Biega National Park (Eastern D. R. Congo, Albertine Rift). International Journal of Biological Research, 6 (1) 5-13. </w:t>
      </w:r>
      <w:r>
        <w:rPr>
          <w:rFonts w:cs="Calibri"/>
          <w:color w:val="0070C0"/>
          <w:sz w:val="24"/>
          <w:szCs w:val="24"/>
          <w:u w:val="single"/>
          <w:lang w:eastAsia="fr-FR"/>
        </w:rPr>
        <w:t>http://dx.doi.org/10.14419/ijbr.v6i1.9241</w:t>
      </w:r>
    </w:p>
    <w:p w:rsidR="0089405D" w:rsidRDefault="003468E2">
      <w:pPr>
        <w:pStyle w:val="Paragraphedeliste"/>
        <w:numPr>
          <w:ilvl w:val="0"/>
          <w:numId w:val="43"/>
        </w:numPr>
        <w:spacing w:line="312" w:lineRule="auto"/>
        <w:ind w:left="714" w:hanging="357"/>
        <w:jc w:val="both"/>
        <w:rPr>
          <w:rFonts w:cs="Calibri"/>
          <w:sz w:val="24"/>
          <w:szCs w:val="24"/>
          <w:lang w:val="fr-FR" w:eastAsia="fr-FR"/>
        </w:rPr>
      </w:pPr>
      <w:r>
        <w:rPr>
          <w:rFonts w:cs="Calibri"/>
          <w:sz w:val="24"/>
          <w:szCs w:val="24"/>
          <w:lang w:eastAsia="fr-FR"/>
        </w:rPr>
        <w:t xml:space="preserve">Mangambu, M.; Gala, B.;  Cubaka, K.; Imani, M.; Mushagalusa,  K.;  Muyisa, K.;  Robbrecht, E.; van Ruurd, D.; Nyakabwa, M. &amp; Ntahobavuka, H. (2018b). </w:t>
      </w:r>
      <w:r>
        <w:rPr>
          <w:rFonts w:cs="Calibri"/>
          <w:sz w:val="24"/>
          <w:szCs w:val="24"/>
          <w:lang w:val="fr-FR" w:eastAsia="fr-FR"/>
        </w:rPr>
        <w:t xml:space="preserve">Diversité floristique, succession et dynamique des jachères post-culturales de la localité de Mbobero (Kabare, Sud-Kivu, RD Congo). Annales des Sciences et des Sciences Appliquées, vol. 4(3), 36-67 </w:t>
      </w:r>
      <w:hyperlink r:id="rId108" w:history="1">
        <w:r>
          <w:rPr>
            <w:rStyle w:val="Lienhypertexte"/>
            <w:rFonts w:cs="Calibri"/>
            <w:sz w:val="24"/>
            <w:szCs w:val="24"/>
            <w:lang w:val="fr-FR" w:eastAsia="fr-FR"/>
          </w:rPr>
          <w:t>https://www.friscris.be/en/publications/diversite-floristique-succession-et-dynamique-des-jacheres-postculturales-de-la-localite-de-mbobero-kabare-sudkivu-rd-congo(075705b1-cda5-45a1-af90-768517127832).html</w:t>
        </w:r>
      </w:hyperlink>
    </w:p>
    <w:p w:rsidR="0089405D" w:rsidRDefault="003468E2">
      <w:pPr>
        <w:pStyle w:val="Sansinterligne"/>
        <w:numPr>
          <w:ilvl w:val="0"/>
          <w:numId w:val="43"/>
        </w:numPr>
        <w:spacing w:line="312" w:lineRule="auto"/>
        <w:jc w:val="both"/>
        <w:rPr>
          <w:rFonts w:cs="Calibri"/>
          <w:sz w:val="24"/>
          <w:szCs w:val="24"/>
        </w:rPr>
      </w:pPr>
      <w:r>
        <w:rPr>
          <w:rFonts w:cs="Calibri"/>
          <w:sz w:val="24"/>
          <w:szCs w:val="24"/>
        </w:rPr>
        <w:t xml:space="preserve">Mangambu, M. (2020). Elément Population, Environnement et Développement, Université de CEPROMAD Bukavu/Sud-Kivu, Bukavu    </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Mangambu, M. ; Habiyaremye, F. ; Lina, A. &amp; Ntahobavuka, H. (2010).  L'importance du groupement à Cyathea manniana Hook. dans la biodiversité du Parc National de Kahuzi -Biega, R. D. Congo. Geo-Eco-Trop, 34 (1/2): 45-63 </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lastRenderedPageBreak/>
        <w:t xml:space="preserve">Mercier J.R. &amp; Bekhechi M. A. (2003). L’évaluation environnementale: un outil majeur du développement durable. Revue africaine de gestion et d’évaluation environnementales 5, 102–139. </w:t>
      </w:r>
      <w:hyperlink r:id="rId109" w:history="1">
        <w:r>
          <w:rPr>
            <w:rFonts w:cs="Calibri"/>
            <w:color w:val="0070C0"/>
            <w:sz w:val="24"/>
            <w:szCs w:val="24"/>
            <w:u w:val="single"/>
          </w:rPr>
          <w:t>http://www.ajeam-ragee.org/vol5p102t139.htm</w:t>
        </w:r>
      </w:hyperlink>
      <w:r>
        <w:rPr>
          <w:rFonts w:cs="Calibri"/>
          <w:color w:val="0070C0"/>
          <w:sz w:val="24"/>
          <w:szCs w:val="24"/>
          <w:u w:val="single"/>
        </w:rPr>
        <w:t xml:space="preserve"> </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Ministère de L’environnement, de L’agriculture et de L’Elevage du Burundi (2019). Plan d´Action National pour réduire et / ou éliminer l’utilisation du mercure dans l’Extraction Minière Artisanale et à Petite échelle de l’or au Burundi (PAN). Rapport ministeriel, 109 p </w:t>
      </w:r>
    </w:p>
    <w:p w:rsidR="0089405D" w:rsidRDefault="003468E2">
      <w:pPr>
        <w:pStyle w:val="Sansinterligne"/>
        <w:numPr>
          <w:ilvl w:val="0"/>
          <w:numId w:val="43"/>
        </w:numPr>
        <w:spacing w:line="312" w:lineRule="auto"/>
        <w:jc w:val="both"/>
        <w:rPr>
          <w:rFonts w:cs="Calibri"/>
          <w:sz w:val="24"/>
          <w:szCs w:val="24"/>
        </w:rPr>
      </w:pPr>
      <w:r>
        <w:rPr>
          <w:rFonts w:cs="Calibri"/>
          <w:sz w:val="24"/>
          <w:szCs w:val="24"/>
          <w:shd w:val="clear" w:color="auto" w:fill="FFFFFF"/>
        </w:rPr>
        <w:t>Mokili, K.E (2016). Qualité et mode de gestion de l’eau consommée en milieu rural en RDC. Cas de la ville Urbano-rurale de Basoko. Mémoire de DES inédite UNIKIS</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Murphy C.A, Coover D. O. &amp;   Steven V. (1989). Educational and Psychological Measurement 49(4):893-899.  </w:t>
      </w:r>
      <w:r>
        <w:rPr>
          <w:rFonts w:cs="Calibri"/>
          <w:color w:val="0070C0"/>
          <w:sz w:val="24"/>
          <w:szCs w:val="24"/>
          <w:lang w:val="en-US"/>
        </w:rPr>
        <w:t xml:space="preserve"> </w:t>
      </w:r>
      <w:hyperlink r:id="rId110" w:history="1">
        <w:r>
          <w:rPr>
            <w:rFonts w:cs="Calibri"/>
            <w:color w:val="0070C0"/>
            <w:sz w:val="24"/>
            <w:szCs w:val="24"/>
            <w:u w:val="single"/>
            <w:lang w:val="en-US"/>
          </w:rPr>
          <w:t>https://doi.org/10.1177/001316448904900412</w:t>
        </w:r>
      </w:hyperlink>
    </w:p>
    <w:p w:rsidR="0089405D" w:rsidRDefault="003468E2">
      <w:pPr>
        <w:pStyle w:val="Sansinterligne"/>
        <w:numPr>
          <w:ilvl w:val="0"/>
          <w:numId w:val="43"/>
        </w:numPr>
        <w:spacing w:line="312" w:lineRule="auto"/>
        <w:jc w:val="both"/>
        <w:rPr>
          <w:rFonts w:cs="Calibri"/>
          <w:sz w:val="24"/>
          <w:szCs w:val="24"/>
        </w:rPr>
      </w:pPr>
      <w:r>
        <w:rPr>
          <w:rFonts w:cs="Calibri"/>
          <w:sz w:val="24"/>
          <w:szCs w:val="24"/>
        </w:rPr>
        <w:t xml:space="preserve">OMS (Organisation mondiale de la santé), (1948). Glossaire de la promotion de la santé, Genève/Suisse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Otto, J.M. (2009). Global trends in mines reclamation and closure regulation. In J. Richard (ed.) Mining, Society, and a Sustainable World (251–288), Berlin: Springer.</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Paul  VI (1967). Le Développement des Peuples (Populorum Progressio), Encyclique, Vatica </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Pilliere F (2004). ‘Biométrologie’. In: Herve-Bazin B, Courtois B, Goutet P, Guillemin M  Le risque cancérogène du plomb. Évaluation du risque cancérogène lié à l'exposition professionnelle au plomb et à ses composés inorganiques. Avis d'experts. Les Ulis : EDP Sciences ; 2004 : 105-54, 356 p</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 xml:space="preserve">PNUD (2012). A practical guide: reducing mercury use in artisanal and small-scale gold mining. </w:t>
      </w:r>
      <w:r>
        <w:rPr>
          <w:rFonts w:cs="Calibri"/>
          <w:sz w:val="24"/>
          <w:szCs w:val="24"/>
        </w:rPr>
        <w:t>Geneva: United Nations Environment Programme</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PNUD (2016). Évaluation environnementale de la pollution au mercure dans l’est de la République Démocratique du Congo.  Rapport Technique pour le projet « or juste » du partenariat Afrique-canada, Nairobi/Kenya, 76 p</w:t>
      </w:r>
      <w:r>
        <w:rPr>
          <w:rFonts w:cs="Calibri"/>
          <w:color w:val="0070C0"/>
          <w:sz w:val="24"/>
          <w:szCs w:val="24"/>
        </w:rPr>
        <w:t xml:space="preserve"> </w:t>
      </w:r>
      <w:hyperlink r:id="rId111" w:history="1">
        <w:r>
          <w:rPr>
            <w:rFonts w:cs="Calibri"/>
            <w:color w:val="0070C0"/>
            <w:sz w:val="24"/>
            <w:szCs w:val="24"/>
            <w:u w:val="single"/>
          </w:rPr>
          <w:t>http://web.unep.org/fr</w:t>
        </w:r>
      </w:hyperlink>
    </w:p>
    <w:p w:rsidR="0089405D" w:rsidRDefault="003468E2">
      <w:pPr>
        <w:pStyle w:val="Sansinterligne"/>
        <w:numPr>
          <w:ilvl w:val="0"/>
          <w:numId w:val="43"/>
        </w:numPr>
        <w:spacing w:line="312" w:lineRule="auto"/>
        <w:jc w:val="both"/>
        <w:rPr>
          <w:rFonts w:cs="Calibri"/>
          <w:sz w:val="24"/>
          <w:szCs w:val="24"/>
        </w:rPr>
      </w:pPr>
      <w:r>
        <w:rPr>
          <w:rFonts w:cs="Calibri"/>
          <w:sz w:val="24"/>
          <w:szCs w:val="24"/>
        </w:rPr>
        <w:t>Ramade F. (2016). Vers une utilisation durable des ressources naturelles, 35p </w:t>
      </w:r>
    </w:p>
    <w:p w:rsidR="0089405D" w:rsidRDefault="003468E2">
      <w:pPr>
        <w:pStyle w:val="Sansinterligne"/>
        <w:numPr>
          <w:ilvl w:val="0"/>
          <w:numId w:val="43"/>
        </w:numPr>
        <w:spacing w:line="312" w:lineRule="auto"/>
        <w:jc w:val="both"/>
        <w:rPr>
          <w:rFonts w:cs="Calibri"/>
          <w:sz w:val="24"/>
          <w:szCs w:val="24"/>
        </w:rPr>
      </w:pPr>
      <w:r>
        <w:rPr>
          <w:rFonts w:cs="Calibri"/>
          <w:sz w:val="24"/>
          <w:szCs w:val="24"/>
          <w:lang w:val="en-US"/>
        </w:rPr>
        <w:t xml:space="preserve">Roskams, AJ &amp; Connor J-R. (1990). Aluminum access to the brain: A role for transferrin and its receptor, Proc. Nat. </w:t>
      </w:r>
      <w:r>
        <w:rPr>
          <w:rFonts w:cs="Calibri"/>
          <w:sz w:val="24"/>
          <w:szCs w:val="24"/>
        </w:rPr>
        <w:t>Acad. Sci., USA 87, 9024-9027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 xml:space="preserve">Stratos, I. (2011). Climate Change and Acid Rock Drainage - Risks for the Canadian Mining Sector. MEND, Ottawa, Canada. MEND Report 1.61.7. </w:t>
      </w:r>
    </w:p>
    <w:p w:rsidR="0089405D" w:rsidRDefault="003468E2">
      <w:pPr>
        <w:pStyle w:val="Sansinterligne"/>
        <w:numPr>
          <w:ilvl w:val="0"/>
          <w:numId w:val="43"/>
        </w:numPr>
        <w:spacing w:line="312" w:lineRule="auto"/>
        <w:jc w:val="both"/>
        <w:rPr>
          <w:rFonts w:cs="Calibri"/>
          <w:sz w:val="24"/>
          <w:szCs w:val="24"/>
        </w:rPr>
      </w:pPr>
      <w:r>
        <w:rPr>
          <w:rFonts w:cs="Calibri"/>
          <w:sz w:val="24"/>
          <w:szCs w:val="24"/>
        </w:rPr>
        <w:t>Vaessen V. &amp; Brentführer R. (2015). Les risques liés  à  l’eau  souterraine : intégration de la gestion des eaux souterraines dans les organismes de bassin transfrontaliers en Afrique. Hannover, Allemagne, 20 p </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lastRenderedPageBreak/>
        <w:t>Walton JR (2012), Aluminum disruption of calcium home- ostasis and signal transduction resembles change that occurs in aging and Alzheimer’s disease, J. Alzheimers Dis., 29, 255-273</w:t>
      </w:r>
    </w:p>
    <w:p w:rsidR="0089405D" w:rsidRDefault="003468E2">
      <w:pPr>
        <w:pStyle w:val="Sansinterligne"/>
        <w:numPr>
          <w:ilvl w:val="0"/>
          <w:numId w:val="43"/>
        </w:numPr>
        <w:spacing w:line="312" w:lineRule="auto"/>
        <w:jc w:val="both"/>
        <w:rPr>
          <w:rFonts w:cs="Calibri"/>
          <w:sz w:val="24"/>
          <w:szCs w:val="24"/>
          <w:lang w:val="en-US"/>
        </w:rPr>
      </w:pPr>
      <w:r>
        <w:rPr>
          <w:rFonts w:cs="Calibri"/>
          <w:sz w:val="24"/>
          <w:szCs w:val="24"/>
          <w:lang w:val="en-US"/>
        </w:rPr>
        <w:t>Ward RM.; Zhang Y. &amp; Crichton RR (2001). Aluminum toxicity and iron homeostasis, J. Inorg. Biochem., 87, 9-14, </w:t>
      </w:r>
      <w:r>
        <w:rPr>
          <w:rFonts w:cs="Calibri"/>
          <w:color w:val="0070C0"/>
          <w:sz w:val="24"/>
          <w:szCs w:val="24"/>
          <w:u w:val="single"/>
          <w:lang w:val="en-US"/>
        </w:rPr>
        <w:t>https://doi.org/10.1177/00187914</w:t>
      </w:r>
    </w:p>
    <w:p w:rsidR="0089405D" w:rsidRDefault="003468E2">
      <w:pPr>
        <w:pStyle w:val="Sansinterligne"/>
        <w:numPr>
          <w:ilvl w:val="0"/>
          <w:numId w:val="43"/>
        </w:numPr>
        <w:spacing w:line="312" w:lineRule="auto"/>
        <w:jc w:val="both"/>
        <w:rPr>
          <w:rFonts w:cs="Calibri"/>
          <w:b/>
          <w:sz w:val="28"/>
          <w:szCs w:val="28"/>
        </w:rPr>
      </w:pPr>
      <w:r>
        <w:rPr>
          <w:rFonts w:cs="Calibri"/>
          <w:sz w:val="24"/>
          <w:szCs w:val="24"/>
          <w:lang w:val="en-US"/>
        </w:rPr>
        <w:t xml:space="preserve">Yamanaka K.; Minato N. &amp; Iwai, K. (1999) Stabilization of iron regulatory protein 2, IRP2, by aluminum. </w:t>
      </w:r>
      <w:r>
        <w:rPr>
          <w:rFonts w:cs="Calibri"/>
          <w:sz w:val="24"/>
          <w:szCs w:val="24"/>
        </w:rPr>
        <w:t>FEBS Lett 462, 216-220 </w:t>
      </w:r>
    </w:p>
    <w:p w:rsidR="0089405D" w:rsidRDefault="003468E2">
      <w:pPr>
        <w:spacing w:after="0" w:line="312" w:lineRule="auto"/>
        <w:rPr>
          <w:rFonts w:cs="Calibri"/>
          <w:b/>
          <w:sz w:val="24"/>
          <w:szCs w:val="24"/>
          <w:lang w:val="fr-FR" w:eastAsia="fr-FR"/>
        </w:rPr>
      </w:pPr>
      <w:bookmarkStart w:id="834" w:name="_Toc59458387"/>
      <w:bookmarkStart w:id="835" w:name="_Toc71470299"/>
      <w:bookmarkStart w:id="836" w:name="_Toc73431876"/>
      <w:bookmarkStart w:id="837" w:name="_Toc79393046"/>
      <w:r>
        <w:rPr>
          <w:rFonts w:cs="Calibri"/>
          <w:b/>
          <w:sz w:val="24"/>
          <w:szCs w:val="24"/>
          <w:lang w:val="fr-FR"/>
        </w:rPr>
        <w:br w:type="page"/>
      </w:r>
    </w:p>
    <w:p w:rsidR="0089405D" w:rsidRDefault="003468E2">
      <w:pPr>
        <w:pStyle w:val="Titre1"/>
        <w:spacing w:before="0" w:line="312" w:lineRule="auto"/>
        <w:jc w:val="center"/>
        <w:rPr>
          <w:rFonts w:cs="Calibri"/>
          <w:b/>
          <w:color w:val="auto"/>
          <w:lang w:val="fr-FR"/>
        </w:rPr>
      </w:pPr>
      <w:bookmarkStart w:id="838" w:name="_Toc111888697"/>
      <w:bookmarkStart w:id="839" w:name="_Toc127187276"/>
      <w:bookmarkStart w:id="840" w:name="_Toc127187553"/>
      <w:bookmarkStart w:id="841" w:name="_Toc127432310"/>
      <w:r>
        <w:rPr>
          <w:rFonts w:cs="Calibri"/>
          <w:b/>
          <w:color w:val="auto"/>
          <w:lang w:val="fr-FR"/>
        </w:rPr>
        <w:lastRenderedPageBreak/>
        <w:t>PRUNELLES SUR LES IMPACTS ECONOMIQUE ET SOCIALE DES PROJETS DU SECTEUR D’EXPLOITATION MINIERE SEMI-INDUSTRIELLE</w:t>
      </w:r>
      <w:bookmarkEnd w:id="834"/>
      <w:bookmarkEnd w:id="835"/>
      <w:bookmarkEnd w:id="836"/>
      <w:bookmarkEnd w:id="837"/>
      <w:bookmarkEnd w:id="838"/>
      <w:bookmarkEnd w:id="839"/>
      <w:bookmarkEnd w:id="840"/>
      <w:bookmarkEnd w:id="841"/>
    </w:p>
    <w:p w:rsidR="0089405D" w:rsidRDefault="0089405D">
      <w:pPr>
        <w:spacing w:after="0" w:line="312" w:lineRule="auto"/>
        <w:jc w:val="center"/>
        <w:rPr>
          <w:rFonts w:cs="Calibri"/>
          <w:b/>
          <w:sz w:val="24"/>
          <w:szCs w:val="24"/>
          <w:lang w:val="fr-FR" w:eastAsia="fr-FR"/>
        </w:rPr>
      </w:pPr>
    </w:p>
    <w:p w:rsidR="0089405D" w:rsidRDefault="003468E2">
      <w:pPr>
        <w:keepNext/>
        <w:keepLines/>
        <w:widowControl w:val="0"/>
        <w:spacing w:after="0" w:line="312" w:lineRule="auto"/>
        <w:outlineLvl w:val="0"/>
        <w:rPr>
          <w:b/>
          <w:sz w:val="28"/>
          <w:szCs w:val="28"/>
          <w:lang w:val="fr-FR"/>
        </w:rPr>
      </w:pPr>
      <w:bookmarkStart w:id="842" w:name="_Toc127181802"/>
      <w:bookmarkStart w:id="843" w:name="_Toc127182920"/>
      <w:bookmarkStart w:id="844" w:name="_Toc127187102"/>
      <w:bookmarkStart w:id="845" w:name="_Toc127187277"/>
      <w:bookmarkStart w:id="846" w:name="_Toc127187554"/>
      <w:bookmarkStart w:id="847" w:name="_Toc127432311"/>
      <w:r>
        <w:rPr>
          <w:b/>
          <w:sz w:val="28"/>
          <w:szCs w:val="28"/>
          <w:lang w:val="fr-FR"/>
        </w:rPr>
        <w:t>Asimbo Bondoo</w:t>
      </w:r>
      <w:r>
        <w:rPr>
          <w:lang w:val="fr-FR"/>
        </w:rPr>
        <w:t xml:space="preserve"> </w:t>
      </w:r>
      <w:r>
        <w:rPr>
          <w:b/>
          <w:sz w:val="28"/>
          <w:szCs w:val="28"/>
          <w:lang w:val="fr-FR"/>
        </w:rPr>
        <w:t>Norbert &amp; Mangambu Mokoso Jean De Dieu</w:t>
      </w:r>
      <w:bookmarkEnd w:id="842"/>
      <w:bookmarkEnd w:id="843"/>
      <w:bookmarkEnd w:id="844"/>
      <w:bookmarkEnd w:id="845"/>
      <w:bookmarkEnd w:id="846"/>
      <w:bookmarkEnd w:id="847"/>
    </w:p>
    <w:p w:rsidR="0089405D" w:rsidRDefault="0089405D">
      <w:pPr>
        <w:spacing w:after="0" w:line="312" w:lineRule="auto"/>
        <w:jc w:val="center"/>
        <w:rPr>
          <w:rFonts w:cs="Calibri"/>
          <w:b/>
          <w:sz w:val="24"/>
          <w:szCs w:val="24"/>
          <w:lang w:val="fr-FR" w:eastAsia="fr-FR"/>
        </w:rPr>
      </w:pPr>
    </w:p>
    <w:p w:rsidR="0089405D" w:rsidRDefault="003468E2">
      <w:pPr>
        <w:keepNext/>
        <w:keepLines/>
        <w:widowControl w:val="0"/>
        <w:spacing w:after="0" w:line="312" w:lineRule="auto"/>
        <w:outlineLvl w:val="0"/>
        <w:rPr>
          <w:rFonts w:cs="Calibri"/>
          <w:b/>
          <w:sz w:val="24"/>
          <w:szCs w:val="24"/>
          <w:lang w:val="fr-FR"/>
        </w:rPr>
      </w:pPr>
      <w:bookmarkStart w:id="848" w:name="_Toc59458388"/>
      <w:bookmarkStart w:id="849" w:name="_Toc71470301"/>
      <w:bookmarkStart w:id="850" w:name="_Toc73431878"/>
      <w:bookmarkStart w:id="851" w:name="_Toc79393048"/>
      <w:bookmarkStart w:id="852" w:name="_Toc111888700"/>
      <w:bookmarkStart w:id="853" w:name="_Toc127187278"/>
      <w:bookmarkStart w:id="854" w:name="_Toc127187555"/>
      <w:bookmarkStart w:id="855" w:name="_Toc127432312"/>
      <w:r>
        <w:rPr>
          <w:rFonts w:cs="Calibri"/>
          <w:b/>
          <w:sz w:val="24"/>
          <w:szCs w:val="24"/>
          <w:lang w:val="fr-FR"/>
        </w:rPr>
        <w:t>7.1. INTRODUCTION</w:t>
      </w:r>
      <w:bookmarkEnd w:id="848"/>
      <w:bookmarkEnd w:id="849"/>
      <w:bookmarkEnd w:id="850"/>
      <w:bookmarkEnd w:id="851"/>
      <w:bookmarkEnd w:id="852"/>
      <w:bookmarkEnd w:id="853"/>
      <w:bookmarkEnd w:id="854"/>
      <w:bookmarkEnd w:id="855"/>
      <w:r>
        <w:rPr>
          <w:rFonts w:cs="Calibri"/>
          <w:b/>
          <w:sz w:val="24"/>
          <w:szCs w:val="24"/>
          <w:lang w:val="fr-FR"/>
        </w:rPr>
        <w:t xml:space="preserve"> </w:t>
      </w:r>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L’industrie minière a été largement visée dans les débats sur les effets économiques réels des industries extractives. L’abondance de ressources naturelles était considérée longtemps comme un puissant vecteur de croissance économique. Cette façon de voir les choses a été critiquée dans les travaux pionniers de Prebisch (1950) et de Singer (1950).  Leur théorie prédisait la détérioration lente des termes de l’échange des pays en développement et la destruction de l’environnement par l’exploitation effrénée des ressources non renouvelables, en dépit de l’application du principe de l’atténuation des impacts sociaux et environnementaux et des procédures de compensation qui sont bien établies dans les processus de développement des industries extractives (Daly, H., 1990 ; Villeneuve, C. et al., 2016 ; Aruna, S. et al., 2020 ; Mukumba, I. et al, 2022a).  </w:t>
      </w:r>
    </w:p>
    <w:p w:rsidR="0089405D" w:rsidRDefault="003468E2">
      <w:pPr>
        <w:spacing w:after="0" w:line="312" w:lineRule="auto"/>
        <w:jc w:val="both"/>
        <w:rPr>
          <w:rFonts w:cs="Calibri"/>
          <w:sz w:val="24"/>
          <w:szCs w:val="24"/>
          <w:lang w:val="fr-FR"/>
        </w:rPr>
      </w:pPr>
      <w:r>
        <w:rPr>
          <w:rFonts w:cs="Calibri"/>
          <w:sz w:val="24"/>
          <w:szCs w:val="24"/>
          <w:lang w:val="fr-FR"/>
        </w:rPr>
        <w:tab/>
        <w:t xml:space="preserve">Les   impacts   environnementaux   associés   à   l’industrie   minière   sont   nombreux et variables selon les phases du cycle de vie d’une mine. Ils peuvent affecter, de manière temporaire ou permanente, l’eau, l’air, le sol, la biodiversité et surtout la vie humaine, à fortiori celle des indigènes (Labonne, B. 1999 ; Mangbolo M. et al., 2022)..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Les activités minières ont également des effets sur les communautés riveraines, essentiellement sur les employés et leurs familles, les communautés locales et ceux qui résident dans le voisinage des sites miniers exploités. Un nombre considérable de perturbations et de déficiences a été constaté sur les plans sociaux et culturels suscitant aussi des questionnements éthiques. Ces impacts varient selon le niveau de développement du pays concerné (CEAUA « Commission économique pour l’Afrique et Union africaine », 2011, Aruna, S. et al., 2020). </w:t>
      </w:r>
    </w:p>
    <w:p w:rsidR="0089405D" w:rsidRDefault="003468E2">
      <w:pPr>
        <w:spacing w:after="0" w:line="312" w:lineRule="auto"/>
        <w:jc w:val="both"/>
        <w:rPr>
          <w:rFonts w:cs="Calibri"/>
          <w:sz w:val="24"/>
          <w:szCs w:val="24"/>
          <w:lang w:val="fr-FR"/>
        </w:rPr>
      </w:pPr>
      <w:r>
        <w:rPr>
          <w:rFonts w:cs="Calibri"/>
          <w:sz w:val="24"/>
          <w:szCs w:val="24"/>
          <w:lang w:val="fr-FR"/>
        </w:rPr>
        <w:tab/>
        <w:t xml:space="preserve">Ce portrait contrasté est intimement lié aux politiques et réglementations mises en place, à l’efficacité de leur application, à la culture locale et aux structures sociales. L’exploration et l’exploitation minières perturbent incontestablement le mode de vie des autochtones, leurs coutumes et leurs valeurs symboliques (CIMM « Conseil international des </w:t>
      </w:r>
      <w:r>
        <w:rPr>
          <w:rFonts w:cs="Calibri"/>
          <w:sz w:val="24"/>
          <w:szCs w:val="24"/>
          <w:lang w:val="fr-FR"/>
        </w:rPr>
        <w:lastRenderedPageBreak/>
        <w:t xml:space="preserve">mines et métaux », 2010 ; ELAW « Environmental Law Alliance Worldwide », 2010).  L’occupation de leurs terres et leurs déplacements, l’afflux de travailleurs allochtones et le passage d’une économie locale de subsistance à une économie marchande axée sur les flux monétaires importants peuvent affecter la cohésion des communautés et l’ordre social.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Lorsque des mesures de formation et de discrimination positive à l’embauche ne sont pas prises en amont de l’exploitation, la main-d’œuvre locale se voit le plus souvent confinée aux emplois subalternes ou au travail auxiliaire. Cependant, les impacts présumés ou avérés qu’a le développement des ressources extractives sur les communautés, leurs économies et les environnements dont elles dépendent continuent de susciter de vives réactions, tensions et conflits, tout particulièrement au sein des communautés indigènes (Daly, H., 1990 ; Costanza, R. et al, 2013). </w:t>
      </w:r>
    </w:p>
    <w:p w:rsidR="0089405D" w:rsidRDefault="003468E2">
      <w:pPr>
        <w:spacing w:after="0" w:line="312" w:lineRule="auto"/>
        <w:ind w:firstLine="708"/>
        <w:jc w:val="both"/>
        <w:rPr>
          <w:rFonts w:cs="Calibri"/>
          <w:sz w:val="24"/>
          <w:szCs w:val="24"/>
          <w:lang w:val="fr-FR"/>
        </w:rPr>
      </w:pPr>
      <w:r>
        <w:rPr>
          <w:rFonts w:cs="Calibri"/>
          <w:sz w:val="24"/>
          <w:szCs w:val="24"/>
          <w:lang w:val="fr-FR"/>
        </w:rPr>
        <w:t>Un afflux important de travailleurs extérieurs à la région peut non seulement peser sur les infrastructures locales, mais aussi porter atteinte aux réseaux sociaux et aux structures de gouvernance locale, aux mœurs, aux us et coutumes : la dépravation des mœurs, la prostitution, la délinquance et autres formes de licence et criminalité, sans compter les conflits culturels entre les venants et les autochtones.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passage en peigne fin des impacts environnementaux prévisibles et possibles nous amène à analyser, dans cette section, les impacts socio-économiques qu’engendrerait une exploitation minière dans le lit d’Aruwimi à Liambe et dans ses environs. </w:t>
      </w:r>
    </w:p>
    <w:p w:rsidR="0089405D" w:rsidRDefault="0089405D">
      <w:pPr>
        <w:spacing w:after="0" w:line="312" w:lineRule="auto"/>
        <w:jc w:val="both"/>
        <w:rPr>
          <w:rFonts w:cs="Calibri"/>
          <w:b/>
          <w:sz w:val="24"/>
          <w:szCs w:val="24"/>
          <w:lang w:val="fr-FR"/>
        </w:rPr>
      </w:pPr>
      <w:bookmarkStart w:id="856" w:name="_Toc59458389"/>
    </w:p>
    <w:p w:rsidR="0089405D" w:rsidRDefault="003468E2">
      <w:pPr>
        <w:keepNext/>
        <w:keepLines/>
        <w:widowControl w:val="0"/>
        <w:spacing w:after="0" w:line="312" w:lineRule="auto"/>
        <w:outlineLvl w:val="0"/>
        <w:rPr>
          <w:rFonts w:cs="Calibri"/>
          <w:b/>
          <w:sz w:val="24"/>
          <w:szCs w:val="24"/>
          <w:lang w:val="fr-FR"/>
        </w:rPr>
      </w:pPr>
      <w:bookmarkStart w:id="857" w:name="_Toc71470302"/>
      <w:bookmarkStart w:id="858" w:name="_Toc73431879"/>
      <w:bookmarkStart w:id="859" w:name="_Toc79393049"/>
      <w:bookmarkStart w:id="860" w:name="_Toc111888701"/>
      <w:bookmarkStart w:id="861" w:name="_Toc127187279"/>
      <w:bookmarkStart w:id="862" w:name="_Toc127187556"/>
      <w:bookmarkStart w:id="863" w:name="_Toc127432313"/>
      <w:r>
        <w:rPr>
          <w:rFonts w:cs="Calibri"/>
          <w:b/>
          <w:sz w:val="24"/>
          <w:szCs w:val="24"/>
          <w:lang w:val="fr-FR"/>
        </w:rPr>
        <w:t>7.2. LES IMPACTS SOCIAUX D’EXPLOITATION MINIERE</w:t>
      </w:r>
      <w:bookmarkEnd w:id="857"/>
      <w:bookmarkEnd w:id="858"/>
      <w:bookmarkEnd w:id="859"/>
      <w:bookmarkEnd w:id="860"/>
      <w:bookmarkEnd w:id="861"/>
      <w:bookmarkEnd w:id="862"/>
      <w:bookmarkEnd w:id="863"/>
      <w:r>
        <w:rPr>
          <w:rFonts w:cs="Calibri"/>
          <w:b/>
          <w:sz w:val="24"/>
          <w:szCs w:val="24"/>
          <w:lang w:val="fr-FR"/>
        </w:rPr>
        <w:t xml:space="preserve"> </w:t>
      </w:r>
      <w:bookmarkEnd w:id="856"/>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L’Etude des Impacts Sociaux (EIS) est un processus permettant de comprendre et de répondre aux problèmes sociaux associés à l’exploitation (</w:t>
      </w:r>
      <w:r>
        <w:rPr>
          <w:rFonts w:cs="Calibri"/>
          <w:sz w:val="24"/>
          <w:szCs w:val="24"/>
          <w:lang w:val="fr-FR" w:eastAsia="fr-FR"/>
        </w:rPr>
        <w:t xml:space="preserve">COMINAK 2012 ; Collier, P., 2014 ; </w:t>
      </w:r>
      <w:r>
        <w:rPr>
          <w:rFonts w:cs="Calibri"/>
          <w:sz w:val="24"/>
          <w:szCs w:val="24"/>
          <w:lang w:val="fr-FR"/>
        </w:rPr>
        <w:t xml:space="preserve">Woynillowicz, D., 2020). Cette étude se concentre sur la manière d’identifier, d’éviter, d’atténuer et d’accentuer les conséquences pour les communautés. Et le processus est plus efficace lorsqu’il est réalisé en tant que processus itératif au cours du cycle de vie des exploitations plutôt que lorsqu’il s’agit d’une activité ponctuelle réalisée à la fin des travaux d’exploitation (Vanclay, F., 2003 ; Franks D,  2011 ; Becker, H. &amp; Vanclay,F., 1018). </w:t>
      </w:r>
    </w:p>
    <w:p w:rsidR="0089405D" w:rsidRDefault="003468E2">
      <w:pPr>
        <w:spacing w:after="0" w:line="312" w:lineRule="auto"/>
        <w:jc w:val="both"/>
        <w:rPr>
          <w:rFonts w:cs="Calibri"/>
          <w:sz w:val="24"/>
          <w:szCs w:val="24"/>
          <w:lang w:val="fr-FR"/>
        </w:rPr>
      </w:pPr>
      <w:r>
        <w:rPr>
          <w:rFonts w:cs="Calibri"/>
          <w:sz w:val="24"/>
          <w:szCs w:val="24"/>
          <w:lang w:val="fr-FR"/>
        </w:rPr>
        <w:tab/>
        <w:t xml:space="preserve">Conçue à l’origine comme outil de prévision des impacts des projets proposés avant leur exploitation, l’EIS est désormais considérée comme incluant les systèmes et stratégies entrepris au cours des phases de mise en œuvre d’une exploitation (y compris de l’exploration) afin de contrôler, de rapporter, d’évaluer, de réviser et de répondre de manière </w:t>
      </w:r>
      <w:r>
        <w:rPr>
          <w:rFonts w:cs="Calibri"/>
          <w:sz w:val="24"/>
          <w:szCs w:val="24"/>
          <w:lang w:val="fr-FR"/>
        </w:rPr>
        <w:lastRenderedPageBreak/>
        <w:t xml:space="preserve">proactive au changement. Un impact social est quelque chose qui est vécu ou ressenti (réel ou perçu) par un individu, un groupe social ou une unité économique (Vanclay, F. 2002). </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864" w:name="_Toc59458390"/>
      <w:bookmarkStart w:id="865" w:name="_Toc71470303"/>
      <w:bookmarkStart w:id="866" w:name="_Toc73431880"/>
      <w:bookmarkStart w:id="867" w:name="_Toc79393050"/>
      <w:bookmarkStart w:id="868" w:name="_Toc111888702"/>
      <w:bookmarkStart w:id="869" w:name="_Toc127187280"/>
      <w:bookmarkStart w:id="870" w:name="_Toc127187557"/>
      <w:bookmarkStart w:id="871" w:name="_Toc127432314"/>
      <w:r>
        <w:rPr>
          <w:rFonts w:cs="Calibri"/>
          <w:b/>
          <w:sz w:val="24"/>
          <w:szCs w:val="24"/>
          <w:lang w:val="fr-FR"/>
        </w:rPr>
        <w:t>7.2.1. LES IMPACTS SOCIAUX ET L’EFFET D’UNE ACTION</w:t>
      </w:r>
      <w:bookmarkEnd w:id="864"/>
      <w:bookmarkEnd w:id="865"/>
      <w:bookmarkEnd w:id="866"/>
      <w:bookmarkEnd w:id="867"/>
      <w:bookmarkEnd w:id="868"/>
      <w:bookmarkEnd w:id="869"/>
      <w:bookmarkEnd w:id="870"/>
      <w:bookmarkEnd w:id="871"/>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Les impacts sociaux sont l’effet d’une action (ou d’un manque d’action) ; ils peuvent être positifs ou négatifs. Les impacts sociaux se distinguent des processus de changement social, partiellement parce que différents groupes sociaux peuvent vivre le changement social différemment en fonction des circonstances (Vanclay, F., 2002</w:t>
      </w:r>
      <w:r>
        <w:rPr>
          <w:lang w:val="fr-FR"/>
        </w:rPr>
        <w:t xml:space="preserve"> ; </w:t>
      </w:r>
      <w:r>
        <w:rPr>
          <w:rFonts w:cs="Calibri"/>
          <w:sz w:val="24"/>
          <w:szCs w:val="24"/>
          <w:lang w:val="fr-FR"/>
        </w:rPr>
        <w:t xml:space="preserve">Mukumba, I. et al, 2022a). L’étude des impacts sociaux permettent : d’identifier les problèmes clés de la perspective des entités potentiellement affectées par les projets ; de prévoir et d’anticiper le changement, et d’ancrer ces compréhensions dans les systèmes et stratégies en cours afin de répondre de manière proactive aux conséquences de l’exploitation (Vanclay, F. 2002 ; Vanclay &amp; Esteves, A., 2011). </w:t>
      </w:r>
    </w:p>
    <w:p w:rsidR="0089405D" w:rsidRDefault="0089405D">
      <w:pPr>
        <w:keepNext/>
        <w:keepLines/>
        <w:widowControl w:val="0"/>
        <w:spacing w:after="0" w:line="312" w:lineRule="auto"/>
        <w:outlineLvl w:val="0"/>
        <w:rPr>
          <w:rFonts w:cs="Calibri"/>
          <w:b/>
          <w:sz w:val="24"/>
          <w:szCs w:val="24"/>
          <w:lang w:val="fr-FR"/>
        </w:rPr>
      </w:pPr>
      <w:bookmarkStart w:id="872" w:name="_Toc59458391"/>
      <w:bookmarkStart w:id="873" w:name="_Toc71470304"/>
    </w:p>
    <w:p w:rsidR="0089405D" w:rsidRDefault="003468E2">
      <w:pPr>
        <w:keepNext/>
        <w:keepLines/>
        <w:widowControl w:val="0"/>
        <w:spacing w:after="0" w:line="312" w:lineRule="auto"/>
        <w:jc w:val="both"/>
        <w:outlineLvl w:val="0"/>
        <w:rPr>
          <w:rFonts w:cs="Calibri"/>
          <w:b/>
          <w:sz w:val="24"/>
          <w:szCs w:val="24"/>
          <w:lang w:val="fr-FR"/>
        </w:rPr>
      </w:pPr>
      <w:bookmarkStart w:id="874" w:name="_Toc73431881"/>
      <w:bookmarkStart w:id="875" w:name="_Toc79393051"/>
      <w:bookmarkStart w:id="876" w:name="_Toc111888703"/>
      <w:bookmarkStart w:id="877" w:name="_Toc127187281"/>
      <w:bookmarkStart w:id="878" w:name="_Toc127187558"/>
      <w:bookmarkStart w:id="879" w:name="_Toc127432315"/>
      <w:r>
        <w:rPr>
          <w:rFonts w:cs="Calibri"/>
          <w:b/>
          <w:sz w:val="24"/>
          <w:szCs w:val="24"/>
          <w:lang w:val="fr-FR"/>
        </w:rPr>
        <w:t>7.2.2. L’EXPLOITATION DES RESSOURCES ENTRAINE DES CHANGEMENT</w:t>
      </w:r>
      <w:bookmarkEnd w:id="872"/>
      <w:r>
        <w:rPr>
          <w:rFonts w:cs="Calibri"/>
          <w:b/>
          <w:sz w:val="24"/>
          <w:szCs w:val="24"/>
          <w:lang w:val="fr-FR"/>
        </w:rPr>
        <w:t>S DANS L’ENVIRONNEMENT HUMAIN</w:t>
      </w:r>
      <w:bookmarkEnd w:id="873"/>
      <w:bookmarkEnd w:id="874"/>
      <w:bookmarkEnd w:id="875"/>
      <w:bookmarkEnd w:id="876"/>
      <w:bookmarkEnd w:id="877"/>
      <w:bookmarkEnd w:id="878"/>
      <w:bookmarkEnd w:id="879"/>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Les projets d’exploitation minière sont susceptibles d’affecter négativement les environnements, les communautés et les économies se trouvant sur le site des projets ou dans leurs environs. De la même manière, ils peuvent créer des opportunités par la conversion des ressources naturelles en ressources financières, susciter le développement de capacités et de compétences sociales, le développement d’infrastructures et d’entreprises, et l’investissement de ces ressources dans des programmes environnementaux et sociaux prometteurs et porteurs de croissance et de développement socio-économique (Mangbolo M. et al., 2022).</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Les changements économiques, sociaux et environnementaux sont liés entre eux. Les impacts sur les écosystèmes peuvent perturber les services environnementaux fournis par ces écosystèmes ainsi que les économies et les moyens de subsistance des personnes dépendant de ces services. Les impacts sont également dynamiques (Browne, W. et al., 2011 ; Mangbolo, M. et al., 2022). Par exemple, les nouvelles opportunités d’emploi souvent considérées comme un avantage essentiel des projets peuvent en réalité donner lieu à des défis sociaux si les compétences spécialisées requises par l’industrie ne sont pas disponibles </w:t>
      </w:r>
      <w:r>
        <w:rPr>
          <w:rFonts w:cs="Calibri"/>
          <w:sz w:val="24"/>
          <w:szCs w:val="24"/>
          <w:lang w:val="fr-FR"/>
        </w:rPr>
        <w:lastRenderedPageBreak/>
        <w:t xml:space="preserve">localement ou sont lentes à développer par le biais de programmes de formation professionnelle (Woynillowicz, D., 2020).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La migration planifiée et non planifiée de travailleurs dans la région associée à la croissance de la population peut engendrer des besoins plus importants dans les services sociaux tels que la santé, l’éducation, le logement, le commerce ainsi que dans les infrastructures physiques et sociales (Vanclay, F. 2002). </w:t>
      </w:r>
    </w:p>
    <w:p w:rsidR="0089405D" w:rsidRDefault="003468E2">
      <w:pPr>
        <w:spacing w:after="0" w:line="312" w:lineRule="auto"/>
        <w:jc w:val="both"/>
        <w:rPr>
          <w:rFonts w:cs="Calibri"/>
          <w:sz w:val="24"/>
          <w:szCs w:val="24"/>
          <w:lang w:val="fr-FR"/>
        </w:rPr>
      </w:pPr>
      <w:r>
        <w:rPr>
          <w:rFonts w:cs="Calibri"/>
          <w:sz w:val="24"/>
          <w:szCs w:val="24"/>
          <w:lang w:val="fr-FR"/>
        </w:rPr>
        <w:tab/>
        <w:t>La croissance de la population, à condition d’être bien gérée, pourrait être un moteur permettant le développement des infrastructures et services ; mais la longue durée requise pour améliorer les services existants et les infrastructures pourrait donner lieu à des défis dans bon nombre de régions disposant de ressources.</w:t>
      </w:r>
    </w:p>
    <w:p w:rsidR="0089405D" w:rsidRDefault="0089405D">
      <w:pPr>
        <w:spacing w:after="0" w:line="312" w:lineRule="auto"/>
        <w:rPr>
          <w:rFonts w:cs="Calibri"/>
          <w:b/>
          <w:sz w:val="24"/>
          <w:szCs w:val="24"/>
          <w:lang w:val="fr-FR"/>
        </w:rPr>
      </w:pPr>
      <w:bookmarkStart w:id="880" w:name="_Toc59458392"/>
      <w:bookmarkStart w:id="881" w:name="_Toc71470305"/>
      <w:bookmarkStart w:id="882" w:name="_Toc73431882"/>
    </w:p>
    <w:p w:rsidR="0089405D" w:rsidRDefault="003468E2">
      <w:pPr>
        <w:keepNext/>
        <w:keepLines/>
        <w:widowControl w:val="0"/>
        <w:spacing w:after="0" w:line="312" w:lineRule="auto"/>
        <w:outlineLvl w:val="0"/>
        <w:rPr>
          <w:rFonts w:cs="Calibri"/>
          <w:b/>
          <w:sz w:val="24"/>
          <w:szCs w:val="24"/>
          <w:lang w:val="fr-FR"/>
        </w:rPr>
      </w:pPr>
      <w:bookmarkStart w:id="883" w:name="_Toc79393052"/>
      <w:bookmarkStart w:id="884" w:name="_Toc111888704"/>
      <w:bookmarkStart w:id="885" w:name="_Toc127187282"/>
      <w:bookmarkStart w:id="886" w:name="_Toc127187559"/>
      <w:bookmarkStart w:id="887" w:name="_Toc127432316"/>
      <w:r>
        <w:rPr>
          <w:rFonts w:cs="Calibri"/>
          <w:b/>
          <w:sz w:val="24"/>
          <w:szCs w:val="24"/>
          <w:lang w:val="fr-FR"/>
        </w:rPr>
        <w:t>7.3. IMPACTS DES PROJETS MINIERS SUR LES VALEURS SOCIALES</w:t>
      </w:r>
      <w:bookmarkEnd w:id="880"/>
      <w:bookmarkEnd w:id="881"/>
      <w:bookmarkEnd w:id="882"/>
      <w:bookmarkEnd w:id="883"/>
      <w:bookmarkEnd w:id="884"/>
      <w:bookmarkEnd w:id="885"/>
      <w:bookmarkEnd w:id="886"/>
      <w:bookmarkEnd w:id="887"/>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En Afrique noire, les valeurs sociales sont sacrées et ses impacts sont considérés comme une malédiction ou une bénédiction selon qu’ils sont positifs ou négatifs (Afundi, N., et al., 2022). L’immigration et la transition démographique peuvent apporter des changements et affecter la cohésion sociale, les coutumes des communautés et perturber l’ordre social. Dès lors que des ouvriers de sexe masculin constituent une part significative de la main-d’œuvre, la prostitution et les cohabitations libres s’en suivent presqu’automatiquement.  En cas des entreprises formellement organisées, les camps de travailleurs peuvent être une cause de conflits, de frustrations dans le chef des locaux, si ces camps ne sont pas bien intégrés dans les communautés locales. Les exploitations peuvent également perturber l’utilisation du sol et les activités existantes telles que l’agriculture, le tourisme, la pêche et la chasse. </w:t>
      </w:r>
    </w:p>
    <w:p w:rsidR="0089405D" w:rsidRDefault="003468E2">
      <w:pPr>
        <w:spacing w:after="0" w:line="312" w:lineRule="auto"/>
        <w:jc w:val="both"/>
        <w:rPr>
          <w:rFonts w:cs="Calibri"/>
          <w:sz w:val="24"/>
          <w:szCs w:val="24"/>
          <w:lang w:val="fr-FR"/>
        </w:rPr>
      </w:pPr>
      <w:r>
        <w:rPr>
          <w:rFonts w:cs="Calibri"/>
          <w:sz w:val="24"/>
          <w:szCs w:val="24"/>
          <w:lang w:val="fr-FR"/>
        </w:rPr>
        <w:tab/>
        <w:t xml:space="preserve">En mesure que les activités d’exploitation progressent, la demande en biens et services peut donner lieu à une hausse des prix (Banque Mondiale, 1992). Les personnes travaillant dans l’industrie des services et dans l’agriculture, qui n’engendrent généralement pas le même niveau de rémunération que les ouvriers travaillant dans le secteur des ressources minières, subissent une érosion du pouvoir d’achat leur rendant ainsi difficile la survie quotidienne. Par ailleurs, l’exploitation des ressources, si elle est correctement planifiée, donnerait l’opportunité de renforcer les entreprises et les économies locales et de générer des redevances et des taxes, qui offriraient des ressources financières et matérielles aux administrations publiques au niveau local (Aruna, S. et al., 2020). </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 xml:space="preserve">La manière dont le changement se produit influence également la manière dont ce changement est vécu par la société. Quand toutes les parties prenantes (l’Etat, la population locale et l’entreprise) ont l’opportunité de participer activement à la prise des décisions dans l’exploitation des ressources et de s’assurer que les projets sont conformes à leurs valeurs et moyens de subsistance, leur adhésion à ces exploitations tendra à être plus positive, de même que leurs attitudes à l’égard du projet (Banque Mondiale, 1992a). </w:t>
      </w:r>
    </w:p>
    <w:p w:rsidR="0089405D" w:rsidRDefault="003468E2">
      <w:pPr>
        <w:spacing w:after="0" w:line="312" w:lineRule="auto"/>
        <w:jc w:val="both"/>
        <w:rPr>
          <w:rFonts w:cs="Calibri"/>
          <w:sz w:val="24"/>
          <w:szCs w:val="24"/>
          <w:lang w:val="fr-FR"/>
        </w:rPr>
      </w:pPr>
      <w:r>
        <w:rPr>
          <w:rFonts w:cs="Calibri"/>
          <w:sz w:val="24"/>
          <w:szCs w:val="24"/>
          <w:lang w:val="fr-FR"/>
        </w:rPr>
        <w:tab/>
        <w:t>La participation publique peut prendre la forme d’une consultation de la communauté locale, des opportunités de participation de la société civile aux processus d’évaluation d’impact, ou d’une participation plus active telle que l’implication dans des panels de référence communautaire ou d’initiatives de contrôle environnemental et social.</w:t>
      </w:r>
    </w:p>
    <w:p w:rsidR="0089405D" w:rsidRDefault="003468E2">
      <w:pPr>
        <w:spacing w:after="0" w:line="312" w:lineRule="auto"/>
        <w:jc w:val="both"/>
        <w:rPr>
          <w:rFonts w:cs="Calibri"/>
          <w:sz w:val="24"/>
          <w:szCs w:val="24"/>
          <w:lang w:val="fr-FR"/>
        </w:rPr>
      </w:pPr>
      <w:r>
        <w:rPr>
          <w:rFonts w:cs="Calibri"/>
          <w:sz w:val="24"/>
          <w:szCs w:val="24"/>
          <w:lang w:val="fr-FR"/>
        </w:rPr>
        <w:tab/>
        <w:t xml:space="preserve">Le développement des minéraux crée parfois des richesses pour une catégorie de personnes, mais il peut également provoquer des perturbations considérables. Les projets miniers peuvent créer des emplois, des routes, des écoles et augmenter la demande et l’offre de biens et de services dans les régions éloignées de centres urbains et enclavées ; les avantages et les conséquences pourront être inégalement partagées (Vanclay, F. 2002) et créer ainsi des sentiments de frustration dans le chef de ceux qui ne se retrouvent pas. </w:t>
      </w:r>
    </w:p>
    <w:p w:rsidR="0089405D" w:rsidRDefault="003468E2">
      <w:pPr>
        <w:spacing w:after="0" w:line="312" w:lineRule="auto"/>
        <w:jc w:val="both"/>
        <w:rPr>
          <w:rFonts w:cs="Calibri"/>
          <w:sz w:val="24"/>
          <w:szCs w:val="24"/>
          <w:lang w:val="fr-FR"/>
        </w:rPr>
      </w:pPr>
      <w:r>
        <w:rPr>
          <w:rFonts w:cs="Calibri"/>
          <w:sz w:val="24"/>
          <w:szCs w:val="24"/>
          <w:lang w:val="fr-FR"/>
        </w:rPr>
        <w:tab/>
        <w:t xml:space="preserve">Si les communautés estiment qu’elles sont injustement traitées ou insuffisamment récompensées, les projets miniers pourraient conduire à des tensions sociales et à des conflits violents, comme cela s’annonce déjà dans le cas de Liambe où les villageois autochtones, les ressortissants de l’ensemble du territoire de Basoko, la société civile du territoire, les Asbl locales, les notables originaires et les autorités politico administratives locales et provinciales n’ont pas la même vision sur le projet. Une certaine opinion déjà ancrée dans les esprits entretient la conviction selon laquelle une quelconque poignée de ressortissants auraient déjà bénéficié de pots-de- vin. Le climat social est délétère et explosif. La réaction violente de la population de Liambe vis-à-vis de la délégation mixte constituée des autorités du territoire de Basoko, de la Société civile du territoire et des représentants de la société chinoise en décembre 2020 est révélatrice des frustrations précocement ressenties.  </w:t>
      </w:r>
    </w:p>
    <w:p w:rsidR="0089405D" w:rsidRDefault="003468E2">
      <w:pPr>
        <w:spacing w:after="0" w:line="312" w:lineRule="auto"/>
        <w:jc w:val="both"/>
        <w:rPr>
          <w:rFonts w:cs="Calibri"/>
          <w:sz w:val="24"/>
          <w:szCs w:val="24"/>
          <w:lang w:val="fr-FR"/>
        </w:rPr>
      </w:pPr>
      <w:r>
        <w:rPr>
          <w:rFonts w:cs="Calibri"/>
          <w:sz w:val="24"/>
          <w:szCs w:val="24"/>
          <w:lang w:val="fr-FR"/>
        </w:rPr>
        <w:tab/>
        <w:t xml:space="preserve">Généralement, les gouvernements africains sous sahéliens sous-estiment jusqu’à sembler ignorer les impacts sous-jacents à tout projet d’exploitation minière sur les populations locales. Les communautés se sentent particulièrement vulnérables, lorsque les liens avec les autorités et d’autres secteurs de l’économie sont faibles, ou lorsque les impacts environnementaux des mines (pollution du sol, de l’air et de l’eau) affectent leur subsistance et leurs moyens d’existence et de subsistance.  </w:t>
      </w:r>
    </w:p>
    <w:p w:rsidR="0089405D" w:rsidRDefault="003468E2">
      <w:pPr>
        <w:spacing w:after="0" w:line="312" w:lineRule="auto"/>
        <w:ind w:firstLine="709"/>
        <w:jc w:val="both"/>
        <w:rPr>
          <w:rFonts w:cs="Calibri"/>
          <w:sz w:val="24"/>
          <w:szCs w:val="24"/>
          <w:lang w:val="fr-FR"/>
        </w:rPr>
      </w:pPr>
      <w:r>
        <w:rPr>
          <w:rFonts w:cs="Calibri"/>
          <w:sz w:val="24"/>
          <w:szCs w:val="24"/>
          <w:lang w:val="fr-FR"/>
        </w:rPr>
        <w:lastRenderedPageBreak/>
        <w:t xml:space="preserve">En RD Congo, l’expérience montre que les différents niveaux de pouvoir (national, provincial et local) font souvent montre d’un sentiment d’impuissance lorsque les collectivités entrent en contradiction avec le potentiel de changement imposé par de grandes et puissantes entreprises soutenues au sommet de l’Etat. Et pourtant, les mécanismes permettant aux communautés locales de jouer un rôle efficace dans la prise des décisions devraient venir du pouvoir. </w:t>
      </w:r>
    </w:p>
    <w:p w:rsidR="0089405D" w:rsidRDefault="003468E2">
      <w:pPr>
        <w:spacing w:after="0" w:line="312" w:lineRule="auto"/>
        <w:jc w:val="both"/>
        <w:rPr>
          <w:rFonts w:cs="Calibri"/>
          <w:sz w:val="24"/>
          <w:szCs w:val="24"/>
          <w:lang w:val="fr-FR"/>
        </w:rPr>
      </w:pPr>
      <w:r>
        <w:rPr>
          <w:rFonts w:cs="Calibri"/>
          <w:sz w:val="24"/>
          <w:szCs w:val="24"/>
          <w:lang w:val="fr-FR"/>
        </w:rPr>
        <w:tab/>
        <w:t>Malheureusement, dans la plupart de cas, les activités minières ne garantissent pas les droits fondamentaux de l’individu et les communautés affectées ne sont pas toujours respectées ni écoutées (Eba’a Atyi R. et al.,  2009).  Les droits fondamentaux incluent le droit de contrôler et d’utiliser des terres pour la subsistance, le droit d’accès à l’eau potable, à un environnement sain et sûr, aux moyens d’existence ; le droit d’être protégé de l’intimidation et de la violence ; et le droit d’être équitablement indemnisé pour les pertes subies (Banque Mondiale, 1992a).</w:t>
      </w:r>
    </w:p>
    <w:p w:rsidR="0089405D" w:rsidRDefault="0089405D">
      <w:pPr>
        <w:spacing w:after="0" w:line="312" w:lineRule="auto"/>
        <w:jc w:val="both"/>
        <w:rPr>
          <w:rFonts w:cs="Calibri"/>
          <w:b/>
          <w:sz w:val="24"/>
          <w:szCs w:val="24"/>
          <w:lang w:val="fr-FR"/>
        </w:rPr>
      </w:pPr>
      <w:bookmarkStart w:id="888" w:name="_Toc59458393"/>
    </w:p>
    <w:p w:rsidR="0089405D" w:rsidRDefault="003468E2">
      <w:pPr>
        <w:keepNext/>
        <w:keepLines/>
        <w:widowControl w:val="0"/>
        <w:spacing w:after="0" w:line="312" w:lineRule="auto"/>
        <w:outlineLvl w:val="0"/>
        <w:rPr>
          <w:rFonts w:cs="Calibri"/>
          <w:b/>
          <w:sz w:val="24"/>
          <w:szCs w:val="24"/>
          <w:lang w:val="fr-FR"/>
        </w:rPr>
      </w:pPr>
      <w:bookmarkStart w:id="889" w:name="_Toc71470306"/>
      <w:bookmarkStart w:id="890" w:name="_Toc73431883"/>
      <w:bookmarkStart w:id="891" w:name="_Toc79393053"/>
      <w:bookmarkStart w:id="892" w:name="_Toc111888705"/>
      <w:bookmarkStart w:id="893" w:name="_Toc127187283"/>
      <w:bookmarkStart w:id="894" w:name="_Toc127187560"/>
      <w:bookmarkStart w:id="895" w:name="_Toc127432317"/>
      <w:r>
        <w:rPr>
          <w:rFonts w:cs="Calibri"/>
          <w:b/>
          <w:sz w:val="24"/>
          <w:szCs w:val="24"/>
          <w:lang w:val="fr-FR"/>
        </w:rPr>
        <w:t>7.3.1 DEPLACEMENT HUMAIN ET REINSTALLATION</w:t>
      </w:r>
      <w:bookmarkEnd w:id="888"/>
      <w:bookmarkEnd w:id="889"/>
      <w:bookmarkEnd w:id="890"/>
      <w:bookmarkEnd w:id="891"/>
      <w:bookmarkEnd w:id="892"/>
      <w:bookmarkEnd w:id="893"/>
      <w:bookmarkEnd w:id="894"/>
      <w:bookmarkEnd w:id="895"/>
      <w:r>
        <w:rPr>
          <w:rFonts w:cs="Calibri"/>
          <w:sz w:val="24"/>
          <w:szCs w:val="24"/>
          <w:lang w:val="fr-FR"/>
        </w:rPr>
        <w:t xml:space="preserve"> </w:t>
      </w:r>
    </w:p>
    <w:p w:rsidR="0089405D" w:rsidRDefault="0089405D">
      <w:pPr>
        <w:spacing w:after="0" w:line="312" w:lineRule="auto"/>
        <w:jc w:val="both"/>
        <w:rPr>
          <w:rFonts w:cs="Calibri"/>
          <w:b/>
          <w:bCs/>
          <w:sz w:val="24"/>
          <w:szCs w:val="24"/>
          <w:lang w:val="fr-FR"/>
        </w:rPr>
      </w:pPr>
    </w:p>
    <w:p w:rsidR="0089405D" w:rsidRDefault="003468E2">
      <w:pPr>
        <w:spacing w:after="0" w:line="312" w:lineRule="auto"/>
        <w:jc w:val="both"/>
        <w:rPr>
          <w:rFonts w:cs="Calibri"/>
          <w:b/>
          <w:bCs/>
          <w:sz w:val="24"/>
          <w:szCs w:val="24"/>
          <w:lang w:val="fr-FR"/>
        </w:rPr>
      </w:pPr>
      <w:r>
        <w:rPr>
          <w:rFonts w:cs="Calibri"/>
          <w:b/>
          <w:bCs/>
          <w:sz w:val="24"/>
          <w:szCs w:val="24"/>
          <w:lang w:val="fr-FR"/>
        </w:rPr>
        <w:t>7.3.1.1. Les risques liés au changement climatique des populations agricoles</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 xml:space="preserve">Suivant les projections et les modélisations des experts du domaine, le secteur agricole se présente comme le secteur le plus exposé aux aléas du changement climatique. Pour des communautés dont les modes de vie s’organisent autour du secteur primaire comme les sociétés africaines, les effets manifestes et attendus sont des plus sérieux. Par exemple, Asimbo B., et al. (2021) ; Mangambu et al. (2021a) démontrent que le changement climatique s’accompagnera d’effets sans précédent sur ces sociétés dont les modes de vie sont entièrement dépendants du comportement du climat. On assistera, entre autres, à une sérieuse perturbation du régime des précipitations qui rendront les saisons de végétation brèves entrainant une baisse des rendements agricoles, des difficultés pour l’élevage et aussi pour l’accès à l’eau. De tels développements laissent entrevoir les dangers qui planent sur les sociétés africaines (Asimbo B., et al. 2021). </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En effet, considérant que la démographie croit chaque année et que ces contraintes se renforcent, une hypothèse forte est que l’Afrique sera dans l’incapacité de nourrir sa population dans les années à venir, la situation étant déjà délétère. Ainsi se renforceront les temps de disette et de famine, et toutes les dimensions de la sécurité alimentaire (disponibilité, accessibilité, utilisation et stabilité) s’en trouveront affectées.</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lastRenderedPageBreak/>
        <w:t>Une telle situation aura inévitablement un effet induit en termes de précarisation sur toutes les composantes de la société, notamment des travailleurs quel que soit le secteur d’activité, du fait que leur subsistance dépend essentiellement de l’agriculture, y compris les enfants et les personnes âgées, premières victimes de l’insécurité alimentaire.</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Sachant que l’agriculture africaine est à 95% pluviale, les contraintes hydriques qu’entraine le changement climatique font peser une sérieuse menace sur l’alimentation du continent. Surtout que ces pertes affecteront la qualité des sols et de la végétation dont dépend aussi le bétail pour son alimentation (Asimbo B. et al., 2021)</w:t>
      </w:r>
    </w:p>
    <w:p w:rsidR="0089405D" w:rsidRDefault="0089405D">
      <w:pPr>
        <w:spacing w:after="0" w:line="312" w:lineRule="auto"/>
        <w:jc w:val="both"/>
        <w:rPr>
          <w:rFonts w:cs="Calibri"/>
          <w:bCs/>
          <w:sz w:val="24"/>
          <w:szCs w:val="24"/>
          <w:lang w:val="fr-FR"/>
        </w:rPr>
      </w:pPr>
    </w:p>
    <w:p w:rsidR="0089405D" w:rsidRDefault="003468E2">
      <w:pPr>
        <w:spacing w:after="0" w:line="312" w:lineRule="auto"/>
        <w:jc w:val="both"/>
        <w:rPr>
          <w:rFonts w:cs="Calibri"/>
          <w:b/>
          <w:bCs/>
          <w:sz w:val="24"/>
          <w:szCs w:val="24"/>
          <w:lang w:val="fr-FR"/>
        </w:rPr>
      </w:pPr>
      <w:r>
        <w:rPr>
          <w:rFonts w:cs="Calibri"/>
          <w:b/>
          <w:bCs/>
          <w:sz w:val="24"/>
          <w:szCs w:val="24"/>
          <w:lang w:val="fr-FR"/>
        </w:rPr>
        <w:t xml:space="preserve">7.3.1.2. Les perceptions paysannes sur l’exploitation minière industrielle au déplacement humain </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Se fondant sur leur vécu quotidien, les producteurs que nous avons enquêtés relèvent l’ensemble des manifestations qu’ils observent dans leurs villages et qui ont des effets notables sur leur production, sur les autres moyens de subsistance et sur l’économie locale. Ces manifestations peuvent être résumées en quelques points, avec leurs effets respectifs.</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 xml:space="preserve">L’exploitation minière industrielle ne pourra qu’engendrer un mouvement migratoire massif des populations, voire des communautés entières. De manière concrète, le village et ses clans pourraient se démembrer et se désintégrer pour s’implanter soit en amont, soit en aval, soit en face du site actuel ou encore s’enfouir et s’enfoncer dans la forêt à la manière de sauve-qui-peut. Une éventuelle exploitation minière dans la zone de Liambe engendrera inévitablement un mouvement migratoire anarchique pour les populations riveraines.  </w:t>
      </w:r>
    </w:p>
    <w:p w:rsidR="0089405D" w:rsidRDefault="003468E2">
      <w:pPr>
        <w:spacing w:after="0" w:line="312" w:lineRule="auto"/>
        <w:ind w:firstLine="708"/>
        <w:jc w:val="both"/>
        <w:rPr>
          <w:rFonts w:cs="Calibri"/>
          <w:bCs/>
          <w:sz w:val="24"/>
          <w:szCs w:val="24"/>
          <w:lang w:val="fr-FR"/>
        </w:rPr>
      </w:pPr>
      <w:r>
        <w:rPr>
          <w:rFonts w:cs="Calibri"/>
          <w:bCs/>
          <w:sz w:val="24"/>
          <w:szCs w:val="24"/>
          <w:lang w:val="fr-FR"/>
        </w:rPr>
        <w:t xml:space="preserve">L’on devra s’attendre à une délocalisation des clans et à une occupation désordonnée des forêts et le long des rives des localités de Likombe, Ilongo-Mbutu, Ilongo-Koki, Yangonde-Lioto, Yakoyo, Bomane, Baonde... Ce qui fait déjà entrevoir des empiètements et des chevauchements sur les limites foncières séculaires et une perturbation topographiques des villages et des clans. Devant une pareille situation, des conflits fonciers sanglants seraient inévitables. </w:t>
      </w:r>
    </w:p>
    <w:p w:rsidR="0089405D" w:rsidRDefault="003468E2">
      <w:pPr>
        <w:spacing w:after="0" w:line="312" w:lineRule="auto"/>
        <w:ind w:firstLine="708"/>
        <w:jc w:val="both"/>
        <w:rPr>
          <w:rFonts w:cs="Calibri"/>
          <w:sz w:val="24"/>
          <w:szCs w:val="24"/>
          <w:lang w:val="fr-FR"/>
        </w:rPr>
      </w:pPr>
      <w:r>
        <w:rPr>
          <w:rFonts w:cs="Calibri"/>
          <w:sz w:val="24"/>
          <w:szCs w:val="24"/>
          <w:lang w:val="fr-FR"/>
        </w:rPr>
        <w:t>Selon l’Institut international pour l’Environnement et le Développement (IIED)</w:t>
      </w:r>
      <w:r>
        <w:rPr>
          <w:rFonts w:cs="Calibri"/>
          <w:sz w:val="24"/>
          <w:szCs w:val="24"/>
          <w:vertAlign w:val="superscript"/>
          <w:lang w:val="fr-FR"/>
        </w:rPr>
        <w:footnoteReference w:id="74"/>
      </w:r>
      <w:r>
        <w:rPr>
          <w:rFonts w:cs="Calibri"/>
          <w:sz w:val="24"/>
          <w:szCs w:val="24"/>
          <w:lang w:val="fr-FR"/>
        </w:rPr>
        <w:t xml:space="preserve">: « Le déplacement des communautés établies est une cause importante de ressentiment et de </w:t>
      </w:r>
      <w:r>
        <w:rPr>
          <w:rFonts w:cs="Calibri"/>
          <w:sz w:val="24"/>
          <w:szCs w:val="24"/>
          <w:lang w:val="fr-FR"/>
        </w:rPr>
        <w:lastRenderedPageBreak/>
        <w:t xml:space="preserve">conflits associés aux grands développements miniers » (Corkal V. et al. 2020). Des communautés entières peuvent être déracinées et contraintes de s’établir ailleurs, souvent dans des colonies construites à cet effet et pas nécessairement de leur propre choix. </w:t>
      </w:r>
    </w:p>
    <w:p w:rsidR="0089405D" w:rsidRDefault="003468E2">
      <w:pPr>
        <w:spacing w:after="0" w:line="312" w:lineRule="auto"/>
        <w:jc w:val="both"/>
        <w:rPr>
          <w:rFonts w:cs="Calibri"/>
          <w:sz w:val="24"/>
          <w:szCs w:val="24"/>
          <w:lang w:val="fr-FR"/>
        </w:rPr>
      </w:pPr>
      <w:r>
        <w:rPr>
          <w:rFonts w:cs="Calibri"/>
          <w:sz w:val="24"/>
          <w:szCs w:val="24"/>
          <w:lang w:val="fr-FR"/>
        </w:rPr>
        <w:tab/>
        <w:t xml:space="preserve">En plus de perdre leurs maisons, les communautés peuvent également perdre leurs terres et donc leurs moyens de subsistance. Les institutions communautaires et les relations de pouvoir peuvent également être perturbées. Les communautés déplacées sont souvent relogées dans des zones sans ressources adéquates, certaines sont laissées à proximité des sites miniers où elles peuvent endurer le poids de la pollution et de la contamination (Franks, D. et al., 2009). </w:t>
      </w:r>
    </w:p>
    <w:p w:rsidR="0089405D" w:rsidRDefault="003468E2">
      <w:pPr>
        <w:spacing w:after="0" w:line="312" w:lineRule="auto"/>
        <w:jc w:val="both"/>
        <w:rPr>
          <w:rFonts w:cs="Calibri"/>
          <w:bCs/>
          <w:sz w:val="24"/>
          <w:szCs w:val="24"/>
          <w:lang w:val="fr-FR"/>
        </w:rPr>
      </w:pPr>
      <w:r>
        <w:rPr>
          <w:rFonts w:cs="Calibri"/>
          <w:bCs/>
          <w:sz w:val="24"/>
          <w:szCs w:val="24"/>
          <w:lang w:val="fr-FR"/>
        </w:rPr>
        <w:tab/>
      </w:r>
      <w:r>
        <w:rPr>
          <w:rFonts w:cs="Calibri"/>
          <w:sz w:val="24"/>
          <w:szCs w:val="24"/>
          <w:lang w:val="fr-FR"/>
        </w:rPr>
        <w:t>La réinstallation forcée peut être particulièrement désastreuse pour les communautés autochtones qui ont tissé des liens culturels et spirituels étroits avec les terres de leurs ancêtres et qui peuvent avoir des difficultés à survivre lorsque ces liens sont rompus.</w:t>
      </w:r>
      <w:r>
        <w:rPr>
          <w:rFonts w:cs="Calibri"/>
          <w:bCs/>
          <w:sz w:val="24"/>
          <w:szCs w:val="24"/>
          <w:lang w:val="fr-FR"/>
        </w:rPr>
        <w:t xml:space="preserve"> </w:t>
      </w:r>
      <w:r>
        <w:rPr>
          <w:rFonts w:cs="Calibri"/>
          <w:sz w:val="24"/>
          <w:szCs w:val="24"/>
          <w:lang w:val="fr-FR"/>
        </w:rPr>
        <w:t>L’afflux de nouveaux arrivants peut avoir un impact profond sur les habitants originaires et des litiges peuvent survenir sur la délimitation des terres et sur la manière dont les avantages ont été partagés. Les cas des Hutus et Tutsi au Kivu et Hema et Lendu en Ituri illustrent bien ce cas de figure. La guerre fratricide entre les Hema et les Lendu, au-delà de l’instrumentalisation politicienne, tire ses causes des conflits fonciers engendrés par des implantations non consensuelles remontant à plusieurs décennies.</w:t>
      </w:r>
      <w:r>
        <w:rPr>
          <w:rFonts w:cs="Calibri"/>
          <w:bCs/>
          <w:sz w:val="24"/>
          <w:szCs w:val="24"/>
          <w:lang w:val="fr-FR"/>
        </w:rPr>
        <w:t xml:space="preserve"> </w:t>
      </w:r>
    </w:p>
    <w:p w:rsidR="0089405D" w:rsidRDefault="003468E2">
      <w:pPr>
        <w:spacing w:after="0" w:line="312" w:lineRule="auto"/>
        <w:jc w:val="both"/>
        <w:rPr>
          <w:rFonts w:cs="Calibri"/>
          <w:bCs/>
          <w:sz w:val="24"/>
          <w:szCs w:val="24"/>
          <w:lang w:val="fr-FR"/>
        </w:rPr>
      </w:pPr>
      <w:r>
        <w:rPr>
          <w:rFonts w:cs="Calibri"/>
          <w:sz w:val="24"/>
          <w:szCs w:val="24"/>
          <w:lang w:val="fr-FR"/>
        </w:rPr>
        <w:tab/>
        <w:t xml:space="preserve">Les deux facteurs sus évoqués sont parmi les causes qui conduisent à des soulèvements violents ou à des rébellions et autres conflits armés entre les peuplades. Il est donc capital, qu’avant toute exploitation, que l’on se penche nécessairement sur toutes les facettes cachées des grands projets forestiers et miniers, plutôt que de camper uniquement sur les avantages financiers et matériels subséquents et brandir de manière autoritaire la « loi Bakadjika », le sol et le sous-sol appartiennent à l’Etat, oubliant que la constitution reconnaît à l’autorité coutumière le pouvoir sur le patrimoine foncier. Nous laissons ce débat aux juristes. </w:t>
      </w:r>
    </w:p>
    <w:p w:rsidR="0089405D" w:rsidRDefault="003468E2">
      <w:pPr>
        <w:spacing w:after="0" w:line="312" w:lineRule="auto"/>
        <w:rPr>
          <w:rFonts w:cs="Calibri"/>
          <w:b/>
          <w:sz w:val="24"/>
          <w:szCs w:val="24"/>
          <w:lang w:val="fr-FR"/>
        </w:rPr>
      </w:pPr>
      <w:bookmarkStart w:id="896" w:name="_Toc59458394"/>
      <w:r>
        <w:rPr>
          <w:rFonts w:cs="Calibri"/>
          <w:b/>
          <w:sz w:val="24"/>
          <w:szCs w:val="24"/>
          <w:lang w:val="fr-FR"/>
        </w:rPr>
        <w:br w:type="page"/>
      </w:r>
    </w:p>
    <w:p w:rsidR="0089405D" w:rsidRDefault="003468E2">
      <w:pPr>
        <w:keepNext/>
        <w:keepLines/>
        <w:widowControl w:val="0"/>
        <w:spacing w:after="0" w:line="312" w:lineRule="auto"/>
        <w:outlineLvl w:val="0"/>
        <w:rPr>
          <w:rFonts w:cs="Calibri"/>
          <w:b/>
          <w:sz w:val="24"/>
          <w:szCs w:val="24"/>
          <w:lang w:val="fr-FR"/>
        </w:rPr>
      </w:pPr>
      <w:bookmarkStart w:id="897" w:name="_Toc71470307"/>
      <w:bookmarkStart w:id="898" w:name="_Toc73431884"/>
      <w:bookmarkStart w:id="899" w:name="_Toc79393054"/>
      <w:bookmarkStart w:id="900" w:name="_Toc111888706"/>
      <w:bookmarkStart w:id="901" w:name="_Toc127187284"/>
      <w:bookmarkStart w:id="902" w:name="_Toc127187561"/>
      <w:bookmarkStart w:id="903" w:name="_Toc127432318"/>
      <w:r>
        <w:rPr>
          <w:rFonts w:cs="Calibri"/>
          <w:b/>
          <w:sz w:val="24"/>
          <w:szCs w:val="24"/>
          <w:lang w:val="fr-FR"/>
        </w:rPr>
        <w:lastRenderedPageBreak/>
        <w:t>7.3.2. IMPACTS DE L’EXODE RURAL ET URBAIN</w:t>
      </w:r>
      <w:bookmarkEnd w:id="896"/>
      <w:r>
        <w:rPr>
          <w:rFonts w:cs="Calibri"/>
          <w:b/>
          <w:sz w:val="24"/>
          <w:szCs w:val="24"/>
          <w:lang w:val="fr-FR"/>
        </w:rPr>
        <w:t xml:space="preserve"> VERS LES CARRIERES MINIERES</w:t>
      </w:r>
      <w:bookmarkEnd w:id="897"/>
      <w:bookmarkEnd w:id="898"/>
      <w:bookmarkEnd w:id="899"/>
      <w:bookmarkEnd w:id="900"/>
      <w:bookmarkEnd w:id="901"/>
      <w:bookmarkEnd w:id="902"/>
      <w:bookmarkEnd w:id="903"/>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Selon l’Institut International de l’Environnement et du Développement : l’un des plus importants impacts de l’activité minière est la migration de personnes vers les régions minières, en particulier dans les régions éloignées de la zone habituelle qui amène un changement de mode de vie qui ne représente plus l’activité économique habituelle. L’afflux des immigrés (nouveaux arrivants) peut avoir un impact profond sur les autochtones et engendrent des litiges fonciers et sur la manière dont les avantages sont partagés (Franks, D. et al., M2009).  Dans les exploitations artisanales, ces nouvelles agglomérations constituées en majorité des gens venus de partout dans l’espoir de faire fortune sont appelées « carrières » ou « monde libre ». Dans « les carrières » ou « mondes libres », des lois spéciales approuvant toute sorte de violences sont érigées en ignorance totale des lois du pays.                                                                                               </w:t>
      </w:r>
    </w:p>
    <w:p w:rsidR="0089405D" w:rsidRDefault="003468E2">
      <w:pPr>
        <w:spacing w:after="0" w:line="312" w:lineRule="auto"/>
        <w:jc w:val="both"/>
        <w:rPr>
          <w:rFonts w:cs="Calibri"/>
          <w:sz w:val="24"/>
          <w:szCs w:val="24"/>
          <w:lang w:val="fr-FR"/>
        </w:rPr>
      </w:pPr>
      <w:r>
        <w:rPr>
          <w:rFonts w:cs="Calibri"/>
          <w:sz w:val="24"/>
          <w:szCs w:val="24"/>
          <w:lang w:val="fr-FR"/>
        </w:rPr>
        <w:tab/>
        <w:t xml:space="preserve">Cette augmentation soudaine de la population peut également conduire à des pressions sur la terre, l’eau et sur d’autres ressources, et engendrer des problèmes d’assainissement et d’élimination des déchets. Les effets de la migration peuvent s’étendre bien au-delà de la proximité immédiate de la mine (Vanclay, F. &amp; Esteves, A. 2011)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Toutefois, l’évidence des impacts environnementaux négatifs des dernières activités minières amènent les populations environnantes à se préoccuper du fait que les nouvelles activités minières affecteront négativement leur approvisionnement en eau, comme par le passé. Cette expérience ne pourra que les rendre réfractaires par rapport au nouveau projet. Le phénomène d’exode rural et urbain crée une surpopulation sur le site d’exploitation et rend la subsistance pénible.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Les vivres et les produits de base (légumes, féculents, céréales, savon, sel, kérosène…) coûtent extrêmement cher du fait de la loi de l’offre et de la demande. Une promiscuité indécente couve des mœurs licencieuses et engendre une prostitution sénile et infantile à ciel ouvert ; elle alimente un esprit de vol et une délinquance difficiles à contenir… L’absence d’eau potable, les toilettes mal construites et mal entretenues, l’habitat indécent et l’insalubrité chronique sont des sources des maladies hydriques et endémiques et causes d’une forte mortalité. Le même phénomène suscite l’abandon des activités champêtres pourvoyeuses des produits alimentaires dans des villages et une déperdition scolaire qui vide surtout les écoles secondaires et le degré terminal du cycle primaire. </w:t>
      </w:r>
    </w:p>
    <w:p w:rsidR="0089405D" w:rsidRDefault="003468E2">
      <w:pPr>
        <w:spacing w:after="0" w:line="312" w:lineRule="auto"/>
        <w:jc w:val="both"/>
        <w:rPr>
          <w:rFonts w:cs="Calibri"/>
          <w:sz w:val="24"/>
          <w:szCs w:val="24"/>
          <w:lang w:val="fr-FR"/>
        </w:rPr>
      </w:pPr>
      <w:r>
        <w:rPr>
          <w:rFonts w:cs="Calibri"/>
          <w:sz w:val="24"/>
          <w:szCs w:val="24"/>
          <w:lang w:val="fr-FR"/>
        </w:rPr>
        <w:tab/>
        <w:t xml:space="preserve">Cette déperdition scolaire est aussi cause de beaucoup de mariages et grossesses précoces, de la délinquance juvénile et de la famine en milieu rural privé de ses membres actifs dans la production champêtre. Les sites d’exploitation minière sont aussi des lieux de </w:t>
      </w:r>
      <w:r>
        <w:rPr>
          <w:rFonts w:cs="Calibri"/>
          <w:sz w:val="24"/>
          <w:szCs w:val="24"/>
          <w:lang w:val="fr-FR"/>
        </w:rPr>
        <w:lastRenderedPageBreak/>
        <w:t xml:space="preserve">retranchement des hommes en uniformes semant la terreur par les extorsions, les tortures et les viols. Depuis plus de trois décennies, ses abus, souvent commis dans les carrières d’exploitation artisanale ont toujours été dénoncés par les sociétés civiles, les groupes de défense des droits humains et tant d’autres associations. Mais les solutions ne sont toujours pas trouvées par le pouvoir public qui a la mission de protéger le bien commun, d’assurer la protection des personnes et de leurs biens. Nous continuerons à exhorter ces organisations à ne pas lâcher prise. </w:t>
      </w:r>
    </w:p>
    <w:p w:rsidR="0089405D" w:rsidRDefault="0089405D">
      <w:pPr>
        <w:spacing w:after="0" w:line="312" w:lineRule="auto"/>
        <w:jc w:val="both"/>
        <w:rPr>
          <w:rFonts w:cs="Calibri"/>
          <w:b/>
          <w:sz w:val="24"/>
          <w:szCs w:val="24"/>
          <w:lang w:val="fr-FR"/>
        </w:rPr>
      </w:pPr>
      <w:bookmarkStart w:id="904" w:name="_Toc59458395"/>
    </w:p>
    <w:p w:rsidR="0089405D" w:rsidRDefault="003468E2">
      <w:pPr>
        <w:keepNext/>
        <w:keepLines/>
        <w:widowControl w:val="0"/>
        <w:spacing w:after="0" w:line="312" w:lineRule="auto"/>
        <w:jc w:val="both"/>
        <w:outlineLvl w:val="0"/>
        <w:rPr>
          <w:rFonts w:cs="Calibri"/>
          <w:b/>
          <w:sz w:val="24"/>
          <w:szCs w:val="24"/>
          <w:lang w:val="fr-FR"/>
        </w:rPr>
      </w:pPr>
      <w:bookmarkStart w:id="905" w:name="_Toc71470308"/>
      <w:bookmarkStart w:id="906" w:name="_Toc73431885"/>
      <w:bookmarkStart w:id="907" w:name="_Toc79393055"/>
      <w:bookmarkStart w:id="908" w:name="_Toc111888707"/>
      <w:bookmarkStart w:id="909" w:name="_Toc127187285"/>
      <w:bookmarkStart w:id="910" w:name="_Toc127187562"/>
      <w:bookmarkStart w:id="911" w:name="_Toc127432319"/>
      <w:r>
        <w:rPr>
          <w:rFonts w:cs="Calibri"/>
          <w:b/>
          <w:sz w:val="24"/>
          <w:szCs w:val="24"/>
          <w:lang w:val="fr-FR"/>
        </w:rPr>
        <w:t>7.3.3. IMPACTS SUR LES MOYENS D’EXISTENCE</w:t>
      </w:r>
      <w:bookmarkEnd w:id="904"/>
      <w:r>
        <w:rPr>
          <w:rFonts w:cs="Calibri"/>
          <w:b/>
          <w:sz w:val="24"/>
          <w:szCs w:val="24"/>
          <w:lang w:val="fr-FR"/>
        </w:rPr>
        <w:t xml:space="preserve"> ET SUR LES DROITS FONDAMENTAUX DE LA PERSONNE</w:t>
      </w:r>
      <w:bookmarkEnd w:id="905"/>
      <w:bookmarkEnd w:id="906"/>
      <w:bookmarkEnd w:id="907"/>
      <w:bookmarkEnd w:id="908"/>
      <w:bookmarkEnd w:id="909"/>
      <w:bookmarkEnd w:id="910"/>
      <w:bookmarkEnd w:id="911"/>
    </w:p>
    <w:p w:rsidR="0089405D" w:rsidRDefault="0089405D">
      <w:pPr>
        <w:keepNext/>
        <w:keepLines/>
        <w:widowControl w:val="0"/>
        <w:spacing w:after="0" w:line="312" w:lineRule="auto"/>
        <w:jc w:val="both"/>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Lorsque les activités minières ne sont pas gérées correctement, c’est-à-dire dans le respect des principes du développement durable, l’impact sur les ressources naturelles et sur l’environnement ne traîne pas, et principalement : la dégradation des sols, de l’eau, de la biodiversité et des ressources forestières essentielles à la subsistance de la population. Lorsque la contamination des ressources n’est pas contrôlée, le coût de cette contamination est transféré à d’autres activités économiques, comme l’agriculture et la pêche. Dans ce cas, les produits de subsistance se raréfient au point de créer une disette désertique dans le village. La situation devient pire lorsque les activités minières ont lieu dans des zones habitées par des populations historiquement marginalisées, victime de discrimination (Franks, D. et al., 2010 ; AFREA (The African Evaluation Association), 2011). </w:t>
      </w:r>
    </w:p>
    <w:p w:rsidR="0089405D" w:rsidRDefault="003468E2">
      <w:pPr>
        <w:spacing w:after="0" w:line="312" w:lineRule="auto"/>
        <w:jc w:val="both"/>
        <w:rPr>
          <w:rFonts w:cs="Calibri"/>
          <w:sz w:val="24"/>
          <w:szCs w:val="24"/>
          <w:lang w:val="fr-FR"/>
        </w:rPr>
      </w:pPr>
      <w:r>
        <w:rPr>
          <w:rFonts w:cs="Calibri"/>
          <w:sz w:val="24"/>
          <w:szCs w:val="24"/>
          <w:lang w:val="fr-FR"/>
        </w:rPr>
        <w:tab/>
        <w:t xml:space="preserve">D’après Vanclay, F. (2003), le (s) promoteur(s) de projets miniers devraient donner l’assurance que les droits fondamentaux des personnes et des communautés concernées seront respectés. Ceux-ci incluent des droits pour contrôler et utiliser des terres, le droit à l’eau potable et le droit aux moyens d’existence. Ces droits peuvent être inscrits dans la législation nationale, basés et exprimés à travers une gamme d’instruments internationaux. Tous les groupes sont égaux en vertu de la loi, et les intérêts des groupes les plus vulnérables (groupes à faible revenu et marginalisés) doivent être identifiés et protégés. </w:t>
      </w:r>
    </w:p>
    <w:p w:rsidR="0089405D" w:rsidRDefault="003468E2">
      <w:pPr>
        <w:spacing w:after="0" w:line="312" w:lineRule="auto"/>
        <w:jc w:val="both"/>
        <w:rPr>
          <w:rFonts w:cs="Calibri"/>
          <w:sz w:val="24"/>
          <w:szCs w:val="24"/>
          <w:lang w:val="fr-FR"/>
        </w:rPr>
      </w:pPr>
      <w:r>
        <w:rPr>
          <w:rFonts w:cs="Calibri"/>
          <w:sz w:val="24"/>
          <w:szCs w:val="24"/>
          <w:lang w:val="fr-FR"/>
        </w:rPr>
        <w:tab/>
        <w:t xml:space="preserve">Le constat général sur les sites d’exploitation minière artisanale est que l’autorité publique n’y fait pas encore respecter les droits fondamentaux de la personne, notamment : le droit à une alimentation saine, à un habitat et à logement sain, à bénéficier des soins médicaux appropriés et d’une éducation scolaire pour les enfants et les jeunes. Nous voudrions de manière particulière attirer l’attention sur le droit à l’éducation, car la société de demain sera ce qu’est notre jeunesse aujourd’hui. </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t xml:space="preserve">Généralement, dans des zones minières, l'instruction est souvent négligée ou tout simplement ignorée. L'utilisation de la main d'œuvre infantile au détriment de sa formation scolaire et la montée de la déperdition scolaire sont caractéristiques des milieux miniers en RD Congo. L'on y remarque un taux d'analphabétisme élevé du fait que les enfants et les jeunes se détournent de l'instruction au profit des travaux dans les mines qui paraissent moins 'embêtants', mais facilement et rapidement plus 'rentables' matériellement et financièrement que le cursus scolaire (Mangambu et al., 2021a). </w:t>
      </w:r>
    </w:p>
    <w:p w:rsidR="0089405D" w:rsidRDefault="003468E2">
      <w:pPr>
        <w:spacing w:after="0" w:line="312" w:lineRule="auto"/>
        <w:jc w:val="both"/>
        <w:rPr>
          <w:rFonts w:cs="Calibri"/>
          <w:sz w:val="24"/>
          <w:szCs w:val="24"/>
          <w:lang w:val="fr-FR"/>
        </w:rPr>
      </w:pPr>
      <w:r>
        <w:rPr>
          <w:rFonts w:cs="Calibri"/>
          <w:sz w:val="24"/>
          <w:szCs w:val="24"/>
          <w:lang w:val="fr-FR"/>
        </w:rPr>
        <w:tab/>
        <w:t>Les exploitations industrielles ou semi-industrielles apportent les opportunités d’emploi pouvant elles-mêmes dissuader les jeunes d’aller à l’école ou de poursuivre des carrières ou des professions plus adaptées, au regard des rémunérations quelque peu grasses (Brollo, F., 2010). Comme on finira par le constater, peut-être trente ans ou cinquante ans après, la meilleure stratégie pour aliéner un peuple est de priver sa jeunesse de l'instruction. Ne perdons pas de vue que le développement d’un peuple est d’abord mental.</w:t>
      </w:r>
    </w:p>
    <w:p w:rsidR="0089405D" w:rsidRDefault="0089405D">
      <w:pPr>
        <w:spacing w:after="0" w:line="312" w:lineRule="auto"/>
        <w:jc w:val="both"/>
        <w:rPr>
          <w:rFonts w:cs="Calibri"/>
          <w:b/>
          <w:sz w:val="24"/>
          <w:szCs w:val="24"/>
          <w:lang w:val="fr-FR"/>
        </w:rPr>
      </w:pPr>
      <w:bookmarkStart w:id="912" w:name="_Toc59458396"/>
    </w:p>
    <w:p w:rsidR="0089405D" w:rsidRDefault="003468E2">
      <w:pPr>
        <w:keepNext/>
        <w:keepLines/>
        <w:widowControl w:val="0"/>
        <w:spacing w:after="0" w:line="312" w:lineRule="auto"/>
        <w:outlineLvl w:val="0"/>
        <w:rPr>
          <w:rFonts w:cs="Calibri"/>
          <w:b/>
          <w:sz w:val="24"/>
          <w:szCs w:val="24"/>
          <w:lang w:val="fr-FR"/>
        </w:rPr>
      </w:pPr>
      <w:bookmarkStart w:id="913" w:name="_Toc71470309"/>
      <w:bookmarkStart w:id="914" w:name="_Toc73431886"/>
      <w:bookmarkStart w:id="915" w:name="_Toc79393056"/>
      <w:bookmarkStart w:id="916" w:name="_Toc111888708"/>
      <w:bookmarkStart w:id="917" w:name="_Toc127187286"/>
      <w:bookmarkStart w:id="918" w:name="_Toc127187563"/>
      <w:bookmarkStart w:id="919" w:name="_Toc127432320"/>
      <w:r>
        <w:rPr>
          <w:rFonts w:cs="Calibri"/>
          <w:b/>
          <w:sz w:val="24"/>
          <w:szCs w:val="24"/>
          <w:lang w:val="fr-FR"/>
        </w:rPr>
        <w:t>7.3.4. IMPACTS SEXOSPECIFIQUES</w:t>
      </w:r>
      <w:bookmarkEnd w:id="912"/>
      <w:bookmarkEnd w:id="913"/>
      <w:bookmarkEnd w:id="914"/>
      <w:bookmarkEnd w:id="915"/>
      <w:bookmarkEnd w:id="916"/>
      <w:bookmarkEnd w:id="917"/>
      <w:bookmarkEnd w:id="918"/>
      <w:bookmarkEnd w:id="919"/>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développement des Industries extractives comme celle qu’on propose d’installer à Liambe peut aussi impacter négativement la sécurité physique, morale et psychique des femmes et surtout sur leur protection contre les diverses formes de violence sexiste. Comme nous l’avons indiqué à l’introduction de cette section, la concentration démographique due à un mouvement migratoire des jeunes vers les carrières expose les jeunes filles aux abus sexuels (viols, grossesses indésirables, sévices sexuels…) et à la prolifération des maladies sexuellement transmissibles (le VIH/Sida et autres MST). </w:t>
      </w:r>
    </w:p>
    <w:p w:rsidR="0089405D" w:rsidRDefault="003468E2">
      <w:pPr>
        <w:spacing w:after="0" w:line="312" w:lineRule="auto"/>
        <w:jc w:val="both"/>
        <w:rPr>
          <w:rFonts w:cs="Calibri"/>
          <w:sz w:val="24"/>
          <w:szCs w:val="24"/>
          <w:lang w:val="fr-FR"/>
        </w:rPr>
      </w:pPr>
      <w:r>
        <w:rPr>
          <w:rFonts w:cs="Calibri"/>
          <w:sz w:val="24"/>
          <w:szCs w:val="24"/>
          <w:lang w:val="fr-FR"/>
        </w:rPr>
        <w:tab/>
        <w:t>Ce climat se répercute même au niveau des couples des adultes légalement établis où on enregistre des dislocations de couples, des violences conjugales, des infidélités matrimoniales, des conflits sanglants entre les femmes rivales et les hommes rivaux. Ces comportements sexistes sont plus entretenus par une consommation incontrôlée d’alcool et de stupéfiants par toutes les catégories des habitants du site, favorisée par une circulation fluide de flux monétaires et une absence totale des services de l’Etat.</w:t>
      </w:r>
    </w:p>
    <w:p w:rsidR="0089405D" w:rsidRDefault="003468E2">
      <w:pPr>
        <w:spacing w:after="0" w:line="312" w:lineRule="auto"/>
        <w:jc w:val="both"/>
        <w:rPr>
          <w:rFonts w:cs="Calibri"/>
          <w:sz w:val="24"/>
          <w:szCs w:val="24"/>
          <w:lang w:val="fr-FR"/>
        </w:rPr>
      </w:pPr>
      <w:r>
        <w:rPr>
          <w:rFonts w:cs="Calibri"/>
          <w:sz w:val="24"/>
          <w:szCs w:val="24"/>
          <w:lang w:val="fr-FR"/>
        </w:rPr>
        <w:tab/>
        <w:t xml:space="preserve">Autant qu’on entrevoit la société de demain à travers la qualité de la jeunesse d’aujourd’hui, autant nos sociétés seront demain ce que sont nos familles aujourd’hui. La vie dans les carrés miniers détruit grandement la jeunesse et la stabilité des familles (Mangambu, et al., 2021b). Que d’hommes ne pensent plus rejoindre leurs familles (femmes et enfants) laissées dans les villages ou même dans les centres urbains tout simplement parce qu’ils se </w:t>
      </w:r>
      <w:r>
        <w:rPr>
          <w:rFonts w:cs="Calibri"/>
          <w:sz w:val="24"/>
          <w:szCs w:val="24"/>
          <w:lang w:val="fr-FR"/>
        </w:rPr>
        <w:lastRenderedPageBreak/>
        <w:t>sont engagés maritalement auprès d’autres partenaires dans les carrières ? Les opportunités d’emploi peuvent elles-mêmes dissuader les jeunes d’aller à l’école ou de poursuivre des carrières plus adaptées ; pire encore, la promesse de prospérité associée à un emploi bien rémunéré pourrait ne pas se concrétiser ; et il serait alors très difficile de rattraper les opportunités autrefois délaissées (</w:t>
      </w:r>
      <w:r>
        <w:rPr>
          <w:rFonts w:eastAsia="Calibri" w:cs="Calibri"/>
          <w:sz w:val="24"/>
          <w:szCs w:val="24"/>
          <w:lang w:val="fr-FR" w:eastAsia="en-US"/>
        </w:rPr>
        <w:t xml:space="preserve">Kemp, D. 2009 ; </w:t>
      </w:r>
      <w:r>
        <w:rPr>
          <w:rFonts w:cs="Calibri"/>
          <w:sz w:val="24"/>
          <w:szCs w:val="24"/>
          <w:lang w:val="fr-FR"/>
        </w:rPr>
        <w:t xml:space="preserve">Brollo, F., 2010).  </w:t>
      </w:r>
    </w:p>
    <w:p w:rsidR="0089405D" w:rsidRDefault="003468E2">
      <w:pPr>
        <w:spacing w:after="0" w:line="312" w:lineRule="auto"/>
        <w:jc w:val="both"/>
        <w:rPr>
          <w:rFonts w:cs="Calibri"/>
          <w:sz w:val="24"/>
          <w:szCs w:val="24"/>
          <w:lang w:val="fr-FR"/>
        </w:rPr>
      </w:pPr>
      <w:r>
        <w:rPr>
          <w:rFonts w:cs="Calibri"/>
          <w:sz w:val="24"/>
          <w:szCs w:val="24"/>
          <w:lang w:val="fr-FR"/>
        </w:rPr>
        <w:tab/>
        <w:t xml:space="preserve">La concentration d’un grand nombre de jeunes- gens actifs se présente aussi comme un terrain propice au recrutement dans des milices et des mouvements armés et rebelles, en particulier lorsque les personnes actives se rendent compte qu’il est peu probable que la vie dans les mines réponde à leurs attentes du point de vue économique (De Wachter, P.M., 2008). Les Industries extractives peuvent mener à la perte de propriété ou de jouissance des terres cultivables, et partant, à la perte de revenus générés par les activités agricoles sur ces terres. Ce cas attire plus d’attention quand il s’agit de spoliation de terres aux « femmes-seules (veuves, divorcées, célibataires) qui ont à leurs charges des enfants à nourrir et à éduquer (Brücker, H., et al., 2014 ; Mangambu, et al., 2021a). </w:t>
      </w:r>
    </w:p>
    <w:p w:rsidR="0089405D" w:rsidRDefault="003468E2">
      <w:pPr>
        <w:spacing w:after="0" w:line="312" w:lineRule="auto"/>
        <w:jc w:val="both"/>
        <w:rPr>
          <w:rFonts w:cs="Calibri"/>
          <w:sz w:val="24"/>
          <w:szCs w:val="24"/>
          <w:lang w:val="fr-FR"/>
        </w:rPr>
      </w:pPr>
      <w:r>
        <w:rPr>
          <w:rFonts w:cs="Calibri"/>
          <w:sz w:val="24"/>
          <w:szCs w:val="24"/>
          <w:lang w:val="fr-FR"/>
        </w:rPr>
        <w:t xml:space="preserve">      Mis à part les risques détaillés ci-dessus, les projets d’Industries extractives qui tiennent compte de la dimension genre, peuvent mieux profiter aux femmes</w:t>
      </w:r>
      <w:r>
        <w:rPr>
          <w:rFonts w:cs="Calibri"/>
          <w:sz w:val="24"/>
          <w:szCs w:val="24"/>
          <w:lang w:val="fr-FR" w:eastAsia="fr-FR"/>
        </w:rPr>
        <w:t xml:space="preserve"> (Bérenger, B. et Chouchane, A. 2008)</w:t>
      </w:r>
      <w:r>
        <w:rPr>
          <w:rFonts w:cs="Calibri"/>
          <w:sz w:val="24"/>
          <w:szCs w:val="24"/>
          <w:lang w:val="fr-FR"/>
        </w:rPr>
        <w:t>. A ce sujet, l’on pourrait affirmer que : «L’amélioration de l’accès des femmes à l’emploi dans les Industries extractives et les services de microcrédit peuvent avoir des impacts positifs s’ils s’accompagnent des programmes d’autonomisation socioéconomique plus vastes, c’est-à-dire l’enseignement, la formation professionnelle, la promotion de l’accès des femmes aux processus de prise de décisions communautaires. » (Brollo, F. et al., 2010).</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920" w:name="_Toc59458397"/>
      <w:bookmarkStart w:id="921" w:name="_Toc71470310"/>
      <w:bookmarkStart w:id="922" w:name="_Toc73431887"/>
      <w:bookmarkStart w:id="923" w:name="_Toc79393057"/>
      <w:bookmarkStart w:id="924" w:name="_Toc111888709"/>
      <w:bookmarkStart w:id="925" w:name="_Toc127187287"/>
      <w:bookmarkStart w:id="926" w:name="_Toc127187564"/>
      <w:bookmarkStart w:id="927" w:name="_Toc127432321"/>
      <w:r>
        <w:rPr>
          <w:rFonts w:cs="Calibri"/>
          <w:b/>
          <w:sz w:val="24"/>
          <w:szCs w:val="24"/>
          <w:lang w:val="fr-FR"/>
        </w:rPr>
        <w:t>7.4. IMPACTS SUR LA SANTE PUBLIQUE</w:t>
      </w:r>
      <w:bookmarkEnd w:id="920"/>
      <w:bookmarkEnd w:id="921"/>
      <w:bookmarkEnd w:id="922"/>
      <w:bookmarkEnd w:id="923"/>
      <w:bookmarkEnd w:id="924"/>
      <w:bookmarkEnd w:id="925"/>
      <w:bookmarkEnd w:id="926"/>
      <w:bookmarkEnd w:id="927"/>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D’une manière générale, en Afrique subsaharienne, les projets miniers sous-estiment souvent les risques sanitaires potentiels inhérents aux exploitations minières (PNUD, (2016). Les substances dangereuses et les déchets déversés dans l’eau, polluant l’air et le sol, peuvent avoir des répercussions graves sur la santé publique (Vanclay, F. 2002 ; Franks, D. et al., 2010). L’Organisation mondiale de la Santé (OMS) définit la santé comme “un état complet de bien-être physique, mental et social et pas seulement l’absence de maladie ou d’infirmité (Vanclay, F. 2003 ; Daniel, P. et al., 2013).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  Le terme « </w:t>
      </w:r>
      <w:r>
        <w:rPr>
          <w:rFonts w:cs="Calibri"/>
          <w:i/>
          <w:sz w:val="24"/>
          <w:szCs w:val="24"/>
          <w:lang w:val="fr-FR"/>
        </w:rPr>
        <w:t>substances dangereuses</w:t>
      </w:r>
      <w:r>
        <w:rPr>
          <w:rFonts w:cs="Calibri"/>
          <w:sz w:val="24"/>
          <w:szCs w:val="24"/>
          <w:lang w:val="fr-FR"/>
        </w:rPr>
        <w:t xml:space="preserve"> » est vaste et inclut toutes les substances qui peuvent être nocives à la population et/ou à l’environnement. L’industrie extractive à Liambe, </w:t>
      </w:r>
      <w:r>
        <w:rPr>
          <w:rFonts w:cs="Calibri"/>
          <w:sz w:val="24"/>
          <w:szCs w:val="24"/>
          <w:lang w:val="fr-FR"/>
        </w:rPr>
        <w:lastRenderedPageBreak/>
        <w:t xml:space="preserve">en raison de la quantité, de la concentration ou des caractéristiques physiques, chimiques ou infectieuses des substances dangereuses qu’elle devrait utiliser, pourra être la cause :  </w:t>
      </w:r>
    </w:p>
    <w:p w:rsidR="0089405D" w:rsidRDefault="003468E2">
      <w:pPr>
        <w:spacing w:after="0" w:line="312" w:lineRule="auto"/>
        <w:jc w:val="both"/>
        <w:rPr>
          <w:rFonts w:cs="Calibri"/>
          <w:sz w:val="24"/>
          <w:szCs w:val="24"/>
          <w:lang w:val="fr-FR"/>
        </w:rPr>
      </w:pPr>
      <w:r>
        <w:rPr>
          <w:rFonts w:cs="Calibri"/>
          <w:sz w:val="24"/>
          <w:szCs w:val="24"/>
          <w:lang w:val="fr-FR"/>
        </w:rPr>
        <w:t>- d’une augmentation de la mortalité ou d’une augmentation de graves maladies infectieuses irréversibles ou incapacitantes causées par des substances chimiques.</w:t>
      </w:r>
    </w:p>
    <w:p w:rsidR="0089405D" w:rsidRDefault="003468E2">
      <w:pPr>
        <w:spacing w:after="0" w:line="312" w:lineRule="auto"/>
        <w:jc w:val="both"/>
        <w:rPr>
          <w:rFonts w:cs="Calibri"/>
          <w:sz w:val="24"/>
          <w:szCs w:val="24"/>
          <w:lang w:val="fr-FR"/>
        </w:rPr>
      </w:pPr>
      <w:r>
        <w:rPr>
          <w:rFonts w:cs="Calibri"/>
          <w:sz w:val="24"/>
          <w:szCs w:val="24"/>
          <w:lang w:val="fr-FR"/>
        </w:rPr>
        <w:t>- des risques substantiels ou potentiels pour la santé humaine et l’environnement si ces substances sont improprement traitées, stockées, transportées, éliminées ou gérées autrement.</w:t>
      </w:r>
    </w:p>
    <w:p w:rsidR="0089405D" w:rsidRDefault="003468E2">
      <w:pPr>
        <w:spacing w:after="0" w:line="312" w:lineRule="auto"/>
        <w:ind w:firstLine="709"/>
        <w:jc w:val="both"/>
        <w:rPr>
          <w:rFonts w:cs="Calibri"/>
          <w:sz w:val="24"/>
          <w:szCs w:val="24"/>
          <w:lang w:val="fr-FR"/>
        </w:rPr>
      </w:pPr>
      <w:r>
        <w:rPr>
          <w:rFonts w:cs="Calibri"/>
          <w:sz w:val="24"/>
          <w:szCs w:val="24"/>
          <w:lang w:val="fr-FR"/>
        </w:rPr>
        <w:t>Cheshire, L. (2010) et Coleman J. et al. (2018) démontrent que les sols se forment et évoluent sous l’effet des processus géochimiques (ensemble des processus d’altérations minérales, de formations de minéraux secondaires et les autres types d’interactions solides/solutions), biologiques (dégradation de la matière organique et formation de composés organiques évolués) et de transferts de matière et d’énergie. Les phases minérales et les complexes ainsi formés seront majoritairement des silicates (comme les minéraux argileux), des oxydes et oxyhydroxydes, des carbonates, des phosphates et des sulfates (Corkal V. et al., 2020).</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Cette analyse démontre  schématise les mouvements de transferts des substances à partir des eaux, de l’atmosphère, de la faune et de la flore vers l’homme qui les ingère par inhalation et absorption dermique s’exposant dangereusement aux maladies infectieuses et cancérigènes. </w:t>
      </w:r>
    </w:p>
    <w:p w:rsidR="0089405D" w:rsidRDefault="0089405D">
      <w:pPr>
        <w:keepNext/>
        <w:keepLines/>
        <w:widowControl w:val="0"/>
        <w:spacing w:after="0" w:line="312" w:lineRule="auto"/>
        <w:jc w:val="both"/>
        <w:outlineLvl w:val="0"/>
        <w:rPr>
          <w:rFonts w:cs="Calibri"/>
          <w:b/>
          <w:bCs/>
          <w:sz w:val="24"/>
          <w:szCs w:val="24"/>
          <w:lang w:val="fr-FR"/>
        </w:rPr>
      </w:pPr>
      <w:bookmarkStart w:id="928" w:name="_Toc71470311"/>
      <w:bookmarkStart w:id="929" w:name="_Toc73431888"/>
      <w:bookmarkStart w:id="930" w:name="_Toc79393059"/>
      <w:bookmarkStart w:id="931" w:name="_Toc111888710"/>
    </w:p>
    <w:p w:rsidR="0089405D" w:rsidRDefault="003468E2">
      <w:pPr>
        <w:keepNext/>
        <w:keepLines/>
        <w:widowControl w:val="0"/>
        <w:spacing w:after="0" w:line="312" w:lineRule="auto"/>
        <w:jc w:val="both"/>
        <w:outlineLvl w:val="0"/>
        <w:rPr>
          <w:rFonts w:cs="Calibri"/>
          <w:b/>
          <w:bCs/>
          <w:sz w:val="24"/>
          <w:szCs w:val="24"/>
          <w:lang w:val="fr-FR"/>
        </w:rPr>
      </w:pPr>
      <w:bookmarkStart w:id="932" w:name="_Toc127187288"/>
      <w:bookmarkStart w:id="933" w:name="_Toc127187565"/>
      <w:bookmarkStart w:id="934" w:name="_Toc127432322"/>
      <w:r>
        <w:rPr>
          <w:rFonts w:cs="Calibri"/>
          <w:b/>
          <w:bCs/>
          <w:sz w:val="24"/>
          <w:szCs w:val="24"/>
          <w:lang w:val="fr-FR"/>
        </w:rPr>
        <w:t>7.5. QUELLES PISTES ENVISAGEES POUR IMPULSER LE DEVELOPPEMENT DE L’ENTITE DE BASOKO TANT REVE ET CLAME PAR SES FILS ET SES FILLES</w:t>
      </w:r>
      <w:bookmarkEnd w:id="928"/>
      <w:bookmarkEnd w:id="929"/>
      <w:r>
        <w:rPr>
          <w:rFonts w:cs="Calibri"/>
          <w:b/>
          <w:bCs/>
          <w:sz w:val="24"/>
          <w:szCs w:val="24"/>
          <w:lang w:val="fr-FR"/>
        </w:rPr>
        <w:t> ?</w:t>
      </w:r>
      <w:bookmarkEnd w:id="930"/>
      <w:bookmarkEnd w:id="931"/>
      <w:bookmarkEnd w:id="932"/>
      <w:bookmarkEnd w:id="933"/>
      <w:bookmarkEnd w:id="934"/>
    </w:p>
    <w:p w:rsidR="0089405D" w:rsidRDefault="0089405D">
      <w:pPr>
        <w:keepNext/>
        <w:keepLines/>
        <w:widowControl w:val="0"/>
        <w:spacing w:after="0" w:line="312" w:lineRule="auto"/>
        <w:jc w:val="both"/>
        <w:outlineLvl w:val="0"/>
        <w:rPr>
          <w:rFonts w:cs="Calibri"/>
          <w:b/>
          <w:bCs/>
          <w:sz w:val="24"/>
          <w:szCs w:val="24"/>
          <w:lang w:val="fr-FR"/>
        </w:rPr>
      </w:pPr>
    </w:p>
    <w:p w:rsidR="0089405D" w:rsidRDefault="003468E2">
      <w:pPr>
        <w:spacing w:after="0" w:line="312" w:lineRule="auto"/>
        <w:ind w:firstLine="708"/>
        <w:jc w:val="both"/>
        <w:rPr>
          <w:rFonts w:cs="Calibri"/>
          <w:b/>
          <w:bCs/>
          <w:sz w:val="24"/>
          <w:szCs w:val="24"/>
          <w:lang w:val="fr-FR"/>
        </w:rPr>
      </w:pPr>
      <w:r>
        <w:rPr>
          <w:rFonts w:cs="Calibri"/>
          <w:b/>
          <w:bCs/>
          <w:sz w:val="24"/>
          <w:szCs w:val="24"/>
          <w:lang w:val="fr-FR"/>
        </w:rPr>
        <w:t xml:space="preserve"> </w:t>
      </w:r>
      <w:r>
        <w:rPr>
          <w:rFonts w:cs="Calibri"/>
          <w:sz w:val="24"/>
          <w:szCs w:val="24"/>
          <w:lang w:val="fr-FR"/>
        </w:rPr>
        <w:t>Au- delà des aspects environnementaux et écosystémiques traités dans notre analyse, une question hante les esprits : cette exploitation minière semi-industrielle ne serait-elle pas une opportunité qui impulserait le développement du territoire de Basoko ?</w:t>
      </w:r>
    </w:p>
    <w:p w:rsidR="0089405D" w:rsidRDefault="003468E2">
      <w:pPr>
        <w:spacing w:after="0" w:line="312" w:lineRule="auto"/>
        <w:jc w:val="both"/>
        <w:rPr>
          <w:rFonts w:cs="Calibri"/>
          <w:sz w:val="24"/>
          <w:szCs w:val="24"/>
          <w:lang w:val="fr-FR"/>
        </w:rPr>
      </w:pPr>
      <w:r>
        <w:rPr>
          <w:rFonts w:cs="Calibri"/>
          <w:sz w:val="24"/>
          <w:szCs w:val="24"/>
          <w:lang w:val="fr-FR"/>
        </w:rPr>
        <w:tab/>
        <w:t>De nos jours, parler du développement d’une population, d’un milieu, renvoi nécessairement à la notion du développement durable. Comme nous l’avions déjà signalé, la soutenabilité d’un projet repose principalement sur les garanties qu’il offre pour une gestion rationnelle des ressources naturelles non renouvelables.</w:t>
      </w:r>
      <w:r>
        <w:rPr>
          <w:rFonts w:cs="Calibri"/>
          <w:lang w:val="fr-FR"/>
        </w:rPr>
        <w:t xml:space="preserve"> </w:t>
      </w:r>
      <w:r>
        <w:rPr>
          <w:rFonts w:cs="Calibri"/>
          <w:sz w:val="24"/>
          <w:szCs w:val="24"/>
          <w:lang w:val="fr-FR"/>
        </w:rPr>
        <w:t>Ainsi, l’objectif principal du développement durable est de concilier le progrès économique et social avec la préservation de l’environnement. Ce dernier étant considéré comme un patrimoine devant être transmis aux générations futures. Techniquement, on parlera d’équité « intergénérationnelle », c’est-</w:t>
      </w:r>
      <w:r>
        <w:rPr>
          <w:rFonts w:cs="Calibri"/>
          <w:sz w:val="24"/>
          <w:szCs w:val="24"/>
          <w:lang w:val="fr-FR"/>
        </w:rPr>
        <w:lastRenderedPageBreak/>
        <w:t xml:space="preserve">à-dire d’une équité sociale entre les générations (Kitula, A. 2006 ; Aggire, F., 2018 ; Mangambu et al., 2021b).  </w:t>
      </w:r>
    </w:p>
    <w:p w:rsidR="0089405D" w:rsidRDefault="003468E2">
      <w:pPr>
        <w:spacing w:after="0" w:line="312" w:lineRule="auto"/>
        <w:ind w:firstLine="709"/>
        <w:jc w:val="both"/>
        <w:rPr>
          <w:rFonts w:cs="Calibri"/>
          <w:sz w:val="24"/>
          <w:szCs w:val="24"/>
          <w:lang w:val="fr-FR"/>
        </w:rPr>
      </w:pPr>
      <w:r>
        <w:rPr>
          <w:rFonts w:cs="Calibri"/>
          <w:sz w:val="24"/>
          <w:szCs w:val="24"/>
          <w:lang w:val="fr-FR"/>
        </w:rPr>
        <w:t>Le premier enjeu du développement minier tient dans la nature non renouvelable des ressources et dans la répartition géographique des structures géologiques favorables. Le développement peut être vu comme un processus d’adaptation visant à améliorer une situation perçue comme perfectible. Le développement minier, pour sa part, viserait à satisfaire les besoins des marchés mondiaux qui serviront in fine à mieux répondre à des besoins exprimés par des humains. Dans une perspective économique classique, l’augmentation de l’activité économique, qui se traduit par une progression du produit Intérieur Brut (PIB), est un signe d’augmentation de la richesse. Celle-ci représente une meilleure marge de manœuvre pour satisfaire les besoins des sociétés. La croissance économique est donc considérée à la fois comme le résultat et l’objectif du développement. C’est une boucle de rétroaction positive (Mangambu et al., 2021a).</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 Mais il y a certains secteurs d’activité humaine où cette rétroaction est problématique.  C’est particulièrement le cas de l’industrie minière ; dans un monde aux ressources limitées, il est impossible d’entretenir indéfiniment une boucle de rétroaction positive lorsque l’activité principale du secteur est basée sur l’extraction de ressources non renouvelables. Il faut donc d’abord distinguer la vie de la mine qui est un processus unidirectionnel (exploration, mise en production, exploitation, fermeture, réhabilitation du site) du cycle de vie des ressources extraites de la mine qui peut, ou non, impliquer une phase de recyclage plus ou moins efficace après le traitement du minerai et sa première utilisation. Bref, les ressources s’épuisent, les générations futures en auront aussi besoin (Lapalme, L 2003 ; </w:t>
      </w:r>
      <w:r>
        <w:rPr>
          <w:rFonts w:cs="Calibri"/>
          <w:iCs/>
          <w:sz w:val="24"/>
          <w:szCs w:val="24"/>
          <w:lang w:val="fr-FR"/>
        </w:rPr>
        <w:t>Mangambu M. et al., 2022).</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 Elles (les ressources) produisent des richesses, mais elles peuvent aussi provoquer des maladies des suites des pollutions qu’elles entrainent et creuser des inégalités entre les individus et les communautés. Les ressources naturelles peuvent apporter des solutions aux problèmes de vie ou de survie tout comme elles peuvent constituer des causes des problèmes vitaux et sociétaux et des désastres écosystémiques (Asimbo B. et al., 2021).   </w:t>
      </w:r>
    </w:p>
    <w:p w:rsidR="0089405D" w:rsidRDefault="003468E2">
      <w:pPr>
        <w:spacing w:after="0" w:line="312" w:lineRule="auto"/>
        <w:jc w:val="both"/>
        <w:rPr>
          <w:rFonts w:cs="Calibri"/>
          <w:sz w:val="24"/>
          <w:szCs w:val="24"/>
          <w:lang w:val="fr-FR"/>
        </w:rPr>
      </w:pPr>
      <w:r>
        <w:rPr>
          <w:rFonts w:cs="Calibri"/>
          <w:sz w:val="24"/>
          <w:szCs w:val="24"/>
          <w:lang w:val="fr-FR"/>
        </w:rPr>
        <w:tab/>
        <w:t xml:space="preserve"> L’itinéraire parcouru dans les lignes précédentes montre que les activités extractives impactent les communautés locales sur les échanges des biens et des services (le marché, la fiscalité), la vie sociale, les relations sociétales et l’environnement. Elles sont créatrices d’emplois formels et/ou informels, génératrices des revenus, des flux monétaires, des échanges économiques, mais aussi des externalités négatives indiquées dans ces pages. </w:t>
      </w:r>
    </w:p>
    <w:p w:rsidR="0089405D" w:rsidRDefault="003468E2">
      <w:pPr>
        <w:spacing w:after="0" w:line="312" w:lineRule="auto"/>
        <w:jc w:val="both"/>
        <w:rPr>
          <w:rFonts w:cs="Calibri"/>
          <w:b/>
          <w:sz w:val="24"/>
          <w:szCs w:val="24"/>
          <w:lang w:val="fr-FR"/>
        </w:rPr>
      </w:pPr>
      <w:r>
        <w:rPr>
          <w:rFonts w:cs="Calibri"/>
          <w:sz w:val="24"/>
          <w:szCs w:val="24"/>
          <w:lang w:val="fr-FR"/>
        </w:rPr>
        <w:lastRenderedPageBreak/>
        <w:tab/>
        <w:t>Les analyses menées ci-dessus font ressortir clairement que les effets qui résulteraient de l’exploitation forestière dans la chefferie de Yaliwasa et l’exploitation minière, sur la rivière Arwimi, dans le secteur de Mongandjo, précisément dans la localité de Liambe, seraient nuisibles et dévastatrices (Impacts sur le sol, l’habitat, les eaux, la faune, la flore, les moyens de subsistance et d’existence la vie sociale, la culture, la santé publique…). Au regard de ces analyses, les impacts négatifs :</w:t>
      </w:r>
    </w:p>
    <w:p w:rsidR="0089405D" w:rsidRDefault="003468E2">
      <w:pPr>
        <w:spacing w:after="0" w:line="312" w:lineRule="auto"/>
        <w:jc w:val="both"/>
        <w:rPr>
          <w:rFonts w:cs="Calibri"/>
          <w:sz w:val="24"/>
          <w:szCs w:val="24"/>
          <w:lang w:val="fr-FR"/>
        </w:rPr>
      </w:pPr>
      <w:r>
        <w:rPr>
          <w:rFonts w:cs="Calibri"/>
          <w:sz w:val="24"/>
          <w:szCs w:val="24"/>
          <w:lang w:val="fr-FR"/>
        </w:rPr>
        <w:t>- sur les activités de survie : ces impacts toucheraient la pêche, l’agriculture, la chasse et la cueillette ne se feront pas attendre ;</w:t>
      </w:r>
    </w:p>
    <w:p w:rsidR="0089405D" w:rsidRDefault="003468E2">
      <w:pPr>
        <w:spacing w:after="0" w:line="312" w:lineRule="auto"/>
        <w:jc w:val="both"/>
        <w:rPr>
          <w:rFonts w:cs="Calibri"/>
          <w:sz w:val="24"/>
          <w:szCs w:val="24"/>
          <w:lang w:val="fr-FR"/>
        </w:rPr>
      </w:pPr>
      <w:r>
        <w:rPr>
          <w:rFonts w:cs="Calibri"/>
          <w:sz w:val="24"/>
          <w:szCs w:val="24"/>
          <w:lang w:val="fr-FR"/>
        </w:rPr>
        <w:t>- sur la propriété foncière : ils seront porteurs des conflits sociaux et fonciers quasi- inextricables ; les familles, les clans et les villages n’accepteraient pas d’être dépossédés des îles, des rives et des forêts leur léguées par leurs aïeux ;</w:t>
      </w:r>
    </w:p>
    <w:p w:rsidR="0089405D" w:rsidRDefault="003468E2">
      <w:pPr>
        <w:spacing w:after="0" w:line="312" w:lineRule="auto"/>
        <w:jc w:val="both"/>
        <w:rPr>
          <w:rFonts w:cs="Calibri"/>
          <w:sz w:val="24"/>
          <w:szCs w:val="24"/>
          <w:lang w:val="fr-FR"/>
        </w:rPr>
      </w:pPr>
      <w:r>
        <w:rPr>
          <w:rFonts w:cs="Calibri"/>
          <w:sz w:val="24"/>
          <w:szCs w:val="24"/>
          <w:lang w:val="fr-FR"/>
        </w:rPr>
        <w:t>- sur l’environnement : ils frapperaient de plein-fouet l’écosystème, la faune et la flore</w:t>
      </w:r>
    </w:p>
    <w:p w:rsidR="0089405D" w:rsidRDefault="003468E2">
      <w:pPr>
        <w:spacing w:after="0" w:line="312" w:lineRule="auto"/>
        <w:jc w:val="both"/>
        <w:rPr>
          <w:rFonts w:cs="Calibri"/>
          <w:sz w:val="24"/>
          <w:szCs w:val="24"/>
          <w:lang w:val="fr-FR"/>
        </w:rPr>
      </w:pPr>
      <w:r>
        <w:rPr>
          <w:rFonts w:cs="Calibri"/>
          <w:sz w:val="24"/>
          <w:szCs w:val="24"/>
          <w:lang w:val="fr-FR"/>
        </w:rPr>
        <w:t>- sur la vie sociale : ils seraient la cause des dégradations des mœurs, de l’instabilité des familles, de la déperdition scolaire qui feront reculer de plusieurs siècles nos populations…</w:t>
      </w:r>
    </w:p>
    <w:p w:rsidR="0089405D" w:rsidRDefault="003468E2">
      <w:pPr>
        <w:spacing w:after="0" w:line="312" w:lineRule="auto"/>
        <w:jc w:val="both"/>
        <w:rPr>
          <w:rFonts w:cs="Calibri"/>
          <w:sz w:val="24"/>
          <w:szCs w:val="24"/>
          <w:lang w:val="fr-FR"/>
        </w:rPr>
      </w:pPr>
      <w:r>
        <w:rPr>
          <w:rFonts w:cs="Calibri"/>
          <w:sz w:val="24"/>
          <w:szCs w:val="24"/>
          <w:lang w:val="fr-FR"/>
        </w:rPr>
        <w:tab/>
        <w:t>Les expériences vécues ailleurs pourraient aussi nous servir de leçon. Quel est le bilan économique et social de l’exploitation de l’or et du diamant dans les territoires de Banalia et de Bafwasende depuis le début des années 1980 ? Plus proche de Liambe, l’exploitation du diamant à Liongo (Yambuya) depuis la fin des années 1990 a-t-elle généré quelques dividendes pour les populations riveraines ? Bien au contraire, ces milieux s’appauvrissent davantage !</w:t>
      </w:r>
    </w:p>
    <w:p w:rsidR="0089405D" w:rsidRDefault="003468E2">
      <w:pPr>
        <w:spacing w:after="0" w:line="312" w:lineRule="auto"/>
        <w:jc w:val="both"/>
        <w:rPr>
          <w:rFonts w:cs="Calibri"/>
          <w:sz w:val="24"/>
          <w:szCs w:val="24"/>
          <w:lang w:val="fr-FR"/>
        </w:rPr>
      </w:pPr>
      <w:r>
        <w:rPr>
          <w:rFonts w:cs="Calibri"/>
          <w:sz w:val="24"/>
          <w:szCs w:val="24"/>
          <w:lang w:val="fr-FR"/>
        </w:rPr>
        <w:tab/>
        <w:t>Tout compte fait dans le contexte actuel de notre pays,  une exploitation minière soit-elle industrielle, semi-industrielle, ou artisanale, caractérisé par une gouvernance étatique prédatrice au niveau micro, méso et macro, n’est pas souhaitable. En l’absence d’un cadre de gouvernance saine, les impacts de l’industrie minière ne pourront qu’avoir des effets négatifs durables. Dans les pays où les lois encadrant l’activité minière sont déficientes ou mal appliquées, où règne la corruption à tous les niveaux, où des conflits ethniques et fonciers explosent aussi facilement, les entreprises et les exploitants doivent se soumettre scrupuleusement aux normes et tenir compte des observations scientifiques sous la régulation du pouvoir public, afin d’éviter un désastre coupable pour l’homme, la société et son environnement. Le défi primordial est d’instaurer une vision globale, multidimensionnelle et à long terme (Bhushan, A. &amp; Samy, Y., 2010)</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Cette vision ne peut être renforcée que par une collaboration internationale, une homogénéisation des normes, des principes et des modèles de développement durable, et une meilleure application des bonnes pratiques validées au niveau internationale, la majorité </w:t>
      </w:r>
      <w:r>
        <w:rPr>
          <w:rFonts w:cs="Calibri"/>
          <w:sz w:val="24"/>
          <w:szCs w:val="24"/>
          <w:lang w:val="fr-FR"/>
        </w:rPr>
        <w:lastRenderedPageBreak/>
        <w:t xml:space="preserve">des entreprises qui exploitent des gisements miniers étant des transnationales (Mousseau 2012 ;  The Natural Resource Charter, 2012 ; Asimbo B. et al., 2021 ; Mangambu M. et al., 2022). </w:t>
      </w:r>
    </w:p>
    <w:p w:rsidR="0089405D" w:rsidRDefault="0089405D">
      <w:pPr>
        <w:keepNext/>
        <w:keepLines/>
        <w:widowControl w:val="0"/>
        <w:spacing w:after="0" w:line="312" w:lineRule="auto"/>
        <w:outlineLvl w:val="0"/>
        <w:rPr>
          <w:rFonts w:cs="Calibri"/>
          <w:b/>
          <w:bCs/>
          <w:sz w:val="24"/>
          <w:szCs w:val="24"/>
          <w:lang w:val="fr-FR"/>
        </w:rPr>
      </w:pPr>
      <w:bookmarkStart w:id="935" w:name="_Toc71470312"/>
      <w:bookmarkStart w:id="936" w:name="_Toc73431889"/>
    </w:p>
    <w:p w:rsidR="0089405D" w:rsidRDefault="003468E2">
      <w:pPr>
        <w:keepNext/>
        <w:keepLines/>
        <w:widowControl w:val="0"/>
        <w:spacing w:after="0" w:line="312" w:lineRule="auto"/>
        <w:jc w:val="both"/>
        <w:outlineLvl w:val="0"/>
        <w:rPr>
          <w:rFonts w:cs="Calibri"/>
          <w:sz w:val="24"/>
          <w:szCs w:val="24"/>
          <w:lang w:val="fr-FR"/>
        </w:rPr>
      </w:pPr>
      <w:bookmarkStart w:id="937" w:name="_Toc79393060"/>
      <w:bookmarkStart w:id="938" w:name="_Toc111888712"/>
      <w:bookmarkStart w:id="939" w:name="_Toc127187289"/>
      <w:bookmarkStart w:id="940" w:name="_Toc127187566"/>
      <w:bookmarkStart w:id="941" w:name="_Toc127432323"/>
      <w:r>
        <w:rPr>
          <w:rFonts w:cs="Calibri"/>
          <w:b/>
          <w:bCs/>
          <w:sz w:val="24"/>
          <w:szCs w:val="24"/>
          <w:lang w:val="fr-FR"/>
        </w:rPr>
        <w:t>7.6. ET ALORS ! QUID DU DEVELOPPEMENT DU TERRITOIRE DE BASOKO ?</w:t>
      </w:r>
      <w:bookmarkEnd w:id="935"/>
      <w:bookmarkEnd w:id="936"/>
      <w:bookmarkEnd w:id="937"/>
      <w:bookmarkEnd w:id="938"/>
      <w:bookmarkEnd w:id="939"/>
      <w:bookmarkEnd w:id="940"/>
      <w:bookmarkEnd w:id="941"/>
      <w:r>
        <w:rPr>
          <w:rFonts w:cs="Calibri"/>
          <w:sz w:val="24"/>
          <w:szCs w:val="24"/>
          <w:lang w:val="fr-FR"/>
        </w:rPr>
        <w:t xml:space="preserve"> </w:t>
      </w:r>
    </w:p>
    <w:p w:rsidR="0089405D" w:rsidRDefault="0089405D">
      <w:pPr>
        <w:spacing w:after="0" w:line="312" w:lineRule="auto"/>
        <w:ind w:firstLine="708"/>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Les exploitations forestières d’antan (Bokondo rive, Lileko, Bolila) et celles en cours, les projets d’exploitation minière semi-industrielle à Liambe, ne seraient-ils pas des opportunités pour le développement du territoire de Basoko ? Les analyses scientifiquement menées dans ces pages rendent évident le risque d’une reculade de plusieurs siècles. Il sied d’envisager d’autres approches. L’impulsion pour le développement de cette contrée pourrait partir des animateurs et leaders locaux, de chaque village au chef-lieu du territoire en passant par les groupements, les secteurs et chefferies. </w:t>
      </w:r>
    </w:p>
    <w:p w:rsidR="0089405D" w:rsidRDefault="003468E2">
      <w:pPr>
        <w:spacing w:after="0" w:line="312" w:lineRule="auto"/>
        <w:ind w:firstLine="705"/>
        <w:jc w:val="both"/>
        <w:rPr>
          <w:rFonts w:cs="Calibri"/>
          <w:sz w:val="24"/>
          <w:szCs w:val="24"/>
          <w:lang w:val="fr-FR"/>
        </w:rPr>
      </w:pPr>
      <w:r>
        <w:rPr>
          <w:rFonts w:cs="Calibri"/>
          <w:sz w:val="24"/>
          <w:szCs w:val="24"/>
          <w:lang w:val="fr-FR"/>
        </w:rPr>
        <w:t xml:space="preserve">Sous l’impulsion et l’encadrement des animateurs de l’administration du territoire, les animateurs et leaders locaux sont appelés à soutenir et à promouvoir l’entreprenariat rural qui cherchent à répondre aux besoins sociaux de base. Le bureau du territoire est pourvu de tous les services possibles destinés à remplir ces tâches (bureau de l’agriculture, pêche et élevage, bureau de l’environnement, des travaux publics, des routes de dessertes agricoles, services des taxes et impôts …). L’agriculture restera toujours la priorité des priorités. La promotion de l’entreprenariat local suscitera une forte activité économique qui engendrerait des ressources à l’administration locale et lui permettrait d’améliorer décemment le bien commun (Mangambu M. et al., 2022). </w:t>
      </w:r>
    </w:p>
    <w:p w:rsidR="0089405D" w:rsidRDefault="003468E2">
      <w:pPr>
        <w:spacing w:after="0" w:line="312" w:lineRule="auto"/>
        <w:ind w:firstLine="705"/>
        <w:jc w:val="both"/>
        <w:rPr>
          <w:rFonts w:cs="Calibri"/>
          <w:sz w:val="24"/>
          <w:szCs w:val="24"/>
          <w:lang w:val="fr-FR"/>
        </w:rPr>
      </w:pPr>
      <w:r>
        <w:rPr>
          <w:rFonts w:cs="Calibri"/>
          <w:sz w:val="24"/>
          <w:szCs w:val="24"/>
          <w:lang w:val="fr-FR"/>
        </w:rPr>
        <w:t xml:space="preserve">Avec les petites taxes engrangées localement, il y a lieu de promouvoir une politique agricole incitative, motiver les villages et les groupements à l’entretien des axes qui relient les villages au chef-lieu du territoire, en leur procurant les outils arables et en soutenant la promotion de l’entreprenariat rural et agricole en vue d’améliorer la sécurité alimentaire que nous considérons comme la fondation du développement socioéconomique d’un peuple. Assurer le bien-être revient d’abord à faciliter l’offre en nourriture aux populations, sa mobilité, sa sécurité et son épanouissement.  On pourrait y arriver sans un seul rond des instances provinciales et nationales si la bonne gouvernance locale était de mise (Mukumba, I. et al, 2022b).  </w:t>
      </w:r>
    </w:p>
    <w:p w:rsidR="0089405D" w:rsidRDefault="003468E2">
      <w:pPr>
        <w:spacing w:after="0" w:line="312" w:lineRule="auto"/>
        <w:jc w:val="both"/>
        <w:rPr>
          <w:rFonts w:cs="Calibri"/>
          <w:sz w:val="24"/>
          <w:szCs w:val="24"/>
          <w:lang w:val="fr-FR"/>
        </w:rPr>
      </w:pPr>
      <w:r>
        <w:rPr>
          <w:rFonts w:cs="Calibri"/>
          <w:sz w:val="24"/>
          <w:szCs w:val="24"/>
          <w:lang w:val="fr-FR"/>
        </w:rPr>
        <w:tab/>
        <w:t xml:space="preserve">Malheureusement nos populations et les animateurs des entités territoriales décentralisées vivent dans un attentisme morbide. Ils ne savent pas faire ce qui est faisable localement, ils attendent que tout vienne d’en-haut, des députés, du gouvernement central </w:t>
      </w:r>
      <w:r>
        <w:rPr>
          <w:rFonts w:cs="Calibri"/>
          <w:sz w:val="24"/>
          <w:szCs w:val="24"/>
          <w:lang w:val="fr-FR"/>
        </w:rPr>
        <w:lastRenderedPageBreak/>
        <w:t xml:space="preserve">ou provincial. Dans l’imaginaire public, un député est celui qui intervient pour répondre aux besoins primaires des électeurs. On harcèle le député pour les maladies, les frais d’hospitalisation, les frais funéraires, mais on laisse tranquille l’administrateur du territoire qui est établi pour assurer le bien-être général en protégeant les personnes et leurs biens (Asimbo B. et al., 2021).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Commencer le développement d’une entité par l’exploitation minière ressemblerait à commencer la construction d’une maison par la toiture. Les efforts des ressortissants de Basoko doivent cibler d’abord la satisfaction de besoins vitaux de base (se nourrir, se vêtir, se loger, se soigner, assurer l’éducation de la progéniture). Ce serait une illusion que de croire que ces besoins seront satisfaits par une entreprise capitaliste qui vient uniquement dans le but de tirer son bénéfice. Faisons le tour du monde, nulle part ce paradigme est mis en évidence.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 Notre vœux le plus ardent est de voir le gouvernement central accélérer le processus des élections locales pour permettre aux populations de se choisir ses animateurs locaux. Par devoir de redevabilité, ces animateurs seront mus et motivés à impulser un développement endogène à partir de la base devant laquelle ils seront redevables et comptables. Une dépolitisation de l’administration locale ouvrirait aussi la porte au sens de responsabilité vrai dans le chef de l’autorité politico-administrative locale et la conduirait vers une administration du développement. Il est temps de tourner la page à cette administration territoriale d’enrichissement et de positionnement politique ! Le développement d’un peuple relève du pouvoir public et non des privés (Bhushan, A. &amp; Samy, Y., 2010 ; Kemp, D. et al., 2011). </w:t>
      </w:r>
    </w:p>
    <w:p w:rsidR="0089405D" w:rsidRDefault="003468E2">
      <w:pPr>
        <w:spacing w:after="0" w:line="312" w:lineRule="auto"/>
        <w:jc w:val="both"/>
        <w:rPr>
          <w:rFonts w:cs="Calibri"/>
          <w:sz w:val="24"/>
          <w:szCs w:val="24"/>
          <w:lang w:val="fr-FR"/>
        </w:rPr>
      </w:pPr>
      <w:r>
        <w:rPr>
          <w:rFonts w:cs="Calibri"/>
          <w:sz w:val="24"/>
          <w:szCs w:val="24"/>
          <w:lang w:val="fr-FR"/>
        </w:rPr>
        <w:tab/>
        <w:t xml:space="preserve">Un investisseur n’a pas pour mission de construire des routes, des écoles, des hôpitaux. Et même s’ils les construisaient, il ne lui reviendra pas d’assurer leur entretien, leur amortissement et des réparations possibles…Le vrai schéma économique capable d’impulser le développement part d’un investisseur qui paye les taxes et les impôts au pouvoir public local, provincial, national. Ces taxes et ses impôts procurent à l’Etat des ressources nécessaires pour mener sa politique y compris la politique économique et celle du développement (Asimbo B. et al., 2021 ; Mangambu M. et al., 2022).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Toute entité à travers le monde est appelée à établir un budget annuel où elle affecte des ressources pour les investissements publics locaux et pour les efforts du développement local.  On ne saura pas inventer une nouvelle roue en cette matière ni en RDC, ni à Basoko, ni ailleurs. L’obstacle au développement de nos entités, c’est la déliquescence de l’Etat qui ne joue pas effectivement son rôle. Bien sûr, le pouvoir public a pour mission de promouvoir les </w:t>
      </w:r>
      <w:r>
        <w:rPr>
          <w:rFonts w:cs="Calibri"/>
          <w:sz w:val="24"/>
          <w:szCs w:val="24"/>
          <w:lang w:val="fr-FR"/>
        </w:rPr>
        <w:lastRenderedPageBreak/>
        <w:t>investissements privés qui créeront des emplois, des biens et services d’abord en vue du profit pour l’entreprise ; secondairement, ces entreprises contribueront au bien-être des employés et offriront en même temps des opportunités au pouvoir public pour mener une politique du développement</w:t>
      </w:r>
      <w:r>
        <w:rPr>
          <w:lang w:val="fr-FR"/>
        </w:rPr>
        <w:t xml:space="preserve"> </w:t>
      </w:r>
      <w:r>
        <w:rPr>
          <w:rFonts w:cs="Calibri"/>
          <w:sz w:val="24"/>
          <w:szCs w:val="24"/>
          <w:lang w:val="fr-FR"/>
        </w:rPr>
        <w:t xml:space="preserve">(Asimbo B. et al., 2021).   </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942" w:name="_Toc59458402"/>
      <w:bookmarkStart w:id="943" w:name="_Toc71470313"/>
      <w:bookmarkStart w:id="944" w:name="_Toc73431890"/>
      <w:bookmarkStart w:id="945" w:name="_Toc79393061"/>
      <w:bookmarkStart w:id="946" w:name="_Toc111888713"/>
      <w:bookmarkStart w:id="947" w:name="_Toc127187290"/>
      <w:bookmarkStart w:id="948" w:name="_Toc127187567"/>
      <w:bookmarkStart w:id="949" w:name="_Toc127432324"/>
      <w:r>
        <w:rPr>
          <w:rFonts w:cs="Calibri"/>
          <w:b/>
          <w:sz w:val="24"/>
          <w:szCs w:val="24"/>
          <w:lang w:val="fr-FR"/>
        </w:rPr>
        <w:t>7.7. CONCLUSION</w:t>
      </w:r>
      <w:bookmarkEnd w:id="942"/>
      <w:bookmarkEnd w:id="943"/>
      <w:bookmarkEnd w:id="944"/>
      <w:bookmarkEnd w:id="945"/>
      <w:bookmarkEnd w:id="946"/>
      <w:bookmarkEnd w:id="947"/>
      <w:bookmarkEnd w:id="948"/>
      <w:bookmarkEnd w:id="949"/>
      <w:r>
        <w:rPr>
          <w:rFonts w:cs="Calibri"/>
          <w:b/>
          <w:sz w:val="24"/>
          <w:szCs w:val="24"/>
          <w:lang w:val="fr-FR"/>
        </w:rPr>
        <w:t xml:space="preserve"> </w:t>
      </w:r>
    </w:p>
    <w:p w:rsidR="0089405D" w:rsidRDefault="0089405D">
      <w:pPr>
        <w:spacing w:after="0" w:line="312" w:lineRule="auto"/>
        <w:jc w:val="both"/>
        <w:rPr>
          <w:rFonts w:eastAsia="Times New Roman" w:cs="Calibri"/>
          <w:bCs/>
          <w:sz w:val="24"/>
          <w:szCs w:val="24"/>
          <w:lang w:val="fr-FR" w:eastAsia="fr-FR"/>
        </w:rPr>
      </w:pPr>
    </w:p>
    <w:p w:rsidR="0089405D" w:rsidRDefault="003468E2">
      <w:pPr>
        <w:spacing w:after="0" w:line="312" w:lineRule="auto"/>
        <w:ind w:firstLine="708"/>
        <w:jc w:val="both"/>
        <w:rPr>
          <w:rFonts w:eastAsia="Times New Roman" w:cs="Calibri"/>
          <w:bCs/>
          <w:sz w:val="24"/>
          <w:szCs w:val="24"/>
          <w:lang w:val="fr-FR" w:eastAsia="fr-FR"/>
        </w:rPr>
      </w:pPr>
      <w:r>
        <w:rPr>
          <w:rFonts w:eastAsia="Times New Roman" w:cs="Calibri"/>
          <w:bCs/>
          <w:sz w:val="24"/>
          <w:szCs w:val="24"/>
          <w:lang w:val="fr-FR" w:eastAsia="fr-FR"/>
        </w:rPr>
        <w:t xml:space="preserve">Bien que les impacts de l'industrie minière sur l'environnement puissent varier suivant le type de minerai et le genre de mine, il s'agit là d'une activité intrinsèquement non durable, car elle implique l'exploitation d'une ressource non renouvelable par des moyens destructeurs ou pollueurs, tels que le concassage, le broyage, le lavage et le classement des minéraux, le raffinage et la fusion. A l'heure actuelle, elle est doublement destructrice en raison de sa grande dimension et de la technologie qui a augmenté sa capacité de production, mais aussi de nuisance. </w:t>
      </w:r>
    </w:p>
    <w:p w:rsidR="0089405D" w:rsidRDefault="003468E2">
      <w:pPr>
        <w:spacing w:after="0" w:line="312" w:lineRule="auto"/>
        <w:jc w:val="both"/>
        <w:rPr>
          <w:rFonts w:eastAsia="Times New Roman" w:cs="Calibri"/>
          <w:bCs/>
          <w:sz w:val="24"/>
          <w:szCs w:val="24"/>
          <w:lang w:val="fr-FR" w:eastAsia="fr-FR"/>
        </w:rPr>
      </w:pPr>
      <w:r>
        <w:rPr>
          <w:rFonts w:eastAsia="Times New Roman" w:cs="Calibri"/>
          <w:bCs/>
          <w:sz w:val="24"/>
          <w:szCs w:val="24"/>
          <w:lang w:val="fr-FR" w:eastAsia="fr-FR"/>
        </w:rPr>
        <w:tab/>
        <w:t>Selon notre corpus de données, les démarches de développement durable des entreprises ne sont pas toujours comprises par les populations alors que les impacts négatifs de leur activité sont largement visibles : menaces sur les activités traditionnelles de production et de subsistance des populations ; dégradation de l’environnement et du cadre de vie ; dégradation des écosystèmes combinée aux pollutions (eaux de nappes et de surface, des sols, de l’air…) ; émergence de nouvelles pandémies (paludisme…) et des maladies infectieuses.</w:t>
      </w:r>
    </w:p>
    <w:p w:rsidR="0089405D" w:rsidRDefault="003468E2">
      <w:pPr>
        <w:spacing w:after="0" w:line="312" w:lineRule="auto"/>
        <w:jc w:val="both"/>
        <w:rPr>
          <w:rFonts w:eastAsia="Times New Roman" w:cs="Calibri"/>
          <w:bCs/>
          <w:sz w:val="24"/>
          <w:szCs w:val="24"/>
          <w:lang w:val="fr-FR" w:eastAsia="fr-FR"/>
        </w:rPr>
      </w:pPr>
      <w:r>
        <w:rPr>
          <w:rFonts w:eastAsia="Times New Roman" w:cs="Calibri"/>
          <w:bCs/>
          <w:sz w:val="24"/>
          <w:szCs w:val="24"/>
          <w:lang w:val="fr-FR" w:eastAsia="fr-FR"/>
        </w:rPr>
        <w:tab/>
        <w:t xml:space="preserve"> Sur le plan social, le compétition sur les ressources (eaux, sols, métaux précieux) débouche sur des conflits parfois sanglants suite aux  incompréhensions, aux sauts  d’humeur par rapport au recrutement de la main d’œuvre locale, au manque d’information sur les activités minières, aux activités opaques excluant de fait un débat et donc une participation effective des populations ou des groupes les plus significatifs dans la prise des décisions qui les concernent (source de l’acceptabilité sociale du projet minier). </w:t>
      </w:r>
    </w:p>
    <w:p w:rsidR="0089405D" w:rsidRDefault="003468E2">
      <w:pPr>
        <w:spacing w:after="0" w:line="312" w:lineRule="auto"/>
        <w:jc w:val="both"/>
        <w:rPr>
          <w:rFonts w:eastAsia="Times New Roman" w:cs="Calibri"/>
          <w:bCs/>
          <w:sz w:val="24"/>
          <w:szCs w:val="24"/>
          <w:lang w:val="fr-FR" w:eastAsia="fr-FR"/>
        </w:rPr>
      </w:pPr>
      <w:r>
        <w:rPr>
          <w:rFonts w:eastAsia="Times New Roman" w:cs="Calibri"/>
          <w:bCs/>
          <w:sz w:val="24"/>
          <w:szCs w:val="24"/>
          <w:lang w:val="fr-FR" w:eastAsia="fr-FR"/>
        </w:rPr>
        <w:tab/>
        <w:t xml:space="preserve">Enfin, dans ce cas d’exploitation des ressources naturelles minières ou forestières, le développement durable appelle en amont une harmonie entre la croissance économique, le progrès social et la préservation de l’environnement. Le processus implique une prise de décision éclairée, responsable et consensuelle par les parties prenantes, le pouvoir public, les populations locales et la société d’exploitation. Dans le cas sous études, l’aboutissement du projet d’exploitation minière à Liambe appelle une implication des leaders locaux et de la </w:t>
      </w:r>
      <w:r>
        <w:rPr>
          <w:rFonts w:eastAsia="Times New Roman" w:cs="Calibri"/>
          <w:bCs/>
          <w:sz w:val="24"/>
          <w:szCs w:val="24"/>
          <w:lang w:val="fr-FR" w:eastAsia="fr-FR"/>
        </w:rPr>
        <w:lastRenderedPageBreak/>
        <w:t xml:space="preserve">diaspora ressortissants du terroir, en amont et en aval afin d’apporter leurs expertises et leurs savoir-faire en la matière, notamment dans les études de faisabilité.  </w:t>
      </w:r>
    </w:p>
    <w:p w:rsidR="0089405D" w:rsidRDefault="003468E2">
      <w:pPr>
        <w:spacing w:after="0" w:line="312" w:lineRule="auto"/>
        <w:ind w:firstLine="709"/>
        <w:jc w:val="both"/>
        <w:rPr>
          <w:rFonts w:eastAsia="Times New Roman" w:cs="Calibri"/>
          <w:bCs/>
          <w:sz w:val="24"/>
          <w:szCs w:val="24"/>
          <w:lang w:val="fr-FR" w:eastAsia="fr-FR"/>
        </w:rPr>
      </w:pPr>
      <w:r>
        <w:rPr>
          <w:rFonts w:eastAsia="Times New Roman" w:cs="Calibri"/>
          <w:bCs/>
          <w:sz w:val="24"/>
          <w:szCs w:val="24"/>
          <w:lang w:val="fr-FR" w:eastAsia="fr-FR"/>
        </w:rPr>
        <w:t xml:space="preserve">Eclairés sur les impacts environnemental, social, culturel et économique d’une exploitation minière et son application dans le village de Liambe, nous lançons un appel à toute la communauté de Basoko de ne pas se laisser leurrer par des projets d’exploitations minières. Les exigences du développement durable sont loin d’être respectées dès le départ au niveau du processus préliminaire. Fermer les yeux devant ces bavures serait suicidaire. </w:t>
      </w:r>
    </w:p>
    <w:p w:rsidR="0089405D" w:rsidRDefault="003468E2">
      <w:pPr>
        <w:spacing w:after="0" w:line="312" w:lineRule="auto"/>
        <w:jc w:val="both"/>
        <w:rPr>
          <w:rFonts w:eastAsia="Times New Roman" w:cs="Calibri"/>
          <w:bCs/>
          <w:sz w:val="24"/>
          <w:szCs w:val="24"/>
          <w:lang w:val="fr-FR" w:eastAsia="fr-FR"/>
        </w:rPr>
      </w:pPr>
      <w:r>
        <w:rPr>
          <w:rFonts w:eastAsia="Times New Roman" w:cs="Calibri"/>
          <w:bCs/>
          <w:sz w:val="24"/>
          <w:szCs w:val="24"/>
          <w:lang w:val="fr-FR" w:eastAsia="fr-FR"/>
        </w:rPr>
        <w:tab/>
        <w:t xml:space="preserve">Dans le contexte socio-politique actuel où le bien-être du peuple n’est pas la préoccupation fondamentale des décideurs, toute exploitation minière ou forestière devra se buter à une fin de non-recevoir, d’autant plus que le respect des équilibres des écosystèmes, de la biodiversité, de l'environnement, du bien-être social ne sont pas garanties pour le moment. La société Chinoise </w:t>
      </w:r>
      <w:r>
        <w:rPr>
          <w:rFonts w:eastAsia="Times New Roman" w:cs="Calibri"/>
          <w:bCs/>
          <w:i/>
          <w:sz w:val="24"/>
          <w:szCs w:val="24"/>
          <w:lang w:val="fr-FR" w:eastAsia="fr-FR"/>
        </w:rPr>
        <w:t>Xiang Mining</w:t>
      </w:r>
      <w:r>
        <w:rPr>
          <w:rFonts w:eastAsia="Times New Roman" w:cs="Calibri"/>
          <w:bCs/>
          <w:sz w:val="24"/>
          <w:szCs w:val="24"/>
          <w:lang w:val="fr-FR" w:eastAsia="fr-FR"/>
        </w:rPr>
        <w:t xml:space="preserve"> n’en fait pas exception déjà dans les opérations préliminaires.  Nous sommes avertis !</w:t>
      </w:r>
    </w:p>
    <w:p w:rsidR="0089405D" w:rsidRDefault="0089405D">
      <w:pPr>
        <w:spacing w:after="0" w:line="312" w:lineRule="auto"/>
        <w:jc w:val="both"/>
        <w:rPr>
          <w:rFonts w:eastAsia="Times New Roman" w:cs="Calibri"/>
          <w:bCs/>
          <w:sz w:val="24"/>
          <w:szCs w:val="24"/>
          <w:lang w:val="fr-FR" w:eastAsia="fr-FR"/>
        </w:rPr>
      </w:pPr>
    </w:p>
    <w:p w:rsidR="0089405D" w:rsidRDefault="003468E2">
      <w:pPr>
        <w:pStyle w:val="Titre1"/>
        <w:spacing w:before="0" w:line="312" w:lineRule="auto"/>
        <w:rPr>
          <w:rFonts w:eastAsia="Times New Roman" w:cs="Calibri"/>
          <w:b/>
          <w:bCs/>
          <w:color w:val="000000"/>
          <w:sz w:val="24"/>
          <w:szCs w:val="24"/>
          <w:lang w:val="fr-FR" w:eastAsia="fr-FR"/>
        </w:rPr>
      </w:pPr>
      <w:bookmarkStart w:id="950" w:name="_Toc127187291"/>
      <w:bookmarkStart w:id="951" w:name="_Toc127187568"/>
      <w:bookmarkStart w:id="952" w:name="_Toc127432325"/>
      <w:r>
        <w:rPr>
          <w:rFonts w:eastAsia="Times New Roman" w:cs="Calibri"/>
          <w:b/>
          <w:bCs/>
          <w:color w:val="000000"/>
          <w:sz w:val="24"/>
          <w:szCs w:val="24"/>
          <w:lang w:val="fr-FR" w:eastAsia="fr-FR"/>
        </w:rPr>
        <w:t>RÉFÉRENCES BIBLIOGRAPHIQUES</w:t>
      </w:r>
      <w:bookmarkEnd w:id="950"/>
      <w:bookmarkEnd w:id="951"/>
      <w:bookmarkEnd w:id="952"/>
      <w:r>
        <w:rPr>
          <w:rFonts w:eastAsia="Times New Roman" w:cs="Calibri"/>
          <w:b/>
          <w:bCs/>
          <w:color w:val="000000"/>
          <w:sz w:val="24"/>
          <w:szCs w:val="24"/>
          <w:lang w:val="fr-FR" w:eastAsia="fr-FR"/>
        </w:rPr>
        <w:t xml:space="preserve"> </w:t>
      </w:r>
    </w:p>
    <w:p w:rsidR="0089405D" w:rsidRDefault="0089405D">
      <w:pPr>
        <w:spacing w:after="0" w:line="312" w:lineRule="auto"/>
        <w:jc w:val="both"/>
        <w:rPr>
          <w:rFonts w:eastAsia="Times New Roman" w:cs="Calibri"/>
          <w:b/>
          <w:bCs/>
          <w:sz w:val="24"/>
          <w:szCs w:val="24"/>
          <w:lang w:val="fr-FR" w:eastAsia="fr-FR"/>
        </w:rPr>
      </w:pP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AFREA (African Evaluation Association) (2011). Wood-Based Biomass Energy Development for Sub-Saharan Africa: Issues and Approaches. </w:t>
      </w:r>
      <w:r>
        <w:rPr>
          <w:rFonts w:cs="Calibri"/>
          <w:sz w:val="24"/>
          <w:szCs w:val="24"/>
          <w:lang w:val="fr-FR" w:eastAsia="fr-FR"/>
        </w:rPr>
        <w:t>Groupe de la Banque mondiale, Washington DC</w:t>
      </w:r>
    </w:p>
    <w:p w:rsidR="0089405D" w:rsidRDefault="003468E2">
      <w:pPr>
        <w:pStyle w:val="Paragraphedeliste"/>
        <w:numPr>
          <w:ilvl w:val="0"/>
          <w:numId w:val="41"/>
        </w:numPr>
        <w:spacing w:line="312" w:lineRule="auto"/>
        <w:jc w:val="both"/>
        <w:rPr>
          <w:rFonts w:eastAsia="Times New Roman" w:cs="Calibri"/>
          <w:b/>
          <w:sz w:val="24"/>
          <w:szCs w:val="24"/>
          <w:lang w:val="fr-FR" w:eastAsia="fr-FR"/>
        </w:rPr>
      </w:pPr>
      <w:r>
        <w:rPr>
          <w:rFonts w:eastAsia="Times New Roman" w:cs="Calibri"/>
          <w:sz w:val="24"/>
          <w:szCs w:val="24"/>
          <w:lang w:eastAsia="fr-FR"/>
        </w:rPr>
        <w:t xml:space="preserve">Afundi, N., Fundiko C., Makwatu M., Ludunge C., Mulumeoderhwa M. , Mushagalusa K.  &amp; Mangambu M (2022). Procedural irregularities related to the semi-industrial exploitation of the Aruwimi River by Xiang Jiang Mining Sarl in the Basoko territory (Congo Basin, DRC) IOSR Journal Of Humanities  And Social Science (IOSR-JHSS). </w:t>
      </w:r>
      <w:r>
        <w:rPr>
          <w:rFonts w:eastAsia="Times New Roman" w:cs="Calibri"/>
          <w:sz w:val="24"/>
          <w:szCs w:val="24"/>
          <w:lang w:val="fr-FR" w:eastAsia="fr-FR"/>
        </w:rPr>
        <w:t xml:space="preserve">27 (7): 63-74 </w:t>
      </w:r>
      <w:hyperlink r:id="rId112" w:history="1">
        <w:r>
          <w:rPr>
            <w:rStyle w:val="Lienhypertexte"/>
            <w:rFonts w:eastAsia="Times New Roman" w:cs="Calibri"/>
            <w:sz w:val="24"/>
            <w:szCs w:val="24"/>
            <w:lang w:val="fr-FR" w:eastAsia="fr-FR"/>
          </w:rPr>
          <w:t>https://dx.doi.org/10.9790/0837-2707066374</w:t>
        </w:r>
      </w:hyperlink>
    </w:p>
    <w:p w:rsidR="0089405D" w:rsidRDefault="003468E2">
      <w:pPr>
        <w:pStyle w:val="Paragraphedeliste"/>
        <w:numPr>
          <w:ilvl w:val="0"/>
          <w:numId w:val="41"/>
        </w:numPr>
        <w:spacing w:line="312" w:lineRule="auto"/>
        <w:jc w:val="both"/>
        <w:rPr>
          <w:rStyle w:val="Lienhypertexte"/>
          <w:rFonts w:cs="Calibri"/>
          <w:iCs/>
          <w:sz w:val="24"/>
          <w:szCs w:val="24"/>
          <w:u w:val="none"/>
          <w:lang w:eastAsia="fr-FR"/>
        </w:rPr>
      </w:pPr>
      <w:r>
        <w:rPr>
          <w:rStyle w:val="Lienhypertexte"/>
          <w:rFonts w:cs="Calibri"/>
          <w:iCs/>
          <w:color w:val="000000"/>
          <w:sz w:val="24"/>
          <w:szCs w:val="24"/>
          <w:u w:val="none"/>
          <w:lang w:val="fr-FR" w:eastAsia="fr-FR"/>
        </w:rPr>
        <w:t xml:space="preserve">Aruna, S. ; Kimenya, M. ;  Bitundu, M. ;  M’opandu M. ; Lwimo, M. ; Kambale K. &amp; Mangambu M. (2020). </w:t>
      </w:r>
      <w:r>
        <w:rPr>
          <w:rStyle w:val="Lienhypertexte"/>
          <w:rFonts w:cs="Calibri"/>
          <w:iCs/>
          <w:color w:val="000000"/>
          <w:sz w:val="24"/>
          <w:szCs w:val="24"/>
          <w:u w:val="none"/>
          <w:lang w:eastAsia="fr-FR"/>
        </w:rPr>
        <w:t>Climate risks assessment, opportunities related to the evolution of ecosystems and limitation of the provision of ecosystem services: landscape case of South-Kivu (albertine riflt, DRC). International Journal of Research: 8(07), 98-117</w:t>
      </w:r>
      <w:r>
        <w:rPr>
          <w:rStyle w:val="Lienhypertexte"/>
          <w:rFonts w:cs="Calibri"/>
          <w:iCs/>
          <w:sz w:val="24"/>
          <w:szCs w:val="24"/>
          <w:u w:val="none"/>
          <w:lang w:eastAsia="fr-FR"/>
        </w:rPr>
        <w:t xml:space="preserve"> </w:t>
      </w:r>
      <w:hyperlink r:id="rId113" w:history="1">
        <w:r>
          <w:rPr>
            <w:rStyle w:val="Lienhypertexte"/>
            <w:rFonts w:cs="Calibri"/>
            <w:iCs/>
            <w:sz w:val="24"/>
            <w:szCs w:val="24"/>
            <w:lang w:eastAsia="fr-FR"/>
          </w:rPr>
          <w:t>https://doi.org/10.29121/granthaalayah.v8.i7.2020.426</w:t>
        </w:r>
      </w:hyperlink>
    </w:p>
    <w:p w:rsidR="0089405D" w:rsidRDefault="003468E2">
      <w:pPr>
        <w:pStyle w:val="Paragraphedeliste"/>
        <w:numPr>
          <w:ilvl w:val="0"/>
          <w:numId w:val="41"/>
        </w:numPr>
        <w:spacing w:line="312" w:lineRule="auto"/>
        <w:jc w:val="both"/>
        <w:rPr>
          <w:rFonts w:eastAsia="Times New Roman" w:cs="Calibri"/>
          <w:sz w:val="24"/>
          <w:szCs w:val="24"/>
          <w:lang w:eastAsia="fr-FR"/>
        </w:rPr>
      </w:pPr>
      <w:r>
        <w:rPr>
          <w:rFonts w:eastAsia="Times New Roman" w:cs="Calibri"/>
          <w:sz w:val="24"/>
          <w:szCs w:val="24"/>
          <w:lang w:eastAsia="fr-FR"/>
        </w:rPr>
        <w:t xml:space="preserve">Asimbo B.; Mokili Kanda E., Mangambu M.,(2021). Pragmatic Vision of the Socio-Economic Impacts of Semi-Industrial Mining On the Aruwimi River: A Bad Paradigm on the Rivers of the Congo Basin (Basoko Territory, DRC). Journal of Environmental Science, Toxicology and Food Technology 15 (9), 09-20 </w:t>
      </w:r>
      <w:hyperlink r:id="rId114" w:history="1">
        <w:r>
          <w:rPr>
            <w:rStyle w:val="Lienhypertexte"/>
            <w:rFonts w:eastAsia="Times New Roman" w:cs="Calibri"/>
            <w:sz w:val="24"/>
            <w:szCs w:val="24"/>
            <w:lang w:eastAsia="fr-FR"/>
          </w:rPr>
          <w:t>https://doi.org/10.9790/2402-1509020920</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lastRenderedPageBreak/>
        <w:t xml:space="preserve">Becker, H &amp; Vanclay, F (2018). The International Handbook of Social Impact Assessment: Concept and Methodological Advances. </w:t>
      </w:r>
      <w:r>
        <w:rPr>
          <w:rFonts w:cs="Calibri"/>
          <w:sz w:val="24"/>
          <w:szCs w:val="24"/>
          <w:lang w:val="fr-FR" w:eastAsia="fr-FR"/>
        </w:rPr>
        <w:t>Edward Algar. Cheltenham UK. pp. 74-91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Bérenger, B. &amp; Chouchane, A. (2008). Des inégalités de genre à l’indice de qualité de vie des femmes. Working Paper Series, African Development Bank</w:t>
      </w:r>
    </w:p>
    <w:p w:rsidR="0089405D" w:rsidRDefault="003468E2">
      <w:pPr>
        <w:pStyle w:val="Paragraphedeliste"/>
        <w:numPr>
          <w:ilvl w:val="0"/>
          <w:numId w:val="41"/>
        </w:numPr>
        <w:spacing w:line="312" w:lineRule="auto"/>
        <w:jc w:val="both"/>
        <w:rPr>
          <w:rFonts w:cs="Calibri"/>
          <w:sz w:val="24"/>
          <w:szCs w:val="24"/>
          <w:lang w:val="fr-FR" w:eastAsia="fr-FR"/>
        </w:rPr>
      </w:pPr>
      <w:r>
        <w:rPr>
          <w:rFonts w:eastAsia="Calibri" w:cs="Calibri"/>
          <w:sz w:val="24"/>
          <w:szCs w:val="24"/>
          <w:lang w:val="fr-FR" w:eastAsia="en-US"/>
        </w:rPr>
        <w:t xml:space="preserve">Bhushan, A. &amp; Samy, Y. (2010). </w:t>
      </w:r>
      <w:r>
        <w:rPr>
          <w:rFonts w:eastAsia="Calibri" w:cs="Calibri"/>
          <w:iCs/>
          <w:sz w:val="24"/>
          <w:szCs w:val="24"/>
          <w:lang w:val="fr-FR" w:eastAsia="en-US"/>
        </w:rPr>
        <w:t xml:space="preserve">Améliorer la mobilisation des ressources nationales pour un développement efficace : rôle de la communauté de donateurs. </w:t>
      </w:r>
      <w:r>
        <w:rPr>
          <w:rFonts w:eastAsia="Calibri" w:cs="Calibri"/>
          <w:sz w:val="24"/>
          <w:szCs w:val="24"/>
          <w:lang w:val="fr-FR" w:eastAsia="en-US"/>
        </w:rPr>
        <w:t>L'institut Nord-Sud</w:t>
      </w:r>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lang w:val="fr-FR" w:eastAsia="fr-FR"/>
        </w:rPr>
        <w:t xml:space="preserve">Brollo, F. ; Nannicini, T.; Perotti, R. é Tabellini, G. (2010). </w:t>
      </w:r>
      <w:r>
        <w:rPr>
          <w:rFonts w:cs="Calibri"/>
          <w:sz w:val="24"/>
          <w:szCs w:val="24"/>
          <w:lang w:eastAsia="fr-FR"/>
        </w:rPr>
        <w:t>The Political Resource Curse. Working Paper 15705, National Bureau of Economic Research</w:t>
      </w:r>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lang w:eastAsia="fr-FR"/>
        </w:rPr>
        <w:t>Browne, W.; Franks, DM., &amp; Kendall, G.(2011). The Foundations for Responsible Mining in Cambodia – Suggested Approaches. Phnom Penh, Cambodia: United Nations Development Programme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Brücker, H.; Hauptmann, A.; Jahn, E. J. &amp; Upward, R. (2014). Migration and imperfect labor markets: Theory and cross-country evidence from Denmark, Germanyand the UK. </w:t>
      </w:r>
      <w:r>
        <w:rPr>
          <w:rFonts w:cs="Calibri"/>
          <w:sz w:val="24"/>
          <w:szCs w:val="24"/>
          <w:lang w:val="fr-FR" w:eastAsia="fr-FR"/>
        </w:rPr>
        <w:t>European Economic Review, 66:205–225</w:t>
      </w:r>
    </w:p>
    <w:p w:rsidR="0089405D" w:rsidRDefault="003468E2">
      <w:pPr>
        <w:pStyle w:val="Paragraphedeliste"/>
        <w:numPr>
          <w:ilvl w:val="0"/>
          <w:numId w:val="41"/>
        </w:numPr>
        <w:spacing w:line="312" w:lineRule="auto"/>
        <w:jc w:val="both"/>
        <w:rPr>
          <w:rFonts w:cs="Calibri"/>
          <w:sz w:val="24"/>
          <w:szCs w:val="24"/>
          <w:lang w:val="fr-FR" w:eastAsia="fr-FR"/>
        </w:rPr>
      </w:pPr>
      <w:r>
        <w:rPr>
          <w:rFonts w:eastAsia="Calibri" w:cs="Calibri"/>
          <w:sz w:val="24"/>
          <w:szCs w:val="24"/>
          <w:lang w:val="fr-FR" w:eastAsia="en-US"/>
        </w:rPr>
        <w:t xml:space="preserve">Capron, M. &amp; Quairel-Lanoizelée, F. (2007). </w:t>
      </w:r>
      <w:r>
        <w:rPr>
          <w:rFonts w:eastAsia="Calibri" w:cs="Calibri"/>
          <w:iCs/>
          <w:sz w:val="24"/>
          <w:szCs w:val="24"/>
          <w:lang w:val="fr-FR" w:eastAsia="en-US"/>
        </w:rPr>
        <w:t xml:space="preserve">La responsabilité Sociale d'Entreprise. </w:t>
      </w:r>
      <w:r>
        <w:rPr>
          <w:rFonts w:eastAsia="Calibri" w:cs="Calibri"/>
          <w:sz w:val="24"/>
          <w:szCs w:val="24"/>
          <w:lang w:val="fr-FR" w:eastAsia="en-US"/>
        </w:rPr>
        <w:t>Paris : Éditions La Découverte</w:t>
      </w:r>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lang w:val="fr-FR" w:eastAsia="fr-FR"/>
        </w:rPr>
        <w:t xml:space="preserve">CEAUA « Commission économique pour l’Afrique et Union Africaine »,  (2011). Les ressources minérales et le développement de l’Afrique : rapport du groupe d’études international sur les régimes miniers de l’Afrique. Section des publications et de la gestion des conférences de la CEA, Addis-Abeba, Éthiopie. </w:t>
      </w:r>
      <w:hyperlink r:id="rId115" w:history="1">
        <w:r>
          <w:rPr>
            <w:rFonts w:cs="Calibri"/>
            <w:color w:val="0070C0"/>
            <w:sz w:val="24"/>
            <w:szCs w:val="24"/>
            <w:u w:val="single"/>
            <w:lang w:eastAsia="fr-FR"/>
          </w:rPr>
          <w:t>http://www.uneca.org/sites/default/files/PublicationFiles/mineral_report_fre.pdf</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eastAsia="Calibri" w:cs="Calibri"/>
          <w:sz w:val="24"/>
          <w:szCs w:val="24"/>
          <w:lang w:eastAsia="en-US"/>
        </w:rPr>
        <w:t xml:space="preserve">Cheshire, L. (2010). A corporate responsibility? The constitution of fly-in, fly-out mmmg companies as govemance partners in remote, mine-affected localities. </w:t>
      </w:r>
      <w:r>
        <w:rPr>
          <w:rFonts w:eastAsia="Calibri" w:cs="Calibri"/>
          <w:iCs/>
          <w:sz w:val="24"/>
          <w:szCs w:val="24"/>
          <w:lang w:val="fr-FR" w:eastAsia="en-US"/>
        </w:rPr>
        <w:t>Journal of Rural Studies</w:t>
      </w:r>
      <w:r>
        <w:rPr>
          <w:rFonts w:eastAsia="Calibri" w:cs="Calibri"/>
          <w:sz w:val="24"/>
          <w:szCs w:val="24"/>
          <w:lang w:val="fr-FR" w:eastAsia="en-US"/>
        </w:rPr>
        <w:t xml:space="preserve"> 26: 12-20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CIMM « Conseil international des mines et métaux »,  2010. Guide de bonnes pratiques : les peuples autochtones et l’exploitation minière [en ligne]. ICMM, Londres, Royaume-Uni.</w:t>
      </w:r>
      <w:r>
        <w:rPr>
          <w:rFonts w:cs="Calibri"/>
          <w:color w:val="0070C0"/>
          <w:sz w:val="24"/>
          <w:szCs w:val="24"/>
          <w:lang w:val="fr-FR" w:eastAsia="fr-FR"/>
        </w:rPr>
        <w:t xml:space="preserve"> </w:t>
      </w:r>
      <w:hyperlink r:id="rId116" w:history="1">
        <w:r>
          <w:rPr>
            <w:rFonts w:cs="Calibri"/>
            <w:color w:val="0070C0"/>
            <w:sz w:val="24"/>
            <w:szCs w:val="24"/>
            <w:u w:val="single"/>
            <w:lang w:val="fr-FR" w:eastAsia="fr-FR"/>
          </w:rPr>
          <w:t>http://www.icmm.com/languages/french</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CNUCED (2016). Le développement économique en Afrique : Dynamique de la dette et financement du développement en Afrique. Rapport annuel, CNUCED, Conférence des nations Unies sur le commerce et le développement, ONU, New York et Genève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lastRenderedPageBreak/>
        <w:t>Collier, P. (2014). Épargner les revenus tirés des ressources naturelles dans les pays en développement : principes et règles de politiques. Revue d’économie du développement,  21(4):59-96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COMINAK (Rapport Environnemental, Social et Sociétal, 2012). Rapport annuel, COMINAK-Compagnie Minière d’Akouta, Areva Niger, Niamey, Niger</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Commission économique pour l’Afrique (2013). Tirer le plus grand profit des produits de base africains : l’industrialisation au service de la croissance, de l’emploi et de la transformation économique. Commission économique pour l’Afrique, pages 1–260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Corkal V. ; Gass P. &amp;  Cosbey A., (2020). </w:t>
      </w:r>
      <w:r>
        <w:rPr>
          <w:rFonts w:cs="Calibri"/>
          <w:sz w:val="24"/>
          <w:szCs w:val="24"/>
          <w:lang w:val="fr-FR" w:eastAsia="fr-FR"/>
        </w:rPr>
        <w:t xml:space="preserve">Conditions vertes : Principes et conditions pour une relance économique verte au Canada après la pandémie de la COVID-19,   rapport de l’institut international du développement durable, canada, 27 p. </w:t>
      </w:r>
      <w:hyperlink r:id="rId117" w:history="1">
        <w:r>
          <w:rPr>
            <w:rFonts w:cs="Calibri"/>
            <w:color w:val="0070C0"/>
            <w:sz w:val="24"/>
            <w:szCs w:val="24"/>
            <w:u w:val="single"/>
            <w:lang w:val="fr-FR" w:eastAsia="fr-FR"/>
          </w:rPr>
          <w:t>http://www.iisd.org/</w:t>
        </w:r>
      </w:hyperlink>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lang w:eastAsia="fr-FR"/>
        </w:rPr>
        <w:t>Costanza, R. (1992). Ecological Economics: The Science and Management of Sustainability. Columbia University Press</w:t>
      </w:r>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lang w:eastAsia="fr-FR"/>
        </w:rPr>
        <w:t>Costanza, R. ; Alperovitz, G. ;  Daly, H.; Farley, J. ; Franco, C. ; Jackson, T. ; Kubiszewski, I. ; Schor, J. &amp; Victor, P. (2013). Vivement 2050 ! Programme pour une économie soutenable et désirable (Building a Sustainable and Desirable Economy-in-Society-in-Nature). Les Petits Matins</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Cuny, P. (2011). État des lieux de la foresterie communautaire et communale au Cameroun. Tropenbos International Congo-Basin Programme. Wageningen, Pays-Bas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Daly, H. E. (1990). Toward some operational principles of sustainable development. </w:t>
      </w:r>
      <w:r>
        <w:rPr>
          <w:rFonts w:cs="Calibri"/>
          <w:sz w:val="24"/>
          <w:szCs w:val="24"/>
          <w:lang w:val="fr-FR" w:eastAsia="fr-FR"/>
        </w:rPr>
        <w:t>Ecological economics, 2(1):1–6</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Daniel, P. ; Gupta, S. ; Mattina, T. &amp; Segura-Ubiergo, A. (2013). </w:t>
      </w:r>
      <w:r>
        <w:rPr>
          <w:rFonts w:cs="Calibri"/>
          <w:sz w:val="24"/>
          <w:szCs w:val="24"/>
          <w:lang w:val="fr-FR" w:eastAsia="fr-FR"/>
        </w:rPr>
        <w:t>La rente des ressources naturelles. Finance et Développement</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De Wachter P.M. (2008) Dja-Odzala-Minkébé (TRIDOM). </w:t>
      </w:r>
      <w:r>
        <w:rPr>
          <w:rFonts w:cs="Calibri"/>
          <w:sz w:val="24"/>
          <w:szCs w:val="24"/>
          <w:lang w:val="fr-FR" w:eastAsia="fr-FR"/>
        </w:rPr>
        <w:t>Dans : De Wasseige C., Devers D. ; de Marcken P. ; Eba’a Atyi R. ; Nasi R. &amp; Mayaux P. Les forêts du bassin du Congo : État des forêts 2008 : 277-292. Office des publications de l’Union européenne, Luxembourg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Eba’a Atyi R. ; Devers D. ; De Wasseige C. &amp; Maisels F. (2009).  État des forêts d’Afrique Centrale : synthèse sous-régionale. Dans : De Wasseige C. ; Devers D. ; de Marcken P. ; Eba’a Atyi R. ; Nasi R. &amp; Mayaux P. (éds.). Les forêts du bassin du Congo : État des forêts. 2008 :17-44. Office des publications de l’Union européenne. Luxembourg</w:t>
      </w:r>
    </w:p>
    <w:p w:rsidR="0089405D" w:rsidRDefault="003468E2">
      <w:pPr>
        <w:pStyle w:val="Paragraphedeliste"/>
        <w:numPr>
          <w:ilvl w:val="0"/>
          <w:numId w:val="41"/>
        </w:numPr>
        <w:spacing w:line="312" w:lineRule="auto"/>
        <w:jc w:val="both"/>
        <w:rPr>
          <w:rFonts w:cs="Calibri"/>
          <w:color w:val="0070C0"/>
          <w:sz w:val="24"/>
          <w:szCs w:val="24"/>
          <w:lang w:eastAsia="fr-FR"/>
        </w:rPr>
      </w:pPr>
      <w:r>
        <w:rPr>
          <w:rFonts w:cs="Calibri"/>
          <w:sz w:val="24"/>
          <w:szCs w:val="24"/>
          <w:lang w:eastAsia="fr-FR"/>
        </w:rPr>
        <w:t xml:space="preserve">ELAW (Environmental Law Alliance Worldwide, 2010). </w:t>
      </w:r>
      <w:r>
        <w:rPr>
          <w:rFonts w:cs="Calibri"/>
          <w:sz w:val="24"/>
          <w:szCs w:val="24"/>
          <w:lang w:val="fr-FR" w:eastAsia="fr-FR"/>
        </w:rPr>
        <w:t xml:space="preserve">Guide pour l’évaluation des projets EIE du domaine minier. Chapitre 1. Généralités sur l’exploitation minière et </w:t>
      </w:r>
      <w:r>
        <w:rPr>
          <w:rFonts w:cs="Calibri"/>
          <w:sz w:val="24"/>
          <w:szCs w:val="24"/>
          <w:lang w:val="fr-FR" w:eastAsia="fr-FR"/>
        </w:rPr>
        <w:lastRenderedPageBreak/>
        <w:t xml:space="preserve">ses impacts [en ligne]. </w:t>
      </w:r>
      <w:r>
        <w:rPr>
          <w:rFonts w:cs="Calibri"/>
          <w:sz w:val="24"/>
          <w:szCs w:val="24"/>
          <w:lang w:eastAsia="fr-FR"/>
        </w:rPr>
        <w:t>ELAW, Oregon, États-Unis.</w:t>
      </w:r>
      <w:hyperlink r:id="rId118" w:history="1">
        <w:r>
          <w:rPr>
            <w:rFonts w:cs="Calibri"/>
            <w:color w:val="0070C0"/>
            <w:sz w:val="24"/>
            <w:szCs w:val="24"/>
            <w:u w:val="single"/>
            <w:lang w:eastAsia="fr-FR"/>
          </w:rPr>
          <w:t>http://www.elaw.org/files/mining-eia-guidebook/Full%20French%20Guidebook.pdf</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Franks, DM.; Brereton, D.; Moran, CJ.; Sarker, T &amp; Cohen, T,.(2010). Cumulative Impacts - A Good Practice Guide for the Australian Coal Mining Industry. Centre for Social Responsibility in Mining &amp; Centre for Water in the Minerals Industry, Sustainable Minerals Institute, University of Queensland. </w:t>
      </w:r>
      <w:r>
        <w:rPr>
          <w:rFonts w:cs="Calibri"/>
          <w:sz w:val="24"/>
          <w:szCs w:val="24"/>
          <w:lang w:val="fr-FR" w:eastAsia="fr-FR"/>
        </w:rPr>
        <w:t>Australian Coal Association Research Program. Brisbane</w:t>
      </w:r>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lang w:eastAsia="fr-FR"/>
        </w:rPr>
        <w:t>Franks, DM.;  Fidler, C.; Brereton, D.</w:t>
      </w:r>
      <w:r>
        <w:t xml:space="preserve"> </w:t>
      </w:r>
      <w:r>
        <w:rPr>
          <w:rFonts w:cs="Calibri"/>
          <w:sz w:val="24"/>
          <w:szCs w:val="24"/>
          <w:lang w:eastAsia="fr-FR"/>
        </w:rPr>
        <w:t>;  Vanclay, F. &amp; Clark. P (2009). Leading Practice Strategies for Addressing the Social Impacts of Resource Developments. Centre for Social Responsibility in Mining, Sustainable Minerals Institute, The University of Queensland. Briefing paper for the Department of Employment, Economic Development and Innovation, Queensland Government, Brisbane</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Franks, DM.</w:t>
      </w:r>
      <w:r>
        <w:t xml:space="preserve"> </w:t>
      </w:r>
      <w:r>
        <w:rPr>
          <w:rFonts w:cs="Calibri"/>
          <w:sz w:val="24"/>
          <w:szCs w:val="24"/>
          <w:lang w:eastAsia="fr-FR"/>
        </w:rPr>
        <w:t xml:space="preserve">;  Fidler, C.;  Brereton, D.; Vanclay, F &amp; Clark, P. (2009). Leading Practice Strategies for Addressing the Social Impacts of Resource Developments. Centre for Social Responsibility in Mining, Sustainable Minerals Institute, The University of Queensland. Briefing paper for the Department of Employment, Economic Development and Innovation, Queensland Government. </w:t>
      </w:r>
      <w:r>
        <w:rPr>
          <w:rFonts w:cs="Calibri"/>
          <w:sz w:val="24"/>
          <w:szCs w:val="24"/>
          <w:lang w:val="fr-FR" w:eastAsia="fr-FR"/>
        </w:rPr>
        <w:t>November. Brisbane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Franks, DM. (2011). Management of the Social Impacts of Mining. In P Darling (Ed.). SME Mining Engineering Handbook. </w:t>
      </w:r>
      <w:r>
        <w:rPr>
          <w:rFonts w:cs="Calibri"/>
          <w:sz w:val="24"/>
          <w:szCs w:val="24"/>
          <w:lang w:val="fr-FR" w:eastAsia="fr-FR"/>
        </w:rPr>
        <w:t>Society for Mining, Metallurgy, and Exploration. Colorado. Chapter 23.4 </w:t>
      </w:r>
    </w:p>
    <w:p w:rsidR="0089405D" w:rsidRDefault="003468E2">
      <w:pPr>
        <w:pStyle w:val="Paragraphedeliste"/>
        <w:numPr>
          <w:ilvl w:val="0"/>
          <w:numId w:val="41"/>
        </w:numPr>
        <w:spacing w:line="312" w:lineRule="auto"/>
        <w:jc w:val="both"/>
        <w:rPr>
          <w:rFonts w:cs="Calibri"/>
          <w:sz w:val="24"/>
          <w:szCs w:val="24"/>
          <w:lang w:val="fr-FR" w:eastAsia="fr-FR"/>
        </w:rPr>
      </w:pPr>
      <w:r>
        <w:rPr>
          <w:rFonts w:eastAsia="Calibri" w:cs="Calibri"/>
          <w:sz w:val="24"/>
          <w:szCs w:val="24"/>
          <w:lang w:eastAsia="en-US"/>
        </w:rPr>
        <w:t xml:space="preserve">Kemp, D. (2009). Community relations in the global mmmg industry: exploring the internaidimensions of externally orientated work. </w:t>
      </w:r>
      <w:r>
        <w:rPr>
          <w:rFonts w:eastAsia="Calibri" w:cs="Calibri"/>
          <w:iCs/>
          <w:sz w:val="24"/>
          <w:szCs w:val="24"/>
          <w:lang w:val="fr-FR" w:eastAsia="en-US"/>
        </w:rPr>
        <w:t>Corporate Social Responsiblity and Environmental</w:t>
      </w:r>
      <w:r>
        <w:rPr>
          <w:rFonts w:eastAsia="Calibri" w:cs="Calibri"/>
          <w:sz w:val="24"/>
          <w:szCs w:val="24"/>
          <w:lang w:val="fr-FR" w:eastAsia="en-US"/>
        </w:rPr>
        <w:t xml:space="preserve"> </w:t>
      </w:r>
      <w:r>
        <w:rPr>
          <w:rFonts w:eastAsia="Calibri" w:cs="Calibri"/>
          <w:iCs/>
          <w:sz w:val="24"/>
          <w:szCs w:val="24"/>
          <w:lang w:val="fr-FR" w:eastAsia="en-US"/>
        </w:rPr>
        <w:t xml:space="preserve">Management </w:t>
      </w:r>
      <w:r>
        <w:rPr>
          <w:rFonts w:eastAsia="Calibri" w:cs="Calibri"/>
          <w:sz w:val="24"/>
          <w:szCs w:val="24"/>
          <w:lang w:val="fr-FR" w:eastAsia="en-US"/>
        </w:rPr>
        <w:t>17: 1-14 </w:t>
      </w:r>
    </w:p>
    <w:p w:rsidR="0089405D" w:rsidRDefault="003468E2">
      <w:pPr>
        <w:pStyle w:val="Paragraphedeliste"/>
        <w:numPr>
          <w:ilvl w:val="0"/>
          <w:numId w:val="41"/>
        </w:numPr>
        <w:spacing w:line="312" w:lineRule="auto"/>
        <w:jc w:val="both"/>
        <w:rPr>
          <w:rFonts w:cs="Calibri"/>
          <w:sz w:val="24"/>
          <w:szCs w:val="24"/>
          <w:lang w:val="fr-FR" w:eastAsia="fr-FR"/>
        </w:rPr>
      </w:pPr>
      <w:r>
        <w:rPr>
          <w:rFonts w:eastAsia="Calibri" w:cs="Calibri"/>
          <w:sz w:val="24"/>
          <w:szCs w:val="24"/>
          <w:lang w:eastAsia="en-US"/>
        </w:rPr>
        <w:t xml:space="preserve">Kemp, D.; Owen, </w:t>
      </w:r>
      <w:r>
        <w:rPr>
          <w:rFonts w:eastAsia="Calibri" w:cs="Calibri"/>
          <w:iCs/>
          <w:sz w:val="24"/>
          <w:szCs w:val="24"/>
          <w:lang w:eastAsia="en-US"/>
        </w:rPr>
        <w:t>I.</w:t>
      </w:r>
      <w:r>
        <w:rPr>
          <w:rFonts w:eastAsia="Calibri" w:cs="Calibri"/>
          <w:sz w:val="24"/>
          <w:szCs w:val="24"/>
          <w:lang w:eastAsia="en-US"/>
        </w:rPr>
        <w:t xml:space="preserve">R.;  Gotzmann, N. &amp; Bond, C. G. (2011). Just relations and companycommunity conflict in mining. </w:t>
      </w:r>
      <w:r>
        <w:rPr>
          <w:rFonts w:eastAsia="Calibri" w:cs="Calibri"/>
          <w:iCs/>
          <w:sz w:val="24"/>
          <w:szCs w:val="24"/>
          <w:lang w:val="fr-FR" w:eastAsia="en-US"/>
        </w:rPr>
        <w:t xml:space="preserve">Journal of Business Ethics </w:t>
      </w:r>
      <w:r>
        <w:rPr>
          <w:rFonts w:eastAsia="Calibri" w:cs="Calibri"/>
          <w:sz w:val="24"/>
          <w:szCs w:val="24"/>
          <w:lang w:val="fr-FR" w:eastAsia="en-US"/>
        </w:rPr>
        <w:t>101: 93-109</w:t>
      </w:r>
    </w:p>
    <w:p w:rsidR="0089405D" w:rsidRDefault="003468E2">
      <w:pPr>
        <w:pStyle w:val="Paragraphedeliste"/>
        <w:numPr>
          <w:ilvl w:val="0"/>
          <w:numId w:val="41"/>
        </w:numPr>
        <w:spacing w:line="312" w:lineRule="auto"/>
        <w:jc w:val="both"/>
        <w:rPr>
          <w:rFonts w:cs="Calibri"/>
          <w:sz w:val="24"/>
          <w:szCs w:val="24"/>
          <w:lang w:val="fr-FR" w:eastAsia="fr-FR"/>
        </w:rPr>
      </w:pPr>
      <w:r>
        <w:rPr>
          <w:rFonts w:eastAsia="Calibri" w:cs="Calibri"/>
          <w:sz w:val="24"/>
          <w:szCs w:val="24"/>
          <w:lang w:eastAsia="en-US"/>
        </w:rPr>
        <w:t xml:space="preserve">Kitula, A.G.N. (2006). The environmental and socio-economic impacts of mining on local livelihoods in Tanzania: A case study of Geita District. </w:t>
      </w:r>
      <w:r>
        <w:rPr>
          <w:rFonts w:eastAsia="Calibri" w:cs="Calibri"/>
          <w:iCs/>
          <w:sz w:val="24"/>
          <w:szCs w:val="24"/>
          <w:lang w:val="fr-FR" w:eastAsia="en-US"/>
        </w:rPr>
        <w:t xml:space="preserve">Journal ofCleaner Production </w:t>
      </w:r>
      <w:r>
        <w:rPr>
          <w:rFonts w:eastAsia="Calibri" w:cs="Calibri"/>
          <w:sz w:val="24"/>
          <w:szCs w:val="24"/>
          <w:lang w:val="fr-FR" w:eastAsia="en-US"/>
        </w:rPr>
        <w:t>14: 405-414 </w:t>
      </w:r>
    </w:p>
    <w:p w:rsidR="0089405D" w:rsidRDefault="003468E2">
      <w:pPr>
        <w:pStyle w:val="Paragraphedeliste"/>
        <w:numPr>
          <w:ilvl w:val="0"/>
          <w:numId w:val="41"/>
        </w:numPr>
        <w:spacing w:line="312" w:lineRule="auto"/>
        <w:jc w:val="both"/>
        <w:rPr>
          <w:rFonts w:cs="Calibri"/>
          <w:sz w:val="24"/>
          <w:szCs w:val="24"/>
          <w:lang w:val="fr-FR" w:eastAsia="fr-FR"/>
        </w:rPr>
      </w:pPr>
      <w:r>
        <w:rPr>
          <w:rFonts w:eastAsia="Calibri" w:cs="Calibri"/>
          <w:sz w:val="24"/>
          <w:szCs w:val="24"/>
          <w:lang w:eastAsia="en-US"/>
        </w:rPr>
        <w:t xml:space="preserve">Labonne, B. (1999). The mining industry and the community: joining forces for sustainable social development. </w:t>
      </w:r>
      <w:r>
        <w:rPr>
          <w:rFonts w:eastAsia="Calibri" w:cs="Calibri"/>
          <w:iCs/>
          <w:sz w:val="24"/>
          <w:szCs w:val="24"/>
          <w:lang w:val="fr-FR" w:eastAsia="en-US"/>
        </w:rPr>
        <w:t xml:space="preserve">Natural Resources Forum </w:t>
      </w:r>
      <w:r>
        <w:rPr>
          <w:rFonts w:eastAsia="Calibri" w:cs="Calibri"/>
          <w:sz w:val="24"/>
          <w:szCs w:val="24"/>
          <w:lang w:val="fr-FR" w:eastAsia="en-US"/>
        </w:rPr>
        <w:t>23: 315-322 </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Laforce, M.; Campbell, B.K. &amp; Sarrasin, B. (2012). Pouvoir et régulation dans le secteur minier : leçons à partir de l’expérience canadienne. Presses de l’Université du Québec, Québec, Canada </w:t>
      </w:r>
    </w:p>
    <w:p w:rsidR="0089405D" w:rsidRDefault="003468E2">
      <w:pPr>
        <w:pStyle w:val="Paragraphedeliste"/>
        <w:numPr>
          <w:ilvl w:val="0"/>
          <w:numId w:val="41"/>
        </w:numPr>
        <w:spacing w:line="312" w:lineRule="auto"/>
        <w:jc w:val="both"/>
        <w:rPr>
          <w:rFonts w:cs="Calibri"/>
          <w:sz w:val="24"/>
          <w:szCs w:val="24"/>
          <w:lang w:eastAsia="fr-FR"/>
        </w:rPr>
      </w:pPr>
      <w:r>
        <w:rPr>
          <w:rFonts w:eastAsia="Calibri" w:cs="Calibri"/>
          <w:sz w:val="24"/>
          <w:szCs w:val="24"/>
          <w:lang w:eastAsia="en-US"/>
        </w:rPr>
        <w:lastRenderedPageBreak/>
        <w:t xml:space="preserve">Lapalme, L.-A. (2003). </w:t>
      </w:r>
      <w:r>
        <w:rPr>
          <w:rFonts w:eastAsia="Calibri" w:cs="Calibri"/>
          <w:iCs/>
          <w:sz w:val="24"/>
          <w:szCs w:val="24"/>
          <w:lang w:eastAsia="en-US"/>
        </w:rPr>
        <w:t xml:space="preserve">The social dimension of sustainable development and the mining sector. </w:t>
      </w:r>
      <w:r>
        <w:rPr>
          <w:rFonts w:eastAsia="Calibri" w:cs="Calibri"/>
          <w:sz w:val="24"/>
          <w:szCs w:val="24"/>
          <w:lang w:eastAsia="en-US"/>
        </w:rPr>
        <w:t>Natural Resources Canada, Minerais and Metals Sector, Ottawa, Ontario, Canada</w:t>
      </w:r>
    </w:p>
    <w:p w:rsidR="0089405D" w:rsidRDefault="003468E2">
      <w:pPr>
        <w:pStyle w:val="Paragraphedeliste"/>
        <w:numPr>
          <w:ilvl w:val="0"/>
          <w:numId w:val="41"/>
        </w:numPr>
        <w:spacing w:line="312" w:lineRule="auto"/>
        <w:jc w:val="both"/>
        <w:rPr>
          <w:rFonts w:cs="Calibri"/>
          <w:iCs/>
          <w:color w:val="0563C1"/>
          <w:sz w:val="24"/>
          <w:szCs w:val="24"/>
          <w:u w:val="single"/>
          <w:lang w:eastAsia="fr-FR"/>
        </w:rPr>
      </w:pPr>
      <w:r>
        <w:rPr>
          <w:rFonts w:cs="Calibri"/>
          <w:iCs/>
          <w:sz w:val="24"/>
          <w:szCs w:val="24"/>
        </w:rPr>
        <w:t>Mangambu. M.;  Kambale, K.</w:t>
      </w:r>
      <w:r>
        <w:t xml:space="preserve"> </w:t>
      </w:r>
      <w:r>
        <w:rPr>
          <w:rFonts w:cs="Calibri"/>
          <w:iCs/>
          <w:sz w:val="24"/>
          <w:szCs w:val="24"/>
        </w:rPr>
        <w:t>.;  Aruna, S.</w:t>
      </w:r>
      <w:r>
        <w:t xml:space="preserve"> </w:t>
      </w:r>
      <w:r>
        <w:rPr>
          <w:rFonts w:cs="Calibri"/>
          <w:iCs/>
          <w:sz w:val="24"/>
          <w:szCs w:val="24"/>
        </w:rPr>
        <w:t>.;  Witanene, M.</w:t>
      </w:r>
      <w:r>
        <w:t>&amp;</w:t>
      </w:r>
      <w:r>
        <w:rPr>
          <w:rFonts w:cs="Calibri"/>
          <w:iCs/>
          <w:sz w:val="24"/>
          <w:szCs w:val="24"/>
        </w:rPr>
        <w:t xml:space="preserve">  Kaleme. K. (2022). Hippopotamus amphibius Linnaeus 1758 at Ruzizi River and Lake Tanganyika (Territory of Uvira, South kivu, DR Congo): population census and conservation implications.</w:t>
      </w:r>
      <w:r>
        <w:rPr>
          <w:rFonts w:cs="Calibri"/>
          <w:sz w:val="24"/>
          <w:szCs w:val="24"/>
        </w:rPr>
        <w:t xml:space="preserve"> </w:t>
      </w:r>
      <w:r>
        <w:rPr>
          <w:rFonts w:cs="Calibri"/>
          <w:iCs/>
          <w:sz w:val="24"/>
          <w:szCs w:val="24"/>
        </w:rPr>
        <w:t>Journal of Applied Biosciences 143: 14606 - 14621</w:t>
      </w:r>
      <w:r>
        <w:rPr>
          <w:rFonts w:cs="Calibri"/>
          <w:sz w:val="24"/>
          <w:szCs w:val="24"/>
        </w:rPr>
        <w:t xml:space="preserve"> </w:t>
      </w:r>
      <w:hyperlink r:id="rId119" w:history="1">
        <w:r>
          <w:rPr>
            <w:rStyle w:val="Lienhypertexte"/>
            <w:rFonts w:cs="Calibri"/>
            <w:iCs/>
            <w:sz w:val="24"/>
            <w:szCs w:val="24"/>
          </w:rPr>
          <w:t>https://dx.doi.org/10.4314/jab.v143i1.2331</w:t>
        </w:r>
      </w:hyperlink>
      <w:r>
        <w:rPr>
          <w:sz w:val="24"/>
          <w:szCs w:val="24"/>
        </w:rPr>
        <w:t xml:space="preserve"> </w:t>
      </w:r>
    </w:p>
    <w:p w:rsidR="0089405D" w:rsidRDefault="003468E2">
      <w:pPr>
        <w:pStyle w:val="Paragraphedeliste"/>
        <w:numPr>
          <w:ilvl w:val="0"/>
          <w:numId w:val="41"/>
        </w:numPr>
        <w:spacing w:line="312" w:lineRule="auto"/>
        <w:jc w:val="both"/>
        <w:rPr>
          <w:rFonts w:eastAsia="Times New Roman" w:cs="Calibri"/>
          <w:sz w:val="24"/>
          <w:szCs w:val="24"/>
          <w:lang w:val="fr-FR" w:eastAsia="fr-FR"/>
        </w:rPr>
      </w:pPr>
      <w:r>
        <w:rPr>
          <w:rFonts w:eastAsia="Times New Roman" w:cs="Calibri"/>
          <w:sz w:val="24"/>
          <w:szCs w:val="24"/>
          <w:lang w:val="fr-FR" w:eastAsia="fr-FR"/>
        </w:rPr>
        <w:t xml:space="preserve">Mangambu, M.;  Asimbo, B. &amp; Ekele M. (2021a). regards sur les impacts environnementaux de projet d’exploitation minière semi - industrielle dans le bassin du Congo : cas de la rivière Aruwimi (Territoire De Basoko, RD Congo). European Scientific Journal, Sciences Humaines, 17 (29) : 330-363, </w:t>
      </w:r>
      <w:hyperlink r:id="rId120" w:history="1">
        <w:r>
          <w:rPr>
            <w:rStyle w:val="Lienhypertexte"/>
            <w:rFonts w:eastAsia="Times New Roman" w:cs="Calibri"/>
            <w:sz w:val="24"/>
            <w:szCs w:val="24"/>
            <w:lang w:val="fr-FR" w:eastAsia="fr-FR"/>
          </w:rPr>
          <w:t>https://doi.org/10.19044/esj.2021.v17n29p328</w:t>
        </w:r>
      </w:hyperlink>
    </w:p>
    <w:p w:rsidR="0089405D" w:rsidRDefault="003468E2">
      <w:pPr>
        <w:pStyle w:val="Paragraphedeliste"/>
        <w:numPr>
          <w:ilvl w:val="0"/>
          <w:numId w:val="41"/>
        </w:numPr>
        <w:spacing w:line="312" w:lineRule="auto"/>
        <w:jc w:val="both"/>
        <w:rPr>
          <w:rStyle w:val="Lienhypertexte"/>
          <w:rFonts w:cs="Calibri"/>
          <w:iCs/>
          <w:sz w:val="24"/>
          <w:szCs w:val="24"/>
          <w:lang w:eastAsia="fr-FR"/>
        </w:rPr>
      </w:pPr>
      <w:r>
        <w:rPr>
          <w:rStyle w:val="Lienhypertexte"/>
          <w:rFonts w:cs="Calibri"/>
          <w:iCs/>
          <w:color w:val="000000"/>
          <w:sz w:val="24"/>
          <w:szCs w:val="24"/>
          <w:u w:val="none"/>
          <w:lang w:val="fr-FR" w:eastAsia="fr-FR"/>
        </w:rPr>
        <w:t xml:space="preserve">Mangambu,M.;  Aruna, S.;  Byalungwe, M.;  Lubula, B.;  Lwimo, M. , Mushangalusa, K. &amp; Kambale K. (2021b). Savoir Traditionnel et Conservation de la Biodiversité dans le Rift Albertin: cas des Peuples Pygmée et Lega Riverains de la Réserve Naturelle d’Itombwe à l’Est de la RD Congo. </w:t>
      </w:r>
      <w:r>
        <w:rPr>
          <w:rStyle w:val="Lienhypertexte"/>
          <w:rFonts w:cs="Calibri"/>
          <w:iCs/>
          <w:color w:val="000000"/>
          <w:sz w:val="24"/>
          <w:szCs w:val="24"/>
          <w:u w:val="none"/>
          <w:lang w:eastAsia="fr-FR"/>
        </w:rPr>
        <w:t>European Scientific Journal, ESJ, 17 (32), 319.</w:t>
      </w:r>
      <w:r>
        <w:rPr>
          <w:rStyle w:val="Lienhypertexte"/>
          <w:rFonts w:cs="Calibri"/>
          <w:iCs/>
          <w:color w:val="000000"/>
          <w:sz w:val="24"/>
          <w:szCs w:val="24"/>
          <w:lang w:eastAsia="fr-FR"/>
        </w:rPr>
        <w:t xml:space="preserve"> </w:t>
      </w:r>
      <w:hyperlink r:id="rId121" w:history="1">
        <w:r>
          <w:rPr>
            <w:rStyle w:val="Lienhypertexte"/>
            <w:rFonts w:cs="Calibri"/>
            <w:iCs/>
            <w:sz w:val="24"/>
            <w:szCs w:val="24"/>
            <w:lang w:eastAsia="fr-FR"/>
          </w:rPr>
          <w:t>https://doi.org/10.19044/esj.2021.v17n32p319</w:t>
        </w:r>
      </w:hyperlink>
    </w:p>
    <w:p w:rsidR="0089405D" w:rsidRDefault="003468E2">
      <w:pPr>
        <w:pStyle w:val="Paragraphedeliste"/>
        <w:numPr>
          <w:ilvl w:val="0"/>
          <w:numId w:val="41"/>
        </w:numPr>
        <w:spacing w:line="312" w:lineRule="auto"/>
        <w:jc w:val="both"/>
        <w:rPr>
          <w:rStyle w:val="Lienhypertexte"/>
          <w:rFonts w:cs="Calibri"/>
          <w:iCs/>
          <w:sz w:val="24"/>
          <w:szCs w:val="24"/>
          <w:u w:val="none"/>
          <w:lang w:eastAsia="fr-FR"/>
        </w:rPr>
      </w:pPr>
      <w:r>
        <w:rPr>
          <w:rStyle w:val="Lienhypertexte"/>
          <w:rFonts w:cs="Calibri"/>
          <w:iCs/>
          <w:color w:val="000000"/>
          <w:sz w:val="24"/>
          <w:szCs w:val="24"/>
          <w:u w:val="none"/>
          <w:lang w:val="fr-FR" w:eastAsia="fr-FR"/>
        </w:rPr>
        <w:t xml:space="preserve">Mangbolo, M.; Makwatu, M.; Afundi, N.; Gbalulu, M.; Bololo, M.; Gendodone, B.&amp; Mangambu M. (2022). </w:t>
      </w:r>
      <w:r>
        <w:rPr>
          <w:rStyle w:val="Lienhypertexte"/>
          <w:rFonts w:cs="Calibri"/>
          <w:iCs/>
          <w:color w:val="000000"/>
          <w:sz w:val="24"/>
          <w:szCs w:val="24"/>
          <w:u w:val="none"/>
          <w:lang w:eastAsia="fr-FR"/>
        </w:rPr>
        <w:t xml:space="preserve">Status of plastic packaging use and its environmental impact in the city of Basoko (Tshopo Province, DRC) Journal of Environmental Science, Toxicology and Food Technology, 16 (6): 61- 70 </w:t>
      </w:r>
      <w:hyperlink r:id="rId122" w:history="1">
        <w:r>
          <w:rPr>
            <w:rStyle w:val="Lienhypertexte"/>
            <w:rFonts w:cs="Calibri"/>
            <w:iCs/>
            <w:sz w:val="24"/>
            <w:szCs w:val="24"/>
            <w:lang w:eastAsia="fr-FR"/>
          </w:rPr>
          <w:t>https://dx.doi.org/7010.9790/2402-1606016170</w:t>
        </w:r>
      </w:hyperlink>
    </w:p>
    <w:p w:rsidR="0089405D" w:rsidRDefault="003468E2">
      <w:pPr>
        <w:pStyle w:val="Paragraphedeliste"/>
        <w:numPr>
          <w:ilvl w:val="0"/>
          <w:numId w:val="41"/>
        </w:numPr>
        <w:spacing w:line="312" w:lineRule="auto"/>
        <w:jc w:val="both"/>
        <w:rPr>
          <w:rStyle w:val="Lienhypertexte"/>
          <w:rFonts w:cs="Calibri"/>
          <w:iCs/>
          <w:color w:val="000000"/>
          <w:sz w:val="24"/>
          <w:szCs w:val="24"/>
          <w:u w:val="none"/>
          <w:lang w:val="fr-FR" w:eastAsia="fr-FR"/>
        </w:rPr>
      </w:pPr>
      <w:r>
        <w:rPr>
          <w:rStyle w:val="Lienhypertexte"/>
          <w:rFonts w:cs="Calibri"/>
          <w:iCs/>
          <w:color w:val="000000"/>
          <w:sz w:val="24"/>
          <w:szCs w:val="24"/>
          <w:u w:val="none"/>
          <w:lang w:val="fr-FR" w:eastAsia="fr-FR"/>
        </w:rPr>
        <w:t xml:space="preserve">Mukumba, I. ; Mangambu, M. ; Manirakiza R. &amp; Moritz L. (2022a). </w:t>
      </w:r>
      <w:r>
        <w:rPr>
          <w:rStyle w:val="Lienhypertexte"/>
          <w:rFonts w:cs="Calibri"/>
          <w:iCs/>
          <w:color w:val="000000"/>
          <w:sz w:val="24"/>
          <w:szCs w:val="24"/>
          <w:u w:val="none"/>
          <w:lang w:eastAsia="fr-FR"/>
        </w:rPr>
        <w:t xml:space="preserve">Problem of access to land and natural resources for indigenous Batwa in the outskirts of the Kahuzi-Biega National Park (PNKB) in the East of the D R. Congo. </w:t>
      </w:r>
      <w:r>
        <w:rPr>
          <w:rStyle w:val="Lienhypertexte"/>
          <w:rFonts w:cs="Calibri"/>
          <w:iCs/>
          <w:color w:val="000000"/>
          <w:sz w:val="24"/>
          <w:szCs w:val="24"/>
          <w:u w:val="none"/>
          <w:lang w:val="fr-FR" w:eastAsia="fr-FR"/>
        </w:rPr>
        <w:t xml:space="preserve">Revue Geo-Eco-Trop  45 (3),  397-416. </w:t>
      </w:r>
      <w:hyperlink r:id="rId123" w:history="1">
        <w:r>
          <w:rPr>
            <w:rStyle w:val="Lienhypertexte"/>
            <w:rFonts w:cs="Calibri"/>
            <w:iCs/>
            <w:color w:val="000000"/>
            <w:sz w:val="24"/>
            <w:szCs w:val="24"/>
            <w:u w:val="none"/>
            <w:lang w:val="fr-FR" w:eastAsia="fr-FR"/>
          </w:rPr>
          <w:t>http:/</w:t>
        </w:r>
        <w:r>
          <w:rPr>
            <w:rStyle w:val="Lienhypertexte"/>
            <w:rFonts w:cs="Calibri"/>
            <w:iCs/>
            <w:color w:val="2E74B5"/>
            <w:sz w:val="24"/>
            <w:szCs w:val="24"/>
            <w:lang w:val="fr-FR" w:eastAsia="fr-FR"/>
          </w:rPr>
          <w:t>/www.geoecotrop.be/index.php?page=numero-45</w:t>
        </w:r>
      </w:hyperlink>
    </w:p>
    <w:p w:rsidR="0089405D" w:rsidRDefault="003468E2">
      <w:pPr>
        <w:pStyle w:val="Paragraphedeliste"/>
        <w:numPr>
          <w:ilvl w:val="0"/>
          <w:numId w:val="41"/>
        </w:numPr>
        <w:spacing w:line="312" w:lineRule="auto"/>
        <w:jc w:val="both"/>
        <w:rPr>
          <w:rStyle w:val="Lienhypertexte"/>
          <w:rFonts w:cs="Calibri"/>
          <w:iCs/>
          <w:color w:val="000000"/>
          <w:sz w:val="24"/>
          <w:szCs w:val="24"/>
          <w:u w:val="none"/>
          <w:lang w:val="fr-FR" w:eastAsia="fr-FR"/>
        </w:rPr>
      </w:pPr>
      <w:r>
        <w:rPr>
          <w:rStyle w:val="Lienhypertexte"/>
          <w:rFonts w:cs="Calibri"/>
          <w:iCs/>
          <w:color w:val="000000"/>
          <w:sz w:val="24"/>
          <w:szCs w:val="24"/>
          <w:u w:val="none"/>
          <w:lang w:val="fr-FR" w:eastAsia="fr-FR"/>
        </w:rPr>
        <w:t xml:space="preserve">Mukumba, I.; Mangambu, M.; Ndayisenga, A. &amp; Manirakiza R. (2022b).  </w:t>
      </w:r>
      <w:r>
        <w:rPr>
          <w:rStyle w:val="Lienhypertexte"/>
          <w:rFonts w:cs="Calibri"/>
          <w:iCs/>
          <w:color w:val="000000"/>
          <w:sz w:val="24"/>
          <w:szCs w:val="24"/>
          <w:u w:val="none"/>
          <w:lang w:eastAsia="fr-FR"/>
        </w:rPr>
        <w:t xml:space="preserve">Stakeholders in the sustainable management of natural resources and the Well-being of indigenous “Batwa” residents in a conflict context. The case of the Kahuzi-Biega National Park in eastern DR. </w:t>
      </w:r>
      <w:r>
        <w:rPr>
          <w:rStyle w:val="Lienhypertexte"/>
          <w:rFonts w:cs="Calibri"/>
          <w:iCs/>
          <w:color w:val="000000"/>
          <w:sz w:val="24"/>
          <w:szCs w:val="24"/>
          <w:u w:val="none"/>
          <w:lang w:val="fr-FR" w:eastAsia="fr-FR"/>
        </w:rPr>
        <w:t xml:space="preserve">Congo. Revue Geo-Eco-Trop,  45 (4): 659-669. </w:t>
      </w:r>
      <w:hyperlink r:id="rId124" w:history="1">
        <w:r>
          <w:rPr>
            <w:rStyle w:val="Lienhypertexte"/>
            <w:rFonts w:cs="Calibri"/>
            <w:iCs/>
            <w:sz w:val="24"/>
            <w:szCs w:val="24"/>
            <w:lang w:val="fr-FR" w:eastAsia="fr-FR"/>
          </w:rPr>
          <w:t>http://www.geoecotrop.be/index.php?page=numero-45</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 xml:space="preserve">PNUD « Programme des Nations Unies pour l’Environnement» (2016). Évaluation environnementale de la pollution au mercure dans l’est de la République </w:t>
      </w:r>
      <w:r>
        <w:rPr>
          <w:rFonts w:cs="Calibri"/>
          <w:sz w:val="24"/>
          <w:szCs w:val="24"/>
          <w:lang w:val="fr-FR" w:eastAsia="fr-FR"/>
        </w:rPr>
        <w:lastRenderedPageBreak/>
        <w:t xml:space="preserve">Démocratique du Congo.  Rapport Technique pour le projet « or juste » du partenariat Afrique-Canada, Nairobi/Kenya, 76 p </w:t>
      </w:r>
      <w:hyperlink r:id="rId125" w:history="1">
        <w:r>
          <w:rPr>
            <w:rFonts w:cs="Calibri"/>
            <w:color w:val="0070C0"/>
            <w:sz w:val="24"/>
            <w:szCs w:val="24"/>
            <w:u w:val="single"/>
            <w:lang w:val="fr-FR" w:eastAsia="fr-FR"/>
          </w:rPr>
          <w:t>http://web.unep.org/fr</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PNUD (2017). Rapport sur le développement humain 2017, La vraie richesse des nations : Les chemins du développement humain, PNUD, Narirobi/Kenya</w:t>
      </w:r>
    </w:p>
    <w:p w:rsidR="0089405D" w:rsidRDefault="003468E2">
      <w:pPr>
        <w:pStyle w:val="Paragraphedeliste"/>
        <w:numPr>
          <w:ilvl w:val="0"/>
          <w:numId w:val="41"/>
        </w:numPr>
        <w:spacing w:line="312" w:lineRule="auto"/>
        <w:jc w:val="both"/>
        <w:rPr>
          <w:rFonts w:cs="Calibri"/>
          <w:color w:val="0070C0"/>
          <w:sz w:val="24"/>
          <w:szCs w:val="24"/>
          <w:lang w:eastAsia="fr-FR"/>
        </w:rPr>
      </w:pPr>
      <w:r>
        <w:rPr>
          <w:rFonts w:cs="Calibri"/>
          <w:sz w:val="24"/>
          <w:szCs w:val="24"/>
          <w:lang w:eastAsia="fr-FR"/>
        </w:rPr>
        <w:t xml:space="preserve">Prebisch, R. (1950). The Economic Development of Latin America and its Principal Problems. Economic Commission for Latin America, United Nation Department of Economic Affairs, New York, États - Unis. </w:t>
      </w:r>
      <w:r>
        <w:rPr>
          <w:rFonts w:cs="Calibri"/>
          <w:color w:val="0070C0"/>
          <w:sz w:val="24"/>
          <w:szCs w:val="24"/>
          <w:u w:val="single"/>
          <w:lang w:eastAsia="fr-FR"/>
        </w:rPr>
        <w:t>http:// archivo.cepal.org/pdfs/cdPrebisch/002.pdf;</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Punam , C-P.; Andrew L. D. &amp;  Bryan C.L. (2017). </w:t>
      </w:r>
      <w:r>
        <w:rPr>
          <w:rFonts w:cs="Calibri"/>
          <w:sz w:val="24"/>
          <w:szCs w:val="24"/>
          <w:lang w:val="fr-FR" w:eastAsia="fr-FR"/>
        </w:rPr>
        <w:t>L’exploitation minière en Afrique. Les communautés locales en tirent-elles parti ? édité par  l’Agence française de développement et la Banque mondiale, 1818 H Street, NW Washington, DC, 20433, USA. ISBN : 978-1-4648-1423-5</w:t>
      </w:r>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lang w:val="fr-FR" w:eastAsia="fr-FR"/>
        </w:rPr>
        <w:t xml:space="preserve">Segers, I. (2014). Dialogue, éthique et développement durable pour la pratique de l’éco-conseil. Mémoire de maîtrise, Université du Québec à Chicoutimi, Saguenay, Canada. </w:t>
      </w:r>
      <w:hyperlink r:id="rId126" w:history="1">
        <w:r>
          <w:rPr>
            <w:rFonts w:cs="Calibri"/>
            <w:color w:val="0070C0"/>
            <w:sz w:val="24"/>
            <w:szCs w:val="24"/>
            <w:u w:val="single"/>
            <w:lang w:eastAsia="fr-FR"/>
          </w:rPr>
          <w:t>http://ecoconseil.uqac.ca/dialogue-ethique-et-developpement-durable-pour-la-pratique-de-leco-conseil</w:t>
        </w:r>
        <w:r>
          <w:rPr>
            <w:rFonts w:cs="Calibri"/>
            <w:sz w:val="24"/>
            <w:szCs w:val="24"/>
            <w:u w:val="single"/>
            <w:lang w:eastAsia="fr-FR"/>
          </w:rPr>
          <w:t>/</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Singer, H.W. (1950). The distribution of gains between investing and borrowing countries. </w:t>
      </w:r>
      <w:r>
        <w:rPr>
          <w:rFonts w:cs="Calibri"/>
          <w:sz w:val="24"/>
          <w:szCs w:val="24"/>
          <w:lang w:val="fr-FR" w:eastAsia="fr-FR"/>
        </w:rPr>
        <w:t xml:space="preserve">The American Economic Review, 40(2) : 473–485. </w:t>
      </w:r>
      <w:hyperlink r:id="rId127" w:history="1">
        <w:r>
          <w:rPr>
            <w:rFonts w:cs="Calibri"/>
            <w:color w:val="0070C0"/>
            <w:sz w:val="24"/>
            <w:szCs w:val="24"/>
            <w:u w:val="single"/>
            <w:lang w:val="fr-FR" w:eastAsia="fr-FR"/>
          </w:rPr>
          <w:t>http://www.jstor.org/stable/1818065</w:t>
        </w:r>
      </w:hyperlink>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eastAsia="fr-FR"/>
        </w:rPr>
        <w:t xml:space="preserve">Vanclay, F. (2002). Conceptualising social impacts. </w:t>
      </w:r>
      <w:r>
        <w:rPr>
          <w:rFonts w:cs="Calibri"/>
          <w:sz w:val="24"/>
          <w:szCs w:val="24"/>
          <w:lang w:val="fr-FR" w:eastAsia="fr-FR"/>
        </w:rPr>
        <w:t>Environmental Impact Assessment Review, 22 (3). pp. 183-211 </w:t>
      </w:r>
    </w:p>
    <w:p w:rsidR="0089405D" w:rsidRDefault="003468E2">
      <w:pPr>
        <w:pStyle w:val="Paragraphedeliste"/>
        <w:numPr>
          <w:ilvl w:val="0"/>
          <w:numId w:val="41"/>
        </w:numPr>
        <w:spacing w:line="312" w:lineRule="auto"/>
        <w:jc w:val="both"/>
        <w:rPr>
          <w:rFonts w:cs="Calibri"/>
          <w:sz w:val="24"/>
          <w:szCs w:val="24"/>
          <w:lang w:eastAsia="fr-FR"/>
        </w:rPr>
      </w:pPr>
      <w:r>
        <w:rPr>
          <w:rFonts w:cs="Calibri"/>
          <w:sz w:val="24"/>
          <w:szCs w:val="24"/>
        </w:rPr>
        <w:t>Vanclay, F. (2003). International Principles for Social Impact Assessment, Impact Assessment and Project Appraisal 21(1): 5-11</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rPr>
        <w:t xml:space="preserve">Vanclay, F. &amp; Esteves A.M. (2011). New Directions in Social Impact Assessment: Conceptual and Methodological Advances. </w:t>
      </w:r>
      <w:r>
        <w:rPr>
          <w:rFonts w:cs="Calibri"/>
          <w:sz w:val="24"/>
          <w:szCs w:val="24"/>
          <w:lang w:val="fr-FR"/>
        </w:rPr>
        <w:t>Cheltenham: Edward Elgar, Library   Main Collection Books</w:t>
      </w:r>
    </w:p>
    <w:p w:rsidR="0089405D" w:rsidRDefault="003468E2">
      <w:pPr>
        <w:pStyle w:val="Paragraphedeliste"/>
        <w:numPr>
          <w:ilvl w:val="0"/>
          <w:numId w:val="41"/>
        </w:numPr>
        <w:spacing w:line="312" w:lineRule="auto"/>
        <w:jc w:val="both"/>
        <w:rPr>
          <w:rFonts w:cs="Calibri"/>
          <w:sz w:val="24"/>
          <w:szCs w:val="24"/>
          <w:lang w:val="fr-FR" w:eastAsia="fr-FR"/>
        </w:rPr>
      </w:pPr>
      <w:r>
        <w:rPr>
          <w:rFonts w:cs="Calibri"/>
          <w:sz w:val="24"/>
          <w:szCs w:val="24"/>
          <w:lang w:val="fr-FR" w:eastAsia="fr-FR"/>
        </w:rPr>
        <w:t xml:space="preserve">Villeneuve, C., Riffon, O., et Tremblay, D. (2016). Comment réaliser une analyse de développement durable ? Guide d’utilisation de la grille d’analyse de développement durable. Chaire de recherche en éco-conseil, Université du Québec à Chicoutimi, Saguenay, Canada. </w:t>
      </w:r>
      <w:hyperlink r:id="rId128" w:history="1">
        <w:r>
          <w:rPr>
            <w:rFonts w:cs="Calibri"/>
            <w:color w:val="0070C0"/>
            <w:sz w:val="24"/>
            <w:szCs w:val="24"/>
            <w:u w:val="single"/>
            <w:lang w:val="fr-FR" w:eastAsia="fr-FR"/>
          </w:rPr>
          <w:t>http://constellation.uqac.ca/3959/</w:t>
        </w:r>
      </w:hyperlink>
    </w:p>
    <w:p w:rsidR="0089405D" w:rsidRDefault="003468E2">
      <w:pPr>
        <w:pStyle w:val="Paragraphedeliste"/>
        <w:numPr>
          <w:ilvl w:val="0"/>
          <w:numId w:val="41"/>
        </w:numPr>
        <w:spacing w:line="312" w:lineRule="auto"/>
        <w:jc w:val="both"/>
        <w:rPr>
          <w:rFonts w:eastAsia="Times New Roman" w:cs="Calibri"/>
          <w:b/>
          <w:sz w:val="24"/>
          <w:szCs w:val="24"/>
          <w:lang w:eastAsia="fr-FR"/>
        </w:rPr>
      </w:pPr>
      <w:r>
        <w:rPr>
          <w:rFonts w:cs="Calibri"/>
          <w:sz w:val="24"/>
          <w:szCs w:val="24"/>
          <w:lang w:eastAsia="fr-FR"/>
        </w:rPr>
        <w:t xml:space="preserve">Woynillowicz, D. (2020). An auto sector bailout? Green strings attached, please. Electric Autonomy Canada. </w:t>
      </w:r>
      <w:hyperlink r:id="rId129" w:history="1">
        <w:r>
          <w:rPr>
            <w:rFonts w:cs="Calibri"/>
            <w:color w:val="0070C0"/>
            <w:sz w:val="24"/>
            <w:szCs w:val="24"/>
            <w:u w:val="single"/>
            <w:lang w:val="fr-FR" w:eastAsia="fr-FR"/>
          </w:rPr>
          <w:t>https://electricautonomy.ca/2020/06/04/auto-sector-bailout-green-strings-attached/</w:t>
        </w:r>
      </w:hyperlink>
    </w:p>
    <w:p w:rsidR="0089405D" w:rsidRDefault="0089405D">
      <w:pPr>
        <w:pStyle w:val="Paragraphedeliste"/>
        <w:spacing w:line="312" w:lineRule="auto"/>
        <w:ind w:left="720"/>
        <w:jc w:val="both"/>
        <w:rPr>
          <w:rStyle w:val="Lienhypertexte"/>
          <w:rFonts w:cs="Calibri"/>
          <w:iCs/>
          <w:color w:val="000000"/>
          <w:sz w:val="24"/>
          <w:szCs w:val="24"/>
          <w:u w:val="none"/>
          <w:lang w:val="fr-FR" w:eastAsia="fr-FR"/>
        </w:rPr>
      </w:pPr>
      <w:bookmarkStart w:id="953" w:name="_Toc59458313"/>
      <w:bookmarkStart w:id="954" w:name="_Toc71470316"/>
      <w:bookmarkStart w:id="955" w:name="_Toc73431892"/>
      <w:bookmarkStart w:id="956" w:name="_Toc79393063"/>
    </w:p>
    <w:p w:rsidR="0089405D" w:rsidRDefault="003468E2">
      <w:pPr>
        <w:pStyle w:val="Paragraphedeliste"/>
        <w:spacing w:line="312" w:lineRule="auto"/>
        <w:ind w:left="720"/>
        <w:jc w:val="center"/>
        <w:outlineLvl w:val="0"/>
        <w:rPr>
          <w:rFonts w:cs="Calibri"/>
          <w:sz w:val="28"/>
          <w:szCs w:val="28"/>
          <w:lang w:val="fr-FR"/>
        </w:rPr>
      </w:pPr>
      <w:bookmarkStart w:id="957" w:name="_Toc127187292"/>
      <w:bookmarkStart w:id="958" w:name="_Toc127187569"/>
      <w:bookmarkStart w:id="959" w:name="_Toc127432326"/>
      <w:r>
        <w:rPr>
          <w:rFonts w:eastAsia="Times New Roman" w:cs="Calibri"/>
          <w:b/>
          <w:sz w:val="28"/>
          <w:szCs w:val="28"/>
          <w:lang w:val="fr-FR" w:eastAsia="fr-FR"/>
        </w:rPr>
        <w:lastRenderedPageBreak/>
        <w:t>PREVENTION SUR DE L’EXPLOITATION SEMI - INDUSTRIELLE DES MINERAIS : UNE</w:t>
      </w:r>
      <w:bookmarkEnd w:id="953"/>
      <w:r>
        <w:rPr>
          <w:rFonts w:eastAsia="Times New Roman" w:cs="Calibri"/>
          <w:b/>
          <w:sz w:val="28"/>
          <w:szCs w:val="28"/>
          <w:lang w:val="fr-FR" w:eastAsia="fr-FR"/>
        </w:rPr>
        <w:t xml:space="preserve"> PERCEPTION A LA PROTECTION DURABLE </w:t>
      </w:r>
      <w:bookmarkEnd w:id="954"/>
      <w:bookmarkEnd w:id="955"/>
      <w:bookmarkEnd w:id="956"/>
      <w:r>
        <w:rPr>
          <w:rFonts w:eastAsia="Times New Roman" w:cs="Calibri"/>
          <w:b/>
          <w:sz w:val="28"/>
          <w:szCs w:val="28"/>
          <w:lang w:val="fr-FR" w:eastAsia="fr-FR"/>
        </w:rPr>
        <w:t>D’UN ENVIRONNEMENT LOCAL DELICAT</w:t>
      </w:r>
      <w:bookmarkEnd w:id="957"/>
      <w:bookmarkEnd w:id="958"/>
      <w:bookmarkEnd w:id="959"/>
      <w:r>
        <w:rPr>
          <w:rFonts w:eastAsia="Times New Roman" w:cs="Calibri"/>
          <w:b/>
          <w:sz w:val="28"/>
          <w:szCs w:val="28"/>
          <w:lang w:val="fr-FR" w:eastAsia="fr-FR"/>
        </w:rPr>
        <w:t xml:space="preserve"> </w:t>
      </w:r>
    </w:p>
    <w:p w:rsidR="0089405D" w:rsidRDefault="0089405D">
      <w:pPr>
        <w:keepNext/>
        <w:keepLines/>
        <w:widowControl w:val="0"/>
        <w:spacing w:after="0" w:line="312" w:lineRule="auto"/>
        <w:outlineLvl w:val="0"/>
        <w:rPr>
          <w:rFonts w:eastAsia="Times New Roman" w:cs="Calibri"/>
          <w:b/>
          <w:color w:val="FF0000"/>
          <w:sz w:val="24"/>
          <w:szCs w:val="24"/>
          <w:lang w:val="fr-FR" w:eastAsia="fr-FR"/>
        </w:rPr>
      </w:pPr>
      <w:bookmarkStart w:id="960" w:name="_Toc71470318"/>
    </w:p>
    <w:p w:rsidR="0089405D" w:rsidRDefault="003468E2">
      <w:pPr>
        <w:keepNext/>
        <w:keepLines/>
        <w:widowControl w:val="0"/>
        <w:spacing w:after="0" w:line="312" w:lineRule="auto"/>
        <w:outlineLvl w:val="0"/>
        <w:rPr>
          <w:rFonts w:eastAsia="Times New Roman" w:cs="Calibri"/>
          <w:b/>
          <w:sz w:val="24"/>
          <w:szCs w:val="24"/>
          <w:lang w:val="fr-FR" w:eastAsia="fr-FR"/>
        </w:rPr>
      </w:pPr>
      <w:bookmarkStart w:id="961" w:name="_Toc127181818"/>
      <w:bookmarkStart w:id="962" w:name="_Toc127182213"/>
      <w:bookmarkStart w:id="963" w:name="_Toc127182935"/>
      <w:bookmarkStart w:id="964" w:name="_Toc127187293"/>
      <w:bookmarkStart w:id="965" w:name="_Toc127187570"/>
      <w:bookmarkStart w:id="966" w:name="_Toc127432327"/>
      <w:r>
        <w:rPr>
          <w:rFonts w:eastAsia="Times New Roman" w:cs="Calibri"/>
          <w:b/>
          <w:sz w:val="28"/>
          <w:szCs w:val="28"/>
          <w:lang w:val="fr-FR" w:eastAsia="fr-FR"/>
        </w:rPr>
        <w:t>Mangambu Mokoso Jean De Dieu</w:t>
      </w:r>
      <w:bookmarkEnd w:id="961"/>
      <w:bookmarkEnd w:id="962"/>
      <w:bookmarkEnd w:id="963"/>
      <w:bookmarkEnd w:id="964"/>
      <w:bookmarkEnd w:id="965"/>
      <w:bookmarkEnd w:id="966"/>
    </w:p>
    <w:p w:rsidR="0089405D" w:rsidRDefault="0089405D">
      <w:pPr>
        <w:keepNext/>
        <w:keepLines/>
        <w:widowControl w:val="0"/>
        <w:spacing w:after="0" w:line="312" w:lineRule="auto"/>
        <w:outlineLvl w:val="0"/>
        <w:rPr>
          <w:rFonts w:eastAsia="Times New Roman" w:cs="Calibri"/>
          <w:b/>
          <w:sz w:val="24"/>
          <w:szCs w:val="24"/>
          <w:lang w:val="fr-FR" w:eastAsia="fr-FR"/>
        </w:rPr>
      </w:pPr>
      <w:bookmarkStart w:id="967" w:name="_Toc73431894"/>
      <w:bookmarkStart w:id="968" w:name="_Toc79393065"/>
      <w:bookmarkStart w:id="969" w:name="_Toc111888717"/>
    </w:p>
    <w:p w:rsidR="0089405D" w:rsidRDefault="003468E2">
      <w:pPr>
        <w:keepNext/>
        <w:keepLines/>
        <w:widowControl w:val="0"/>
        <w:spacing w:after="0" w:line="312" w:lineRule="auto"/>
        <w:outlineLvl w:val="0"/>
        <w:rPr>
          <w:rFonts w:eastAsia="Times New Roman" w:cs="Calibri"/>
          <w:b/>
          <w:sz w:val="24"/>
          <w:szCs w:val="24"/>
          <w:lang w:val="fr-FR" w:eastAsia="fr-FR"/>
        </w:rPr>
      </w:pPr>
      <w:bookmarkStart w:id="970" w:name="_Toc127187294"/>
      <w:bookmarkStart w:id="971" w:name="_Toc127187571"/>
      <w:bookmarkStart w:id="972" w:name="_Toc127432328"/>
      <w:r>
        <w:rPr>
          <w:rFonts w:eastAsia="Times New Roman" w:cs="Calibri"/>
          <w:b/>
          <w:sz w:val="24"/>
          <w:szCs w:val="24"/>
          <w:lang w:val="fr-FR" w:eastAsia="fr-FR"/>
        </w:rPr>
        <w:t>8.1. INTRODUCTION</w:t>
      </w:r>
      <w:bookmarkEnd w:id="960"/>
      <w:bookmarkEnd w:id="967"/>
      <w:bookmarkEnd w:id="968"/>
      <w:bookmarkEnd w:id="969"/>
      <w:bookmarkEnd w:id="970"/>
      <w:bookmarkEnd w:id="971"/>
      <w:bookmarkEnd w:id="972"/>
    </w:p>
    <w:p w:rsidR="0089405D" w:rsidRDefault="0089405D">
      <w:pPr>
        <w:keepNext/>
        <w:keepLines/>
        <w:widowControl w:val="0"/>
        <w:spacing w:after="0" w:line="312" w:lineRule="auto"/>
        <w:outlineLvl w:val="0"/>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Le Pape Jean-Paul  II (1979), dans  sa  première  Encyclique (Redemptoris hominis),  montre que  l’être  humain  semble « ne percevoir d’autres significations de son milieu  naturel  que  celles  de  servir  à  un  usage  et  à  une consommation dans l’immédiat ». Par la suite, il a appelé à une conversion écologique globale.  Mais en même temps, il a fait remarquer qu’on s’engage trop peu dans « la sauvegarde des conditions morales d’une ‘‘écologie humaine’’ authentique et sa prévention quotidien ». Le développement humain authentique a un caractère moral et suppose le plein respect de la personne humaine, mais il doit aussi prêter attention au monde naturel et « tenir compte de la nature de chaque être et de ses liens mutuels dans un système ordonné ».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La République Démocratique du Congo (RDC) est un pays richement doté en ressources naturelles, notamment en minéraux, pétrole, eau, forêts et terres agricoles. Elle est l’une des plus grands producteurs de cuivre et de cobalt au monde. Elle produit également d’importantes quantités de coltan (colombo-tantalite), d’argent et de pétrole</w:t>
      </w:r>
      <w:r>
        <w:rPr>
          <w:rFonts w:cs="Calibri"/>
          <w:sz w:val="24"/>
          <w:szCs w:val="24"/>
          <w:lang w:val="fr-FR"/>
        </w:rPr>
        <w:t xml:space="preserve"> (</w:t>
      </w:r>
      <w:r>
        <w:rPr>
          <w:rFonts w:eastAsia="Times New Roman" w:cs="Calibri"/>
          <w:sz w:val="24"/>
          <w:szCs w:val="24"/>
          <w:lang w:val="fr-FR" w:eastAsia="fr-FR"/>
        </w:rPr>
        <w:t xml:space="preserve">Geenen, S. &amp; Custers, R. 2010). Elle dispose notamment d’importantes réserves en eau, qui constituent un précieux atout pour le transport et la production d’énergie. Le pays dispose d’un potentiel qui permettrait de générer de l’électricité pour alimenter l’ensemble de la région des Grands Lacs et au-delà. </w:t>
      </w: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ab/>
        <w:t>Cela constitue une incitation et un pilier potentiels pour l’intégration régionale, en plus d’être une source de croissance et de diversification économique au sein du pays et de la région. Les principes de protection de l’environnement mis en place ne sont pas, inopportunément les filiations de appui à l’environnement qui pourraient jouer le rôle majeur dans le développement lié à la protection et sauvegarde de la nature ne sont que théoriques (</w:t>
      </w:r>
      <w:r>
        <w:rPr>
          <w:rFonts w:cs="Calibri"/>
          <w:sz w:val="24"/>
          <w:szCs w:val="24"/>
          <w:lang w:val="fr-FR"/>
        </w:rPr>
        <w:t xml:space="preserve">Bonneuil, C. 2006 ; </w:t>
      </w:r>
      <w:r>
        <w:rPr>
          <w:rFonts w:eastAsia="Times New Roman" w:cs="Calibri"/>
          <w:sz w:val="24"/>
          <w:szCs w:val="24"/>
          <w:lang w:val="fr-FR" w:eastAsia="fr-FR"/>
        </w:rPr>
        <w:t xml:space="preserve">Geenen, S. et al., 2011).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Au-delà des conséquences qu’une rente minière ou pétrolière peut avoir sur la gestion d’un État, les effets d’une exploitation de ressources fossiles impactent durablement la </w:t>
      </w:r>
      <w:r>
        <w:rPr>
          <w:rFonts w:eastAsia="Times New Roman" w:cs="Calibri"/>
          <w:sz w:val="24"/>
          <w:szCs w:val="24"/>
          <w:lang w:val="fr-FR" w:eastAsia="fr-FR"/>
        </w:rPr>
        <w:lastRenderedPageBreak/>
        <w:t>structure économique et institutionnelle d’un pays, la qualité de vie des populations concernées, et posent le problème de la diversification économique dès lors que les ressources non renouvelables sont mal gérées et s’épuisent sans avoir engendré un développement local. Des désastres environnementaux peuvent par ailleurs être engendrés, mais ne feront pas ici l’objet d’une analyse en soi. De nombreuses mesures d’atténuation d’impacts sont prévues tant pour les phases de construction et d’exploitation que pour la clôture du projet en vue de réduire au minimum les impacts négatifs du projet sur la biodiversité, malheureusement non praticable en RDC.</w:t>
      </w:r>
      <w:r>
        <w:rPr>
          <w:rFonts w:cs="Calibri"/>
          <w:lang w:val="fr-FR"/>
        </w:rPr>
        <w:t xml:space="preserve"> Il est écrit dans le code que </w:t>
      </w:r>
      <w:r>
        <w:rPr>
          <w:rFonts w:eastAsia="Times New Roman" w:cs="Calibri"/>
          <w:sz w:val="24"/>
          <w:szCs w:val="24"/>
          <w:lang w:val="fr-FR" w:eastAsia="fr-FR"/>
        </w:rPr>
        <w:t xml:space="preserve">l'investisseur assumera tous les coûts durant chacune des années de mise en œuvre d'un Plan de Protection de l'Environnement (PPE), d'un programme de surveillance de l'environnement et d'un programme d'analyse dans le cadre de la mise en œuvre du projet par l’Agence Congolaise de l’environnement.  </w:t>
      </w:r>
    </w:p>
    <w:p w:rsidR="0089405D" w:rsidRDefault="003468E2">
      <w:pPr>
        <w:spacing w:after="0" w:line="312" w:lineRule="auto"/>
        <w:ind w:firstLine="709"/>
        <w:jc w:val="both"/>
        <w:rPr>
          <w:rFonts w:eastAsia="Times New Roman" w:cs="Calibri"/>
          <w:sz w:val="24"/>
          <w:szCs w:val="24"/>
          <w:lang w:val="fr-FR" w:eastAsia="fr-FR"/>
        </w:rPr>
      </w:pPr>
      <w:r>
        <w:rPr>
          <w:rFonts w:cs="Calibri"/>
          <w:sz w:val="24"/>
          <w:szCs w:val="24"/>
          <w:lang w:val="fr-FR"/>
        </w:rPr>
        <w:t xml:space="preserve">La gouvernance en question dans ce papier se focalisera donc sur la gestion des revenus tirés de l’exploitation des ressources extractives, et non sur la gestion environnementale. Il est important de distinguer la gestion des ressources naturelles, qui porte sur les rapports d’une société avec son environnement naturel, et la gouvernance des ressources naturelles, qui examine les structures et les institutions qui régissent ces interactions. Ce mémoire fait donc le choix d’étayer la perspective gouvernementale face aux enjeux spécifiques d’économies soumises aux flux de revenus des ressources exploitées. </w:t>
      </w:r>
      <w:bookmarkStart w:id="973" w:name="_Toc111714485"/>
      <w:bookmarkStart w:id="974" w:name="_Toc73431895"/>
      <w:bookmarkStart w:id="975" w:name="_Toc79393066"/>
      <w:r>
        <w:rPr>
          <w:rFonts w:eastAsia="Times New Roman" w:cs="Calibri"/>
          <w:sz w:val="24"/>
          <w:szCs w:val="24"/>
          <w:lang w:val="fr-FR" w:eastAsia="fr-FR"/>
        </w:rPr>
        <w:t>Des désastres environnementaux peuvent par ailleurs être engendrés, mais ne feront pas ici l’objet d’une analyse en soi.</w:t>
      </w:r>
      <w:bookmarkEnd w:id="973"/>
    </w:p>
    <w:p w:rsidR="0089405D" w:rsidRDefault="0089405D">
      <w:pPr>
        <w:keepNext/>
        <w:keepLines/>
        <w:widowControl w:val="0"/>
        <w:spacing w:after="0" w:line="312" w:lineRule="auto"/>
        <w:jc w:val="both"/>
        <w:outlineLvl w:val="0"/>
        <w:rPr>
          <w:rFonts w:eastAsia="Times New Roman" w:cs="Calibri"/>
          <w:b/>
          <w:sz w:val="24"/>
          <w:szCs w:val="24"/>
          <w:lang w:val="fr-FR" w:eastAsia="fr-FR"/>
        </w:rPr>
      </w:pPr>
    </w:p>
    <w:p w:rsidR="0089405D" w:rsidRDefault="003468E2">
      <w:pPr>
        <w:keepNext/>
        <w:keepLines/>
        <w:widowControl w:val="0"/>
        <w:spacing w:after="0" w:line="312" w:lineRule="auto"/>
        <w:jc w:val="both"/>
        <w:outlineLvl w:val="0"/>
        <w:rPr>
          <w:rFonts w:eastAsia="Times New Roman" w:cs="Calibri"/>
          <w:b/>
          <w:sz w:val="24"/>
          <w:szCs w:val="24"/>
          <w:lang w:val="fr-FR" w:eastAsia="fr-FR"/>
        </w:rPr>
      </w:pPr>
      <w:bookmarkStart w:id="976" w:name="_Toc111888718"/>
      <w:bookmarkStart w:id="977" w:name="_Toc127187295"/>
      <w:bookmarkStart w:id="978" w:name="_Toc127187572"/>
      <w:bookmarkStart w:id="979" w:name="_Toc127432329"/>
      <w:r>
        <w:rPr>
          <w:rFonts w:eastAsia="Times New Roman" w:cs="Calibri"/>
          <w:b/>
          <w:sz w:val="24"/>
          <w:szCs w:val="24"/>
          <w:lang w:val="fr-FR" w:eastAsia="fr-FR"/>
        </w:rPr>
        <w:t>8.2. LES PRINCIPES DE PROTECTION DE L’ENVIRONNEMENT</w:t>
      </w:r>
      <w:bookmarkEnd w:id="974"/>
      <w:bookmarkEnd w:id="975"/>
      <w:r>
        <w:rPr>
          <w:rFonts w:eastAsia="Times New Roman" w:cs="Calibri"/>
          <w:b/>
          <w:sz w:val="24"/>
          <w:szCs w:val="24"/>
          <w:lang w:val="fr-FR" w:eastAsia="fr-FR"/>
        </w:rPr>
        <w:t xml:space="preserve"> POUR UN DEVELOPPEMENT COMMUNAUTAIRE</w:t>
      </w:r>
      <w:bookmarkEnd w:id="976"/>
      <w:bookmarkEnd w:id="977"/>
      <w:bookmarkEnd w:id="978"/>
      <w:bookmarkEnd w:id="979"/>
    </w:p>
    <w:p w:rsidR="0089405D" w:rsidRDefault="0089405D">
      <w:pPr>
        <w:keepNext/>
        <w:keepLines/>
        <w:widowControl w:val="0"/>
        <w:spacing w:after="0" w:line="312" w:lineRule="auto"/>
        <w:jc w:val="both"/>
        <w:outlineLvl w:val="0"/>
        <w:rPr>
          <w:rFonts w:eastAsia="Times New Roman" w:cs="Calibri"/>
          <w:b/>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Une pratique anticonformiste consiste à faire bénéficier immédiatement les communautés affectées de la répartition des avantages monétaires d'un projet d'exploitation minière en établissant un flux de liquidités dédié qui leur va directement et non par l'intermédiaire préalable de l'autorité fiscale centrale.</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Ce flux de revenus est parfois négocié dans le cadre du paquet budgétaire entre le gouvernement national et la société. C'est le cas en Guinée par exemple. Dans ce système, normalement les gouvernements national et provincial peuvent négocier les revenus ciblés sur le développement communautaire avec la société d'exploitation minière au nom de la </w:t>
      </w:r>
      <w:r>
        <w:rPr>
          <w:rFonts w:eastAsia="Times New Roman" w:cs="Calibri"/>
          <w:sz w:val="24"/>
          <w:szCs w:val="24"/>
          <w:lang w:val="fr-FR" w:eastAsia="fr-FR"/>
        </w:rPr>
        <w:lastRenderedPageBreak/>
        <w:t>communauté. Le Code minier révisé en 2018, exige qu'un pour cent du chiffre d'affaires des sociétés minières soit versé dans un fonds de développement local administré au niveau local.</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Dans un système différent, les collectivités peuvent négocier directement avec l'entreprise. C'est le cas au Canada ou en Australie, où les communautés autochtones sont considérées comme étant des nations souveraines. Au Canada, par exemple, Falconbridge, une entreprise minière, a signé ce qu'on appelle une « entente sur les répercussions et les avantages » directement avec la population inuit de Raglan dans le nord du Québec. Au cours des vingt années qui ont suivi, l'entreprise a effectué des paiements directement aux Inuits dans un modèle qui a créé un précédent depuis suivi partout ailleurs, comme par exemple à Quintette dans le Yukon. Un arrangement similaire est en vigueur à la mine d'uranium de Kakadu dans le Territoire du Nord de l'Australie.</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Il est important de bien comprendre que ces exemples décrivent une situation de paiement direct de la société à la communauté, et non pas simplement un mécanisme convenu de partage des revenus allant du gouvernement central aux institutions sous-nationales.</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Souvent Les principes de protection de l’environnement ont joué un rôle majeur dans le développement lié à la protection et sauvegarde de la nature (Banque Mondiale, 1992). Les principes de protection de l’environnement jouent également un rôle important dans le développement des réflexions sur le minier de ce dernier des échelles locale, régionale, nationale et même planétaire (</w:t>
      </w:r>
      <w:r>
        <w:rPr>
          <w:rFonts w:cs="Calibri"/>
          <w:sz w:val="24"/>
          <w:szCs w:val="24"/>
          <w:lang w:val="fr-FR"/>
        </w:rPr>
        <w:t>Halperin J.L</w:t>
      </w:r>
      <w:r>
        <w:rPr>
          <w:rFonts w:cs="Calibri"/>
          <w:i/>
          <w:sz w:val="24"/>
          <w:szCs w:val="24"/>
          <w:lang w:val="fr-FR"/>
        </w:rPr>
        <w:t xml:space="preserve">, </w:t>
      </w:r>
      <w:r>
        <w:rPr>
          <w:rFonts w:cs="Calibri"/>
          <w:sz w:val="24"/>
          <w:szCs w:val="24"/>
          <w:lang w:val="fr-FR"/>
        </w:rPr>
        <w:t xml:space="preserve">2009 ; </w:t>
      </w:r>
      <w:r>
        <w:rPr>
          <w:rFonts w:eastAsia="Times New Roman" w:cs="Calibri"/>
          <w:sz w:val="24"/>
          <w:szCs w:val="24"/>
          <w:lang w:val="fr-FR" w:eastAsia="fr-FR"/>
        </w:rPr>
        <w:t>Geenen, S. et al. 2011</w:t>
      </w:r>
      <w:r>
        <w:rPr>
          <w:rFonts w:cs="Calibri"/>
          <w:sz w:val="24"/>
          <w:szCs w:val="24"/>
          <w:lang w:val="fr-FR"/>
        </w:rPr>
        <w:t xml:space="preserve">). </w:t>
      </w:r>
      <w:r>
        <w:rPr>
          <w:rFonts w:eastAsia="Times New Roman" w:cs="Calibri"/>
          <w:sz w:val="24"/>
          <w:szCs w:val="24"/>
          <w:lang w:val="fr-FR" w:eastAsia="fr-FR"/>
        </w:rPr>
        <w:t>Les mines artisanales sont légion en RDC, dispersées sur l’ensemble du territoire, souvent dans des zones reculées. Les artisans miniers se déplacent facilement, abandonnant régulièrement leurs terres au profit de sites qu’ils viennent de découvrir – ou de redécouvrir les mines sans vraiment causer beaucoup de torts à l’environnement comme le cas de l’exploitation industrielle</w:t>
      </w:r>
      <w:r>
        <w:rPr>
          <w:rFonts w:cs="Calibri"/>
          <w:sz w:val="24"/>
          <w:szCs w:val="24"/>
          <w:lang w:val="fr-FR"/>
        </w:rPr>
        <w:t xml:space="preserve"> (Geenen, S. et al. 2011</w:t>
      </w:r>
      <w:r>
        <w:rPr>
          <w:rFonts w:eastAsia="Times New Roman" w:cs="Calibri"/>
          <w:sz w:val="24"/>
          <w:szCs w:val="24"/>
          <w:lang w:val="fr-FR" w:eastAsia="fr-FR"/>
        </w:rPr>
        <w:t xml:space="preserve">). L’artisanat minier et les exploitations à petite échelle restent une source de revenus centrale pour des centaines de milliers de personnes (OCDE, 2015). </w:t>
      </w: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tab/>
      </w:r>
      <w:r>
        <w:rPr>
          <w:rFonts w:eastAsia="Times New Roman" w:cs="Calibri"/>
          <w:sz w:val="24"/>
          <w:szCs w:val="24"/>
          <w:lang w:val="fr-FR" w:eastAsia="fr-FR"/>
        </w:rPr>
        <w:t xml:space="preserve">Selon la nouvelle loi congolaise sur le secteur minier, un certain nombre de mesures pluripartites ont été prises au niveau local pour renforcer le contrôle du secteur, entre autres principes de prévention des exploitations minières. Tout en sachant que l'étude d'application du principe de prévention des exploitations minières surtout industrielle dans les milieux sous-développés apparaît comme un lieu privilégié pour comprendre l'articulation du droit de l'environnement. </w:t>
      </w:r>
    </w:p>
    <w:p w:rsidR="0089405D" w:rsidRDefault="003468E2">
      <w:pPr>
        <w:spacing w:after="0" w:line="312" w:lineRule="auto"/>
        <w:jc w:val="both"/>
        <w:rPr>
          <w:rFonts w:cs="Calibri"/>
          <w:sz w:val="24"/>
          <w:szCs w:val="24"/>
          <w:lang w:val="fr-FR"/>
        </w:rPr>
      </w:pPr>
      <w:r>
        <w:rPr>
          <w:rFonts w:cs="Calibri"/>
          <w:sz w:val="24"/>
          <w:szCs w:val="24"/>
          <w:lang w:val="fr-FR"/>
        </w:rPr>
        <w:lastRenderedPageBreak/>
        <w:tab/>
      </w:r>
      <w:r>
        <w:rPr>
          <w:rFonts w:eastAsia="Times New Roman" w:cs="Calibri"/>
          <w:sz w:val="24"/>
          <w:szCs w:val="24"/>
          <w:lang w:val="fr-FR" w:eastAsia="fr-FR"/>
        </w:rPr>
        <w:t xml:space="preserve">Dans le nouveau code minier figurent plusieurs obligations pour les entreprises minières qui pourraient bénéficier aux populations locales, sur papier en tout cas. De telles dispositions sont donc considérées par l’Organisation de la Société Civile congolaise comme des avancées positives </w:t>
      </w:r>
      <w:r>
        <w:rPr>
          <w:rFonts w:cs="Calibri"/>
          <w:sz w:val="24"/>
          <w:szCs w:val="24"/>
          <w:lang w:val="fr-FR"/>
        </w:rPr>
        <w:t>(</w:t>
      </w:r>
      <w:r>
        <w:rPr>
          <w:rFonts w:eastAsia="Times New Roman" w:cs="Calibri"/>
          <w:sz w:val="24"/>
          <w:szCs w:val="24"/>
          <w:lang w:val="fr-FR" w:eastAsia="fr-FR"/>
        </w:rPr>
        <w:t xml:space="preserve">Geenen, S. et al. 2011, </w:t>
      </w:r>
      <w:r>
        <w:rPr>
          <w:rFonts w:cs="Calibri"/>
          <w:sz w:val="24"/>
          <w:szCs w:val="24"/>
          <w:lang w:val="fr-FR"/>
        </w:rPr>
        <w:t>Geenen, S. &amp; Kamundala, G., 2009</w:t>
      </w:r>
      <w:r>
        <w:rPr>
          <w:rFonts w:eastAsia="Times New Roman" w:cs="Calibri"/>
          <w:sz w:val="24"/>
          <w:szCs w:val="24"/>
          <w:lang w:val="fr-FR" w:eastAsia="fr-FR"/>
        </w:rPr>
        <w:t>). Parmi elles, la redevance minière que toute entreprise devrait reverser passe de 2 % à 3,5 % de la valeur commerciale brute pour les métaux non-ferreux, les métaux de base et les métaux précieux, et à 10% pour les minerais dits « stratégiques » (c’est-à-dire des minerais qui présentent un intérêt particulier au regard du contexte géostratégique</w:t>
      </w:r>
      <w:r>
        <w:rPr>
          <w:rFonts w:cs="Calibri"/>
          <w:sz w:val="24"/>
          <w:szCs w:val="24"/>
          <w:vertAlign w:val="superscript"/>
          <w:lang w:val="fr-FR" w:eastAsia="fr-FR"/>
        </w:rPr>
        <w:footnoteReference w:id="75"/>
      </w:r>
      <w:r>
        <w:rPr>
          <w:rFonts w:eastAsia="Times New Roman" w:cs="Calibri"/>
          <w:sz w:val="24"/>
          <w:szCs w:val="24"/>
          <w:lang w:val="fr-FR" w:eastAsia="fr-FR"/>
        </w:rPr>
        <w:t>. De cette redevance minière, 50 % seraient reversés à l’Etat congolais, 25% à la province d’où provient le minerai en question, 10 % à un « Fonds minier pour les générations futures » et 15 % aux populations locales de la zone productrice, en passant par les entités territoriales décentralisées (sous-entités des provinces).</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En outre, les entreprises minières devraient contribuer à hauteur de 0,3% de leur chiffre d’affaires à une dotation pour le développement des communautés locales ou « dotation pour le développement communautaire », même si de nombreuses incertitudes subsistent quant à comment seraient créés de tels fonds et comment ils seraient gérés. De plus, les entreprises devraient élaborer des « cahiers des charges - ce qui n’est pas le cas pour Liambe » en consultation avec les communautés locales.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 code minier comprend également le principe d’une compensation par l’entreprise pour les délocalisations des communautés locales, l’obligation d’avoir un certificat environnemental (et non plus un avis environnemental) pour recevoir un permis d’exploitation minière, et de nombreuses autres dispositions considérées positives par les organisations de la Société Civile congolaise.</w:t>
      </w:r>
    </w:p>
    <w:p w:rsidR="0089405D" w:rsidRDefault="0089405D">
      <w:pPr>
        <w:spacing w:after="0" w:line="312" w:lineRule="auto"/>
        <w:jc w:val="both"/>
        <w:rPr>
          <w:rFonts w:cs="Calibri"/>
          <w:b/>
          <w:sz w:val="24"/>
          <w:szCs w:val="24"/>
          <w:highlight w:val="magenta"/>
          <w:lang w:val="fr-FR"/>
        </w:rPr>
      </w:pPr>
    </w:p>
    <w:p w:rsidR="0089405D" w:rsidRDefault="003468E2">
      <w:pPr>
        <w:keepNext/>
        <w:keepLines/>
        <w:widowControl w:val="0"/>
        <w:spacing w:after="0" w:line="312" w:lineRule="auto"/>
        <w:outlineLvl w:val="0"/>
        <w:rPr>
          <w:rFonts w:cs="Calibri"/>
          <w:b/>
          <w:sz w:val="24"/>
          <w:szCs w:val="24"/>
          <w:lang w:val="fr-FR"/>
        </w:rPr>
      </w:pPr>
      <w:bookmarkStart w:id="980" w:name="_Toc71470322"/>
      <w:bookmarkStart w:id="981" w:name="_Toc73431896"/>
      <w:bookmarkStart w:id="982" w:name="_Toc79393067"/>
      <w:bookmarkStart w:id="983" w:name="_Toc111888719"/>
      <w:bookmarkStart w:id="984" w:name="_Toc127187296"/>
      <w:bookmarkStart w:id="985" w:name="_Toc127187573"/>
      <w:bookmarkStart w:id="986" w:name="_Toc127432330"/>
      <w:r>
        <w:rPr>
          <w:rFonts w:cs="Calibri"/>
          <w:b/>
          <w:sz w:val="24"/>
          <w:szCs w:val="24"/>
          <w:lang w:val="fr-FR"/>
        </w:rPr>
        <w:lastRenderedPageBreak/>
        <w:t>8.2.1. PILIERS DU DEVELOPPEMENT DURABLE</w:t>
      </w:r>
      <w:bookmarkEnd w:id="980"/>
      <w:bookmarkEnd w:id="981"/>
      <w:bookmarkEnd w:id="982"/>
      <w:bookmarkEnd w:id="983"/>
      <w:bookmarkEnd w:id="984"/>
      <w:bookmarkEnd w:id="985"/>
      <w:bookmarkEnd w:id="986"/>
      <w:r>
        <w:rPr>
          <w:rFonts w:cs="Calibri"/>
          <w:b/>
          <w:sz w:val="24"/>
          <w:szCs w:val="24"/>
          <w:lang w:val="fr-FR"/>
        </w:rPr>
        <w:t xml:space="preserve"> </w:t>
      </w:r>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Le développement durable recherche un équilibre entre le respect de l'environnement, le progrès social et l'efficacité économique. Travailler dans une perspective de développement durable implique de prendre systématiquement en compte ces trois aspects dans toute décision ou phase de développement d'un projet (OCDE, 2015). Cette perspective s'inscrit dans le long terme et induit une collaboration avec les parties prenantes de la structure concernée et de son activité (ceux qui influencent ou qui sont influencés par ces dernières):</w:t>
      </w:r>
    </w:p>
    <w:p w:rsidR="0089405D" w:rsidRDefault="0089405D">
      <w:pPr>
        <w:spacing w:after="0" w:line="312" w:lineRule="auto"/>
        <w:jc w:val="both"/>
        <w:rPr>
          <w:rFonts w:cs="Calibri"/>
          <w:sz w:val="24"/>
          <w:szCs w:val="24"/>
          <w:highlight w:val="magenta"/>
          <w:lang w:val="fr-FR"/>
        </w:rPr>
      </w:pPr>
    </w:p>
    <w:p w:rsidR="0089405D" w:rsidRDefault="003468E2">
      <w:pPr>
        <w:spacing w:after="0" w:line="312" w:lineRule="auto"/>
        <w:jc w:val="both"/>
        <w:rPr>
          <w:rFonts w:cs="Calibri"/>
          <w:b/>
          <w:sz w:val="24"/>
          <w:szCs w:val="24"/>
          <w:lang w:val="fr-FR"/>
        </w:rPr>
      </w:pPr>
      <w:r>
        <w:rPr>
          <w:rFonts w:cs="Calibri"/>
          <w:b/>
          <w:sz w:val="24"/>
          <w:szCs w:val="24"/>
          <w:lang w:val="fr-FR"/>
        </w:rPr>
        <w:t xml:space="preserve">8.2.1.1. Respect de l'environnement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 Pour assurer le bien-être de la planète et de ses habitants, il est nécessaire de repenser les modèles économiques et sociaux. Face à ces nouveaux défis, les sociétés civiles à travers le monde et les gouvernements ont décidé d’agir pour contrôler et limiter le défi environnemental. Le XXIème siècle se trouve dans une phase de transition écologique qui représente une période d’adaptation pour un passage vers une société plus verte notamment par l’utilisation d’énergie renouvelable, une redéfinition de la consommation et une réduction des déchets. Au-delà des modifications structurelles à effectuer, la transition écologique est responsable de conflits de plus en plus récurrents. Appelés conflits environnementaux, leur présence est aujourd’hui croissante dans le monde et touche toutes les populations.</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Dans le cas de conflit lié à l’exploitation minière, les entreprises doivent réduire l'impact de leurs activités sur l'environnement, et veiller à préserver au maximum les ressources afin d'en garantir l'accès aux générations futures. La conservation et la gestion des ressources passent par la gestion durable des ressources naturelles (Ballet, 2007), le maintien des grands équilibres écologiques (climat, biodiversité, océans, forêts, etc.), la réduction des risques et la prévention des impacts environnementaux. </w:t>
      </w:r>
    </w:p>
    <w:p w:rsidR="0089405D" w:rsidRDefault="0089405D">
      <w:pPr>
        <w:spacing w:after="0" w:line="312" w:lineRule="auto"/>
        <w:rPr>
          <w:rFonts w:cs="Calibri"/>
          <w:sz w:val="24"/>
          <w:szCs w:val="24"/>
          <w:highlight w:val="magenta"/>
          <w:lang w:val="fr-FR"/>
        </w:rPr>
      </w:pPr>
    </w:p>
    <w:p w:rsidR="0089405D" w:rsidRDefault="003468E2">
      <w:pPr>
        <w:spacing w:after="0" w:line="312" w:lineRule="auto"/>
        <w:jc w:val="both"/>
        <w:rPr>
          <w:rFonts w:cs="Calibri"/>
          <w:b/>
          <w:sz w:val="24"/>
          <w:szCs w:val="24"/>
          <w:lang w:val="fr-FR"/>
        </w:rPr>
      </w:pPr>
      <w:r>
        <w:rPr>
          <w:rFonts w:cs="Calibri"/>
          <w:b/>
          <w:sz w:val="24"/>
          <w:szCs w:val="24"/>
          <w:lang w:val="fr-FR"/>
        </w:rPr>
        <w:t xml:space="preserve">8.2.1.2. Progress social </w:t>
      </w:r>
    </w:p>
    <w:p w:rsidR="0089405D" w:rsidRDefault="003468E2">
      <w:pPr>
        <w:spacing w:after="0" w:line="312" w:lineRule="auto"/>
        <w:ind w:firstLine="708"/>
        <w:jc w:val="both"/>
        <w:rPr>
          <w:rFonts w:cs="Calibri"/>
          <w:sz w:val="24"/>
          <w:szCs w:val="24"/>
          <w:lang w:val="fr-FR"/>
        </w:rPr>
      </w:pPr>
      <w:r>
        <w:rPr>
          <w:rFonts w:cs="Calibri"/>
          <w:sz w:val="24"/>
          <w:szCs w:val="24"/>
          <w:lang w:val="fr-FR"/>
        </w:rPr>
        <w:t>L'entreprise doit pouvoir satisfaire au mieux les attentes des parties prenantes. Elle doit viser à appréhender globalement les questions de santé et de culture en favorisant la participation de tous les groupes sociaux à la construction d'un nouveau mode de développement afin de satisfaire les besoins essentiels des populations, lutter contre l'exclusion et la pauvreté, réduire les inégalités et respecter les cultures (Ballet, J., 2007).</w:t>
      </w:r>
    </w:p>
    <w:p w:rsidR="0089405D" w:rsidRDefault="003468E2">
      <w:pPr>
        <w:spacing w:after="0" w:line="312" w:lineRule="auto"/>
        <w:jc w:val="both"/>
        <w:rPr>
          <w:rFonts w:cs="Calibri"/>
          <w:b/>
          <w:sz w:val="24"/>
          <w:szCs w:val="24"/>
          <w:lang w:val="fr-FR"/>
        </w:rPr>
      </w:pPr>
      <w:r>
        <w:rPr>
          <w:rFonts w:cs="Calibri"/>
          <w:b/>
          <w:sz w:val="24"/>
          <w:szCs w:val="24"/>
          <w:lang w:val="fr-FR"/>
        </w:rPr>
        <w:lastRenderedPageBreak/>
        <w:t xml:space="preserve">8.2.1.3. Efficacité économique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 rapport de la Commission mondiale sur l'environnement et le développement considère le pilier économique du développement durable comme fondamental : «Pour répondre aux besoins essentiels, il faut réaliser tout le potentiel de croissance ; le développement durable nécessite de toute évidence la croissance économique là où ces besoins ne sont pas satisfaits» (Canivet G. et al., 2006). Les entreprises doivent développer la croissance et l'efficacité économique, à travers des modes de production et de consommation durables, tout en s'assurant que cette croissance ne va pas se faire au détriment de l'environnement et de la société. Pour ce faire, il faut disposer d'un modèle économique durable qui assure une répartition équitable des ressources. </w:t>
      </w:r>
    </w:p>
    <w:p w:rsidR="0089405D" w:rsidRDefault="0089405D">
      <w:pPr>
        <w:keepNext/>
        <w:keepLines/>
        <w:widowControl w:val="0"/>
        <w:spacing w:after="0" w:line="312" w:lineRule="auto"/>
        <w:jc w:val="both"/>
        <w:outlineLvl w:val="0"/>
        <w:rPr>
          <w:rFonts w:eastAsia="Times New Roman" w:cs="Calibri"/>
          <w:b/>
          <w:sz w:val="24"/>
          <w:szCs w:val="24"/>
          <w:lang w:val="fr-FR" w:eastAsia="fr-FR"/>
        </w:rPr>
      </w:pPr>
      <w:bookmarkStart w:id="987" w:name="_Toc59458315"/>
      <w:bookmarkStart w:id="988" w:name="_Toc71470324"/>
      <w:bookmarkStart w:id="989" w:name="_Toc73431897"/>
      <w:bookmarkStart w:id="990" w:name="_Toc79393068"/>
      <w:bookmarkStart w:id="991" w:name="_Toc111888720"/>
      <w:bookmarkStart w:id="992" w:name="_Toc127187297"/>
      <w:bookmarkStart w:id="993" w:name="_Toc127187574"/>
      <w:bookmarkStart w:id="994" w:name="_Toc127432331"/>
      <w:bookmarkStart w:id="995" w:name="_Toc71470323"/>
    </w:p>
    <w:p w:rsidR="0089405D" w:rsidRDefault="003468E2">
      <w:pPr>
        <w:keepNext/>
        <w:keepLines/>
        <w:widowControl w:val="0"/>
        <w:spacing w:after="0" w:line="312" w:lineRule="auto"/>
        <w:jc w:val="both"/>
        <w:outlineLvl w:val="0"/>
        <w:rPr>
          <w:rFonts w:cs="Calibri"/>
          <w:sz w:val="24"/>
          <w:szCs w:val="24"/>
          <w:lang w:val="fr-FR"/>
        </w:rPr>
      </w:pPr>
      <w:r>
        <w:rPr>
          <w:rFonts w:eastAsia="Times New Roman" w:cs="Calibri"/>
          <w:b/>
          <w:sz w:val="24"/>
          <w:szCs w:val="24"/>
          <w:lang w:val="fr-FR" w:eastAsia="fr-FR"/>
        </w:rPr>
        <w:t>8.3. LA</w:t>
      </w:r>
      <w:bookmarkEnd w:id="987"/>
      <w:r>
        <w:rPr>
          <w:rFonts w:eastAsia="Times New Roman" w:cs="Calibri"/>
          <w:b/>
          <w:sz w:val="24"/>
          <w:szCs w:val="24"/>
          <w:lang w:val="fr-FR" w:eastAsia="fr-FR"/>
        </w:rPr>
        <w:t xml:space="preserve"> CONSECRATION DU PRINCIPE DE PREVENTION : NOTRE PRINCIPE IDEOLOGIQUE</w:t>
      </w:r>
      <w:bookmarkEnd w:id="988"/>
      <w:bookmarkEnd w:id="989"/>
      <w:bookmarkEnd w:id="990"/>
      <w:bookmarkEnd w:id="991"/>
      <w:bookmarkEnd w:id="992"/>
      <w:bookmarkEnd w:id="993"/>
      <w:bookmarkEnd w:id="994"/>
    </w:p>
    <w:p w:rsidR="0089405D" w:rsidRDefault="003468E2">
      <w:pPr>
        <w:spacing w:after="0" w:line="312" w:lineRule="auto"/>
        <w:jc w:val="both"/>
        <w:rPr>
          <w:rFonts w:cs="Calibri"/>
          <w:sz w:val="24"/>
          <w:szCs w:val="24"/>
          <w:lang w:val="fr-FR"/>
        </w:rPr>
      </w:pPr>
      <w:r>
        <w:rPr>
          <w:rFonts w:cs="Calibri"/>
          <w:sz w:val="24"/>
          <w:szCs w:val="24"/>
          <w:lang w:val="fr-FR"/>
        </w:rPr>
        <w:tab/>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Le principe de prévention n'est pas expressément consacré par les instruments internationaux. On le trouve sous une autre forme dans la conférence de Rio à son principe 2 : " </w:t>
      </w:r>
      <w:r>
        <w:rPr>
          <w:rFonts w:eastAsia="Times New Roman" w:cs="Calibri"/>
          <w:i/>
          <w:sz w:val="24"/>
          <w:szCs w:val="24"/>
          <w:lang w:val="fr-FR" w:eastAsia="fr-FR"/>
        </w:rPr>
        <w:t xml:space="preserve">conformément à la charte des Nations unies et aux principes du droit international, les Etats ont le droit souverain d'exploiter leurs propres ressources selon leur politique d'environnement et le développement et. Ils ont le devoir de faire en sorte que les activités exercées dans les limites de leur juridiction ou sous leur contrôle ne causent pas de dommages à l'environnement dans d'autres Etats ou dans des zones ne relevant d'aucune juridiction nationale ». </w:t>
      </w:r>
      <w:r>
        <w:rPr>
          <w:rFonts w:eastAsia="Times New Roman" w:cs="Calibri"/>
          <w:sz w:val="24"/>
          <w:szCs w:val="24"/>
          <w:lang w:val="fr-FR" w:eastAsia="fr-FR"/>
        </w:rPr>
        <w:t xml:space="preserve">Dès lors, la prévention suppose la connaissance du risque : on ne saurait prévenir ce que l'on ne connaît pas. </w:t>
      </w:r>
    </w:p>
    <w:p w:rsidR="0089405D" w:rsidRDefault="0089405D">
      <w:pPr>
        <w:spacing w:after="0" w:line="312" w:lineRule="auto"/>
        <w:jc w:val="both"/>
        <w:rPr>
          <w:rFonts w:eastAsia="Times New Roman" w:cs="Calibri"/>
          <w:sz w:val="24"/>
          <w:szCs w:val="24"/>
          <w:lang w:val="fr-FR" w:eastAsia="fr-FR"/>
        </w:rPr>
      </w:pPr>
    </w:p>
    <w:p w:rsidR="0089405D" w:rsidRDefault="003468E2">
      <w:pPr>
        <w:keepNext/>
        <w:keepLines/>
        <w:widowControl w:val="0"/>
        <w:spacing w:after="0" w:line="312" w:lineRule="auto"/>
        <w:outlineLvl w:val="0"/>
        <w:rPr>
          <w:rFonts w:cs="Calibri"/>
          <w:sz w:val="24"/>
          <w:szCs w:val="24"/>
          <w:lang w:val="fr-FR"/>
        </w:rPr>
      </w:pPr>
      <w:bookmarkStart w:id="996" w:name="_Toc71470325"/>
      <w:bookmarkStart w:id="997" w:name="_Toc73431898"/>
      <w:bookmarkStart w:id="998" w:name="_Toc79393069"/>
      <w:bookmarkStart w:id="999" w:name="_Toc111888721"/>
      <w:bookmarkStart w:id="1000" w:name="_Toc127187298"/>
      <w:bookmarkStart w:id="1001" w:name="_Toc127187575"/>
      <w:bookmarkStart w:id="1002" w:name="_Toc127432332"/>
      <w:r>
        <w:rPr>
          <w:rFonts w:eastAsia="Times New Roman" w:cs="Calibri"/>
          <w:b/>
          <w:sz w:val="24"/>
          <w:szCs w:val="24"/>
          <w:lang w:val="fr-FR" w:eastAsia="fr-FR"/>
        </w:rPr>
        <w:t>8.3.1. MISE EN ŒUVRE D'ACTIONS</w:t>
      </w:r>
      <w:r>
        <w:rPr>
          <w:rFonts w:cs="Calibri"/>
          <w:sz w:val="24"/>
          <w:szCs w:val="24"/>
          <w:lang w:val="fr-FR"/>
        </w:rPr>
        <w:t xml:space="preserve"> </w:t>
      </w:r>
      <w:r>
        <w:rPr>
          <w:rFonts w:eastAsia="Times New Roman" w:cs="Calibri"/>
          <w:b/>
          <w:sz w:val="24"/>
          <w:szCs w:val="24"/>
          <w:lang w:val="fr-FR" w:eastAsia="fr-FR"/>
        </w:rPr>
        <w:t>DU PRINCIPE DE PREVENTION</w:t>
      </w:r>
      <w:bookmarkEnd w:id="996"/>
      <w:bookmarkEnd w:id="997"/>
      <w:bookmarkEnd w:id="998"/>
      <w:bookmarkEnd w:id="999"/>
      <w:bookmarkEnd w:id="1000"/>
      <w:bookmarkEnd w:id="1001"/>
      <w:bookmarkEnd w:id="1002"/>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Les études d’impacts environnemental et social et les procédures de gestion ont beaucoup changé au cours de ces dernières années; il existe désormais des normes internationales bien connues qui offrent une orientation pour résoudre ces questions de manière proactive. Les droits des peuples autochtones et les implications du secteur des IE sur l’égalité entre les sexes ont besoin d’être analysés avec minutie et reconnus pour atténuer les impacts potentiels</w:t>
      </w:r>
      <w:r>
        <w:rPr>
          <w:rFonts w:cs="Calibri"/>
          <w:sz w:val="24"/>
          <w:szCs w:val="24"/>
          <w:vertAlign w:val="superscript"/>
          <w:lang w:val="fr-FR" w:eastAsia="fr-FR"/>
        </w:rPr>
        <w:footnoteReference w:id="76"/>
      </w:r>
      <w:r>
        <w:rPr>
          <w:rFonts w:eastAsia="Times New Roman" w:cs="Calibri"/>
          <w:sz w:val="24"/>
          <w:szCs w:val="24"/>
          <w:lang w:val="fr-FR" w:eastAsia="fr-FR"/>
        </w:rPr>
        <w:t xml:space="preserve">. La stratégie de prévention des conflits à long terme de ce secteur </w:t>
      </w:r>
      <w:r>
        <w:rPr>
          <w:rFonts w:eastAsia="Times New Roman" w:cs="Calibri"/>
          <w:sz w:val="24"/>
          <w:szCs w:val="24"/>
          <w:lang w:val="fr-FR" w:eastAsia="fr-FR"/>
        </w:rPr>
        <w:lastRenderedPageBreak/>
        <w:t>consiste en partie à garantir qu’il devient une base à la création d’emplois et au développement économique au profit des populations locales pour l’atténuation des impacts économiques, sociaux, environnementaux et sexospécifiques sauvent négatifs.</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 xml:space="preserve">L’étude implique la mise en œuvre des actions parmi lesquelles les études d'impact l'environnemental subséquent à une analyse d’impact socio-environnemental (Banque Mondiale, 1992b). Ces derniers constituent non seulement un outil pour la quête du développement durable mais désormais une obligation pour toute demande d'autorisation de réalisation d'un projet susceptible de porter atteinte directement ou indirectement à l'environnement et à la population locale. En effet, il ne manque pas des normes en matière de protection de l'environnement contre les pollutions dues à l'exploitation minière en RDC. Le problème qui se pose est au contraire celui de l'application de ces normes (Dmoergue,  C.  &amp;  Mpoyi  M.,  2012). Les normes environnementales ne sont pratiquement pas appliquées en RDC. </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 xml:space="preserve">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Ce laxisme et ce caractère tabou du sujet de la pollution minière sont en outre favorisés par la mauvaise perception des questions environnementales non seulement par les autorités politiques elles-mêmes, mais aussi par l'opinion publique. Parler de la pollution de l'environnement en RDC est encore une abstraction ou même une vue de l'esprit, car la dégradation de l'environnement n'y est pas encore très perceptible aux yeux du public, sauf quelques esprits éveillés et ce malgré la dégradation accélérée dans les zones minières</w:t>
      </w:r>
      <w:r>
        <w:rPr>
          <w:rFonts w:cs="Calibri"/>
          <w:sz w:val="24"/>
          <w:szCs w:val="24"/>
          <w:lang w:val="fr-FR"/>
        </w:rPr>
        <w:t xml:space="preserve"> (Sadeleer, N., 1994;  </w:t>
      </w:r>
      <w:r>
        <w:rPr>
          <w:rFonts w:eastAsia="Times New Roman" w:cs="Calibri"/>
          <w:sz w:val="24"/>
          <w:szCs w:val="24"/>
          <w:lang w:val="fr-FR" w:eastAsia="fr-FR"/>
        </w:rPr>
        <w:t xml:space="preserve">Kombo, M., 2007). Le principe de prévention se traduit de plusieurs manières par : </w:t>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jc w:val="both"/>
        <w:rPr>
          <w:rFonts w:cs="Calibri"/>
          <w:sz w:val="24"/>
          <w:szCs w:val="24"/>
          <w:lang w:val="fr-FR"/>
        </w:rPr>
      </w:pPr>
      <w:r>
        <w:rPr>
          <w:rFonts w:eastAsia="Times New Roman" w:cs="Calibri"/>
          <w:b/>
          <w:i/>
          <w:sz w:val="24"/>
          <w:szCs w:val="24"/>
          <w:lang w:val="fr-FR" w:eastAsia="fr-FR"/>
        </w:rPr>
        <w:t xml:space="preserve">- l'interdiction : </w:t>
      </w:r>
      <w:r>
        <w:rPr>
          <w:rFonts w:eastAsia="Times New Roman" w:cs="Calibri"/>
          <w:sz w:val="24"/>
          <w:szCs w:val="24"/>
          <w:lang w:val="fr-FR" w:eastAsia="fr-FR"/>
        </w:rPr>
        <w:t>C’est la mise sur le marché de telle ou telle substance ou produit et ou l’interdiction d'implanter ou d'exploiter une telle substance (par exemples 1: une décharge de déchet de minerais, 2. La délivrance d'une autorisation d'implanter et d'exploiter un centre d'enfouissement technique, d'une usine de traitement des minerais avec des effets radioactifs, d'accueillir tel ou tel déchet.</w:t>
      </w:r>
    </w:p>
    <w:p w:rsidR="0089405D" w:rsidRDefault="003468E2">
      <w:pPr>
        <w:spacing w:after="0" w:line="312" w:lineRule="auto"/>
        <w:jc w:val="both"/>
        <w:rPr>
          <w:rFonts w:cs="Calibri"/>
          <w:sz w:val="24"/>
          <w:szCs w:val="24"/>
          <w:lang w:val="fr-FR"/>
        </w:rPr>
      </w:pPr>
      <w:r>
        <w:rPr>
          <w:rFonts w:eastAsia="Times New Roman" w:cs="Calibri"/>
          <w:b/>
          <w:i/>
          <w:sz w:val="24"/>
          <w:szCs w:val="24"/>
          <w:lang w:val="fr-FR" w:eastAsia="fr-FR"/>
        </w:rPr>
        <w:t xml:space="preserve">- la maîtrise de l'activité dommageable : </w:t>
      </w:r>
      <w:r>
        <w:rPr>
          <w:rFonts w:eastAsia="Times New Roman" w:cs="Calibri"/>
          <w:sz w:val="24"/>
          <w:szCs w:val="24"/>
          <w:lang w:val="fr-FR" w:eastAsia="fr-FR"/>
        </w:rPr>
        <w:t xml:space="preserve">Le principe de prévention est le plus souvent traduit par des mesures qui permettent de maîtriser l'activité dommageable. Il s'agit d'une approche raisonnable et conciliatrice d'intérêts divergents. L'on peut autoriser des activités pour des </w:t>
      </w:r>
      <w:r>
        <w:rPr>
          <w:rFonts w:eastAsia="Times New Roman" w:cs="Calibri"/>
          <w:sz w:val="24"/>
          <w:szCs w:val="24"/>
          <w:lang w:val="fr-FR" w:eastAsia="fr-FR"/>
        </w:rPr>
        <w:lastRenderedPageBreak/>
        <w:t>raisons économiques et sociales, mais il faudra les limiter d'où l'étude d’impact. C'est notamment en se fondant sur la capacité d'auto purification des écosystèmes que l'on interprète le principe de prévention. Certains estiment en effet que la solution à la contamination, la dilution, ne peut atteindre les rejets de substances polluantes à un niveau zéro, mais il faut que le niveau de rejet autorisé soit fonction de la capacité du milieu à l'absorber</w:t>
      </w:r>
    </w:p>
    <w:p w:rsidR="0089405D" w:rsidRDefault="003468E2">
      <w:pPr>
        <w:spacing w:after="0" w:line="312" w:lineRule="auto"/>
        <w:jc w:val="both"/>
        <w:rPr>
          <w:rFonts w:eastAsia="Times New Roman" w:cs="Calibri"/>
          <w:sz w:val="24"/>
          <w:szCs w:val="24"/>
          <w:lang w:val="fr-FR" w:eastAsia="fr-FR"/>
        </w:rPr>
      </w:pPr>
      <w:r>
        <w:rPr>
          <w:rFonts w:eastAsia="Times New Roman" w:cs="Calibri"/>
          <w:b/>
          <w:i/>
          <w:sz w:val="24"/>
          <w:szCs w:val="24"/>
          <w:lang w:val="fr-FR" w:eastAsia="fr-FR"/>
        </w:rPr>
        <w:t xml:space="preserve">- L'information : </w:t>
      </w:r>
      <w:r>
        <w:rPr>
          <w:rFonts w:eastAsia="Times New Roman" w:cs="Calibri"/>
          <w:sz w:val="24"/>
          <w:szCs w:val="24"/>
          <w:lang w:val="fr-FR" w:eastAsia="fr-FR"/>
        </w:rPr>
        <w:t xml:space="preserve">Comme on ne peut prévenir que ce qu’on connaît, il faut augmenter les investigations en vue d'avoir une meilleure information de l'impact environnemental envisagé, c’est même l’un des objectif de l’ouvrage. Cela conduit à des évaluations avant d'autoriser un projet, comme l'illustre le mécanisme de l'évaluation préalable des incidences qu'un projet peut avoir sur l'environnement (voir les études d'impact environnemental). Il en va de même du mécanisme de l'étude de risque qui tend à se généraliser dans des usages particulièrement sensibles comme celui de la pollution de la terre. Les enquêtes peuvent également s'opérer à posteriori comme le cas de Liambe. Cela peut se faire sous forme de suivi de l'activité par un système d'audit, de contrôle de surveillance, de monitoring, etc. </w:t>
      </w:r>
    </w:p>
    <w:p w:rsidR="0089405D" w:rsidRDefault="003468E2">
      <w:pPr>
        <w:spacing w:after="0" w:line="312" w:lineRule="auto"/>
        <w:jc w:val="both"/>
        <w:rPr>
          <w:rFonts w:cs="Calibri"/>
          <w:sz w:val="24"/>
          <w:szCs w:val="24"/>
          <w:lang w:val="fr-FR"/>
        </w:rPr>
      </w:pPr>
      <w:r>
        <w:rPr>
          <w:rFonts w:eastAsia="Times New Roman" w:cs="Calibri"/>
          <w:b/>
          <w:i/>
          <w:sz w:val="24"/>
          <w:szCs w:val="24"/>
          <w:lang w:val="fr-FR" w:eastAsia="fr-FR"/>
        </w:rPr>
        <w:t xml:space="preserve">- L'incitation : </w:t>
      </w:r>
      <w:r>
        <w:rPr>
          <w:rFonts w:eastAsia="Times New Roman" w:cs="Calibri"/>
          <w:sz w:val="24"/>
          <w:szCs w:val="24"/>
          <w:lang w:val="fr-FR" w:eastAsia="fr-FR"/>
        </w:rPr>
        <w:t>On peut introduire le principe de prévention par des mécanismes qui inciteront le potentiellement pollueur à prendre des mesures préventives. En ce qui concerne les incitants directs, ils prennent la forme d'aide publique à une politique de prévention. En termes d'incitant indirect, on peut citer l'exemple de la généralisation de mécanismes comme celui de la responsabilité objective qui devrait normalement inciter à charge de qui cette responsabilité est démise à prendre toute mesure préventive pour éviter condamnation.</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Pour le cas sous examen, la responsabilité civile revient aux natifs de Basoko. Ces derniers ont eu le courage de renforcer et sensibiliser le peuple de Basoko, de la Tshopo sur la gestion écologique rationnelle des richesses naturelles et de l’environnement socio-économique et naturel. En se référant à la législation environnementale de la RDC, il convient d’examiner certaines dispositions de la loi minière répondant aux normes édictées par la règlementation en vigueur en RDC. </w:t>
      </w:r>
      <w:r>
        <w:rPr>
          <w:rFonts w:eastAsia="Times New Roman" w:cs="Calibri"/>
          <w:b/>
          <w:sz w:val="24"/>
          <w:szCs w:val="24"/>
          <w:lang w:val="fr-FR" w:eastAsia="fr-FR"/>
        </w:rPr>
        <w:t xml:space="preserve">L’article 33, alinéa 2 du Code Minier stipule </w:t>
      </w:r>
      <w:r>
        <w:rPr>
          <w:rFonts w:eastAsia="Times New Roman" w:cs="Calibri"/>
          <w:sz w:val="24"/>
          <w:szCs w:val="24"/>
          <w:lang w:val="fr-FR" w:eastAsia="fr-FR"/>
        </w:rPr>
        <w:t xml:space="preserve">: « </w:t>
      </w:r>
      <w:r>
        <w:rPr>
          <w:rFonts w:eastAsia="Times New Roman" w:cs="Calibri"/>
          <w:i/>
          <w:sz w:val="24"/>
          <w:szCs w:val="24"/>
          <w:lang w:val="fr-FR" w:eastAsia="fr-FR"/>
        </w:rPr>
        <w:t>Dans ce cas le Ministre de tutelle réserve, par Arrêté, les droits miniers sur le gisement à l’appel d’offre. Avant de réserver des autorisations des carrières par l’appel d’offres, ce Ministre consulte son homologue au niveau provincial et la communauté locale concernée, dans le cadre d’une commission de consultation, dont les modalités sont fixées par la voie règlementaire.</w:t>
      </w:r>
      <w:r>
        <w:rPr>
          <w:rFonts w:eastAsia="Times New Roman" w:cs="Calibri"/>
          <w:sz w:val="24"/>
          <w:szCs w:val="24"/>
          <w:lang w:val="fr-FR" w:eastAsia="fr-FR"/>
        </w:rPr>
        <w:t xml:space="preserve"> »</w:t>
      </w:r>
    </w:p>
    <w:p w:rsidR="0089405D" w:rsidRDefault="0089405D">
      <w:pPr>
        <w:spacing w:after="0" w:line="312" w:lineRule="auto"/>
        <w:jc w:val="both"/>
        <w:rPr>
          <w:rFonts w:cs="Calibri"/>
          <w:sz w:val="24"/>
          <w:szCs w:val="24"/>
          <w:lang w:val="fr-FR"/>
        </w:rPr>
      </w:pP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eastAsia="Times New Roman" w:cs="Calibri"/>
          <w:sz w:val="24"/>
          <w:szCs w:val="24"/>
          <w:lang w:val="fr-FR" w:eastAsia="fr-FR"/>
        </w:rPr>
      </w:pPr>
      <w:r>
        <w:rPr>
          <w:rFonts w:cs="Calibri"/>
          <w:sz w:val="24"/>
          <w:szCs w:val="24"/>
          <w:lang w:val="fr-FR"/>
        </w:rPr>
        <w:lastRenderedPageBreak/>
        <w:tab/>
      </w:r>
      <w:r>
        <w:rPr>
          <w:rFonts w:eastAsia="Times New Roman" w:cs="Calibri"/>
          <w:sz w:val="24"/>
          <w:szCs w:val="24"/>
          <w:lang w:val="fr-FR" w:eastAsia="fr-FR"/>
        </w:rPr>
        <w:t>De l’analyse de cette disposition, le législateur veut qu’avant toute autorisation à l’entreprise retenue par l’appel d’offre, que le Ministre Provincial des Mines, ainsi que la communauté locale entreprennent des consultations préalables, dans le seul but de fixer à celle-ci le bien fondé de ladite exploitation.  Mais pour le cas sous examen, il s’avère que la communauté locale a été surprise de voir l’entreprise se munir des drags pour l’exploitation sans le respect du préalable.</w:t>
      </w:r>
      <w:r>
        <w:rPr>
          <w:rFonts w:eastAsia="Times New Roman" w:cs="Calibri"/>
          <w:b/>
          <w:sz w:val="24"/>
          <w:szCs w:val="24"/>
          <w:lang w:val="fr-FR" w:eastAsia="fr-FR"/>
        </w:rPr>
        <w:t xml:space="preserve">  L’article 52 du même Code stipule que </w:t>
      </w:r>
      <w:r>
        <w:rPr>
          <w:rFonts w:eastAsia="Times New Roman" w:cs="Calibri"/>
          <w:sz w:val="24"/>
          <w:szCs w:val="24"/>
          <w:lang w:val="fr-FR" w:eastAsia="fr-FR"/>
        </w:rPr>
        <w:t xml:space="preserve">: « </w:t>
      </w:r>
      <w:r>
        <w:rPr>
          <w:rFonts w:eastAsia="Times New Roman" w:cs="Calibri"/>
          <w:i/>
          <w:sz w:val="24"/>
          <w:szCs w:val="24"/>
          <w:lang w:val="fr-FR" w:eastAsia="fr-FR"/>
        </w:rPr>
        <w:t>la durée du permis de recherche est de cinq ans renouvelable une fois pour la même durée et pour toutes les substances minérales. Ce permis d’exploitation ne donne nullement un quelconque droit d’exploitation. Ce droit ne sera effectif qu’après l’épuisement de toute la procédure de recherche en lui octroyant cette fois le permis d’exploitation</w:t>
      </w:r>
      <w:r>
        <w:rPr>
          <w:rFonts w:eastAsia="Times New Roman" w:cs="Calibri"/>
          <w:sz w:val="24"/>
          <w:szCs w:val="24"/>
          <w:lang w:val="fr-FR" w:eastAsia="fr-FR"/>
        </w:rPr>
        <w:t xml:space="preserve">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Il sied de dire qu’une fois une entreprise d’exploitation minière aura obtenu un permis de recherche, celui-ci lui permettra de connaître la superficie de son carré minier et les sortes des gisements qui s’y trouvent, ainsi que la quantité des minerais qu’on trouve dans cette superficie à exploiter.  Un autre constat est que cette entreprise chinoise a été créée au mois de janvier 2020 ayant obtenu son permis de recherche sans pour autant vider la procédure de recherche mais, veut passer directement à la récolte des minerais sur la rivière Aruwimi, en violation des dispositions de la loi sur le droit minier</w:t>
      </w:r>
      <w:r>
        <w:rPr>
          <w:rStyle w:val="Appelnotedebasdep"/>
          <w:rFonts w:cs="Calibri"/>
          <w:sz w:val="24"/>
          <w:szCs w:val="24"/>
          <w:lang w:val="fr-FR" w:eastAsia="fr-FR"/>
        </w:rPr>
        <w:footnoteReference w:id="77"/>
      </w:r>
      <w:r>
        <w:rPr>
          <w:rFonts w:eastAsia="Times New Roman" w:cs="Calibri"/>
          <w:sz w:val="24"/>
          <w:szCs w:val="24"/>
          <w:lang w:val="fr-FR" w:eastAsia="fr-FR"/>
        </w:rPr>
        <w:t>.</w:t>
      </w:r>
    </w:p>
    <w:p w:rsidR="0089405D" w:rsidRDefault="0089405D">
      <w:pPr>
        <w:spacing w:after="0" w:line="312" w:lineRule="auto"/>
        <w:jc w:val="both"/>
        <w:rPr>
          <w:rFonts w:cs="Calibri"/>
          <w:sz w:val="24"/>
          <w:szCs w:val="24"/>
          <w:lang w:val="fr-FR"/>
        </w:rPr>
      </w:pPr>
    </w:p>
    <w:p w:rsidR="0089405D" w:rsidRDefault="003468E2">
      <w:pPr>
        <w:spacing w:after="0" w:line="312" w:lineRule="auto"/>
        <w:jc w:val="both"/>
        <w:rPr>
          <w:rFonts w:cs="Calibri"/>
          <w:sz w:val="24"/>
          <w:szCs w:val="24"/>
          <w:lang w:val="fr-FR"/>
        </w:rPr>
      </w:pPr>
      <w:r>
        <w:rPr>
          <w:rFonts w:eastAsia="Times New Roman" w:cs="Calibri"/>
          <w:sz w:val="24"/>
          <w:szCs w:val="24"/>
          <w:lang w:val="fr-FR" w:eastAsia="fr-FR"/>
        </w:rPr>
        <w:tab/>
        <w:t>Les études d'impact sur l'environnement constituent non seulement un outil pour la quête du développement durable mais désormais une obligation pour toute demande d'autorisation de réalisation d'un projet susceptible de porter atteinte directement ou indirectement à l'environnement</w:t>
      </w:r>
      <w:r>
        <w:rPr>
          <w:rFonts w:cs="Calibri"/>
          <w:sz w:val="24"/>
          <w:szCs w:val="24"/>
          <w:vertAlign w:val="superscript"/>
          <w:lang w:val="fr-FR" w:eastAsia="fr-FR"/>
        </w:rPr>
        <w:footnoteReference w:id="78"/>
      </w:r>
      <w:r>
        <w:rPr>
          <w:rFonts w:eastAsia="Times New Roman" w:cs="Calibri"/>
          <w:sz w:val="24"/>
          <w:szCs w:val="24"/>
          <w:lang w:val="fr-FR" w:eastAsia="fr-FR"/>
        </w:rPr>
        <w:t>. Les projets d'exploitation minière étant ici encore plus critiques du point de vue de la pollution et de la destruction des écosystèmes</w:t>
      </w:r>
      <w:r>
        <w:rPr>
          <w:rFonts w:cs="Calibri"/>
          <w:sz w:val="24"/>
          <w:szCs w:val="24"/>
          <w:lang w:val="fr-FR"/>
        </w:rPr>
        <w:t xml:space="preserve"> (</w:t>
      </w:r>
      <w:r>
        <w:rPr>
          <w:rFonts w:eastAsia="Times New Roman" w:cs="Calibri"/>
          <w:sz w:val="24"/>
          <w:szCs w:val="24"/>
          <w:lang w:val="fr-FR" w:eastAsia="fr-FR"/>
        </w:rPr>
        <w:t xml:space="preserve">Pascal G. &amp; Guy D., 2004 ; Kombo M., 2008). </w:t>
      </w:r>
    </w:p>
    <w:p w:rsidR="0089405D" w:rsidRDefault="003468E2">
      <w:pPr>
        <w:keepNext/>
        <w:keepLines/>
        <w:widowControl w:val="0"/>
        <w:spacing w:after="0" w:line="312" w:lineRule="auto"/>
        <w:jc w:val="both"/>
        <w:outlineLvl w:val="0"/>
        <w:rPr>
          <w:rFonts w:eastAsia="Calibri" w:cs="Calibri"/>
          <w:b/>
          <w:sz w:val="24"/>
          <w:szCs w:val="24"/>
          <w:lang w:val="fr-FR" w:eastAsia="en-US"/>
        </w:rPr>
      </w:pPr>
      <w:bookmarkStart w:id="1003" w:name="_Toc111888725"/>
      <w:bookmarkStart w:id="1004" w:name="_Toc127187301"/>
      <w:bookmarkStart w:id="1005" w:name="_Toc127187578"/>
      <w:bookmarkStart w:id="1006" w:name="_Toc127432335"/>
      <w:bookmarkStart w:id="1007" w:name="_Toc71470294"/>
      <w:bookmarkStart w:id="1008" w:name="_Toc73431899"/>
      <w:bookmarkStart w:id="1009" w:name="_Toc79393073"/>
      <w:r>
        <w:rPr>
          <w:rFonts w:eastAsia="Times New Roman" w:cs="Calibri"/>
          <w:b/>
          <w:sz w:val="24"/>
          <w:szCs w:val="24"/>
          <w:lang w:val="fr-FR" w:eastAsia="fr-FR"/>
        </w:rPr>
        <w:lastRenderedPageBreak/>
        <w:t xml:space="preserve">8.4. </w:t>
      </w:r>
      <w:r>
        <w:rPr>
          <w:rFonts w:eastAsia="Calibri" w:cs="Calibri"/>
          <w:b/>
          <w:sz w:val="24"/>
          <w:szCs w:val="24"/>
          <w:lang w:val="fr-FR" w:eastAsia="en-US"/>
        </w:rPr>
        <w:t>APPRÉCIATION DE L'IMPACT ENVIRONNEMENTAL ET SOCIAL (EIES) ET LES PLANS DE GESTION ENVIRONNEMENTALE (PGE)</w:t>
      </w:r>
      <w:bookmarkEnd w:id="1003"/>
      <w:bookmarkEnd w:id="1004"/>
      <w:bookmarkEnd w:id="1005"/>
      <w:bookmarkEnd w:id="1006"/>
    </w:p>
    <w:p w:rsidR="0089405D" w:rsidRDefault="0089405D">
      <w:pPr>
        <w:autoSpaceDE w:val="0"/>
        <w:autoSpaceDN w:val="0"/>
        <w:adjustRightInd w:val="0"/>
        <w:spacing w:after="0" w:line="312" w:lineRule="auto"/>
        <w:jc w:val="both"/>
        <w:rPr>
          <w:rFonts w:eastAsia="Calibri" w:cs="Calibri"/>
          <w:sz w:val="24"/>
          <w:szCs w:val="24"/>
          <w:lang w:val="fr-FR" w:eastAsia="en-US"/>
        </w:rPr>
      </w:pP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La phase de planification est la phase la plus importante en termes d'influence sur la forme finale d'un projet d'exploitation minière et sur les impacts qu'il aura. Une opportunité unique se présente lorsque les plans d'exploration, d'exploitation et de fermeture sont développés (ou révisés). C'est un moment crucial pour recenser les risques environnementaux et sociaux, pour déterminer les moyens d'éviter ou atténuer les problèmes, et pour concevoir le projet et l'exploitation en conséquence.</w:t>
      </w:r>
    </w:p>
    <w:p w:rsidR="0089405D" w:rsidRDefault="0089405D">
      <w:pPr>
        <w:autoSpaceDE w:val="0"/>
        <w:autoSpaceDN w:val="0"/>
        <w:adjustRightInd w:val="0"/>
        <w:spacing w:after="0" w:line="312" w:lineRule="auto"/>
        <w:jc w:val="both"/>
        <w:rPr>
          <w:rFonts w:eastAsia="Calibri" w:cs="Calibri"/>
          <w:sz w:val="24"/>
          <w:szCs w:val="24"/>
          <w:lang w:val="fr-FR" w:eastAsia="en-US"/>
        </w:rPr>
      </w:pPr>
    </w:p>
    <w:p w:rsidR="0089405D" w:rsidRDefault="003468E2">
      <w:pPr>
        <w:autoSpaceDE w:val="0"/>
        <w:autoSpaceDN w:val="0"/>
        <w:adjustRightInd w:val="0"/>
        <w:spacing w:after="0" w:line="312" w:lineRule="auto"/>
        <w:jc w:val="both"/>
        <w:rPr>
          <w:rFonts w:eastAsia="Calibri" w:cs="Calibri"/>
          <w:b/>
          <w:sz w:val="24"/>
          <w:szCs w:val="24"/>
          <w:lang w:val="fr-FR" w:eastAsia="en-US"/>
        </w:rPr>
      </w:pPr>
      <w:r>
        <w:rPr>
          <w:rFonts w:eastAsia="Calibri" w:cs="Calibri"/>
          <w:b/>
          <w:sz w:val="24"/>
          <w:szCs w:val="24"/>
          <w:lang w:val="fr-FR" w:eastAsia="en-US"/>
        </w:rPr>
        <w:t>8.4.1. CE PROCESSUS EST L’EVALUATION DE L'IMPACT ENVIRONNEMENTAL ET SOCIAL " (EIES).</w:t>
      </w:r>
    </w:p>
    <w:p w:rsidR="0089405D" w:rsidRDefault="0089405D">
      <w:pPr>
        <w:autoSpaceDE w:val="0"/>
        <w:autoSpaceDN w:val="0"/>
        <w:adjustRightInd w:val="0"/>
        <w:spacing w:after="0" w:line="312" w:lineRule="auto"/>
        <w:ind w:firstLine="709"/>
        <w:jc w:val="both"/>
        <w:rPr>
          <w:rFonts w:eastAsia="Calibri" w:cs="Calibri"/>
          <w:sz w:val="24"/>
          <w:szCs w:val="24"/>
          <w:lang w:val="fr-FR" w:eastAsia="en-US"/>
        </w:rPr>
      </w:pP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Les EIES sont des outils fondamentaux de planification d'avant-projet utilisés pour s'assurer qu'un large éventail d'implications environnementales et sociales potentielles soit pris en compte avant que le projet ne soit formellement approuvé. Les résultats de ces EIES permettent de modeler les projets, voire de les stopper.</w:t>
      </w:r>
    </w:p>
    <w:p w:rsidR="0089405D" w:rsidRDefault="003468E2">
      <w:pPr>
        <w:autoSpaceDE w:val="0"/>
        <w:autoSpaceDN w:val="0"/>
        <w:adjustRightInd w:val="0"/>
        <w:spacing w:after="0" w:line="312" w:lineRule="auto"/>
        <w:jc w:val="both"/>
        <w:rPr>
          <w:rFonts w:eastAsia="Calibri" w:cs="Calibri"/>
          <w:sz w:val="24"/>
          <w:szCs w:val="24"/>
          <w:lang w:val="fr-FR" w:eastAsia="en-US"/>
        </w:rPr>
      </w:pPr>
      <w:r>
        <w:rPr>
          <w:rFonts w:eastAsia="Calibri" w:cs="Calibri"/>
          <w:sz w:val="24"/>
          <w:szCs w:val="24"/>
          <w:lang w:val="fr-FR" w:eastAsia="en-US"/>
        </w:rPr>
        <w:tab/>
        <w:t>Traditionnellement, ces évaluations ont analysé les caractéristiques environnementales de la zone affectée par le biais d'un projet et de son impact potentiel. Ce projet entreprend des études de la flore, de la faune, de la qualité de l'air, de l'utilisation et de la disponibilité des ressources en eau, et une évaluation des effets potentiels du projet sur ces ressources et sur les communautés associées (ces études sont appelées les Evaluations de l'Impact Environnemental (EIE). Ces évaluations considèrent toutefois un éventail toujours plus large de questions relatives au projet, et requièrent non seulement de prendre en considération les questions environnementales, mais aussi de procéder à une analyse détaillée des impacts sur les communautés et les questions socio-économiques.</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Une EIES décrit souvent des options de projet différentes (comprenant même une option ! pas de projet "), et répertorie les différentes options permettant d'éviter ou d'atténuer les impacts négatifs éventuels. Le niveau de détail requis dans une EIES dépend généralement de la nature du projet envisagé. Compte tenu de la lourde empreinte des mines, les EIES dans le domaine des mines sont généralement soumises aux normes les plus exigeantes.</w:t>
      </w: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 xml:space="preserve">La législation nationale peut exiger des entreprises qu'elles préparent une EIES ou du moins obtiennent des approbations et autorisations nécessaires avant de procéder à un </w:t>
      </w:r>
      <w:r>
        <w:rPr>
          <w:rFonts w:eastAsia="Calibri" w:cs="Calibri"/>
          <w:sz w:val="24"/>
          <w:szCs w:val="24"/>
          <w:lang w:val="fr-FR" w:eastAsia="en-US"/>
        </w:rPr>
        <w:lastRenderedPageBreak/>
        <w:t>projet d'exploitation minière, mais quand ce n'est pas le cas, les dispositions de l'EIES dans les contrats peuvent s'assurer qu'ils sont nécessaires. En outre, même si une exigence d'EIES est stipulée dans la loi, il peut exister des raisons pour lesquelles le gouvernement voudrait également inclure cette obligation dans le contrat : Par le biais d'une exigence d'EIES dans le contrat, le gouvernement peut renforcer le message que les obligations d'une entreprise de se préparer ou de se procurer une EIES sont considérées comme un élément fondamental de la réussite. S'il y a une violation en ce qui concerne la façon dont l'EIES a été préparée, le contrat peut prévoir des sanctions et des recours spécifiques, qui pourraient ne pas être disponibles dans le cadre du droit interne.</w:t>
      </w:r>
    </w:p>
    <w:p w:rsidR="0089405D" w:rsidRDefault="0089405D">
      <w:pPr>
        <w:autoSpaceDE w:val="0"/>
        <w:autoSpaceDN w:val="0"/>
        <w:adjustRightInd w:val="0"/>
        <w:spacing w:after="0" w:line="312" w:lineRule="auto"/>
        <w:jc w:val="both"/>
        <w:rPr>
          <w:rFonts w:eastAsia="Calibri" w:cs="Calibri"/>
          <w:sz w:val="24"/>
          <w:szCs w:val="24"/>
          <w:lang w:val="fr-FR" w:eastAsia="en-US"/>
        </w:rPr>
      </w:pPr>
    </w:p>
    <w:p w:rsidR="0089405D" w:rsidRDefault="003468E2">
      <w:pPr>
        <w:autoSpaceDE w:val="0"/>
        <w:autoSpaceDN w:val="0"/>
        <w:adjustRightInd w:val="0"/>
        <w:spacing w:after="0" w:line="312" w:lineRule="auto"/>
        <w:jc w:val="both"/>
        <w:rPr>
          <w:rFonts w:eastAsia="Calibri" w:cs="Calibri"/>
          <w:b/>
          <w:sz w:val="24"/>
          <w:szCs w:val="24"/>
          <w:lang w:val="fr-FR" w:eastAsia="en-US"/>
        </w:rPr>
      </w:pPr>
      <w:r>
        <w:rPr>
          <w:rFonts w:eastAsia="Calibri" w:cs="Calibri"/>
          <w:b/>
          <w:sz w:val="24"/>
          <w:szCs w:val="24"/>
          <w:lang w:val="fr-FR" w:eastAsia="en-US"/>
        </w:rPr>
        <w:t>8.4.2. LES DIFFERENTES PHASES DU PROCESSUS D'EIES</w:t>
      </w:r>
    </w:p>
    <w:p w:rsidR="0089405D" w:rsidRDefault="0089405D">
      <w:pPr>
        <w:autoSpaceDE w:val="0"/>
        <w:autoSpaceDN w:val="0"/>
        <w:adjustRightInd w:val="0"/>
        <w:spacing w:after="0" w:line="312" w:lineRule="auto"/>
        <w:jc w:val="both"/>
        <w:rPr>
          <w:rFonts w:eastAsia="Calibri" w:cs="Calibri"/>
          <w:sz w:val="24"/>
          <w:szCs w:val="24"/>
          <w:lang w:val="fr-FR" w:eastAsia="en-US"/>
        </w:rPr>
      </w:pPr>
    </w:p>
    <w:p w:rsidR="0089405D" w:rsidRDefault="003468E2">
      <w:pPr>
        <w:autoSpaceDE w:val="0"/>
        <w:autoSpaceDN w:val="0"/>
        <w:adjustRightInd w:val="0"/>
        <w:spacing w:after="0" w:line="312" w:lineRule="auto"/>
        <w:ind w:firstLine="709"/>
        <w:jc w:val="both"/>
        <w:rPr>
          <w:rFonts w:eastAsia="Calibri" w:cs="Calibri"/>
          <w:sz w:val="24"/>
          <w:szCs w:val="24"/>
          <w:lang w:val="fr-FR" w:eastAsia="en-US"/>
        </w:rPr>
      </w:pPr>
      <w:r>
        <w:rPr>
          <w:rFonts w:eastAsia="Calibri" w:cs="Calibri"/>
          <w:sz w:val="24"/>
          <w:szCs w:val="24"/>
          <w:lang w:val="fr-FR" w:eastAsia="en-US"/>
        </w:rPr>
        <w:t>Le processus d'EIES peut contenir différentes phases:</w:t>
      </w:r>
    </w:p>
    <w:p w:rsidR="0089405D" w:rsidRDefault="003468E2">
      <w:pPr>
        <w:autoSpaceDE w:val="0"/>
        <w:autoSpaceDN w:val="0"/>
        <w:adjustRightInd w:val="0"/>
        <w:spacing w:after="0" w:line="312" w:lineRule="auto"/>
        <w:jc w:val="both"/>
        <w:rPr>
          <w:rFonts w:eastAsia="Calibri" w:cs="Calibri"/>
          <w:sz w:val="24"/>
          <w:szCs w:val="24"/>
          <w:lang w:val="fr-FR" w:eastAsia="en-US"/>
        </w:rPr>
      </w:pPr>
      <w:r>
        <w:rPr>
          <w:rFonts w:eastAsia="Calibri" w:cs="Calibri"/>
          <w:sz w:val="24"/>
          <w:szCs w:val="24"/>
          <w:lang w:val="fr-FR" w:eastAsia="en-US"/>
        </w:rPr>
        <w:t>- la préparation d'un projet d'EIES (qui peut être faite par le promoteur du projet, l'autorité gouvernementale compétente, et / ou une entreprise indépendante) ;</w:t>
      </w:r>
    </w:p>
    <w:p w:rsidR="0089405D" w:rsidRDefault="003468E2">
      <w:pPr>
        <w:autoSpaceDE w:val="0"/>
        <w:autoSpaceDN w:val="0"/>
        <w:adjustRightInd w:val="0"/>
        <w:spacing w:after="0" w:line="312" w:lineRule="auto"/>
        <w:jc w:val="both"/>
        <w:rPr>
          <w:rFonts w:eastAsia="Calibri" w:cs="Calibri"/>
          <w:sz w:val="24"/>
          <w:szCs w:val="24"/>
          <w:lang w:val="fr-FR" w:eastAsia="en-US"/>
        </w:rPr>
      </w:pPr>
      <w:r>
        <w:rPr>
          <w:rFonts w:eastAsia="Calibri" w:cs="Calibri"/>
          <w:sz w:val="24"/>
          <w:szCs w:val="24"/>
          <w:lang w:val="fr-FR" w:eastAsia="en-US"/>
        </w:rPr>
        <w:t>- la consultation avec la communauté dans l'élaboration de l'EIES ;</w:t>
      </w:r>
    </w:p>
    <w:p w:rsidR="0089405D" w:rsidRDefault="003468E2">
      <w:pPr>
        <w:autoSpaceDE w:val="0"/>
        <w:autoSpaceDN w:val="0"/>
        <w:adjustRightInd w:val="0"/>
        <w:spacing w:after="0" w:line="312" w:lineRule="auto"/>
        <w:jc w:val="both"/>
        <w:rPr>
          <w:rFonts w:eastAsia="Calibri" w:cs="Calibri"/>
          <w:sz w:val="24"/>
          <w:szCs w:val="24"/>
          <w:lang w:val="fr-FR" w:eastAsia="en-US"/>
        </w:rPr>
      </w:pPr>
      <w:r>
        <w:rPr>
          <w:rFonts w:eastAsia="Calibri" w:cs="Calibri"/>
          <w:sz w:val="24"/>
          <w:szCs w:val="24"/>
          <w:lang w:val="fr-FR" w:eastAsia="en-US"/>
        </w:rPr>
        <w:t>- une période au cours de laquelle le public peut examiner et commenter le projet ;</w:t>
      </w:r>
    </w:p>
    <w:p w:rsidR="0089405D" w:rsidRDefault="003468E2">
      <w:pPr>
        <w:autoSpaceDE w:val="0"/>
        <w:autoSpaceDN w:val="0"/>
        <w:adjustRightInd w:val="0"/>
        <w:spacing w:after="0" w:line="312" w:lineRule="auto"/>
        <w:jc w:val="both"/>
        <w:rPr>
          <w:rFonts w:eastAsia="Calibri" w:cs="Calibri"/>
          <w:sz w:val="24"/>
          <w:szCs w:val="24"/>
          <w:lang w:val="fr-FR" w:eastAsia="en-US"/>
        </w:rPr>
      </w:pPr>
      <w:r>
        <w:rPr>
          <w:rFonts w:eastAsia="Calibri" w:cs="Calibri"/>
          <w:sz w:val="24"/>
          <w:szCs w:val="24"/>
          <w:lang w:val="fr-FR" w:eastAsia="en-US"/>
        </w:rPr>
        <w:t>- la révision de l'EIES sur la base des observations formulées par les parties prenantes, y compris le public et la société ;</w:t>
      </w:r>
    </w:p>
    <w:p w:rsidR="0089405D" w:rsidRDefault="003468E2">
      <w:pPr>
        <w:autoSpaceDE w:val="0"/>
        <w:autoSpaceDN w:val="0"/>
        <w:adjustRightInd w:val="0"/>
        <w:spacing w:after="0" w:line="312" w:lineRule="auto"/>
        <w:jc w:val="both"/>
        <w:rPr>
          <w:rFonts w:eastAsia="Calibri" w:cs="Calibri"/>
          <w:sz w:val="24"/>
          <w:szCs w:val="24"/>
          <w:lang w:val="fr-FR" w:eastAsia="en-US"/>
        </w:rPr>
      </w:pPr>
      <w:r>
        <w:rPr>
          <w:rFonts w:eastAsia="Calibri" w:cs="Calibri"/>
          <w:sz w:val="24"/>
          <w:szCs w:val="24"/>
          <w:lang w:val="fr-FR" w:eastAsia="en-US"/>
        </w:rPr>
        <w:t>- la préparation de l'EIES finale ; et</w:t>
      </w:r>
    </w:p>
    <w:p w:rsidR="0089405D" w:rsidRDefault="003468E2">
      <w:pPr>
        <w:autoSpaceDE w:val="0"/>
        <w:autoSpaceDN w:val="0"/>
        <w:adjustRightInd w:val="0"/>
        <w:spacing w:after="0" w:line="312" w:lineRule="auto"/>
        <w:jc w:val="both"/>
        <w:rPr>
          <w:rFonts w:eastAsia="Calibri" w:cs="Calibri"/>
          <w:sz w:val="19"/>
          <w:szCs w:val="19"/>
          <w:lang w:val="fr-FR" w:eastAsia="en-US"/>
        </w:rPr>
      </w:pPr>
      <w:r>
        <w:rPr>
          <w:rFonts w:eastAsia="Calibri" w:cs="Calibri"/>
          <w:sz w:val="24"/>
          <w:szCs w:val="24"/>
          <w:lang w:val="fr-FR" w:eastAsia="en-US"/>
        </w:rPr>
        <w:t>- le choix d'un plan de projet avec un plan d'action et des stratégies permettant d'éviter ou d'atténuer les préjudices</w:t>
      </w:r>
      <w:r>
        <w:rPr>
          <w:rFonts w:eastAsia="Calibri" w:cs="Calibri"/>
          <w:sz w:val="19"/>
          <w:szCs w:val="19"/>
          <w:lang w:val="fr-FR" w:eastAsia="en-US"/>
        </w:rPr>
        <w:t>.</w:t>
      </w:r>
      <w:bookmarkStart w:id="1010" w:name="_Toc111714494"/>
    </w:p>
    <w:p w:rsidR="0089405D" w:rsidRDefault="003468E2">
      <w:pPr>
        <w:autoSpaceDE w:val="0"/>
        <w:autoSpaceDN w:val="0"/>
        <w:adjustRightInd w:val="0"/>
        <w:spacing w:after="0" w:line="312" w:lineRule="auto"/>
        <w:ind w:firstLine="709"/>
        <w:jc w:val="both"/>
        <w:rPr>
          <w:rFonts w:cs="Calibri"/>
          <w:sz w:val="24"/>
          <w:szCs w:val="24"/>
          <w:lang w:val="fr-FR"/>
        </w:rPr>
      </w:pPr>
      <w:r>
        <w:rPr>
          <w:rFonts w:cs="Calibri"/>
          <w:sz w:val="24"/>
          <w:szCs w:val="24"/>
          <w:lang w:val="fr-FR"/>
        </w:rPr>
        <w:t>Dans cette manière dont les EIES sont conduites est essentielle pour déterminer si, dans quelle mesure, et comment les impacts environnementaux et sociaux sont anticipés et, dans la mesure du possible, évités. Sans une indépendance, une surveillance et une intégration adéquate des processus de prise de décision, une EIES n'offre aucune valeur pratique.</w:t>
      </w:r>
      <w:bookmarkStart w:id="1011" w:name="_Toc111714495"/>
      <w:bookmarkEnd w:id="1010"/>
      <w:r>
        <w:rPr>
          <w:rFonts w:cs="Calibri"/>
          <w:sz w:val="24"/>
          <w:szCs w:val="24"/>
          <w:lang w:val="fr-FR"/>
        </w:rPr>
        <w:t xml:space="preserve"> Ainsi, le contrat d'exploitation minière doit obtenir des rapports détaillés d'évaluation de l'impact environnemental conformément à la loi sur l'évaluation de l'impact environnemental et ces rapports doivent être élaborés par un cabinet professionnel compétent et indépendant pour lutter contre la dégradation de l’environnement et de la pollution du site.</w:t>
      </w:r>
      <w:bookmarkEnd w:id="1011"/>
    </w:p>
    <w:p w:rsidR="0089405D" w:rsidRDefault="003468E2">
      <w:pPr>
        <w:spacing w:after="0" w:line="312" w:lineRule="auto"/>
        <w:rPr>
          <w:rFonts w:cs="Calibri"/>
          <w:b/>
          <w:sz w:val="24"/>
          <w:szCs w:val="24"/>
          <w:lang w:val="fr-FR"/>
        </w:rPr>
      </w:pPr>
      <w:r>
        <w:rPr>
          <w:rFonts w:cs="Calibri"/>
          <w:b/>
          <w:sz w:val="24"/>
          <w:szCs w:val="24"/>
          <w:lang w:val="fr-FR"/>
        </w:rPr>
        <w:br w:type="page"/>
      </w:r>
    </w:p>
    <w:p w:rsidR="0089405D" w:rsidRDefault="003468E2">
      <w:pPr>
        <w:keepNext/>
        <w:keepLines/>
        <w:widowControl w:val="0"/>
        <w:spacing w:after="0" w:line="312" w:lineRule="auto"/>
        <w:outlineLvl w:val="0"/>
        <w:rPr>
          <w:rFonts w:cs="Calibri"/>
          <w:b/>
          <w:sz w:val="24"/>
          <w:szCs w:val="24"/>
          <w:lang w:val="fr-FR"/>
        </w:rPr>
      </w:pPr>
      <w:bookmarkStart w:id="1012" w:name="_Toc111888726"/>
      <w:bookmarkStart w:id="1013" w:name="_Toc127187302"/>
      <w:bookmarkStart w:id="1014" w:name="_Toc127187579"/>
      <w:bookmarkStart w:id="1015" w:name="_Toc127432336"/>
      <w:r>
        <w:rPr>
          <w:rFonts w:cs="Calibri"/>
          <w:b/>
          <w:sz w:val="24"/>
          <w:szCs w:val="24"/>
          <w:lang w:val="fr-FR"/>
        </w:rPr>
        <w:lastRenderedPageBreak/>
        <w:t>8.5. MESURES DE LUTTE CONTRE LA POLLUTION</w:t>
      </w:r>
      <w:bookmarkEnd w:id="1007"/>
      <w:bookmarkEnd w:id="1008"/>
      <w:bookmarkEnd w:id="1009"/>
      <w:bookmarkEnd w:id="1012"/>
      <w:bookmarkEnd w:id="1013"/>
      <w:bookmarkEnd w:id="1014"/>
      <w:bookmarkEnd w:id="1015"/>
      <w:r>
        <w:rPr>
          <w:rFonts w:cs="Calibri"/>
          <w:b/>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9"/>
        <w:jc w:val="both"/>
        <w:rPr>
          <w:rFonts w:cs="Calibri"/>
          <w:sz w:val="24"/>
          <w:szCs w:val="24"/>
          <w:lang w:val="fr-FR"/>
        </w:rPr>
      </w:pPr>
      <w:r>
        <w:rPr>
          <w:rFonts w:cs="Calibri"/>
          <w:sz w:val="24"/>
          <w:szCs w:val="24"/>
          <w:lang w:val="fr-FR"/>
        </w:rPr>
        <w:t>A mesure que l’activité industrielle s’intensifie et que l’on comprend mieux les effets cumulatifs, le principe de lutte contre la pollution s’impose avec force dans la gestion de l’environnement. (Ramade, F., 2020)</w:t>
      </w:r>
    </w:p>
    <w:p w:rsidR="0089405D" w:rsidRDefault="003468E2">
      <w:pPr>
        <w:spacing w:after="0" w:line="312" w:lineRule="auto"/>
        <w:jc w:val="both"/>
        <w:rPr>
          <w:rFonts w:cs="Calibri"/>
          <w:sz w:val="24"/>
          <w:szCs w:val="24"/>
          <w:lang w:val="fr-FR"/>
        </w:rPr>
      </w:pPr>
      <w:r>
        <w:rPr>
          <w:rFonts w:cs="Calibri"/>
          <w:sz w:val="24"/>
          <w:szCs w:val="24"/>
          <w:lang w:val="fr-FR"/>
        </w:rPr>
        <w:t>A ce titre, deux concepts servent de fondement à cette approche :</w:t>
      </w:r>
    </w:p>
    <w:p w:rsidR="0089405D" w:rsidRDefault="003468E2">
      <w:pPr>
        <w:spacing w:after="0" w:line="312" w:lineRule="auto"/>
        <w:jc w:val="both"/>
        <w:rPr>
          <w:rFonts w:cs="Calibri"/>
          <w:sz w:val="24"/>
          <w:szCs w:val="24"/>
          <w:lang w:val="fr-FR"/>
        </w:rPr>
      </w:pPr>
      <w:r>
        <w:rPr>
          <w:rFonts w:cs="Calibri"/>
          <w:b/>
          <w:i/>
          <w:sz w:val="24"/>
          <w:szCs w:val="24"/>
          <w:lang w:val="fr-FR"/>
        </w:rPr>
        <w:t>1° La capacité d’assimilation :</w:t>
      </w:r>
      <w:r>
        <w:rPr>
          <w:rFonts w:cs="Calibri"/>
          <w:sz w:val="24"/>
          <w:szCs w:val="24"/>
          <w:lang w:val="fr-FR"/>
        </w:rPr>
        <w:t xml:space="preserve"> c’est-à-dire l’existence d’un niveau déterminé d’émission qui n’entraîne pas des conséquences inacceptables pour l’équilibre de l’environnement ou pour la santé humaine.</w:t>
      </w:r>
    </w:p>
    <w:p w:rsidR="0089405D" w:rsidRDefault="003468E2">
      <w:pPr>
        <w:spacing w:after="0" w:line="312" w:lineRule="auto"/>
        <w:jc w:val="both"/>
        <w:rPr>
          <w:rFonts w:cs="Calibri"/>
          <w:sz w:val="24"/>
          <w:szCs w:val="24"/>
          <w:lang w:val="fr-FR"/>
        </w:rPr>
      </w:pPr>
      <w:r>
        <w:rPr>
          <w:rFonts w:cs="Calibri"/>
          <w:b/>
          <w:i/>
          <w:sz w:val="24"/>
          <w:szCs w:val="24"/>
          <w:lang w:val="fr-FR"/>
        </w:rPr>
        <w:t>2° Le principe de prévention :</w:t>
      </w:r>
      <w:r>
        <w:rPr>
          <w:rFonts w:cs="Calibri"/>
          <w:sz w:val="24"/>
          <w:szCs w:val="24"/>
          <w:lang w:val="fr-FR"/>
        </w:rPr>
        <w:t xml:space="preserve"> éviter les dommages causés à l’environnement si l’on agit sur les modalités, le rythme et le taux de pénétration des polluants.</w:t>
      </w:r>
    </w:p>
    <w:p w:rsidR="0089405D" w:rsidRDefault="0089405D">
      <w:pPr>
        <w:spacing w:after="0" w:line="312" w:lineRule="auto"/>
        <w:jc w:val="both"/>
        <w:rPr>
          <w:rFonts w:cs="Calibri"/>
          <w:b/>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1016" w:name="_Toc71470295"/>
      <w:bookmarkStart w:id="1017" w:name="_Toc73431900"/>
      <w:bookmarkStart w:id="1018" w:name="_Toc79393074"/>
      <w:bookmarkStart w:id="1019" w:name="_Toc111888727"/>
      <w:bookmarkStart w:id="1020" w:name="_Toc127187303"/>
      <w:bookmarkStart w:id="1021" w:name="_Toc127187580"/>
      <w:bookmarkStart w:id="1022" w:name="_Toc127432337"/>
      <w:r>
        <w:rPr>
          <w:rFonts w:cs="Calibri"/>
          <w:b/>
          <w:sz w:val="24"/>
          <w:szCs w:val="24"/>
          <w:lang w:val="fr-FR"/>
        </w:rPr>
        <w:t>8.5.1. LA MISE EN ŒUVRE DES TECHNIQUES DE LUTTE CONTRE LA POLLUTION</w:t>
      </w:r>
      <w:bookmarkEnd w:id="1016"/>
      <w:bookmarkEnd w:id="1017"/>
      <w:bookmarkEnd w:id="1018"/>
      <w:bookmarkEnd w:id="1019"/>
      <w:bookmarkEnd w:id="1020"/>
      <w:bookmarkEnd w:id="1021"/>
      <w:bookmarkEnd w:id="1022"/>
      <w:r>
        <w:rPr>
          <w:rFonts w:cs="Calibri"/>
          <w:b/>
          <w:sz w:val="24"/>
          <w:szCs w:val="24"/>
          <w:lang w:val="fr-FR"/>
        </w:rPr>
        <w:t> </w:t>
      </w:r>
    </w:p>
    <w:p w:rsidR="0089405D" w:rsidRDefault="0089405D">
      <w:pPr>
        <w:keepNext/>
        <w:keepLines/>
        <w:widowControl w:val="0"/>
        <w:spacing w:after="0" w:line="312" w:lineRule="auto"/>
        <w:outlineLvl w:val="0"/>
        <w:rPr>
          <w:rFonts w:cs="Calibri"/>
          <w:b/>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L’application des méthodes de lutte contre la pollution s’avère très efficace lorsqu’il y a la maîtrise des problèmes, en particulier ceux de caractère local. Elle repose sur l’analyse systématique de la source et de la nature de l’émission ou du rejet en question de son interaction avec l’écosystème et du problème de pollution ambiante à résoudre, ainsi que sur la mise au point de techniques appropriées pour atténuer et surveiller les impacts sur l’environnement.</w:t>
      </w:r>
    </w:p>
    <w:p w:rsidR="0089405D" w:rsidRDefault="0089405D">
      <w:pPr>
        <w:keepNext/>
        <w:keepLines/>
        <w:widowControl w:val="0"/>
        <w:spacing w:after="0" w:line="312" w:lineRule="auto"/>
        <w:jc w:val="both"/>
        <w:outlineLvl w:val="0"/>
        <w:rPr>
          <w:rFonts w:cs="Calibri"/>
          <w:b/>
          <w:sz w:val="24"/>
          <w:szCs w:val="24"/>
          <w:lang w:val="fr-FR"/>
        </w:rPr>
      </w:pPr>
      <w:bookmarkStart w:id="1023" w:name="_Toc73431901"/>
      <w:bookmarkStart w:id="1024" w:name="_Toc79393075"/>
      <w:bookmarkStart w:id="1025" w:name="_Toc111888728"/>
      <w:bookmarkStart w:id="1026" w:name="_Toc127187304"/>
      <w:bookmarkStart w:id="1027" w:name="_Toc127187581"/>
      <w:bookmarkStart w:id="1028" w:name="_Toc127432338"/>
    </w:p>
    <w:p w:rsidR="0089405D" w:rsidRDefault="003468E2">
      <w:pPr>
        <w:keepNext/>
        <w:keepLines/>
        <w:widowControl w:val="0"/>
        <w:spacing w:after="0" w:line="312" w:lineRule="auto"/>
        <w:jc w:val="both"/>
        <w:outlineLvl w:val="0"/>
        <w:rPr>
          <w:rFonts w:cs="Calibri"/>
          <w:b/>
          <w:sz w:val="24"/>
          <w:szCs w:val="24"/>
          <w:lang w:val="fr-FR"/>
        </w:rPr>
      </w:pPr>
      <w:r>
        <w:rPr>
          <w:rFonts w:cs="Calibri"/>
          <w:b/>
          <w:sz w:val="24"/>
          <w:szCs w:val="24"/>
          <w:lang w:val="fr-FR"/>
        </w:rPr>
        <w:t>8.5.2. LA GESTION GLOBALE DES DECHETS</w:t>
      </w:r>
      <w:bookmarkEnd w:id="1023"/>
      <w:bookmarkEnd w:id="1024"/>
      <w:bookmarkEnd w:id="1025"/>
      <w:bookmarkEnd w:id="1026"/>
      <w:bookmarkEnd w:id="1027"/>
      <w:bookmarkEnd w:id="1028"/>
    </w:p>
    <w:p w:rsidR="0089405D" w:rsidRDefault="0089405D">
      <w:pPr>
        <w:keepNext/>
        <w:keepLines/>
        <w:widowControl w:val="0"/>
        <w:spacing w:after="0" w:line="312" w:lineRule="auto"/>
        <w:jc w:val="both"/>
        <w:outlineLvl w:val="0"/>
        <w:rPr>
          <w:rFonts w:cs="Calibri"/>
          <w:b/>
          <w:color w:val="2E74B5"/>
          <w:sz w:val="24"/>
          <w:szCs w:val="24"/>
          <w:lang w:val="fr-FR"/>
        </w:rPr>
      </w:pPr>
    </w:p>
    <w:p w:rsidR="0089405D" w:rsidRDefault="003468E2">
      <w:pPr>
        <w:spacing w:after="0" w:line="312" w:lineRule="auto"/>
        <w:jc w:val="both"/>
        <w:rPr>
          <w:rFonts w:cs="Calibri"/>
          <w:sz w:val="24"/>
          <w:szCs w:val="24"/>
          <w:lang w:val="fr-FR"/>
        </w:rPr>
      </w:pPr>
      <w:r>
        <w:rPr>
          <w:rFonts w:cs="Calibri"/>
          <w:b/>
          <w:i/>
          <w:sz w:val="24"/>
          <w:szCs w:val="24"/>
          <w:lang w:val="fr-FR"/>
        </w:rPr>
        <w:t> </w:t>
      </w:r>
      <w:r>
        <w:rPr>
          <w:rFonts w:cs="Calibri"/>
          <w:b/>
          <w:i/>
          <w:sz w:val="24"/>
          <w:szCs w:val="24"/>
          <w:lang w:val="fr-FR"/>
        </w:rPr>
        <w:tab/>
      </w:r>
      <w:r>
        <w:rPr>
          <w:rFonts w:cs="Calibri"/>
          <w:sz w:val="24"/>
          <w:szCs w:val="24"/>
          <w:lang w:val="fr-FR"/>
        </w:rPr>
        <w:t>Les déchets sont considérés comme un sous-produit indésirable du processus de production qu’il faut limiter pour éviter de contaminer les ressources en sols, en eau et en air au-delà du niveau jugé acceptable. Pour ce faire, la fixation des normes pour les pratiques acceptables de collecte, de traitement et d’élimination assurent la protection de l’environnement face à l’émission de déchets polluants. En effet, il existe quelques critères d’élimination de déchets sans danger pour l’environnement :</w:t>
      </w:r>
    </w:p>
    <w:p w:rsidR="0089405D" w:rsidRDefault="003468E2">
      <w:pPr>
        <w:spacing w:after="0" w:line="312" w:lineRule="auto"/>
        <w:contextualSpacing/>
        <w:jc w:val="both"/>
        <w:rPr>
          <w:rFonts w:cs="Calibri"/>
          <w:sz w:val="24"/>
          <w:szCs w:val="24"/>
          <w:lang w:val="fr-FR"/>
        </w:rPr>
      </w:pPr>
      <w:r>
        <w:rPr>
          <w:rFonts w:cs="Calibri"/>
          <w:sz w:val="24"/>
          <w:szCs w:val="24"/>
          <w:lang w:val="fr-FR"/>
        </w:rPr>
        <w:t>- Utilisation de décharge contrôlée ;</w:t>
      </w:r>
    </w:p>
    <w:p w:rsidR="0089405D" w:rsidRDefault="003468E2">
      <w:pPr>
        <w:spacing w:after="0" w:line="312" w:lineRule="auto"/>
        <w:contextualSpacing/>
        <w:jc w:val="both"/>
        <w:rPr>
          <w:rFonts w:cs="Calibri"/>
          <w:sz w:val="24"/>
          <w:szCs w:val="24"/>
          <w:lang w:val="fr-FR"/>
        </w:rPr>
      </w:pPr>
      <w:r>
        <w:rPr>
          <w:rFonts w:cs="Calibri"/>
          <w:sz w:val="24"/>
          <w:szCs w:val="24"/>
          <w:lang w:val="fr-FR"/>
        </w:rPr>
        <w:t>- Incinération et traitement des déchets dangereux</w:t>
      </w:r>
    </w:p>
    <w:p w:rsidR="0089405D" w:rsidRDefault="003468E2">
      <w:pPr>
        <w:spacing w:after="0" w:line="312" w:lineRule="auto"/>
        <w:contextualSpacing/>
        <w:jc w:val="both"/>
        <w:rPr>
          <w:rFonts w:cs="Calibri"/>
          <w:sz w:val="24"/>
          <w:szCs w:val="24"/>
          <w:lang w:val="fr-FR"/>
        </w:rPr>
      </w:pPr>
      <w:r>
        <w:rPr>
          <w:rFonts w:cs="Calibri"/>
          <w:sz w:val="24"/>
          <w:szCs w:val="24"/>
          <w:lang w:val="fr-FR"/>
        </w:rPr>
        <w:t>- Réduction de la production des déchets</w:t>
      </w:r>
    </w:p>
    <w:p w:rsidR="0089405D" w:rsidRDefault="003468E2">
      <w:pPr>
        <w:spacing w:after="0" w:line="312" w:lineRule="auto"/>
        <w:contextualSpacing/>
        <w:jc w:val="both"/>
        <w:rPr>
          <w:rFonts w:cs="Calibri"/>
          <w:sz w:val="24"/>
          <w:szCs w:val="24"/>
          <w:lang w:val="fr-FR"/>
        </w:rPr>
      </w:pPr>
      <w:r>
        <w:rPr>
          <w:rFonts w:cs="Calibri"/>
          <w:sz w:val="24"/>
          <w:szCs w:val="24"/>
          <w:lang w:val="fr-FR"/>
        </w:rPr>
        <w:t>- Recyclage de déchets.</w:t>
      </w:r>
    </w:p>
    <w:p w:rsidR="0089405D" w:rsidRDefault="0089405D">
      <w:pPr>
        <w:spacing w:after="0" w:line="312" w:lineRule="auto"/>
        <w:rPr>
          <w:rFonts w:cs="Calibri"/>
          <w:sz w:val="24"/>
          <w:szCs w:val="24"/>
          <w:lang w:val="fr-FR"/>
        </w:rPr>
      </w:pPr>
    </w:p>
    <w:p w:rsidR="0089405D" w:rsidRDefault="003468E2">
      <w:pPr>
        <w:keepNext/>
        <w:keepLines/>
        <w:widowControl w:val="0"/>
        <w:spacing w:after="0" w:line="312" w:lineRule="auto"/>
        <w:jc w:val="both"/>
        <w:outlineLvl w:val="0"/>
        <w:rPr>
          <w:rFonts w:eastAsia="Times New Roman" w:cs="Calibri"/>
          <w:b/>
          <w:sz w:val="24"/>
          <w:szCs w:val="24"/>
          <w:lang w:val="fr-FR" w:eastAsia="fr-FR"/>
        </w:rPr>
      </w:pPr>
      <w:bookmarkStart w:id="1029" w:name="_Toc59458317"/>
      <w:bookmarkStart w:id="1030" w:name="_Toc71470326"/>
      <w:bookmarkStart w:id="1031" w:name="_Toc73431902"/>
      <w:bookmarkStart w:id="1032" w:name="_Toc79393076"/>
      <w:bookmarkStart w:id="1033" w:name="_Toc111888729"/>
      <w:bookmarkStart w:id="1034" w:name="_Toc127187305"/>
      <w:bookmarkStart w:id="1035" w:name="_Toc127187582"/>
      <w:bookmarkStart w:id="1036" w:name="_Toc127432339"/>
      <w:r>
        <w:rPr>
          <w:rFonts w:eastAsia="Times New Roman" w:cs="Calibri"/>
          <w:b/>
          <w:sz w:val="24"/>
          <w:szCs w:val="24"/>
          <w:lang w:val="fr-FR" w:eastAsia="fr-FR"/>
        </w:rPr>
        <w:lastRenderedPageBreak/>
        <w:t>8.6. DE LA MISE EN ŒUVRE DE LA PREVENTION SUR LES IMPACTS DE PROJET D'EXPLOITATION</w:t>
      </w:r>
      <w:bookmarkEnd w:id="1029"/>
      <w:r>
        <w:rPr>
          <w:rFonts w:eastAsia="Times New Roman" w:cs="Calibri"/>
          <w:b/>
          <w:sz w:val="24"/>
          <w:szCs w:val="24"/>
          <w:lang w:val="fr-FR" w:eastAsia="fr-FR"/>
        </w:rPr>
        <w:t xml:space="preserve"> MINIERE</w:t>
      </w:r>
      <w:bookmarkEnd w:id="1030"/>
      <w:bookmarkEnd w:id="1031"/>
      <w:bookmarkEnd w:id="1032"/>
      <w:bookmarkEnd w:id="1033"/>
      <w:bookmarkEnd w:id="1034"/>
      <w:bookmarkEnd w:id="1035"/>
      <w:bookmarkEnd w:id="1036"/>
      <w:r>
        <w:rPr>
          <w:rFonts w:eastAsia="Times New Roman" w:cs="Calibri"/>
          <w:b/>
          <w:sz w:val="24"/>
          <w:szCs w:val="24"/>
          <w:lang w:val="fr-FR" w:eastAsia="fr-FR"/>
        </w:rPr>
        <w:t xml:space="preserve"> </w:t>
      </w:r>
    </w:p>
    <w:p w:rsidR="0089405D" w:rsidRDefault="0089405D">
      <w:pPr>
        <w:keepNext/>
        <w:keepLines/>
        <w:widowControl w:val="0"/>
        <w:spacing w:after="0" w:line="312" w:lineRule="auto"/>
        <w:jc w:val="both"/>
        <w:outlineLvl w:val="0"/>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La Directive Environnementale Sectorielle présente la gamme des impacts possibles, notamment environnementaux, sanitaires et sociopolitiques. Elle explique aussi comment les gestionnaires de projet et autres peuvent soutenir la prévention et / ou l'atténuation de ces impacts, à travers la conception de projets, les analyses environnementales pour les examens environnementaux initiaux et lors de l'élaboration de plans d'atténuation et de suivi environnemental propres à un site.</w:t>
      </w:r>
    </w:p>
    <w:p w:rsidR="0089405D" w:rsidRDefault="003468E2">
      <w:pPr>
        <w:spacing w:after="0" w:line="312" w:lineRule="auto"/>
        <w:jc w:val="both"/>
        <w:rPr>
          <w:rFonts w:cs="Calibri"/>
          <w:sz w:val="24"/>
          <w:szCs w:val="24"/>
          <w:lang w:val="fr-FR"/>
        </w:rPr>
      </w:pPr>
      <w:r>
        <w:rPr>
          <w:rFonts w:cs="Calibri"/>
          <w:sz w:val="24"/>
          <w:szCs w:val="24"/>
          <w:lang w:val="fr-FR"/>
        </w:rPr>
        <w:tab/>
      </w:r>
      <w:r>
        <w:rPr>
          <w:rFonts w:eastAsia="Times New Roman" w:cs="Calibri"/>
          <w:sz w:val="24"/>
          <w:szCs w:val="24"/>
          <w:lang w:val="fr-FR" w:eastAsia="fr-FR"/>
        </w:rPr>
        <w:t>Le nouveau code minier de la RDC (2018) montre que soit le stade du processus minier au cours duquel le projet, les gestionnaires de projet et les praticiens devraient, dans la mesure du possible, se concentrer sur la mise en œuvre de pratiques durables (prévention) plutôt que sur la réhabilitation. Hormis le nouveau code, il y a déjà cinq éditions</w:t>
      </w:r>
      <w:r>
        <w:rPr>
          <w:rFonts w:cs="Calibri"/>
          <w:sz w:val="24"/>
          <w:szCs w:val="24"/>
          <w:lang w:val="fr-FR"/>
        </w:rPr>
        <w:t xml:space="preserve"> sur la c</w:t>
      </w:r>
      <w:r>
        <w:rPr>
          <w:rFonts w:eastAsia="Times New Roman" w:cs="Calibri"/>
          <w:sz w:val="24"/>
          <w:szCs w:val="24"/>
          <w:lang w:val="fr-FR" w:eastAsia="fr-FR"/>
        </w:rPr>
        <w:t xml:space="preserve">onférence minière de la RDC. On cite celle de Kinshasa, Lubumbashi, Goma et Kolwezi et dernièrement dans la ville de Kisangani, chef-lieu de la Province de la Tshopo.  La population locale et les peuples autochtones considèrent ces rencontres comme de trop ou les résultats sur terrain ont une action toujours stérile et ces organisations des forums miniers sont des démarches contre-productives. Toutes les éditions se terminent dans la cacophonie, un grand fiasco s’il faut être direct. Aucune résolution n’a produit des résultats. </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L'on serait tenté de se demander pourquoi ? Et bien l'une des raisons est l'affairisme politique de certains dirigeants ainsi que la cupidité de certains fils de terroir qui, par avidité veulent s'enrichir rapidement à n'importe quel prix. Ainsi, tout forum organisé dans ce domaine pour l'intérêt commun se clôture dans la cacophonie de guerres de défense des intérêts partisans.</w:t>
      </w:r>
    </w:p>
    <w:p w:rsidR="0089405D" w:rsidRDefault="003468E2">
      <w:pPr>
        <w:spacing w:after="0" w:line="312" w:lineRule="auto"/>
        <w:ind w:firstLine="708"/>
        <w:jc w:val="both"/>
        <w:rPr>
          <w:rFonts w:cs="Calibri"/>
          <w:sz w:val="24"/>
          <w:szCs w:val="24"/>
          <w:lang w:val="fr-FR"/>
        </w:rPr>
      </w:pPr>
      <w:r>
        <w:rPr>
          <w:rFonts w:eastAsia="Times New Roman" w:cs="Calibri"/>
          <w:sz w:val="24"/>
          <w:szCs w:val="24"/>
          <w:lang w:val="fr-FR" w:eastAsia="fr-FR"/>
        </w:rPr>
        <w:t xml:space="preserve">Contrairement à ce qui se passe en Afrique du Sud avec Indaba Mining, au Canada avec PDAC, en Australie, aux USA ou en Israël avec le conseil mondial des métaux, la conférence minière de la RDC n’attire aucun investisseur et ne crée aucune opportunité pour les grands magnats. On assiste plutôt à des « réunions-attroupements » entre les décideurs politiques et les fonctionnaires de l’Etat. </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1037" w:name="_Toc73431903"/>
      <w:bookmarkStart w:id="1038" w:name="_Toc79393077"/>
      <w:bookmarkStart w:id="1039" w:name="_Toc111888730"/>
      <w:bookmarkStart w:id="1040" w:name="_Toc127187306"/>
      <w:bookmarkStart w:id="1041" w:name="_Toc127187583"/>
      <w:bookmarkStart w:id="1042" w:name="_Toc127432340"/>
      <w:r>
        <w:rPr>
          <w:rFonts w:cs="Calibri"/>
          <w:b/>
          <w:sz w:val="24"/>
          <w:szCs w:val="24"/>
          <w:lang w:val="fr-FR"/>
        </w:rPr>
        <w:t>8.6.1. DEVELOPPEMENT DURABLE DANS LE SECTEUR MINIER</w:t>
      </w:r>
      <w:bookmarkEnd w:id="995"/>
      <w:bookmarkEnd w:id="1037"/>
      <w:bookmarkEnd w:id="1038"/>
      <w:bookmarkEnd w:id="1039"/>
      <w:bookmarkEnd w:id="1040"/>
      <w:bookmarkEnd w:id="1041"/>
      <w:bookmarkEnd w:id="1042"/>
      <w:r>
        <w:rPr>
          <w:rFonts w:cs="Calibri"/>
          <w:b/>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L'industrie minière, plus que n'importe quel autre secteur industriel, fait face à des défis importants en matière de passage vers le développement durable (Azapagic A, 2004 ; </w:t>
      </w:r>
      <w:r>
        <w:rPr>
          <w:rFonts w:cs="Calibri"/>
          <w:sz w:val="24"/>
          <w:szCs w:val="24"/>
          <w:lang w:val="fr-FR"/>
        </w:rPr>
        <w:lastRenderedPageBreak/>
        <w:t xml:space="preserve">Haibina L. et Zhenlingb L. 2010). Des efforts importants ont été consentis pour la prise en compte de l'environnement dans le secteur minier (Bhattacharya, J. 2000). Ces efforts se sont traduits, entre autres, par l'adoption de politiques et stratégies concernant le secteur minier, la mise en place de textes réglementaires pour la prise en compte de l'environnement et des besoins des communautés. Selon Audet, R. et al. (2010), les compagnies minières prennent au sérieux les problèmes environnementaux et sociaux. </w:t>
      </w:r>
    </w:p>
    <w:p w:rsidR="0089405D" w:rsidRDefault="003468E2">
      <w:pPr>
        <w:spacing w:after="0" w:line="312" w:lineRule="auto"/>
        <w:jc w:val="both"/>
        <w:rPr>
          <w:rFonts w:cs="Calibri"/>
          <w:sz w:val="24"/>
          <w:szCs w:val="24"/>
          <w:lang w:val="fr-FR"/>
        </w:rPr>
      </w:pPr>
      <w:r>
        <w:rPr>
          <w:rFonts w:cs="Calibri"/>
          <w:sz w:val="24"/>
          <w:szCs w:val="24"/>
          <w:lang w:val="fr-FR"/>
        </w:rPr>
        <w:tab/>
        <w:t xml:space="preserve">Les aspects sociaux prennent d'ailleurs de plus en plus de place dans les rapports de développement durable des compagnies minières. Cependant, les efforts des compagnies minières pour assurer une activité respectueuse de l'environnement et de la société sont souvent inférieurs aux attentes de la population (Lapalme, L. 2003 ; Capron, M. et Quairel-Lanoizelée, F. 2004). </w:t>
      </w:r>
    </w:p>
    <w:p w:rsidR="0089405D" w:rsidRDefault="003468E2">
      <w:pPr>
        <w:spacing w:after="0" w:line="312" w:lineRule="auto"/>
        <w:jc w:val="both"/>
        <w:rPr>
          <w:rFonts w:cs="Calibri"/>
          <w:sz w:val="24"/>
          <w:szCs w:val="24"/>
          <w:lang w:val="fr-FR"/>
        </w:rPr>
      </w:pPr>
      <w:r>
        <w:rPr>
          <w:rFonts w:cs="Calibri"/>
          <w:sz w:val="24"/>
          <w:szCs w:val="24"/>
          <w:lang w:val="fr-FR"/>
        </w:rPr>
        <w:tab/>
        <w:t xml:space="preserve">Pour répondre aux défis auxquels est confronté le secteur minier, il lui faut mobiliser les différentes parties prenantes et travailler de manière à apporter des avantages économiques, sociaux et environnementaux directs aux communautés. La question est : comment réaliser des profits tout en préservant la qualité de l'environnement et en contribuant au développement des communautés pendant et après l'opération minière ? </w:t>
      </w:r>
    </w:p>
    <w:p w:rsidR="0089405D" w:rsidRDefault="0089405D">
      <w:pPr>
        <w:spacing w:after="0" w:line="312" w:lineRule="auto"/>
        <w:jc w:val="both"/>
        <w:rPr>
          <w:rFonts w:cs="Calibri"/>
          <w:sz w:val="24"/>
          <w:szCs w:val="24"/>
          <w:highlight w:val="magenta"/>
          <w:lang w:val="fr-FR"/>
        </w:rPr>
      </w:pPr>
    </w:p>
    <w:p w:rsidR="0089405D" w:rsidRDefault="003468E2">
      <w:pPr>
        <w:keepNext/>
        <w:keepLines/>
        <w:widowControl w:val="0"/>
        <w:spacing w:after="0" w:line="312" w:lineRule="auto"/>
        <w:outlineLvl w:val="0"/>
        <w:rPr>
          <w:rFonts w:cs="Calibri"/>
          <w:b/>
          <w:sz w:val="24"/>
          <w:szCs w:val="24"/>
          <w:lang w:val="fr-FR"/>
        </w:rPr>
      </w:pPr>
      <w:bookmarkStart w:id="1043" w:name="_Toc73431904"/>
      <w:bookmarkStart w:id="1044" w:name="_Toc79393078"/>
      <w:bookmarkStart w:id="1045" w:name="_Toc111888731"/>
      <w:bookmarkStart w:id="1046" w:name="_Toc127187307"/>
      <w:bookmarkStart w:id="1047" w:name="_Toc127187584"/>
      <w:bookmarkStart w:id="1048" w:name="_Toc127432341"/>
      <w:r>
        <w:rPr>
          <w:rFonts w:cs="Calibri"/>
          <w:b/>
          <w:sz w:val="24"/>
          <w:szCs w:val="24"/>
          <w:lang w:val="fr-FR"/>
        </w:rPr>
        <w:t>8.6.2. ÉQUITE INTERGENERATIONNELLE</w:t>
      </w:r>
      <w:bookmarkEnd w:id="1043"/>
      <w:bookmarkEnd w:id="1044"/>
      <w:bookmarkEnd w:id="1045"/>
      <w:bookmarkEnd w:id="1046"/>
      <w:bookmarkEnd w:id="1047"/>
      <w:bookmarkEnd w:id="1048"/>
      <w:r>
        <w:rPr>
          <w:rFonts w:cs="Calibri"/>
          <w:b/>
          <w:sz w:val="24"/>
          <w:szCs w:val="24"/>
          <w:lang w:val="fr-FR"/>
        </w:rPr>
        <w:t xml:space="preserve"> </w:t>
      </w:r>
    </w:p>
    <w:p w:rsidR="0089405D" w:rsidRDefault="0089405D">
      <w:pPr>
        <w:keepNext/>
        <w:keepLines/>
        <w:widowControl w:val="0"/>
        <w:spacing w:after="0" w:line="312" w:lineRule="auto"/>
        <w:outlineLvl w:val="0"/>
        <w:rPr>
          <w:rFonts w:cs="Calibri"/>
          <w:b/>
          <w:color w:val="2E74B5"/>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L'exploitation d'un site minier est une activité non viable (Akcil, A. &amp; Koldas, S. 2006 ; </w:t>
      </w:r>
      <w:r>
        <w:rPr>
          <w:rFonts w:eastAsia="Calibri" w:cs="Calibri"/>
          <w:sz w:val="24"/>
          <w:szCs w:val="24"/>
          <w:lang w:val="fr-FR" w:eastAsia="en-US"/>
        </w:rPr>
        <w:t>Adidi, A. 2009.</w:t>
      </w:r>
      <w:r>
        <w:rPr>
          <w:rFonts w:cs="Calibri"/>
          <w:sz w:val="24"/>
          <w:szCs w:val="24"/>
          <w:lang w:val="fr-FR"/>
        </w:rPr>
        <w:t xml:space="preserve">) de par la nature non renouvelable des ressources exploitées. Cela pose un défi majeur pour l'intégration du concept de développement durable dans cette industrie. Pour tendre vers un développement minier équitable et durable, Wellmer F et Becker-Platen J. (2002) proposent de viser à prolonger le plus possible la vie de la mine, toutefois ce prolongement peut avoir des effets négatifs, notamment, par une augmentation des impacts environnementaux et sociaux. </w:t>
      </w:r>
    </w:p>
    <w:p w:rsidR="0089405D" w:rsidRDefault="003468E2">
      <w:pPr>
        <w:spacing w:after="0" w:line="312" w:lineRule="auto"/>
        <w:jc w:val="both"/>
        <w:rPr>
          <w:rFonts w:cs="Calibri"/>
          <w:sz w:val="24"/>
          <w:szCs w:val="24"/>
          <w:lang w:val="fr-FR"/>
        </w:rPr>
      </w:pPr>
      <w:r>
        <w:rPr>
          <w:rFonts w:cs="Calibri"/>
          <w:sz w:val="24"/>
          <w:szCs w:val="24"/>
          <w:lang w:val="fr-FR"/>
        </w:rPr>
        <w:tab/>
        <w:t>De plus, il y a le risque que cette exploitation ne soit plus rentable, ce qui peut produire des problèmes pour la compagnie ou pour la communauté</w:t>
      </w:r>
      <w:r>
        <w:rPr>
          <w:rFonts w:eastAsia="Calibri" w:cs="Calibri"/>
          <w:sz w:val="24"/>
          <w:szCs w:val="24"/>
          <w:lang w:val="fr-FR" w:eastAsia="en-US"/>
        </w:rPr>
        <w:t xml:space="preserve"> (</w:t>
      </w:r>
      <w:r>
        <w:rPr>
          <w:rFonts w:cs="Calibri"/>
          <w:sz w:val="24"/>
          <w:szCs w:val="24"/>
          <w:lang w:val="fr-FR"/>
        </w:rPr>
        <w:t xml:space="preserve">Cairns, R. 2006). De ce fait, même l'augmentation de la durée de vie de la mine est limitée dans le temps et ne peut être une alternative efficace pour assurer un développement durable. Les communautés minières sont souvent mono-industrielles, c'est-à-dire que la mine y est le principal (voire parfois l'unique) fournisseur d'emplois.  Un ensemble d'impacts socio-économiques accompagne le départ de cette industrie après l'épuisement des ressources. Dans ce cas, le développement durable ne </w:t>
      </w:r>
      <w:r>
        <w:rPr>
          <w:rFonts w:cs="Calibri"/>
          <w:sz w:val="24"/>
          <w:szCs w:val="24"/>
          <w:lang w:val="fr-FR"/>
        </w:rPr>
        <w:lastRenderedPageBreak/>
        <w:t xml:space="preserve">peut être envisagé qu'à travers des régimes et politiques favorisant la diversification des activités (Diaz-Rios, H. L. et Rodriguez-Carias, A. A. (2008). </w:t>
      </w:r>
    </w:p>
    <w:p w:rsidR="0089405D" w:rsidRDefault="003468E2">
      <w:pPr>
        <w:spacing w:after="0" w:line="312" w:lineRule="auto"/>
        <w:jc w:val="both"/>
        <w:rPr>
          <w:rFonts w:cs="Calibri"/>
          <w:sz w:val="24"/>
          <w:szCs w:val="24"/>
          <w:lang w:val="fr-FR"/>
        </w:rPr>
      </w:pPr>
      <w:r>
        <w:rPr>
          <w:rFonts w:cs="Calibri"/>
          <w:sz w:val="24"/>
          <w:szCs w:val="24"/>
          <w:lang w:val="fr-FR"/>
        </w:rPr>
        <w:tab/>
        <w:t xml:space="preserve">La richesse créée par l'activité minière doit être réinvestie pour développer d'autres secteurs d'activité qui permettront d'augmenter la résilience des communautés aux cycles économiques et aux fluctuations des prix des métaux (Barbier E, 2007 ; Aguado M. &amp; Nicieza C, 2008). L'équité intergénérationnelle est la responsabilité de chaque génération à laisser un legs de ressources suffisantes aux générations futures pour leur permettre de se développer. C'est un des principes fondamentaux du développement durable. Les compagnies minières cherchent principalement les retombées économiques à court terme, alors que les communautés sont préoccupées par leur survie à long terme. </w:t>
      </w:r>
    </w:p>
    <w:p w:rsidR="0089405D" w:rsidRDefault="003468E2">
      <w:pPr>
        <w:spacing w:after="0" w:line="312" w:lineRule="auto"/>
        <w:jc w:val="both"/>
        <w:rPr>
          <w:rFonts w:cs="Calibri"/>
          <w:sz w:val="24"/>
          <w:szCs w:val="24"/>
          <w:lang w:val="fr-FR"/>
        </w:rPr>
      </w:pPr>
      <w:r>
        <w:rPr>
          <w:rFonts w:cs="Calibri"/>
          <w:sz w:val="24"/>
          <w:szCs w:val="24"/>
          <w:lang w:val="fr-FR"/>
        </w:rPr>
        <w:tab/>
        <w:t>Les gouvernements peuvent jouer un rôle important pour pousser l'industrie à respecter les principes de durabilité, notamment par des lois et règlements qui contrôlent l'intensité de l'exploitation. Une des façons de réduire le taux d'épuisement des réserves minières est le recyclage des métaux dans le but de prolonger leur vie (Haibina L. &amp; Zhenlingb L., 2010) et d'améliorer leur efficacité économique. Ainsi, ils peuvent être réutilisés sans perdre leurs caractéristiques, ce qui peut favoriser le développement durable (van Berkel R., 2007).</w:t>
      </w:r>
    </w:p>
    <w:p w:rsidR="0089405D" w:rsidRDefault="0089405D">
      <w:pPr>
        <w:spacing w:after="0" w:line="312" w:lineRule="auto"/>
        <w:jc w:val="both"/>
        <w:rPr>
          <w:rFonts w:cs="Calibri"/>
          <w:b/>
          <w:sz w:val="24"/>
          <w:szCs w:val="24"/>
          <w:highlight w:val="magenta"/>
          <w:lang w:val="fr-FR"/>
        </w:rPr>
      </w:pPr>
    </w:p>
    <w:p w:rsidR="0089405D" w:rsidRDefault="003468E2">
      <w:pPr>
        <w:keepNext/>
        <w:keepLines/>
        <w:widowControl w:val="0"/>
        <w:spacing w:after="0" w:line="312" w:lineRule="auto"/>
        <w:outlineLvl w:val="0"/>
        <w:rPr>
          <w:rFonts w:cs="Calibri"/>
          <w:b/>
          <w:sz w:val="24"/>
          <w:szCs w:val="24"/>
          <w:lang w:val="fr-FR"/>
        </w:rPr>
      </w:pPr>
      <w:bookmarkStart w:id="1049" w:name="_Toc73431905"/>
      <w:bookmarkStart w:id="1050" w:name="_Toc79393079"/>
      <w:bookmarkStart w:id="1051" w:name="_Toc111888732"/>
      <w:bookmarkStart w:id="1052" w:name="_Toc127187308"/>
      <w:bookmarkStart w:id="1053" w:name="_Toc127187585"/>
      <w:bookmarkStart w:id="1054" w:name="_Toc127432342"/>
      <w:r>
        <w:rPr>
          <w:rFonts w:cs="Calibri"/>
          <w:b/>
          <w:sz w:val="24"/>
          <w:szCs w:val="24"/>
          <w:lang w:val="fr-FR"/>
        </w:rPr>
        <w:t>8.6.3. ENVIRONNEMENT SAIN AVANT ET APRES LES OPERATIONS MINIERES</w:t>
      </w:r>
      <w:bookmarkEnd w:id="1049"/>
      <w:bookmarkEnd w:id="1050"/>
      <w:bookmarkEnd w:id="1051"/>
      <w:bookmarkEnd w:id="1052"/>
      <w:bookmarkEnd w:id="1053"/>
      <w:bookmarkEnd w:id="1054"/>
      <w:r>
        <w:rPr>
          <w:rFonts w:cs="Calibri"/>
          <w:b/>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highlight w:val="magenta"/>
          <w:lang w:val="fr-FR"/>
        </w:rPr>
      </w:pPr>
      <w:r>
        <w:rPr>
          <w:rFonts w:cs="Calibri"/>
          <w:sz w:val="24"/>
          <w:szCs w:val="24"/>
          <w:lang w:val="fr-FR"/>
        </w:rPr>
        <w:t xml:space="preserve">L'activité minière engendre une large gamme d'impacts environnementaux, à la fois pendant et après l'exploitation : la contamination des sols, des eaux et de l'air, la destruction des habitats fauniques et floristiques, la modification des paysages, la perte de la biodiversité, etc. (Mangambu, M., et al. 2021). Par conséquent, les compagnies minières ne peuvent s'engager dans une démarche de développement durable sans prévoir des façons efficaces d'atténuer les dommages directs et indirects provoqués par cette industrie, pendant et après l'exploitation. En effet, une bonne gestion environnementale constitue un outil utile pour garantir la durabilité de l'exploitation minière. Il faut assurer une utilisation efficace des ressources et une réduction des effets négatifs (Van Berkel. R, 2007). </w:t>
      </w:r>
    </w:p>
    <w:p w:rsidR="0089405D" w:rsidRDefault="003468E2">
      <w:pPr>
        <w:spacing w:after="0" w:line="312" w:lineRule="auto"/>
        <w:jc w:val="both"/>
        <w:rPr>
          <w:rFonts w:cs="Calibri"/>
          <w:sz w:val="24"/>
          <w:szCs w:val="24"/>
          <w:lang w:val="fr-FR"/>
        </w:rPr>
      </w:pPr>
      <w:r>
        <w:rPr>
          <w:rFonts w:cs="Calibri"/>
          <w:sz w:val="24"/>
          <w:szCs w:val="24"/>
          <w:lang w:val="fr-FR"/>
        </w:rPr>
        <w:tab/>
        <w:t xml:space="preserve">Par exemple, la gestion de l'eau présente un défi de taille pour l'industrie minière et doit être partie intégrante des opérations minières (Tiwari,P., 2000). Il faut adopter une approche préventive, c'est-à-dire prévenir les dommages environnementaux, plutôt que de les réparer a posteriori. Pour se diriger vers une industrie minière durable, il faut minimiser la consommation d'eau et la réutiliser autant que possible. La réhabilitation des sites miniers </w:t>
      </w:r>
      <w:r>
        <w:rPr>
          <w:rFonts w:cs="Calibri"/>
          <w:sz w:val="24"/>
          <w:szCs w:val="24"/>
          <w:lang w:val="fr-FR"/>
        </w:rPr>
        <w:lastRenderedPageBreak/>
        <w:t>après utilisation est un autre défi pour le secteur minier (Leray, C., 2008). Il est primordial de disposer d'un plan de fermeture avant même de commencer l'exploitation. La restauration des sites doit se faire de façon progressive avec une implication active des communautés concernées. L'État doit légiférer sur l'obligation de remise en état et les ressources financières appropriées doivent être mises en réserve dès le début des opérations et ajustées par la suite pour tenir compte de l'inflation et des fluctuations du marché (Aguado, M. &amp; Nicieza, C, 2008</w:t>
      </w:r>
      <w:r>
        <w:rPr>
          <w:rFonts w:eastAsia="Calibri" w:cs="Calibri"/>
          <w:sz w:val="24"/>
          <w:szCs w:val="24"/>
          <w:lang w:val="fr-FR" w:eastAsia="en-US"/>
        </w:rPr>
        <w:t xml:space="preserve"> ; </w:t>
      </w:r>
      <w:r>
        <w:rPr>
          <w:rFonts w:cs="Calibri"/>
          <w:sz w:val="24"/>
          <w:szCs w:val="24"/>
          <w:lang w:val="fr-FR"/>
        </w:rPr>
        <w:t>Leray, C. 2008).</w:t>
      </w:r>
    </w:p>
    <w:p w:rsidR="0089405D" w:rsidRDefault="0089405D">
      <w:pPr>
        <w:spacing w:after="0" w:line="312" w:lineRule="auto"/>
        <w:jc w:val="both"/>
        <w:rPr>
          <w:rFonts w:cs="Calibri"/>
          <w:b/>
          <w:sz w:val="24"/>
          <w:szCs w:val="24"/>
          <w:lang w:val="fr-FR"/>
        </w:rPr>
      </w:pPr>
    </w:p>
    <w:p w:rsidR="0089405D" w:rsidRDefault="003468E2">
      <w:pPr>
        <w:keepNext/>
        <w:keepLines/>
        <w:widowControl w:val="0"/>
        <w:spacing w:after="0" w:line="312" w:lineRule="auto"/>
        <w:jc w:val="both"/>
        <w:outlineLvl w:val="0"/>
        <w:rPr>
          <w:rFonts w:cs="Calibri"/>
          <w:b/>
          <w:sz w:val="24"/>
          <w:szCs w:val="24"/>
          <w:lang w:val="fr-FR"/>
        </w:rPr>
      </w:pPr>
      <w:bookmarkStart w:id="1055" w:name="_Toc73431906"/>
      <w:bookmarkStart w:id="1056" w:name="_Toc79393080"/>
      <w:bookmarkStart w:id="1057" w:name="_Toc111888733"/>
      <w:bookmarkStart w:id="1058" w:name="_Toc127187309"/>
      <w:bookmarkStart w:id="1059" w:name="_Toc127187586"/>
      <w:bookmarkStart w:id="1060" w:name="_Toc127432343"/>
      <w:r>
        <w:rPr>
          <w:rFonts w:cs="Calibri"/>
          <w:b/>
          <w:sz w:val="24"/>
          <w:szCs w:val="24"/>
          <w:lang w:val="fr-FR"/>
        </w:rPr>
        <w:t>8.6.4. BIEN - ETRE DES COMMUNAUTES</w:t>
      </w:r>
      <w:bookmarkEnd w:id="1055"/>
      <w:bookmarkEnd w:id="1056"/>
      <w:bookmarkEnd w:id="1057"/>
      <w:bookmarkEnd w:id="1058"/>
      <w:bookmarkEnd w:id="1059"/>
      <w:bookmarkEnd w:id="1060"/>
      <w:r>
        <w:rPr>
          <w:rFonts w:cs="Calibri"/>
          <w:b/>
          <w:sz w:val="24"/>
          <w:szCs w:val="24"/>
          <w:lang w:val="fr-FR"/>
        </w:rPr>
        <w:t xml:space="preserve"> </w:t>
      </w:r>
    </w:p>
    <w:p w:rsidR="0089405D" w:rsidRDefault="0089405D">
      <w:pPr>
        <w:keepNext/>
        <w:keepLines/>
        <w:widowControl w:val="0"/>
        <w:spacing w:after="0" w:line="312" w:lineRule="auto"/>
        <w:jc w:val="both"/>
        <w:outlineLvl w:val="0"/>
        <w:rPr>
          <w:rFonts w:cs="Calibri"/>
          <w:b/>
          <w:color w:val="2E74B5"/>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L'industrie minière peut avoir une participation importante au développement durable des communautés (Esteves, A., 2008), soit directement à travers la fourniture d'emplois et de services (éducation, santé, etc.), ou indirectement par la contribution au développement d'autres entreprises locales. Toutefois, la création d'un héritage communautaire durable reste un grand défi (Ballet J et al., 2004 ;</w:t>
      </w:r>
      <w:r>
        <w:rPr>
          <w:rFonts w:eastAsia="Calibri" w:cs="Calibri"/>
          <w:sz w:val="24"/>
          <w:szCs w:val="24"/>
          <w:lang w:val="fr-FR" w:eastAsia="en-US"/>
        </w:rPr>
        <w:t xml:space="preserve"> </w:t>
      </w:r>
      <w:r>
        <w:rPr>
          <w:rFonts w:cs="Calibri"/>
          <w:sz w:val="24"/>
          <w:szCs w:val="24"/>
          <w:lang w:val="fr-FR"/>
        </w:rPr>
        <w:t xml:space="preserve">Aguado, M. &amp; Nicieza, C, 2008). La réussite d'une démarche de développement durable exige une planification avant le démarrage et une intégration au cours des différentes phases du projet (McLellan et al., 2015). Il est très important de dresser une liste des différentes parties qui peuvent être affectées par l'exploitation, les reconnaître et s'engager avec elles dans un processus de transparence et de communication, de l'étape de l'exploration jusqu'à la fermeture de la mine et même après. Les compagnies doivent être capables d'évaluer adéquatement les différents impacts culturels, sociaux, économiques et environnementaux potentiels et d'établir des stratégies pour les prévenir ou les réduire. Kemp, D. et al., (2011) insistent sur une bonne prise en compte des attentes des communautés, ce qui aidera à améliorer la confiance entre les parties prenantes et à minimiser les conflits. </w:t>
      </w:r>
    </w:p>
    <w:p w:rsidR="0089405D" w:rsidRDefault="003468E2">
      <w:pPr>
        <w:spacing w:after="0" w:line="312" w:lineRule="auto"/>
        <w:jc w:val="both"/>
        <w:rPr>
          <w:rFonts w:eastAsia="Times New Roman" w:cs="Calibri"/>
          <w:b/>
          <w:sz w:val="24"/>
          <w:szCs w:val="24"/>
          <w:lang w:val="fr-FR" w:eastAsia="fr-FR"/>
        </w:rPr>
      </w:pPr>
      <w:r>
        <w:rPr>
          <w:rFonts w:cs="Calibri"/>
          <w:sz w:val="24"/>
          <w:szCs w:val="24"/>
          <w:lang w:val="fr-FR"/>
        </w:rPr>
        <w:tab/>
        <w:t>Le concept de la « Responsabilité Sociale ou Sociétale de l’Entreprise, RSE</w:t>
      </w:r>
      <w:r>
        <w:rPr>
          <w:rStyle w:val="Appelnotedebasdep"/>
          <w:rFonts w:cs="Calibri"/>
          <w:sz w:val="24"/>
          <w:szCs w:val="24"/>
          <w:lang w:val="fr-FR"/>
        </w:rPr>
        <w:footnoteReference w:id="79"/>
      </w:r>
      <w:r>
        <w:rPr>
          <w:rFonts w:cs="Calibri"/>
          <w:sz w:val="24"/>
          <w:szCs w:val="24"/>
          <w:lang w:val="fr-FR"/>
        </w:rPr>
        <w:t xml:space="preserve"> » est l’expression de la volonté du monde des affaires à participer à l’effort de développement </w:t>
      </w:r>
      <w:r>
        <w:rPr>
          <w:rFonts w:cs="Calibri"/>
          <w:sz w:val="24"/>
          <w:szCs w:val="24"/>
          <w:lang w:val="fr-FR"/>
        </w:rPr>
        <w:lastRenderedPageBreak/>
        <w:t>durable réclamé par les Nations unies. « Une meilleure mise en œuvre d’une politique de responsabilité sociale de l’entreprise aboutit à la fois au développement durable et à la performance de l’entreprise tout en satisfaisant les différentes préoccupations des parties prenantes de l’entreprise » (</w:t>
      </w:r>
      <w:r>
        <w:rPr>
          <w:rFonts w:eastAsia="Calibri" w:cs="Calibri"/>
          <w:sz w:val="24"/>
          <w:szCs w:val="24"/>
          <w:lang w:val="fr-FR" w:eastAsia="en-US"/>
        </w:rPr>
        <w:t>Amaazoul, H.,  2021</w:t>
      </w:r>
      <w:r>
        <w:rPr>
          <w:rFonts w:cs="Calibri"/>
          <w:sz w:val="24"/>
          <w:szCs w:val="24"/>
          <w:lang w:val="fr-FR"/>
        </w:rPr>
        <w:t>). La RSE est aussi une démarche des entreprises pour prendre en compte les impacts sociaux et environnementaux de leurs activités pour adopter les meilleures pratiques possibles et contribuer ainsi à l'amélioration de la société et à la protection de l'environnement</w:t>
      </w:r>
      <w:r>
        <w:rPr>
          <w:rFonts w:eastAsia="Calibri" w:cs="Calibri"/>
          <w:sz w:val="24"/>
          <w:szCs w:val="24"/>
          <w:lang w:val="fr-FR" w:eastAsia="en-US"/>
        </w:rPr>
        <w:t xml:space="preserve"> (</w:t>
      </w:r>
      <w:r>
        <w:rPr>
          <w:rFonts w:cs="Calibri"/>
          <w:sz w:val="24"/>
          <w:szCs w:val="24"/>
          <w:lang w:val="fr-FR"/>
        </w:rPr>
        <w:t xml:space="preserve">Capron, M. &amp; Quairel-Lanoizelée, F. 2007 ; Labelle, F. &amp; Aka, K., 2010). </w:t>
      </w:r>
    </w:p>
    <w:p w:rsidR="0089405D" w:rsidRDefault="003468E2">
      <w:pPr>
        <w:spacing w:after="0" w:line="312" w:lineRule="auto"/>
        <w:ind w:firstLine="708"/>
        <w:jc w:val="both"/>
        <w:rPr>
          <w:rFonts w:cs="Calibri"/>
          <w:sz w:val="24"/>
          <w:szCs w:val="24"/>
          <w:lang w:val="fr-FR"/>
        </w:rPr>
      </w:pPr>
      <w:r>
        <w:rPr>
          <w:rFonts w:cs="Calibri"/>
          <w:sz w:val="24"/>
          <w:szCs w:val="24"/>
          <w:lang w:val="fr-FR"/>
        </w:rPr>
        <w:t>La RSE est une approche basée sur un ensemble complet de politiques, pratiques et programmes centrés sur le respect de l'éthique, des personnes, des communautés et de l'environnement. La Banque mondiale définit pour sa part la RSE comme l'engagement des entreprises à contribuer au développement économique durable et de travailler avec tous les acteurs concernés pour améliorer leur vie</w:t>
      </w:r>
      <w:r>
        <w:rPr>
          <w:rFonts w:eastAsia="Calibri" w:cs="Calibri"/>
          <w:sz w:val="24"/>
          <w:szCs w:val="24"/>
          <w:lang w:val="fr-FR" w:eastAsia="en-US"/>
        </w:rPr>
        <w:t xml:space="preserve"> (Andrews-Speed, P. et al., 2005 ; </w:t>
      </w:r>
      <w:r>
        <w:rPr>
          <w:rFonts w:cs="Calibri"/>
          <w:sz w:val="24"/>
          <w:szCs w:val="24"/>
          <w:lang w:val="fr-FR"/>
        </w:rPr>
        <w:t xml:space="preserve">Leray, C., 2008). </w:t>
      </w: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Puisque les entreprises de nos jours sont considérées comme les institutions les plus puissantes du monde, l’étendue de la responsabilité sociale des entreprises s’est aussi élargie pour inclure des domaines jadis relevant de la compétence des États : la protection de l’environnement, la lutte contre le chômage, la recherche scientifique, l’assistance humanitaire. Ceci dit, la nature des activités de l’entreprise ainsi que sa taille et ses moyens déterminent son approche RSE. Selon Nicole Notal, (2011) la pratique de la RSE ne saurait être la même partout, il faudrait identifier dans chaque secteur les enjeux de RSE correspondant à l’activité de l’entreprise et faire en sorte que l’entreprise s’engage à la mise en œuvre de la politique RSE qui sied mieux dans son secteur d’activité.</w:t>
      </w:r>
    </w:p>
    <w:p w:rsidR="0089405D" w:rsidRDefault="0089405D">
      <w:pPr>
        <w:spacing w:after="0" w:line="312" w:lineRule="auto"/>
        <w:jc w:val="both"/>
        <w:rPr>
          <w:rFonts w:eastAsia="Times New Roman" w:cs="Calibri"/>
          <w:sz w:val="24"/>
          <w:szCs w:val="24"/>
          <w:highlight w:val="magenta"/>
          <w:lang w:val="fr-FR" w:eastAsia="fr-FR"/>
        </w:rPr>
      </w:pPr>
    </w:p>
    <w:p w:rsidR="0089405D" w:rsidRDefault="003468E2">
      <w:pPr>
        <w:keepNext/>
        <w:keepLines/>
        <w:widowControl w:val="0"/>
        <w:spacing w:after="0" w:line="312" w:lineRule="auto"/>
        <w:jc w:val="both"/>
        <w:outlineLvl w:val="0"/>
        <w:rPr>
          <w:rFonts w:cs="Calibri"/>
          <w:b/>
          <w:sz w:val="24"/>
          <w:szCs w:val="24"/>
          <w:lang w:val="fr-FR"/>
        </w:rPr>
      </w:pPr>
      <w:bookmarkStart w:id="1061" w:name="_Toc73431907"/>
      <w:bookmarkStart w:id="1062" w:name="_Toc79393081"/>
      <w:bookmarkStart w:id="1063" w:name="_Toc111888734"/>
      <w:bookmarkStart w:id="1064" w:name="_Toc127187310"/>
      <w:bookmarkStart w:id="1065" w:name="_Toc127187587"/>
      <w:bookmarkStart w:id="1066" w:name="_Toc127432344"/>
      <w:r>
        <w:rPr>
          <w:rFonts w:eastAsia="Times New Roman" w:cs="Calibri"/>
          <w:b/>
          <w:sz w:val="24"/>
          <w:szCs w:val="24"/>
          <w:lang w:val="fr-FR" w:eastAsia="fr-FR"/>
        </w:rPr>
        <w:t>8.7.</w:t>
      </w:r>
      <w:r>
        <w:rPr>
          <w:rFonts w:cs="Calibri"/>
          <w:b/>
          <w:sz w:val="24"/>
          <w:szCs w:val="24"/>
          <w:lang w:val="fr-FR"/>
        </w:rPr>
        <w:t xml:space="preserve"> ENJEUX DE LA RESPONSABILITE SOCIALE DE L'ENTREPRISE DANS LE SECTEUR MINIER</w:t>
      </w:r>
      <w:bookmarkEnd w:id="1061"/>
      <w:bookmarkEnd w:id="1062"/>
      <w:bookmarkEnd w:id="1063"/>
      <w:bookmarkEnd w:id="1064"/>
      <w:bookmarkEnd w:id="1065"/>
      <w:bookmarkEnd w:id="1066"/>
      <w:r>
        <w:rPr>
          <w:rFonts w:cs="Calibri"/>
          <w:b/>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Pour les compagnies minières, la RSE consiste en la mise en œuvre concrète des objectifs de durabilité (Audet, R. et al., 2010). Dans l'industrie minière, des progrès dans la prise en compte des trois dimensions du développement durable (économique, environnementale et sociale) pourraient être réalisés grâce à: </w:t>
      </w:r>
    </w:p>
    <w:p w:rsidR="0089405D" w:rsidRDefault="003468E2">
      <w:pPr>
        <w:spacing w:after="0" w:line="312" w:lineRule="auto"/>
        <w:jc w:val="both"/>
        <w:rPr>
          <w:rFonts w:cs="Calibri"/>
          <w:sz w:val="24"/>
          <w:szCs w:val="24"/>
          <w:lang w:val="fr-FR"/>
        </w:rPr>
      </w:pPr>
      <w:r>
        <w:rPr>
          <w:rFonts w:cs="Calibri"/>
          <w:sz w:val="24"/>
          <w:szCs w:val="24"/>
          <w:lang w:val="fr-FR"/>
        </w:rPr>
        <w:lastRenderedPageBreak/>
        <w:t xml:space="preserve">- L'investissement des revenus générés pour assurer le développement à long terme des communautés.  </w:t>
      </w:r>
    </w:p>
    <w:p w:rsidR="0089405D" w:rsidRDefault="003468E2">
      <w:pPr>
        <w:spacing w:after="0" w:line="312" w:lineRule="auto"/>
        <w:jc w:val="both"/>
        <w:rPr>
          <w:rFonts w:cs="Calibri"/>
          <w:sz w:val="24"/>
          <w:szCs w:val="24"/>
          <w:lang w:val="fr-FR"/>
        </w:rPr>
      </w:pPr>
      <w:r>
        <w:rPr>
          <w:rFonts w:cs="Calibri"/>
          <w:sz w:val="24"/>
          <w:szCs w:val="24"/>
          <w:lang w:val="fr-FR"/>
        </w:rPr>
        <w:t xml:space="preserve">-La réduction au minimum des impacts environnementaux de l'exploitation et la réhabilitation des territoires pour permettre leur utilisation après la fermeture des sites. </w:t>
      </w:r>
    </w:p>
    <w:p w:rsidR="0089405D" w:rsidRDefault="003468E2">
      <w:pPr>
        <w:spacing w:after="0" w:line="312" w:lineRule="auto"/>
        <w:jc w:val="both"/>
        <w:rPr>
          <w:rFonts w:cs="Calibri"/>
          <w:sz w:val="24"/>
          <w:szCs w:val="24"/>
          <w:lang w:val="fr-FR"/>
        </w:rPr>
      </w:pPr>
      <w:r>
        <w:rPr>
          <w:rFonts w:cs="Calibri"/>
          <w:sz w:val="24"/>
          <w:szCs w:val="24"/>
          <w:lang w:val="fr-FR"/>
        </w:rPr>
        <w:t xml:space="preserve">-La réduction des perturbations des communautés, le dialogue et la transparence. </w:t>
      </w:r>
    </w:p>
    <w:p w:rsidR="0089405D" w:rsidRDefault="003468E2">
      <w:pPr>
        <w:spacing w:after="0" w:line="312" w:lineRule="auto"/>
        <w:jc w:val="both"/>
        <w:rPr>
          <w:rFonts w:cs="Calibri"/>
          <w:sz w:val="24"/>
          <w:szCs w:val="24"/>
          <w:lang w:val="fr-FR"/>
        </w:rPr>
      </w:pPr>
      <w:r>
        <w:rPr>
          <w:rFonts w:cs="Calibri"/>
          <w:sz w:val="24"/>
          <w:szCs w:val="24"/>
          <w:lang w:val="fr-FR"/>
        </w:rPr>
        <w:tab/>
        <w:t xml:space="preserve">Dans leurs efforts pour adopter la RSE, les entreprises doivent identifier les intérêts, les préoccupations et les objectifs des différentes parties prenantes, y compris leurs employés, leurs compétiteurs, les administrations nationales, régionales et locales et les populations autochtones, et répondre à leurs besoins (Guerra, 2002 ; Biot-Paquerot, G. et al., 2010). </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jc w:val="both"/>
        <w:outlineLvl w:val="0"/>
        <w:rPr>
          <w:rFonts w:eastAsia="Times New Roman" w:cs="Calibri"/>
          <w:b/>
          <w:sz w:val="24"/>
          <w:szCs w:val="24"/>
          <w:lang w:val="fr-FR" w:eastAsia="fr-FR"/>
        </w:rPr>
      </w:pPr>
      <w:bookmarkStart w:id="1067" w:name="_Toc71470328"/>
      <w:bookmarkStart w:id="1068" w:name="_Toc73431909"/>
      <w:bookmarkStart w:id="1069" w:name="_Toc79393083"/>
      <w:bookmarkStart w:id="1070" w:name="_Toc111888735"/>
      <w:bookmarkStart w:id="1071" w:name="_Toc127187311"/>
      <w:bookmarkStart w:id="1072" w:name="_Toc127187588"/>
      <w:bookmarkStart w:id="1073" w:name="_Toc127432345"/>
      <w:r>
        <w:rPr>
          <w:rFonts w:eastAsia="Times New Roman" w:cs="Calibri"/>
          <w:b/>
          <w:sz w:val="24"/>
          <w:szCs w:val="24"/>
          <w:lang w:val="fr-FR" w:eastAsia="fr-FR"/>
        </w:rPr>
        <w:t>8.8. BENEFICES SOCIAUX ET ENVIRONNEMENTAUX DES PRODUITS FORESTIERS</w:t>
      </w:r>
      <w:bookmarkEnd w:id="1067"/>
      <w:bookmarkEnd w:id="1068"/>
      <w:bookmarkEnd w:id="1069"/>
      <w:bookmarkEnd w:id="1070"/>
      <w:bookmarkEnd w:id="1071"/>
      <w:bookmarkEnd w:id="1072"/>
      <w:bookmarkEnd w:id="1073"/>
      <w:r>
        <w:rPr>
          <w:rFonts w:eastAsia="Times New Roman" w:cs="Calibri"/>
          <w:b/>
          <w:sz w:val="24"/>
          <w:szCs w:val="24"/>
          <w:lang w:val="fr-FR" w:eastAsia="fr-FR"/>
        </w:rPr>
        <w:t xml:space="preserve"> </w:t>
      </w:r>
    </w:p>
    <w:p w:rsidR="0089405D" w:rsidRDefault="0089405D">
      <w:pPr>
        <w:spacing w:after="0" w:line="312" w:lineRule="auto"/>
        <w:jc w:val="both"/>
        <w:rPr>
          <w:rFonts w:eastAsia="Times New Roman" w:cs="Calibri"/>
          <w:sz w:val="24"/>
          <w:szCs w:val="24"/>
          <w:lang w:val="fr-FR" w:eastAsia="fr-FR"/>
        </w:rPr>
      </w:pPr>
    </w:p>
    <w:p w:rsidR="0089405D" w:rsidRDefault="003468E2">
      <w:pPr>
        <w:spacing w:after="0" w:line="312" w:lineRule="auto"/>
        <w:ind w:firstLine="708"/>
        <w:jc w:val="both"/>
        <w:rPr>
          <w:rFonts w:eastAsia="Times New Roman" w:cs="Calibri"/>
          <w:sz w:val="24"/>
          <w:szCs w:val="24"/>
          <w:lang w:val="fr-FR" w:eastAsia="fr-FR"/>
        </w:rPr>
      </w:pPr>
      <w:r>
        <w:rPr>
          <w:rFonts w:eastAsia="Times New Roman" w:cs="Calibri"/>
          <w:sz w:val="24"/>
          <w:szCs w:val="24"/>
          <w:lang w:val="fr-FR" w:eastAsia="fr-FR"/>
        </w:rPr>
        <w:t>Les différentes filières qui composent le secteur forêt-faune dans le territoire de Basoko produisent de nombreux bénéfices sociaux et environnementaux qui ont été présentés dans le chapitre troisième. Cette section se contente de rappeler les principaux d’entre eux, en distinguant les activités formelles de celles qui sont essentiellement informelles car leurs modes opératoires et leurs retombées divergent (Lee, G. et al., 2002).</w:t>
      </w:r>
    </w:p>
    <w:p w:rsidR="0089405D" w:rsidRDefault="003468E2">
      <w:pPr>
        <w:spacing w:after="0" w:line="312" w:lineRule="auto"/>
        <w:jc w:val="both"/>
        <w:rPr>
          <w:rFonts w:cs="Calibri"/>
          <w:sz w:val="24"/>
          <w:szCs w:val="24"/>
          <w:lang w:val="fr-FR"/>
        </w:rPr>
      </w:pPr>
      <w:r>
        <w:rPr>
          <w:rFonts w:cs="Calibri"/>
          <w:sz w:val="24"/>
          <w:szCs w:val="24"/>
          <w:lang w:val="fr-FR"/>
        </w:rPr>
        <w:tab/>
        <w:t xml:space="preserve">L’exploitation forestière et, dans une certaine mesure, la chasse et la pêche contribuent fortement à la construction des infrastructures sociales et à l’accès aux services de base. Ils offrent aussi des emplois formels en zones rurales et paient une fiscalité spécifique et générale importante, mais dont la rétrocession partielle aux échelles communale et villageoise peut s’avérer difficile. Ces secteurs évoluent dans un contexte légal relativement stabilisé qui vise la durabilité des ressources exploitées. Si les niveaux actuels des perceptives d’exploitation minières semi-industrielles inspirent de l’espoir sur la pérennité de ces bénéfices, il n’en est pas forcément de même des espèces recherchées par les populations locales qui semblent se raréfier. Outre les effets de cette exploitation semi-industrielle, ces ressources fauniques et floristiques seront totalement affectées (Lee, G. et al., 2002). </w:t>
      </w:r>
    </w:p>
    <w:p w:rsidR="0089405D" w:rsidRDefault="003468E2">
      <w:pPr>
        <w:spacing w:after="0" w:line="312" w:lineRule="auto"/>
        <w:jc w:val="both"/>
        <w:rPr>
          <w:rFonts w:cs="Calibri"/>
          <w:sz w:val="24"/>
          <w:szCs w:val="24"/>
          <w:lang w:val="fr-FR"/>
        </w:rPr>
      </w:pPr>
      <w:r>
        <w:rPr>
          <w:rFonts w:cs="Calibri"/>
          <w:sz w:val="24"/>
          <w:szCs w:val="24"/>
          <w:lang w:val="fr-FR"/>
        </w:rPr>
        <w:tab/>
        <w:t xml:space="preserve">Les activités informelles d’exploitation des forêts et de la faune (pêche et la chasse) apportent d’autres avantages sociaux. Elles concernent, tout d’abord, une majorité des habitants des zones rurales, qui continuent à dépendre fortement des ressources forestières pour leur alimentation et pour leurs revenus. Les femmes notamment jouent un rôle majeur dans la gestion des PFNL (Produits Forestiers Non Ligneux) ou dans la commercialisation de </w:t>
      </w:r>
      <w:r>
        <w:rPr>
          <w:rFonts w:cs="Calibri"/>
          <w:sz w:val="24"/>
          <w:szCs w:val="24"/>
          <w:lang w:val="fr-FR"/>
        </w:rPr>
        <w:lastRenderedPageBreak/>
        <w:t xml:space="preserve">la viande de brousse. Ces activités bénéficient en outre d’une forte légitimité sociale car elles s’appuient essentiellement sur les règles coutumières d’accès et d’usage des ressources forestières. </w:t>
      </w:r>
    </w:p>
    <w:p w:rsidR="0089405D" w:rsidRDefault="003468E2">
      <w:pPr>
        <w:spacing w:after="0" w:line="312" w:lineRule="auto"/>
        <w:jc w:val="both"/>
        <w:rPr>
          <w:rFonts w:cs="Calibri"/>
          <w:sz w:val="24"/>
          <w:szCs w:val="24"/>
          <w:lang w:val="fr-FR"/>
        </w:rPr>
      </w:pPr>
      <w:r>
        <w:rPr>
          <w:rFonts w:cs="Calibri"/>
          <w:sz w:val="24"/>
          <w:szCs w:val="24"/>
          <w:lang w:val="fr-FR"/>
        </w:rPr>
        <w:tab/>
        <w:t>En termes de valeur ajoutée dans le site de recherche, dans la Province de la Tshopo et même le pays en général, ce sont aujourd’hui les filières informelles qui produisent le plus de richesse à partir de l’usage des ressources forestières et fauniques. Il est nécessaire de reconnaître leur importance économique et stratégique et de leur donner une place conséquente dans la stratégie du secteur forêt-faune, la loi forestière et l’administration forestière. Au-delà, leur prise en compte doit être améliorée dans l’établissement de la comptabilité nationale.</w:t>
      </w:r>
    </w:p>
    <w:p w:rsidR="0089405D" w:rsidRDefault="0089405D">
      <w:pPr>
        <w:spacing w:after="0" w:line="312" w:lineRule="auto"/>
        <w:jc w:val="both"/>
        <w:rPr>
          <w:rFonts w:cs="Calibri"/>
          <w:kern w:val="24"/>
          <w:sz w:val="24"/>
          <w:szCs w:val="24"/>
          <w:lang w:val="fr-FR" w:eastAsia="fr-FR"/>
        </w:rPr>
      </w:pPr>
      <w:bookmarkStart w:id="1074" w:name="_Toc59458319"/>
    </w:p>
    <w:p w:rsidR="0089405D" w:rsidRDefault="003468E2">
      <w:pPr>
        <w:keepNext/>
        <w:keepLines/>
        <w:widowControl w:val="0"/>
        <w:spacing w:after="0" w:line="312" w:lineRule="auto"/>
        <w:jc w:val="both"/>
        <w:outlineLvl w:val="0"/>
        <w:rPr>
          <w:rFonts w:cs="Calibri"/>
          <w:b/>
          <w:kern w:val="24"/>
          <w:sz w:val="24"/>
          <w:szCs w:val="24"/>
          <w:lang w:val="fr-FR" w:eastAsia="fr-FR"/>
        </w:rPr>
      </w:pPr>
      <w:bookmarkStart w:id="1075" w:name="_Toc71470329"/>
      <w:bookmarkStart w:id="1076" w:name="_Toc73431910"/>
      <w:bookmarkStart w:id="1077" w:name="_Toc79393084"/>
      <w:bookmarkStart w:id="1078" w:name="_Toc111888736"/>
      <w:bookmarkStart w:id="1079" w:name="_Toc127187312"/>
      <w:bookmarkStart w:id="1080" w:name="_Toc127187589"/>
      <w:bookmarkStart w:id="1081" w:name="_Toc127432346"/>
      <w:r>
        <w:rPr>
          <w:rFonts w:cs="Calibri"/>
          <w:b/>
          <w:kern w:val="24"/>
          <w:sz w:val="24"/>
          <w:szCs w:val="24"/>
          <w:lang w:val="fr-FR" w:eastAsia="fr-FR"/>
        </w:rPr>
        <w:t>8.9. LE PRINCIPE DE PREVENTION AU CŒUR DE L’EXPLOITATION MINIERE SEMI-INDUSTRIELLE</w:t>
      </w:r>
      <w:bookmarkEnd w:id="1075"/>
      <w:bookmarkEnd w:id="1076"/>
      <w:bookmarkEnd w:id="1077"/>
      <w:bookmarkEnd w:id="1078"/>
      <w:bookmarkEnd w:id="1079"/>
      <w:bookmarkEnd w:id="1080"/>
      <w:bookmarkEnd w:id="1081"/>
      <w:r>
        <w:rPr>
          <w:rFonts w:cs="Calibri"/>
          <w:b/>
          <w:kern w:val="24"/>
          <w:sz w:val="24"/>
          <w:szCs w:val="24"/>
          <w:lang w:val="fr-FR" w:eastAsia="fr-FR"/>
        </w:rPr>
        <w:t> </w:t>
      </w:r>
    </w:p>
    <w:p w:rsidR="0089405D" w:rsidRDefault="0089405D">
      <w:pPr>
        <w:keepNext/>
        <w:keepLines/>
        <w:widowControl w:val="0"/>
        <w:spacing w:after="0" w:line="312" w:lineRule="auto"/>
        <w:jc w:val="both"/>
        <w:outlineLvl w:val="0"/>
        <w:rPr>
          <w:rFonts w:eastAsia="Times New Roman" w:cs="Calibri"/>
          <w:b/>
          <w:sz w:val="24"/>
          <w:szCs w:val="24"/>
          <w:lang w:val="fr-FR" w:eastAsia="fr-FR"/>
        </w:rPr>
      </w:pPr>
    </w:p>
    <w:p w:rsidR="0089405D" w:rsidRDefault="003468E2">
      <w:pPr>
        <w:spacing w:after="0" w:line="312" w:lineRule="auto"/>
        <w:ind w:firstLine="708"/>
        <w:jc w:val="both"/>
        <w:rPr>
          <w:rFonts w:cs="Calibri"/>
          <w:kern w:val="24"/>
          <w:sz w:val="24"/>
          <w:szCs w:val="24"/>
          <w:lang w:val="fr-FR" w:eastAsia="fr-FR"/>
        </w:rPr>
      </w:pPr>
      <w:r>
        <w:rPr>
          <w:rFonts w:cs="Calibri"/>
          <w:kern w:val="24"/>
          <w:sz w:val="24"/>
          <w:szCs w:val="24"/>
          <w:lang w:val="fr-FR" w:eastAsia="fr-FR"/>
        </w:rPr>
        <w:t>“</w:t>
      </w:r>
      <w:r>
        <w:rPr>
          <w:rFonts w:cs="Calibri"/>
          <w:i/>
          <w:kern w:val="24"/>
          <w:sz w:val="24"/>
          <w:szCs w:val="24"/>
          <w:lang w:val="fr-FR" w:eastAsia="fr-FR"/>
        </w:rPr>
        <w:t>Mieux vaut prévenir que guérir</w:t>
      </w:r>
      <w:r>
        <w:rPr>
          <w:rFonts w:cs="Calibri"/>
          <w:kern w:val="24"/>
          <w:sz w:val="24"/>
          <w:szCs w:val="24"/>
          <w:lang w:val="fr-FR" w:eastAsia="fr-FR"/>
        </w:rPr>
        <w:t>”, ainsi peut-on résumer l’approche fondamentalement préventive propre à la protection de l’environnement. Que l’on se situe du point de vue écologique ou économique, il est en effet toujours préférable, en matière d’environnement, de prévenir l’apparition des pollutions et des nuisances que de devoir y remédier ultérieurement. Tenter une réhabilitation d’un écosystème pollué se révèle rarement efficace et, économiquement, hors de prix (Bodet, C. &amp; Lamarche, T., 2007). Le principe de prévention est donc en rupture complète avec l’approche curative qui caractérise entre autres le</w:t>
      </w:r>
      <w:r>
        <w:rPr>
          <w:rFonts w:cs="Calibri"/>
          <w:sz w:val="24"/>
          <w:szCs w:val="24"/>
          <w:lang w:val="fr-FR"/>
        </w:rPr>
        <w:t xml:space="preserve"> </w:t>
      </w:r>
      <w:r>
        <w:rPr>
          <w:rFonts w:cs="Calibri"/>
          <w:kern w:val="24"/>
          <w:sz w:val="24"/>
          <w:szCs w:val="24"/>
          <w:lang w:val="fr-FR" w:eastAsia="fr-FR"/>
        </w:rPr>
        <w:t>principe du pollueur payeur. Prévenir, c’est anticiper, prendre des mesures pour éviter, empêcher ou au moins limiter la réalisation d’un risque, la production d’un dommage, l’accomplissement d’actes nuisibles en s’efforçant d’en supprimer les causes et les moyens</w:t>
      </w:r>
      <w:r>
        <w:rPr>
          <w:rFonts w:eastAsia="Calibri" w:cs="Calibri"/>
          <w:sz w:val="24"/>
          <w:szCs w:val="24"/>
          <w:lang w:val="fr-FR" w:eastAsia="en-US"/>
        </w:rPr>
        <w:t xml:space="preserve"> (Laurence, D. 2006 ; </w:t>
      </w:r>
      <w:r>
        <w:rPr>
          <w:rFonts w:cs="Calibri"/>
          <w:kern w:val="24"/>
          <w:sz w:val="24"/>
          <w:szCs w:val="24"/>
          <w:lang w:val="fr-FR" w:eastAsia="fr-FR"/>
        </w:rPr>
        <w:t>Baborowski, M. &amp; Bozau, E. 2006).</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ab/>
        <w:t>Dans un secteur comme celui de l’exploitation minière, le principe de prévention s’appuie sur des procédures d’autorisation préalable qui, inscrites en droit interne et complétées par l’imposition de normes règlementaires, permettent à l’Etat d’intervenir en amont de la réalisation d’un projet pour l’interdire ou en modifier certains aspects afin d’en limiter les conséquences négatives. Les piliers de ce principe sont donc l’interdiction, la maîtrise de l’activité dommageable, l’information et l’incitation (Sadeleer, N., 1994</w:t>
      </w:r>
      <w:r>
        <w:rPr>
          <w:rFonts w:eastAsia="Calibri" w:cs="Calibri"/>
          <w:sz w:val="24"/>
          <w:szCs w:val="24"/>
          <w:lang w:val="fr-FR" w:eastAsia="en-US"/>
        </w:rPr>
        <w:t xml:space="preserve"> ; </w:t>
      </w:r>
      <w:r>
        <w:rPr>
          <w:rFonts w:cs="Calibri"/>
          <w:kern w:val="24"/>
          <w:sz w:val="24"/>
          <w:szCs w:val="24"/>
          <w:lang w:val="fr-FR" w:eastAsia="fr-FR"/>
        </w:rPr>
        <w:t>Bebbington, A. et al., 2008).</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ab/>
        <w:t xml:space="preserve">Le droit international de l’environnement faisant obligation aux Etats de faire participer leur public à toutes les prises de décisions en matière d’environnement, procéder </w:t>
      </w:r>
      <w:r>
        <w:rPr>
          <w:rFonts w:cs="Calibri"/>
          <w:kern w:val="24"/>
          <w:sz w:val="24"/>
          <w:szCs w:val="24"/>
          <w:lang w:val="fr-FR" w:eastAsia="fr-FR"/>
        </w:rPr>
        <w:lastRenderedPageBreak/>
        <w:t xml:space="preserve">à la consultation du public afin d’avoir sa  perception des problèmes liés à la gestion de son cadre de vie s’avère plus que jamais nécessaire ; c’est ce que relève dans plusieurs  Code de l’environnement des plusieurs pays du monde, relatif à l’information et la participation des populations (Canivet G. et al., 2006). </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Un tel argument est soutenu par le Principe premier de la Déclaration de Stockholm (1972) sur l’environnement qui stipule que :</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 l’homme à la responsabilité solennelle de protéger et d’améliorer l’environnement pour les générations présentes et futures » ;</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 l’homme n’est qu’un gestionnaire de la Terre qu’il doit garder, entretenir et préserver honnêtement ».</w:t>
      </w:r>
    </w:p>
    <w:p w:rsidR="0089405D" w:rsidRDefault="003468E2">
      <w:pPr>
        <w:spacing w:after="0" w:line="312" w:lineRule="auto"/>
        <w:jc w:val="both"/>
        <w:rPr>
          <w:rFonts w:eastAsia="Times New Roman" w:cs="Calibri"/>
          <w:sz w:val="24"/>
          <w:szCs w:val="24"/>
          <w:lang w:val="fr-FR" w:eastAsia="fr-FR"/>
        </w:rPr>
      </w:pPr>
      <w:r>
        <w:rPr>
          <w:rFonts w:cs="Calibri"/>
          <w:kern w:val="24"/>
          <w:sz w:val="24"/>
          <w:szCs w:val="24"/>
          <w:lang w:val="fr-FR" w:eastAsia="fr-FR"/>
        </w:rPr>
        <w:tab/>
      </w:r>
      <w:r>
        <w:rPr>
          <w:rFonts w:eastAsia="Times New Roman" w:cs="Calibri"/>
          <w:sz w:val="24"/>
          <w:szCs w:val="24"/>
          <w:lang w:val="fr-FR" w:eastAsia="fr-FR"/>
        </w:rPr>
        <w:t>Les règles et perceptions locales de la nature favorisent la gestion durable des ressources, il serait pertinent de les reconnaître officiellement et de renforcer leur statut tel que souligné dans le nouveau code minier de 2018 et l’inscrire aussi dans le code forestier et de la protection des eaux. Cette proposition nécessite la révision des modes de tenure forestière et foncière qui n’admettent pas la propriété coutumière de certaines ressources. Une telle décentralisation de la gestion de certaines ressources naturelles devrait être encadrée par des principes simples d’exploitation durable, qui seraient contrôlés par les services administratifs. De plus, il faut probablement dès aujourd’hui avoir une meilleure connaissance de l’état des ressources utilisées par ces filières et mettre en place des systèmes de suivi simples et pouvant guider les décisions de gestion des acteurs locaux (Bodet, C. &amp; Lamarche, T., 2007).</w:t>
      </w:r>
    </w:p>
    <w:p w:rsidR="0089405D" w:rsidRDefault="0089405D">
      <w:pPr>
        <w:spacing w:after="0" w:line="312" w:lineRule="auto"/>
        <w:jc w:val="both"/>
        <w:rPr>
          <w:rFonts w:eastAsia="Times New Roman" w:cs="Calibri"/>
          <w:b/>
          <w:sz w:val="24"/>
          <w:szCs w:val="24"/>
          <w:lang w:val="fr-FR" w:eastAsia="fr-FR"/>
        </w:rPr>
      </w:pPr>
    </w:p>
    <w:p w:rsidR="0089405D" w:rsidRDefault="003468E2">
      <w:pPr>
        <w:keepNext/>
        <w:keepLines/>
        <w:widowControl w:val="0"/>
        <w:spacing w:after="0" w:line="312" w:lineRule="auto"/>
        <w:jc w:val="both"/>
        <w:outlineLvl w:val="0"/>
        <w:rPr>
          <w:rFonts w:eastAsia="Times New Roman" w:cs="Calibri"/>
          <w:b/>
          <w:sz w:val="24"/>
          <w:szCs w:val="24"/>
          <w:lang w:val="fr-FR" w:eastAsia="fr-FR"/>
        </w:rPr>
      </w:pPr>
      <w:bookmarkStart w:id="1082" w:name="_Toc111888737"/>
      <w:bookmarkStart w:id="1083" w:name="_Toc127187313"/>
      <w:bookmarkStart w:id="1084" w:name="_Toc127187590"/>
      <w:bookmarkStart w:id="1085" w:name="_Toc127432347"/>
      <w:bookmarkStart w:id="1086" w:name="_Toc71470330"/>
      <w:bookmarkStart w:id="1087" w:name="_Toc73431911"/>
      <w:bookmarkStart w:id="1088" w:name="_Toc79393085"/>
      <w:r>
        <w:rPr>
          <w:rFonts w:eastAsia="Times New Roman" w:cs="Calibri"/>
          <w:b/>
          <w:sz w:val="24"/>
          <w:szCs w:val="24"/>
          <w:lang w:val="fr-FR" w:eastAsia="fr-FR"/>
        </w:rPr>
        <w:t>8.10. L’ENVIRONNEMENT AU CŒUR DE LA SOLUTION</w:t>
      </w:r>
      <w:bookmarkEnd w:id="1082"/>
      <w:bookmarkEnd w:id="1083"/>
      <w:bookmarkEnd w:id="1084"/>
      <w:bookmarkEnd w:id="1085"/>
    </w:p>
    <w:p w:rsidR="0089405D" w:rsidRDefault="0089405D">
      <w:pPr>
        <w:spacing w:after="0" w:line="312" w:lineRule="auto"/>
        <w:jc w:val="both"/>
        <w:rPr>
          <w:rFonts w:eastAsia="Times New Roman" w:cs="Calibri"/>
          <w:b/>
          <w:sz w:val="24"/>
          <w:szCs w:val="24"/>
          <w:lang w:val="fr-FR" w:eastAsia="fr-FR"/>
        </w:rPr>
      </w:pPr>
    </w:p>
    <w:p w:rsidR="0089405D" w:rsidRDefault="003468E2">
      <w:pPr>
        <w:spacing w:after="0" w:line="312" w:lineRule="auto"/>
        <w:jc w:val="both"/>
        <w:rPr>
          <w:rFonts w:eastAsia="Times New Roman" w:cs="Calibri"/>
          <w:sz w:val="24"/>
          <w:szCs w:val="24"/>
          <w:lang w:val="fr-FR" w:eastAsia="fr-FR"/>
        </w:rPr>
      </w:pPr>
      <w:r>
        <w:rPr>
          <w:rFonts w:eastAsia="Times New Roman" w:cs="Calibri"/>
          <w:sz w:val="24"/>
          <w:szCs w:val="24"/>
          <w:lang w:val="fr-FR" w:eastAsia="fr-FR"/>
        </w:rPr>
        <w:t>Il est presque impossible pour l’État congolais de réussir à développer le pays et à lutter contre la pauvreté en continuant dans la direction prise jusqu’à aujourd’hui, étant donné que les conséquences de l’exploitation minière vont à l’encontre du but même de celle-ci. L’environnement se doit d’être au cœur des préoccupations de l’État car il concerne et influence tous les acteurs et le développement du pays dépend de sa protection. Les effets néfastes de l’exploitation minière sur l’environnement ne permettent pas à la population de vivre correctement de l’agriculture et contribuent ainsi à son appauvrissement. Pourtant, le pays est également dépendant de l’agriculture.</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Cette contradiction reflète le décalage entre les stratégies mises en place et la réalité. Afin de lutter contre la pauvreté et de favoriser le développement économique et social, l’État </w:t>
      </w:r>
      <w:r>
        <w:rPr>
          <w:rFonts w:eastAsia="Times New Roman" w:cs="Calibri"/>
          <w:sz w:val="24"/>
          <w:szCs w:val="24"/>
          <w:lang w:val="fr-FR" w:eastAsia="fr-FR"/>
        </w:rPr>
        <w:lastRenderedPageBreak/>
        <w:t>ne doit pas seulement prendre en compte la variable environnementale mais agir activement pour la protection de l’environnement. Si l’exploitation minière en RDC continue en conservant ses proportions actuelles, il est fort probable que la situation se transforme en réelle crise environnementale, ce qui pourrait par la suite causer une grave crise alimentaire comme c’est déjà le cas dans la province du Kasaï, étant donné que la survie des populations dépend des conditions d’accès aux terres agricoles, aux forêts et à l’eau qui sont des ressources vitales. Les impacts sociaux et environnementaux sont inévitables en raison de l’intensité de l’exploitation minière qui est menée à trop grande échelle.</w:t>
      </w:r>
    </w:p>
    <w:p w:rsidR="0089405D" w:rsidRDefault="0089405D">
      <w:pPr>
        <w:spacing w:after="0" w:line="312" w:lineRule="auto"/>
        <w:ind w:firstLine="709"/>
        <w:jc w:val="both"/>
        <w:rPr>
          <w:rFonts w:eastAsia="Times New Roman" w:cs="Calibri"/>
          <w:b/>
          <w:sz w:val="24"/>
          <w:szCs w:val="24"/>
          <w:lang w:val="fr-FR" w:eastAsia="fr-FR"/>
        </w:rPr>
      </w:pPr>
    </w:p>
    <w:p w:rsidR="0089405D" w:rsidRDefault="003468E2">
      <w:pPr>
        <w:spacing w:after="0" w:line="312" w:lineRule="auto"/>
        <w:rPr>
          <w:rFonts w:eastAsia="Times New Roman" w:cs="Calibri"/>
          <w:b/>
          <w:sz w:val="24"/>
          <w:szCs w:val="24"/>
          <w:lang w:val="fr-FR" w:eastAsia="fr-FR"/>
        </w:rPr>
      </w:pPr>
      <w:r>
        <w:rPr>
          <w:rFonts w:eastAsia="Times New Roman" w:cs="Calibri"/>
          <w:b/>
          <w:sz w:val="24"/>
          <w:szCs w:val="24"/>
          <w:lang w:val="fr-FR" w:eastAsia="fr-FR"/>
        </w:rPr>
        <w:t xml:space="preserve">8.10.1. Environnement est au cœur de la solution </w:t>
      </w:r>
    </w:p>
    <w:p w:rsidR="0089405D" w:rsidRDefault="0089405D">
      <w:pPr>
        <w:spacing w:after="0" w:line="312" w:lineRule="auto"/>
        <w:rPr>
          <w:rFonts w:eastAsia="Times New Roman" w:cs="Calibri"/>
          <w:b/>
          <w:sz w:val="24"/>
          <w:szCs w:val="24"/>
          <w:lang w:val="fr-FR" w:eastAsia="fr-FR"/>
        </w:rPr>
      </w:pP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Si l’environnement est au cœur de la solution, c’est parce que sa conservation permettrait de briser le cycle qui est à la base de la crise politique et sécuritaire dans le pays. La réduire drastiquement les dégâts faits à l’environnement par l’exploitation minière pourrait donner lieu à une réduction de la pauvreté et, de ce fait, participer également à la diminution de l’instabilité politique et des conflits armés.</w:t>
      </w:r>
      <w:r>
        <w:rPr>
          <w:rFonts w:eastAsia="Times New Roman" w:cs="Calibri"/>
          <w:b/>
          <w:sz w:val="24"/>
          <w:szCs w:val="24"/>
          <w:lang w:val="fr-FR" w:eastAsia="fr-FR"/>
        </w:rPr>
        <w:t xml:space="preserve"> </w:t>
      </w:r>
      <w:r>
        <w:rPr>
          <w:rFonts w:eastAsia="Times New Roman" w:cs="Calibri"/>
          <w:sz w:val="24"/>
          <w:szCs w:val="24"/>
          <w:lang w:val="fr-FR" w:eastAsia="fr-FR"/>
        </w:rPr>
        <w:t>En effet, il a été prouvé que la destruction de l’environnement par des pratiques telles que</w:t>
      </w:r>
      <w:r>
        <w:rPr>
          <w:lang w:val="fr-FR"/>
        </w:rPr>
        <w:t xml:space="preserve"> </w:t>
      </w:r>
      <w:r>
        <w:rPr>
          <w:rFonts w:eastAsia="Times New Roman" w:cs="Calibri"/>
          <w:sz w:val="24"/>
          <w:szCs w:val="24"/>
          <w:lang w:val="fr-FR" w:eastAsia="fr-FR"/>
        </w:rPr>
        <w:t>l’extraction minière menace directement la paix, la sécurité et la stabilité des régions impactées.</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Ces activités néfastes sont à l’origine de cercles vicieux qui viennent contrecarrer la consolidation de la paix et la restauration d’un gouvernement légitime car la pauvreté des populations, due aux pratiques environnementales dévastatrices et aux disparités économiques qu’entraine l’extraction minière, entraîne une instabilité politique et favorise la création de groupes armés, alors que ce dernier aspect renforce également la pauvreté des Congolais.</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Si les enjeux qui enclosent la contamination des écosystèmes sont aujourd’hui connus de tous, leur prise en compte au sein de l’élaboration des politiques de développement n’est pas acquise, alors que cette problématique possède une place majoritaire et constitue un point de passage obligatoire pour une croissance économique saine et, par la suite, l’édification d’un développement durable. Il est donc essentiel de remettre en question les idéaux de modernité et de redéfinir notre rapport à la nature afin de développer des modes de fonctionnement adaptés aux pays éprouvés par les tensions et les conflits et de mieux prendre en compte les populations et les générations futures. </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 xml:space="preserve">Nombreux sont les chercheurs et les spécialistes qui proposent des solutions aux problèmes les plus urgents et les plus dangereux, tels que les maladies liées à la pollution </w:t>
      </w:r>
      <w:r>
        <w:rPr>
          <w:rFonts w:eastAsia="Times New Roman" w:cs="Calibri"/>
          <w:sz w:val="24"/>
          <w:szCs w:val="24"/>
          <w:lang w:val="fr-FR" w:eastAsia="fr-FR"/>
        </w:rPr>
        <w:lastRenderedPageBreak/>
        <w:t xml:space="preserve">causée par les rejets des mines, et qui alertent sur les dangers de l’exploitation minière en priant les autorités d’agir rapidement. Il est crucial que les autorités locales et les décideurs politiques prennent des mesures pour atténuer les écoulements pollués en provenance des sites miniers actifs et abandonnés vers les réseaux fluviaux car c’est la principale source de pollution et la plus facile à endiguer. Certaines études démontrent l’utilité de planter un certain type de plante possédant de fortes capacités d’absorption en métaux lourds pour diminuer la pollution. </w:t>
      </w:r>
    </w:p>
    <w:p w:rsidR="0089405D" w:rsidRDefault="003468E2">
      <w:pPr>
        <w:spacing w:after="0" w:line="312" w:lineRule="auto"/>
        <w:ind w:firstLine="709"/>
        <w:jc w:val="both"/>
        <w:rPr>
          <w:rFonts w:eastAsia="Times New Roman" w:cs="Calibri"/>
          <w:b/>
          <w:sz w:val="24"/>
          <w:szCs w:val="24"/>
          <w:lang w:val="fr-FR" w:eastAsia="fr-FR"/>
        </w:rPr>
      </w:pPr>
      <w:r>
        <w:rPr>
          <w:rFonts w:eastAsia="Times New Roman" w:cs="Calibri"/>
          <w:sz w:val="24"/>
          <w:szCs w:val="24"/>
          <w:lang w:val="fr-FR" w:eastAsia="fr-FR"/>
        </w:rPr>
        <w:t>Ayant déjà prouvé son efficacité, cette approche nommée « phytoremédiation » ne constitue cependant qu’une méthode à court-terme dont le but final est la restauration de la végétation et la réduction des contaminants116. D’autres initiatives pourraient être mises en place telles que des programmes de recherches-action concernant les facteurs majeurs de pollution des ressources117 ou encore le recyclage des métaux et minerais, comme l’utilisation de l’or stocké dans certaines banques qui n’est jamais mis à profit. Leur financement permettrait de prévenir la détérioration trop rapide des écosystèmes et la perte des moyens de survie des populations, tout en réduisant l’ampleur des conflits liés au commerce illicite des minerais.</w:t>
      </w:r>
    </w:p>
    <w:p w:rsidR="0089405D" w:rsidRDefault="003468E2">
      <w:pPr>
        <w:spacing w:after="0" w:line="312" w:lineRule="auto"/>
        <w:ind w:firstLine="709"/>
        <w:jc w:val="both"/>
        <w:rPr>
          <w:rFonts w:eastAsia="Times New Roman" w:cs="Calibri"/>
          <w:sz w:val="24"/>
          <w:szCs w:val="24"/>
          <w:lang w:val="fr-FR" w:eastAsia="fr-FR"/>
        </w:rPr>
      </w:pPr>
      <w:r>
        <w:rPr>
          <w:rFonts w:eastAsia="Times New Roman" w:cs="Calibri"/>
          <w:sz w:val="24"/>
          <w:szCs w:val="24"/>
          <w:lang w:val="fr-FR" w:eastAsia="fr-FR"/>
        </w:rPr>
        <w:t>L’environnement fait indéniablement partie de la solution et sa prise en compte, en plus de sa restauration, serait liée à l’amélioration des conditions de vie des Congolais, à des terres agricoles plus fertiles et donc à une croissance économique et à un développement des communautés locales. Tout développement économique et social passe par l’exploitation pertinente et performante des terres fertiles inexploitées pour relancer le secteur agricole et de la pêche comme le cas du territoire de Basoko. Il semble donc nécessaire de ne pas centrer la stratégie de développement sur l’unique exploitation minière qui entraîne d’importantes dégradations environnementales, sans compter sur des défaillances étatiques freinant toutes possibilités de progrès. Les efforts des différents acteurs pour tenter de réduire l’instabilité liée à cette dépendance aux ressources naturelles restent vains en raison de la tentative d’application de stratégies qui demeurent inadaptées. 117</w:t>
      </w:r>
    </w:p>
    <w:p w:rsidR="0089405D" w:rsidRDefault="0089405D">
      <w:pPr>
        <w:keepNext/>
        <w:keepLines/>
        <w:widowControl w:val="0"/>
        <w:spacing w:after="0" w:line="312" w:lineRule="auto"/>
        <w:jc w:val="both"/>
        <w:outlineLvl w:val="0"/>
        <w:rPr>
          <w:rFonts w:eastAsia="Times New Roman" w:cs="Calibri"/>
          <w:b/>
          <w:sz w:val="24"/>
          <w:szCs w:val="24"/>
          <w:lang w:val="fr-FR" w:eastAsia="fr-FR"/>
        </w:rPr>
      </w:pPr>
    </w:p>
    <w:p w:rsidR="0089405D" w:rsidRDefault="003468E2">
      <w:pPr>
        <w:keepNext/>
        <w:keepLines/>
        <w:widowControl w:val="0"/>
        <w:spacing w:after="0" w:line="312" w:lineRule="auto"/>
        <w:outlineLvl w:val="0"/>
        <w:rPr>
          <w:rFonts w:cs="Calibri"/>
          <w:sz w:val="24"/>
          <w:szCs w:val="24"/>
          <w:lang w:val="fr-FR"/>
        </w:rPr>
      </w:pPr>
      <w:bookmarkStart w:id="1089" w:name="_Toc111888738"/>
      <w:bookmarkStart w:id="1090" w:name="_Toc127187314"/>
      <w:bookmarkStart w:id="1091" w:name="_Toc127187591"/>
      <w:bookmarkStart w:id="1092" w:name="_Toc127432348"/>
      <w:r>
        <w:rPr>
          <w:rFonts w:eastAsia="Times New Roman" w:cs="Calibri"/>
          <w:b/>
          <w:sz w:val="24"/>
          <w:szCs w:val="24"/>
          <w:lang w:val="fr-FR" w:eastAsia="fr-FR"/>
        </w:rPr>
        <w:t>8.11. CONCLUSION</w:t>
      </w:r>
      <w:bookmarkEnd w:id="1074"/>
      <w:bookmarkEnd w:id="1086"/>
      <w:bookmarkEnd w:id="1087"/>
      <w:bookmarkEnd w:id="1088"/>
      <w:bookmarkEnd w:id="1089"/>
      <w:bookmarkEnd w:id="1090"/>
      <w:bookmarkEnd w:id="1091"/>
      <w:bookmarkEnd w:id="1092"/>
      <w:r>
        <w:rPr>
          <w:rFonts w:eastAsia="Times New Roman" w:cs="Calibri"/>
          <w:b/>
          <w:sz w:val="24"/>
          <w:szCs w:val="24"/>
          <w:lang w:val="fr-FR" w:eastAsia="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Trois principes doivent être pris en compte dans</w:t>
      </w:r>
      <w:r>
        <w:rPr>
          <w:rFonts w:eastAsia="Times New Roman" w:cs="Calibri"/>
          <w:b/>
          <w:sz w:val="24"/>
          <w:szCs w:val="24"/>
          <w:lang w:val="fr-FR" w:eastAsia="fr-FR"/>
        </w:rPr>
        <w:t xml:space="preserve"> </w:t>
      </w:r>
      <w:r>
        <w:rPr>
          <w:rFonts w:eastAsia="Times New Roman" w:cs="Calibri"/>
          <w:sz w:val="24"/>
          <w:szCs w:val="24"/>
          <w:lang w:val="fr-FR" w:eastAsia="fr-FR"/>
        </w:rPr>
        <w:t>la Prévention des exploitations industrielles ou semi-industrielles, afin d’avoir la même perception dans les problèmes liés à la protection durable de l’environnement :</w:t>
      </w:r>
      <w:r>
        <w:rPr>
          <w:rFonts w:eastAsia="Calibri" w:cs="Calibri"/>
          <w:b/>
          <w:bCs/>
          <w:sz w:val="24"/>
          <w:szCs w:val="24"/>
          <w:lang w:val="fr-FR" w:eastAsia="en-US"/>
        </w:rPr>
        <w:t xml:space="preserve"> </w:t>
      </w:r>
      <w:r>
        <w:rPr>
          <w:rFonts w:eastAsia="Calibri" w:cs="Calibri"/>
          <w:bCs/>
          <w:sz w:val="24"/>
          <w:szCs w:val="24"/>
          <w:lang w:val="fr-FR" w:eastAsia="en-US"/>
        </w:rPr>
        <w:t xml:space="preserve">un développement minier durable, Responsabilité sociale de l'entreprise dans le secteur minier et les perspectives d’avenir. </w:t>
      </w:r>
      <w:r>
        <w:rPr>
          <w:rFonts w:cs="Calibri"/>
          <w:sz w:val="24"/>
          <w:szCs w:val="24"/>
          <w:lang w:val="fr-FR"/>
        </w:rPr>
        <w:t xml:space="preserve">Il convient de </w:t>
      </w:r>
      <w:r>
        <w:rPr>
          <w:rFonts w:cs="Calibri"/>
          <w:sz w:val="24"/>
          <w:szCs w:val="24"/>
          <w:lang w:val="fr-FR"/>
        </w:rPr>
        <w:lastRenderedPageBreak/>
        <w:t>souligner que le développement minier se fait différemment dans les pays en développement et dans les pays développés. Cela dit, les principes, valeurs, besoins et points de vue exprimés par les répondants trouveront certainement des échos dans d'autres pays. Le gouvernement est appelé à la révision de la législation minière et environnementale, afin de la moderniser et de la rendre plus efficace, notamment en se basant sur les principes consacrés par les conventions internationales.</w:t>
      </w:r>
    </w:p>
    <w:p w:rsidR="0089405D" w:rsidRDefault="003468E2">
      <w:pPr>
        <w:spacing w:after="0" w:line="312" w:lineRule="auto"/>
        <w:ind w:firstLine="708"/>
        <w:jc w:val="both"/>
        <w:rPr>
          <w:rFonts w:cs="Calibri"/>
          <w:sz w:val="24"/>
          <w:szCs w:val="24"/>
          <w:lang w:val="fr-FR"/>
        </w:rPr>
      </w:pPr>
      <w:r>
        <w:rPr>
          <w:rFonts w:cs="Calibri"/>
          <w:sz w:val="24"/>
          <w:szCs w:val="24"/>
          <w:lang w:val="fr-FR"/>
        </w:rPr>
        <w:t>Si le concept de développement durable semble désormais bien défini et intégré dans les politiques minières de la RDC, au moins au niveau du discours, son application concrète en est à ses premiers balbutiements et il est par conséquent impossible d'évaluer l'efficacité ou les impacts de cette exploitation pour le moment. Donc, il est impossible de déterminer si les discours des représentants de la compagnie et des gouvernements se traduiront par des actions concrètes et des changements profonds. Les communautés locales, les organismes environnementaux, les gouvernements et les entreprises minières doivent travailler ensemble pour obtenir de meilleurs résultats.</w:t>
      </w:r>
    </w:p>
    <w:p w:rsidR="0089405D" w:rsidRDefault="003468E2">
      <w:pPr>
        <w:spacing w:after="0" w:line="312" w:lineRule="auto"/>
        <w:jc w:val="both"/>
        <w:rPr>
          <w:rFonts w:cs="Calibri"/>
          <w:sz w:val="24"/>
          <w:szCs w:val="24"/>
          <w:lang w:val="fr-FR"/>
        </w:rPr>
      </w:pPr>
      <w:r>
        <w:rPr>
          <w:rFonts w:cs="Calibri"/>
          <w:sz w:val="24"/>
          <w:szCs w:val="24"/>
          <w:lang w:val="fr-FR"/>
        </w:rPr>
        <w:tab/>
        <w:t>Les acteurs interrogés dans le cadre de cette étude ont souligné l'importance pour les sociétés d’exploitation minière d'intégrer les principes du développement durable afin d'atteindre l'équilibre entre le respect de l'environnement, le progrès social et l'efficacité économique. La contribution d'une mine au développement économique d'une région est limitée dans le temps, car il s'agit d'une exploitation de ressources non renouvelables. Le défi est donc de faire en sorte que les retombées profitent autant aux générations actuelles que futures. En particulier, la gestion de l'après-mine doit être programmée en étroite collaboration entre les compagnies minières, les populations concernées et les gouvernements. Cette planification doit inclure le démarrage de projets parallèles à la mine, qui vont éventuellement la remplacer comme source d'emplois et de développement au sein d'une économie locale diversifiée. L'efficacité d'application du développement durable dépend en grande partie de la réglementation et des lois en vigueur. En effet, le cadre légal doit être solide pour définir où commencent et où se terminent les responsabilités des différents acteurs liés à l'activité minière.</w:t>
      </w:r>
    </w:p>
    <w:p w:rsidR="0089405D" w:rsidRDefault="003468E2">
      <w:pPr>
        <w:spacing w:after="0" w:line="312" w:lineRule="auto"/>
        <w:jc w:val="both"/>
        <w:rPr>
          <w:rFonts w:cs="Calibri"/>
          <w:sz w:val="24"/>
          <w:szCs w:val="24"/>
          <w:lang w:val="fr-FR"/>
        </w:rPr>
      </w:pPr>
      <w:r>
        <w:rPr>
          <w:rFonts w:cs="Calibri"/>
          <w:sz w:val="24"/>
          <w:szCs w:val="24"/>
          <w:lang w:val="fr-FR"/>
        </w:rPr>
        <w:tab/>
        <w:t xml:space="preserve">Les entreprises minières subissent de plus en plus de pression pour s'inscrire dans une démarche respectueuse de l'environnement et contribuer au développement durable des communautés en contribuant au renforcement des capacités locales et en répartissant équitablement les bénéfices (Carroll, A. 1999). Pour s'inscrire dans une démarche responsable, les compagnies minières doivent identifier et évaluer, tout d'abord, les impacts environnementaux, sociaux et économiques susceptibles de découler des phases </w:t>
      </w:r>
      <w:r>
        <w:rPr>
          <w:rFonts w:cs="Calibri"/>
          <w:sz w:val="24"/>
          <w:szCs w:val="24"/>
          <w:lang w:val="fr-FR"/>
        </w:rPr>
        <w:lastRenderedPageBreak/>
        <w:t>d'exploration, de construction, d'exploitation et de fermeture d'une mine afin de mettre en œuvre des mesures d'atténuation, en collaboration avec les communautés concernées. Pour réussir une démarche de développement durable, il est nécessaire d'avoir des relations solides avec les différents acteurs concernés.</w:t>
      </w:r>
    </w:p>
    <w:p w:rsidR="0089405D" w:rsidRDefault="003468E2">
      <w:pPr>
        <w:autoSpaceDE w:val="0"/>
        <w:autoSpaceDN w:val="0"/>
        <w:adjustRightInd w:val="0"/>
        <w:spacing w:after="0" w:line="312" w:lineRule="auto"/>
        <w:jc w:val="both"/>
        <w:rPr>
          <w:rFonts w:eastAsia="Times New Roman" w:cs="Calibri"/>
          <w:sz w:val="24"/>
          <w:szCs w:val="24"/>
          <w:lang w:val="fr-FR" w:eastAsia="fr-FR"/>
        </w:rPr>
      </w:pPr>
      <w:r>
        <w:rPr>
          <w:rFonts w:eastAsia="Calibri" w:cs="Calibri"/>
          <w:b/>
          <w:bCs/>
          <w:sz w:val="24"/>
          <w:szCs w:val="24"/>
          <w:lang w:val="fr-FR" w:eastAsia="en-US"/>
        </w:rPr>
        <w:tab/>
      </w:r>
      <w:r>
        <w:rPr>
          <w:rFonts w:eastAsia="Calibri" w:cs="Calibri"/>
          <w:sz w:val="24"/>
          <w:szCs w:val="24"/>
          <w:lang w:val="fr-FR" w:eastAsia="en-US"/>
        </w:rPr>
        <w:t xml:space="preserve">Les résultats de nos analyses n'ont par contre pas permis de dégager un modèle type pour déterminer comment cette collaboration pourrait se faire. Néanmoins, en identifiant les points de convergence et de divergence entre les points de vue des différents acteurs relativement au développement minier durable, nos enquêtes ont jeté les bases pour qu'un tel exercice puisse avoir lieu. </w:t>
      </w:r>
      <w:r>
        <w:rPr>
          <w:rFonts w:eastAsia="Times New Roman" w:cs="Calibri"/>
          <w:sz w:val="24"/>
          <w:szCs w:val="24"/>
          <w:lang w:val="fr-FR" w:eastAsia="fr-FR"/>
        </w:rPr>
        <w:t>Comme le précise l’UNEP (Programme des Nations Unies pour l’Environnement) “le but immédiat de ses études sont d’éclairer le processus de décision en identifiant les effets et risques significatifs du point de vue de l’environnement comme le cas de Liambe. Les impacts de ce projet auront des effets directs et indirects sur les rejets toxiques sur la qualité de l’air ou de l’eau que l’effet sur la santé humaine de l’exposition à des produits toxiques introduits dans la chaîne alimentaire.</w:t>
      </w:r>
    </w:p>
    <w:p w:rsidR="0089405D" w:rsidRDefault="0089405D">
      <w:pPr>
        <w:keepNext/>
        <w:keepLines/>
        <w:widowControl w:val="0"/>
        <w:spacing w:after="0" w:line="312" w:lineRule="auto"/>
        <w:outlineLvl w:val="0"/>
        <w:rPr>
          <w:rFonts w:eastAsia="Times New Roman" w:cs="Calibri"/>
          <w:sz w:val="24"/>
          <w:szCs w:val="24"/>
          <w:lang w:val="fr-FR" w:eastAsia="fr-FR"/>
        </w:rPr>
      </w:pPr>
      <w:bookmarkStart w:id="1093" w:name="_Toc59458320"/>
      <w:bookmarkStart w:id="1094" w:name="_Toc71470331"/>
      <w:bookmarkStart w:id="1095" w:name="_Toc73431912"/>
    </w:p>
    <w:p w:rsidR="0089405D" w:rsidRDefault="003468E2">
      <w:pPr>
        <w:keepNext/>
        <w:keepLines/>
        <w:widowControl w:val="0"/>
        <w:spacing w:after="0" w:line="312" w:lineRule="auto"/>
        <w:jc w:val="both"/>
        <w:outlineLvl w:val="0"/>
        <w:rPr>
          <w:rFonts w:cs="Calibri"/>
          <w:b/>
          <w:sz w:val="24"/>
          <w:szCs w:val="24"/>
          <w:lang w:val="fr-FR"/>
        </w:rPr>
      </w:pPr>
      <w:bookmarkStart w:id="1096" w:name="_Toc127187315"/>
      <w:bookmarkStart w:id="1097" w:name="_Toc127187592"/>
      <w:bookmarkStart w:id="1098" w:name="_Toc127432349"/>
      <w:bookmarkEnd w:id="1093"/>
      <w:bookmarkEnd w:id="1094"/>
      <w:bookmarkEnd w:id="1095"/>
      <w:r>
        <w:rPr>
          <w:rFonts w:cs="Calibri"/>
          <w:b/>
          <w:sz w:val="24"/>
          <w:szCs w:val="24"/>
          <w:lang w:val="fr-FR"/>
        </w:rPr>
        <w:t>RÉFÉRENCES BIBLIOGRAPHIQUES</w:t>
      </w:r>
      <w:bookmarkEnd w:id="1096"/>
      <w:bookmarkEnd w:id="1097"/>
      <w:bookmarkEnd w:id="1098"/>
    </w:p>
    <w:p w:rsidR="0089405D" w:rsidRDefault="0089405D">
      <w:pPr>
        <w:keepNext/>
        <w:keepLines/>
        <w:widowControl w:val="0"/>
        <w:spacing w:after="0" w:line="312" w:lineRule="auto"/>
        <w:jc w:val="both"/>
        <w:outlineLvl w:val="0"/>
        <w:rPr>
          <w:rFonts w:eastAsia="Calibri" w:cs="Calibri"/>
          <w:sz w:val="24"/>
          <w:szCs w:val="24"/>
          <w:lang w:val="fr-FR" w:eastAsia="en-US"/>
        </w:rPr>
      </w:pP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 xml:space="preserve">Adidi, A. (2009). </w:t>
      </w:r>
      <w:r>
        <w:rPr>
          <w:rFonts w:eastAsia="Calibri" w:cs="Calibri"/>
          <w:iCs/>
          <w:sz w:val="24"/>
          <w:szCs w:val="24"/>
          <w:lang w:val="fr-FR" w:eastAsia="en-US"/>
        </w:rPr>
        <w:t xml:space="preserve">Les villes minières marocaines face au défi du développement durable. </w:t>
      </w:r>
      <w:r>
        <w:rPr>
          <w:rFonts w:eastAsia="Calibri" w:cs="Calibri"/>
          <w:sz w:val="24"/>
          <w:szCs w:val="24"/>
          <w:lang w:val="fr-FR" w:eastAsia="en-US"/>
        </w:rPr>
        <w:t>Institut national d'aménagement et d'urbanisme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eastAsia="Calibri" w:cs="Calibri"/>
          <w:sz w:val="24"/>
          <w:szCs w:val="24"/>
          <w:lang w:eastAsia="en-US"/>
        </w:rPr>
        <w:t xml:space="preserve">Aguado, M.-B. &amp; Nicieza, C.-G. (2008). An empirical index to evaluate the sustainability of mining projects. </w:t>
      </w:r>
      <w:r>
        <w:rPr>
          <w:rFonts w:eastAsia="Calibri" w:cs="Calibri"/>
          <w:iCs/>
          <w:sz w:val="24"/>
          <w:szCs w:val="24"/>
          <w:lang w:eastAsia="en-US"/>
        </w:rPr>
        <w:t xml:space="preserve">International Journal ofEnvironment and Pollution </w:t>
      </w:r>
      <w:r>
        <w:rPr>
          <w:rFonts w:eastAsia="Calibri" w:cs="Calibri"/>
          <w:sz w:val="24"/>
          <w:szCs w:val="24"/>
          <w:lang w:eastAsia="en-US"/>
        </w:rPr>
        <w:t>33: 336-359;</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Akcil, A. &amp; Koldas, S. (2006). Acid mine drainage (AMD): causes, treatment and case studies. </w:t>
      </w:r>
      <w:r>
        <w:rPr>
          <w:rFonts w:eastAsia="Calibri" w:cs="Calibri"/>
          <w:iCs/>
          <w:sz w:val="24"/>
          <w:szCs w:val="24"/>
          <w:lang w:eastAsia="en-US"/>
        </w:rPr>
        <w:t xml:space="preserve">Journal of Cleaner Production </w:t>
      </w:r>
      <w:r>
        <w:rPr>
          <w:rFonts w:eastAsia="Calibri" w:cs="Calibri"/>
          <w:sz w:val="24"/>
          <w:szCs w:val="24"/>
          <w:lang w:val="fr-FR" w:eastAsia="en-US"/>
        </w:rPr>
        <w:t>14: 1139-1145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Amaazoul H., (2021). « Responsabilité sociétale des entreprises et performance financière : Etude appliquée aux entreprises marocaines », L’Harmattan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Andrews-Speed, P.; Ma, G.; Shao, B. &amp; Liao, C. (2005). Economie responses to the closure ofsmallscale coal mines in Chongqing, China. </w:t>
      </w:r>
      <w:r>
        <w:rPr>
          <w:rFonts w:eastAsia="Calibri" w:cs="Calibri"/>
          <w:iCs/>
          <w:sz w:val="24"/>
          <w:szCs w:val="24"/>
          <w:lang w:val="fr-FR" w:eastAsia="en-US"/>
        </w:rPr>
        <w:t xml:space="preserve">Resources Policy </w:t>
      </w:r>
      <w:r>
        <w:rPr>
          <w:rFonts w:eastAsia="Calibri" w:cs="Calibri"/>
          <w:sz w:val="24"/>
          <w:szCs w:val="24"/>
          <w:lang w:val="fr-FR" w:eastAsia="en-US"/>
        </w:rPr>
        <w:t>30: 39-54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 xml:space="preserve">Audet, R.; Gendron, C. &amp; Vaillancourt, J. G. (2010). </w:t>
      </w:r>
      <w:r>
        <w:rPr>
          <w:rFonts w:eastAsia="Calibri" w:cs="Calibri"/>
          <w:iCs/>
          <w:sz w:val="24"/>
          <w:szCs w:val="24"/>
          <w:lang w:val="fr-FR" w:eastAsia="en-US"/>
        </w:rPr>
        <w:t xml:space="preserve">Développement durable et responsabilité sociale. De la mobilisation à l'institutionnalisation. </w:t>
      </w:r>
      <w:r>
        <w:rPr>
          <w:rFonts w:eastAsia="Calibri" w:cs="Calibri"/>
          <w:sz w:val="24"/>
          <w:szCs w:val="24"/>
          <w:lang w:val="fr-FR" w:eastAsia="en-US"/>
        </w:rPr>
        <w:t>Presses internationales Polytechnique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Azapagic, A. (2004). Developing a framework for sustainable development indicators for the mining and minerais industry. </w:t>
      </w:r>
      <w:r>
        <w:rPr>
          <w:rFonts w:eastAsia="Calibri" w:cs="Calibri"/>
          <w:iCs/>
          <w:sz w:val="24"/>
          <w:szCs w:val="24"/>
          <w:lang w:val="fr-FR" w:eastAsia="en-US"/>
        </w:rPr>
        <w:t xml:space="preserve">Journal ofCleaner Production </w:t>
      </w:r>
      <w:r>
        <w:rPr>
          <w:rFonts w:eastAsia="Calibri" w:cs="Calibri"/>
          <w:sz w:val="24"/>
          <w:szCs w:val="24"/>
          <w:lang w:val="fr-FR" w:eastAsia="en-US"/>
        </w:rPr>
        <w:t>12: 639-662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Baborowski, M. &amp; Bozau, E. (2006). Impact of former mining activit ies on the uramum distribution in the River Saale (German y). </w:t>
      </w:r>
      <w:r>
        <w:rPr>
          <w:rFonts w:eastAsia="Calibri" w:cs="Calibri"/>
          <w:iCs/>
          <w:sz w:val="24"/>
          <w:szCs w:val="24"/>
          <w:lang w:val="fr-FR" w:eastAsia="en-US"/>
        </w:rPr>
        <w:t xml:space="preserve">Applied Geochemistry </w:t>
      </w:r>
      <w:r>
        <w:rPr>
          <w:rFonts w:eastAsia="Calibri" w:cs="Calibri"/>
          <w:sz w:val="24"/>
          <w:szCs w:val="24"/>
          <w:lang w:val="fr-FR" w:eastAsia="en-US"/>
        </w:rPr>
        <w:t>21: 1073-1082 </w:t>
      </w:r>
    </w:p>
    <w:p w:rsidR="0089405D" w:rsidRDefault="003468E2">
      <w:pPr>
        <w:pStyle w:val="Paragraphedeliste"/>
        <w:numPr>
          <w:ilvl w:val="0"/>
          <w:numId w:val="42"/>
        </w:numPr>
        <w:autoSpaceDE w:val="0"/>
        <w:autoSpaceDN w:val="0"/>
        <w:adjustRightInd w:val="0"/>
        <w:spacing w:line="312" w:lineRule="auto"/>
        <w:jc w:val="both"/>
        <w:rPr>
          <w:rFonts w:eastAsia="Calibri" w:cs="Calibri"/>
          <w:iCs/>
          <w:color w:val="0070C0"/>
          <w:sz w:val="24"/>
          <w:szCs w:val="24"/>
          <w:u w:val="single"/>
          <w:lang w:val="fr-FR" w:eastAsia="en-US"/>
        </w:rPr>
      </w:pPr>
      <w:r>
        <w:rPr>
          <w:rFonts w:eastAsia="Calibri" w:cs="Calibri"/>
          <w:sz w:val="24"/>
          <w:szCs w:val="24"/>
          <w:lang w:val="fr-FR" w:eastAsia="en-US"/>
        </w:rPr>
        <w:lastRenderedPageBreak/>
        <w:t>Ballet, J. (2007). La gestion en commun des ressources naturelles : une perspective cntlque.</w:t>
      </w:r>
      <w:r>
        <w:rPr>
          <w:rFonts w:eastAsia="Calibri" w:cs="Calibri"/>
          <w:iCs/>
          <w:sz w:val="24"/>
          <w:szCs w:val="24"/>
          <w:lang w:val="fr-FR" w:eastAsia="en-US"/>
        </w:rPr>
        <w:t>Développement durable et territoires</w:t>
      </w:r>
      <w:r>
        <w:rPr>
          <w:rFonts w:eastAsia="Calibri" w:cs="Calibri"/>
          <w:sz w:val="24"/>
          <w:szCs w:val="24"/>
          <w:lang w:val="fr-FR" w:eastAsia="en-US"/>
        </w:rPr>
        <w:t xml:space="preserve">. </w:t>
      </w:r>
      <w:r>
        <w:rPr>
          <w:rFonts w:eastAsia="Calibri" w:cs="Calibri"/>
          <w:color w:val="0070C0"/>
          <w:sz w:val="24"/>
          <w:szCs w:val="24"/>
          <w:u w:val="single"/>
          <w:lang w:val="fr-FR" w:eastAsia="en-US"/>
        </w:rPr>
        <w:t>http ://developpementdurable.revues.org/396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 xml:space="preserve">Ballet, J.; Dubois J.-L. &amp; Mahieu, F.-R. (2004). À la recherche du développement socialement durable : concepts fondamentaux et principes de base. </w:t>
      </w:r>
      <w:r>
        <w:rPr>
          <w:rFonts w:eastAsia="Calibri" w:cs="Calibri"/>
          <w:iCs/>
          <w:sz w:val="24"/>
          <w:szCs w:val="24"/>
          <w:lang w:val="fr-FR" w:eastAsia="en-US"/>
        </w:rPr>
        <w:t xml:space="preserve">Développement durable et territoires. </w:t>
      </w:r>
      <w:r>
        <w:rPr>
          <w:rFonts w:eastAsia="Calibri" w:cs="Calibri"/>
          <w:sz w:val="24"/>
          <w:szCs w:val="24"/>
          <w:lang w:val="fr-FR" w:eastAsia="en-US"/>
        </w:rPr>
        <w:t xml:space="preserve"> </w:t>
      </w:r>
      <w:r>
        <w:rPr>
          <w:rFonts w:eastAsia="Calibri" w:cs="Calibri"/>
          <w:color w:val="0070C0"/>
          <w:sz w:val="24"/>
          <w:szCs w:val="24"/>
          <w:u w:val="single"/>
          <w:lang w:val="fr-FR" w:eastAsia="en-US"/>
        </w:rPr>
        <w:t>http://developpementdurable.revues.org/ 1165</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Banque Mondiale (1992a). Développement et droits de l’homme : Le rôle de la Banque mondiale, Washington, D.C. 20433 ; ISBN  0-8213-4340-8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rPr>
        <w:t xml:space="preserve">Banque Mondiale (1992b). Strategy for african Mining. </w:t>
      </w:r>
      <w:r>
        <w:rPr>
          <w:rFonts w:cs="Calibri"/>
          <w:sz w:val="24"/>
          <w:szCs w:val="24"/>
          <w:lang w:val="fr-FR"/>
        </w:rPr>
        <w:t>Rapport technique; No 181</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Barbier, E. B. (2007). Frontiers and sustainable economy development. </w:t>
      </w:r>
      <w:r>
        <w:rPr>
          <w:rFonts w:eastAsia="Calibri" w:cs="Calibri"/>
          <w:iCs/>
          <w:sz w:val="24"/>
          <w:szCs w:val="24"/>
          <w:lang w:val="fr-FR" w:eastAsia="en-US"/>
        </w:rPr>
        <w:t xml:space="preserve">Environmental and Resource Economies </w:t>
      </w:r>
      <w:r>
        <w:rPr>
          <w:rFonts w:eastAsia="Calibri" w:cs="Calibri"/>
          <w:sz w:val="24"/>
          <w:szCs w:val="24"/>
          <w:lang w:val="fr-FR" w:eastAsia="en-US"/>
        </w:rPr>
        <w:t>37: 271-295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eastAsia="Calibri" w:cs="Calibri"/>
          <w:sz w:val="24"/>
          <w:szCs w:val="24"/>
          <w:lang w:eastAsia="en-US"/>
        </w:rPr>
        <w:t xml:space="preserve">Bebbington, A.; Hinoj osa, L..; Bebbington, D. H.; Bumeo, M. L. &amp; Wamaars, X. (2008). Contention and ambiguity: mining and the possibilities of development. </w:t>
      </w:r>
      <w:r>
        <w:rPr>
          <w:rFonts w:eastAsia="Calibri" w:cs="Calibri"/>
          <w:iCs/>
          <w:sz w:val="24"/>
          <w:szCs w:val="24"/>
          <w:lang w:eastAsia="en-US"/>
        </w:rPr>
        <w:t xml:space="preserve">Development and Change </w:t>
      </w:r>
      <w:r>
        <w:rPr>
          <w:rFonts w:eastAsia="Calibri" w:cs="Calibri"/>
          <w:sz w:val="24"/>
          <w:szCs w:val="24"/>
          <w:lang w:eastAsia="en-US"/>
        </w:rPr>
        <w:t>39: 887-914 </w:t>
      </w:r>
    </w:p>
    <w:p w:rsidR="0089405D" w:rsidRDefault="003468E2">
      <w:pPr>
        <w:pStyle w:val="Paragraphedeliste"/>
        <w:numPr>
          <w:ilvl w:val="0"/>
          <w:numId w:val="42"/>
        </w:numPr>
        <w:autoSpaceDE w:val="0"/>
        <w:autoSpaceDN w:val="0"/>
        <w:adjustRightInd w:val="0"/>
        <w:spacing w:line="312" w:lineRule="auto"/>
        <w:jc w:val="both"/>
        <w:rPr>
          <w:rFonts w:eastAsia="Calibri" w:cs="Calibri"/>
          <w:iCs/>
          <w:color w:val="0070C0"/>
          <w:sz w:val="24"/>
          <w:szCs w:val="24"/>
          <w:u w:val="single"/>
          <w:lang w:val="fr-FR" w:eastAsia="en-US"/>
        </w:rPr>
      </w:pPr>
      <w:r>
        <w:rPr>
          <w:rFonts w:eastAsia="Calibri" w:cs="Calibri"/>
          <w:sz w:val="24"/>
          <w:szCs w:val="24"/>
          <w:lang w:eastAsia="en-US"/>
        </w:rPr>
        <w:t xml:space="preserve">Bhattacharya, J. (2000). Sustainable development of natural resources: implications for mining of miner ais. </w:t>
      </w:r>
      <w:r>
        <w:rPr>
          <w:rFonts w:eastAsia="Calibri" w:cs="Calibri"/>
          <w:iCs/>
          <w:sz w:val="24"/>
          <w:szCs w:val="24"/>
          <w:lang w:eastAsia="en-US"/>
        </w:rPr>
        <w:t xml:space="preserve">Mineral Resources Engineering </w:t>
      </w:r>
      <w:r>
        <w:rPr>
          <w:rFonts w:eastAsia="Calibri" w:cs="Calibri"/>
          <w:sz w:val="24"/>
          <w:szCs w:val="24"/>
          <w:lang w:eastAsia="en-US"/>
        </w:rPr>
        <w:t>9: 451-464.</w:t>
      </w:r>
      <w:r>
        <w:rPr>
          <w:rFonts w:eastAsia="Calibri" w:cs="Calibri"/>
          <w:iCs/>
          <w:sz w:val="24"/>
          <w:szCs w:val="24"/>
          <w:lang w:eastAsia="en-US"/>
        </w:rPr>
        <w:t xml:space="preserve">Biot-Paquerot, G., Hasnaoui, A. &amp; Avril, P.O. (2010). </w:t>
      </w:r>
      <w:r>
        <w:rPr>
          <w:rFonts w:eastAsia="Calibri" w:cs="Calibri"/>
          <w:iCs/>
          <w:sz w:val="24"/>
          <w:szCs w:val="24"/>
          <w:lang w:val="fr-FR" w:eastAsia="en-US"/>
        </w:rPr>
        <w:t xml:space="preserve">De l'intégration des problématiques RSE dans les projets SI: émergence d'une approche hybride. Manuscrit no. hal-00495851, version 1, publié sur le site de l'archive ouverte pluridisciplinaire HAL </w:t>
      </w:r>
      <w:r>
        <w:rPr>
          <w:rFonts w:eastAsia="Calibri" w:cs="Calibri"/>
          <w:iCs/>
          <w:color w:val="0070C0"/>
          <w:sz w:val="24"/>
          <w:szCs w:val="24"/>
          <w:u w:val="single"/>
          <w:lang w:val="fr-FR" w:eastAsia="en-US"/>
        </w:rPr>
        <w:t>http://hal.archives-ouvertes.fr</w:t>
      </w:r>
    </w:p>
    <w:p w:rsidR="0089405D" w:rsidRDefault="003468E2">
      <w:pPr>
        <w:pStyle w:val="Paragraphedeliste"/>
        <w:numPr>
          <w:ilvl w:val="0"/>
          <w:numId w:val="42"/>
        </w:numPr>
        <w:autoSpaceDE w:val="0"/>
        <w:autoSpaceDN w:val="0"/>
        <w:adjustRightInd w:val="0"/>
        <w:spacing w:line="312" w:lineRule="auto"/>
        <w:jc w:val="both"/>
        <w:rPr>
          <w:rFonts w:eastAsia="Calibri" w:cs="Calibri"/>
          <w:iCs/>
          <w:color w:val="0070C0"/>
          <w:sz w:val="24"/>
          <w:szCs w:val="24"/>
          <w:u w:val="single"/>
          <w:lang w:val="fr-FR" w:eastAsia="en-US"/>
        </w:rPr>
      </w:pPr>
      <w:r>
        <w:rPr>
          <w:rFonts w:eastAsia="Calibri" w:cs="Calibri"/>
          <w:sz w:val="24"/>
          <w:szCs w:val="24"/>
          <w:lang w:val="fr-FR" w:eastAsia="en-US"/>
        </w:rPr>
        <w:t xml:space="preserve">Bodet, C. &amp; Lamarche, T. (2007). La Responsabilité sociale des entreprises comme innovation institutionnelle. Une lecture régulationniste. </w:t>
      </w:r>
      <w:r>
        <w:rPr>
          <w:rFonts w:eastAsia="Calibri" w:cs="Calibri"/>
          <w:iCs/>
          <w:sz w:val="24"/>
          <w:szCs w:val="24"/>
          <w:lang w:val="fr-FR" w:eastAsia="en-US"/>
        </w:rPr>
        <w:t>Revue de la régulation</w:t>
      </w:r>
      <w:r>
        <w:rPr>
          <w:rFonts w:eastAsia="Calibri" w:cs="Calibri"/>
          <w:sz w:val="24"/>
          <w:szCs w:val="24"/>
          <w:lang w:val="fr-FR" w:eastAsia="en-US"/>
        </w:rPr>
        <w:t xml:space="preserve">, </w:t>
      </w:r>
      <w:r>
        <w:rPr>
          <w:rFonts w:eastAsia="Calibri" w:cs="Calibri"/>
          <w:color w:val="0070C0"/>
          <w:sz w:val="24"/>
          <w:szCs w:val="24"/>
          <w:u w:val="single"/>
          <w:lang w:val="fr-FR" w:eastAsia="en-US"/>
        </w:rPr>
        <w:t>http:</w:t>
      </w:r>
      <w:r>
        <w:rPr>
          <w:lang w:val="fr-FR"/>
        </w:rPr>
        <w:t xml:space="preserve"> </w:t>
      </w:r>
      <w:r>
        <w:rPr>
          <w:rFonts w:eastAsia="Calibri" w:cs="Calibri"/>
          <w:color w:val="0070C0"/>
          <w:sz w:val="24"/>
          <w:szCs w:val="24"/>
          <w:u w:val="single"/>
          <w:lang w:val="fr-FR" w:eastAsia="en-US"/>
        </w:rPr>
        <w:t>//regulation.revues.org/index 1283.html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Bonneuil, C. (2006). Cultures épistémiques et engagement public des chercheurs dans la controverse OGM, Natures Sciences Sociétés, 3(14), 257-268.</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Cairns, R. D. (2006). On accounting for sustainable development and accounting for the environment. </w:t>
      </w:r>
      <w:r>
        <w:rPr>
          <w:rFonts w:eastAsia="Calibri" w:cs="Calibri"/>
          <w:iCs/>
          <w:sz w:val="24"/>
          <w:szCs w:val="24"/>
          <w:lang w:val="fr-FR" w:eastAsia="en-US"/>
        </w:rPr>
        <w:t xml:space="preserve">Resources Policy, </w:t>
      </w:r>
      <w:r>
        <w:rPr>
          <w:rFonts w:eastAsia="Calibri" w:cs="Calibri"/>
          <w:sz w:val="24"/>
          <w:szCs w:val="24"/>
          <w:lang w:val="fr-FR" w:eastAsia="en-US"/>
        </w:rPr>
        <w:t>31: 211-216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 xml:space="preserve">Capron, M. &amp; Quairel-Lanoizelée, F. (2004). </w:t>
      </w:r>
      <w:r>
        <w:rPr>
          <w:rFonts w:eastAsia="Calibri" w:cs="Calibri"/>
          <w:iCs/>
          <w:sz w:val="24"/>
          <w:szCs w:val="24"/>
          <w:lang w:val="fr-FR" w:eastAsia="en-US"/>
        </w:rPr>
        <w:t xml:space="preserve">Mythes et réalités de l'entreprise responsable. Acteurs, enjeux, stratégies. </w:t>
      </w:r>
      <w:r>
        <w:rPr>
          <w:rFonts w:eastAsia="Calibri" w:cs="Calibri"/>
          <w:sz w:val="24"/>
          <w:szCs w:val="24"/>
          <w:lang w:val="fr-FR" w:eastAsia="en-US"/>
        </w:rPr>
        <w:t>Paris : Éditions La Découverte</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Carroll, A. B. (1999). Corporate social responsibility. Evolution of a definitional construct. </w:t>
      </w:r>
      <w:r>
        <w:rPr>
          <w:rFonts w:eastAsia="Calibri" w:cs="Calibri"/>
          <w:iCs/>
          <w:sz w:val="24"/>
          <w:szCs w:val="24"/>
          <w:lang w:val="fr-FR" w:eastAsia="en-US"/>
        </w:rPr>
        <w:t xml:space="preserve">Business and Society, </w:t>
      </w:r>
      <w:r>
        <w:rPr>
          <w:rFonts w:eastAsia="Calibri" w:cs="Calibri"/>
          <w:sz w:val="24"/>
          <w:szCs w:val="24"/>
          <w:lang w:val="fr-FR" w:eastAsia="en-US"/>
        </w:rPr>
        <w:t>38: 268-295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Defailly, D. (2000). « L’économie du Sud-Kivu 1990-2000 : mutations profondes cachées par une panne ». In F. Reyntjens &amp; S. Marysse (éd.), L’Afrique des Grands Lacs. Annuaire 1999-2000. Paris : L’Harmattan, 163-192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lastRenderedPageBreak/>
        <w:t xml:space="preserve">Diaz-Rios, H. L. &amp; Rodriguez-Carias, A. A. (2008). </w:t>
      </w:r>
      <w:r>
        <w:rPr>
          <w:rFonts w:cs="Calibri"/>
          <w:sz w:val="24"/>
          <w:szCs w:val="24"/>
        </w:rPr>
        <w:t xml:space="preserve">Intake and nutrient digestibility of tropical grasses and legume hay supplemented with tilapia fish silage. </w:t>
      </w:r>
      <w:r>
        <w:rPr>
          <w:rFonts w:cs="Calibri"/>
          <w:sz w:val="24"/>
          <w:szCs w:val="24"/>
          <w:lang w:val="fr-FR"/>
        </w:rPr>
        <w:t>J. Agric. Univ. P. R., 92 (1-2): 27-38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Dmoergue,  C.  &amp;  Mpoyi  Mbunga,  A.  (2012).  «  La  gestion  des  ressources  naturelles  pour  une  croissance  durable  ».  In  J.  Herderschee,  D.  Mukoko  Samba  &amp;  M. Tshimenga  Tshibangu  (éd.),  Résilience  d’un  géant  africain  :  accélerer  la  croissance  et  promouvoir  l’emploi  en  République  démocratique  du  Congo.  Études  sectorielles, volume 2. Kinshasa : Médiaspaul, 99-183</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 xml:space="preserve">Enrique, L. ; Jaffal M. &amp; Hanich, L. (2012). Etude géophysique et hydrogéologique du site minier abandonné de Kettara (région de Marrakech, Maroc) : contribution au projet de réhabilitation. </w:t>
      </w:r>
      <w:r>
        <w:rPr>
          <w:rFonts w:eastAsia="Calibri" w:cs="Calibri"/>
          <w:iCs/>
          <w:sz w:val="24"/>
          <w:szCs w:val="24"/>
          <w:lang w:val="fr-FR" w:eastAsia="en-US"/>
        </w:rPr>
        <w:t xml:space="preserve">Hydrological Sciences Journal, </w:t>
      </w:r>
      <w:r>
        <w:rPr>
          <w:rFonts w:eastAsia="Calibri" w:cs="Calibri"/>
          <w:sz w:val="24"/>
          <w:szCs w:val="24"/>
          <w:lang w:val="fr-FR" w:eastAsia="en-US"/>
        </w:rPr>
        <w:t>57: 1-12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cs="Calibri"/>
          <w:sz w:val="24"/>
          <w:szCs w:val="24"/>
        </w:rPr>
        <w:t xml:space="preserve">Esteves, A.M (2008). Mining and Social Development: Refocusing Community Investment Using Multi-Criteria Decision Analysis. Resources Policy 33(1):39-47.    </w:t>
      </w:r>
      <w:hyperlink r:id="rId130" w:history="1">
        <w:r>
          <w:rPr>
            <w:rStyle w:val="Lienhypertexte"/>
            <w:rFonts w:cs="Calibri"/>
            <w:sz w:val="24"/>
            <w:szCs w:val="24"/>
          </w:rPr>
          <w:t>https://doi.org/10.1016/j.resourpol.2008.01.002</w:t>
        </w:r>
      </w:hyperlink>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Geenen, S. &amp; Custers, R. (2010). « Tiraillements autour du secteur minier de l’Est de la RDC ». In S. Vandeginste, F. Reyntjens &amp; S. Marysse (éd.), L’Afrique des Grands Lacs. Annuaire 2009-2010. Paris : Le Harmattan 231-258</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Geenen, S. &amp; Kamundala, G. (2009). « Qui cherche, trouve : opportunités, défis et espoirs dans le secteur de l’or à Kamituga, Sud-Kivu ». In S. Marysse, F. Reyntjens &amp; S. Vandeginste (éd.), L’Afrique des Grands Lacs. Annuaire 2008-2009. Paris : Le Harmattan, 183-214</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Geenen, S. ; Kamundala, G. &amp; Iragi, F. (2011).  Le pari qui paralysait : la suspension des activités minières artisanales au Sud-Kivu ». In F. Reyntjens &amp; S. Marysse (éd.), L’Afrique des Grands Lacs. Annuaire 2010-2011. Paris : Le Harmattan, 161-183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rPr>
        <w:t xml:space="preserve">Haibina, L. &amp; Zhenlingb , L. (2010). Recycling utilization patterns of coal mining waste in China. </w:t>
      </w:r>
      <w:r>
        <w:rPr>
          <w:rFonts w:cs="Calibri"/>
          <w:sz w:val="24"/>
          <w:szCs w:val="24"/>
          <w:lang w:val="fr-FR"/>
        </w:rPr>
        <w:t xml:space="preserve">Resources, Conservation and Recycling. 54 (12): 1331-1340 </w:t>
      </w:r>
      <w:hyperlink r:id="rId131" w:history="1">
        <w:r>
          <w:rPr>
            <w:rStyle w:val="Lienhypertexte"/>
            <w:rFonts w:cs="Calibri"/>
            <w:sz w:val="24"/>
            <w:szCs w:val="24"/>
            <w:lang w:val="fr-FR"/>
          </w:rPr>
          <w:t>https://doi.org/10.1016/j.resconrec.2010.05.005</w:t>
        </w:r>
      </w:hyperlink>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Issaka, D. (2017) : Un développement durable fondé sur l’exploitation minière est-il envisageable ? Élaboration d’un Indice de Soutenabilité des Pays Miniers appliqué au Burkina Faso et au Niger, Thèse de Doctorant, Université Bretagne Loire</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Jean-Paul II (1979). Redemptor Hominis « Le Rédempteur de l'homme », Première de lettre encyclique, Vatican, Rome</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cs="Calibri"/>
          <w:sz w:val="24"/>
          <w:szCs w:val="24"/>
        </w:rPr>
        <w:t xml:space="preserve">Kemp, A.C.; Horton, B. P.; Donnelly, J.P.; Mann, M. E.; Vermeer, M. &amp; Rahmstorf, S. (2010). Climate related sea-level variations over the past two millennia. The </w:t>
      </w:r>
      <w:r>
        <w:rPr>
          <w:rFonts w:cs="Calibri"/>
          <w:sz w:val="24"/>
          <w:szCs w:val="24"/>
        </w:rPr>
        <w:lastRenderedPageBreak/>
        <w:t xml:space="preserve">Proceedings of the National Academy of Science, 108 (27) 11017-11022; </w:t>
      </w:r>
      <w:hyperlink r:id="rId132" w:history="1">
        <w:r>
          <w:rPr>
            <w:rStyle w:val="Lienhypertexte"/>
            <w:rFonts w:cs="Calibri"/>
            <w:sz w:val="24"/>
            <w:szCs w:val="24"/>
          </w:rPr>
          <w:t>https://doi.org/10.1073/pnas.1015619108</w:t>
        </w:r>
      </w:hyperlink>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Kombo, M. A. (2007). Le principe de prévention et l'étude d'impact sur l'environnement dans le projet d'exploitation miniere en R.D. Congo. Mémoire de Master 2, Université de Limoges – France</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 xml:space="preserve">Labelle, F. &amp; Aka, K. G. (2010). Le </w:t>
      </w:r>
      <w:r>
        <w:rPr>
          <w:rFonts w:eastAsia="Calibri" w:cs="Calibri"/>
          <w:iCs/>
          <w:sz w:val="24"/>
          <w:szCs w:val="24"/>
          <w:lang w:val="fr-FR" w:eastAsia="en-US"/>
        </w:rPr>
        <w:t xml:space="preserve">business case </w:t>
      </w:r>
      <w:r>
        <w:rPr>
          <w:rFonts w:eastAsia="Calibri" w:cs="Calibri"/>
          <w:sz w:val="24"/>
          <w:szCs w:val="24"/>
          <w:lang w:val="fr-FR" w:eastAsia="en-US"/>
        </w:rPr>
        <w:t xml:space="preserve">pour la responsabilité sociale des entreprises adapté aux PME. 5 cas québécois. </w:t>
      </w:r>
      <w:r>
        <w:rPr>
          <w:rFonts w:eastAsia="Calibri" w:cs="Calibri"/>
          <w:iCs/>
          <w:sz w:val="24"/>
          <w:szCs w:val="24"/>
          <w:lang w:val="fr-FR" w:eastAsia="en-US"/>
        </w:rPr>
        <w:t xml:space="preserve">Entrepreneurial Practice Review, </w:t>
      </w:r>
      <w:r>
        <w:rPr>
          <w:rFonts w:eastAsia="Calibri" w:cs="Calibri"/>
          <w:sz w:val="24"/>
          <w:szCs w:val="24"/>
          <w:lang w:val="fr-FR" w:eastAsia="en-US"/>
        </w:rPr>
        <w:t>1: 69-85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eastAsia="Calibri" w:cs="Calibri"/>
          <w:sz w:val="24"/>
          <w:szCs w:val="24"/>
          <w:lang w:eastAsia="en-US"/>
        </w:rPr>
        <w:t xml:space="preserve">Lapalme, L.-A. (2003). </w:t>
      </w:r>
      <w:r>
        <w:rPr>
          <w:rFonts w:eastAsia="Calibri" w:cs="Calibri"/>
          <w:iCs/>
          <w:sz w:val="24"/>
          <w:szCs w:val="24"/>
          <w:lang w:eastAsia="en-US"/>
        </w:rPr>
        <w:t xml:space="preserve">The social dimension of sustainable development and the mining sector. </w:t>
      </w:r>
      <w:r>
        <w:rPr>
          <w:rFonts w:eastAsia="Calibri" w:cs="Calibri"/>
          <w:sz w:val="24"/>
          <w:szCs w:val="24"/>
          <w:lang w:eastAsia="en-US"/>
        </w:rPr>
        <w:t>Natural Resources Canada, Minerais and Metals Sector, Ottawa, Ontario, Canada</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eastAsia="en-US"/>
        </w:rPr>
        <w:t xml:space="preserve">Laurence, D. (2006). Optimisation of the mine closure process. </w:t>
      </w:r>
      <w:r>
        <w:rPr>
          <w:rFonts w:eastAsia="Calibri" w:cs="Calibri"/>
          <w:iCs/>
          <w:sz w:val="24"/>
          <w:szCs w:val="24"/>
          <w:lang w:val="fr-FR" w:eastAsia="en-US"/>
        </w:rPr>
        <w:t xml:space="preserve">Journal of Cleaner Production </w:t>
      </w:r>
      <w:r>
        <w:rPr>
          <w:rFonts w:eastAsia="Calibri" w:cs="Calibri"/>
          <w:sz w:val="24"/>
          <w:szCs w:val="24"/>
          <w:lang w:val="fr-FR" w:eastAsia="en-US"/>
        </w:rPr>
        <w:t>14:285-298</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eastAsia="Calibri" w:cs="Calibri"/>
          <w:sz w:val="24"/>
          <w:szCs w:val="24"/>
          <w:lang w:eastAsia="en-US"/>
        </w:rPr>
        <w:t xml:space="preserve">Lee, G.; Bigham, </w:t>
      </w:r>
      <w:r>
        <w:rPr>
          <w:rFonts w:eastAsia="Calibri" w:cs="Calibri"/>
          <w:iCs/>
          <w:sz w:val="24"/>
          <w:szCs w:val="24"/>
          <w:lang w:eastAsia="en-US"/>
        </w:rPr>
        <w:t xml:space="preserve">L. </w:t>
      </w:r>
      <w:r>
        <w:rPr>
          <w:rFonts w:eastAsia="Calibri" w:cs="Calibri"/>
          <w:sz w:val="24"/>
          <w:szCs w:val="24"/>
          <w:lang w:eastAsia="en-US"/>
        </w:rPr>
        <w:t xml:space="preserve">M. &amp;Gunter, </w:t>
      </w:r>
      <w:r>
        <w:rPr>
          <w:rFonts w:eastAsia="Calibri" w:cs="Calibri"/>
          <w:iCs/>
          <w:sz w:val="24"/>
          <w:szCs w:val="24"/>
          <w:lang w:eastAsia="en-US"/>
        </w:rPr>
        <w:t>L. (</w:t>
      </w:r>
      <w:r>
        <w:rPr>
          <w:rFonts w:eastAsia="Calibri" w:cs="Calibri"/>
          <w:sz w:val="24"/>
          <w:szCs w:val="24"/>
          <w:lang w:eastAsia="en-US"/>
        </w:rPr>
        <w:t xml:space="preserve">2002). Removal of trace metals by coprecipitation with Fe, Aland Mn from natural water s contaminated with acid mine drainage in the Ducktown Mining District , Tennessee. </w:t>
      </w:r>
      <w:r>
        <w:rPr>
          <w:rFonts w:eastAsia="Calibri" w:cs="Calibri"/>
          <w:iCs/>
          <w:sz w:val="24"/>
          <w:szCs w:val="24"/>
          <w:lang w:eastAsia="en-US"/>
        </w:rPr>
        <w:t xml:space="preserve">Applied Geochemistry </w:t>
      </w:r>
      <w:r>
        <w:rPr>
          <w:rFonts w:eastAsia="Calibri" w:cs="Calibri"/>
          <w:sz w:val="24"/>
          <w:szCs w:val="24"/>
          <w:lang w:eastAsia="en-US"/>
        </w:rPr>
        <w:t>17: 569-581</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eastAsia="Calibri" w:cs="Calibri"/>
          <w:sz w:val="24"/>
          <w:szCs w:val="24"/>
          <w:lang w:val="fr-FR" w:eastAsia="en-US"/>
        </w:rPr>
        <w:t xml:space="preserve">Leray, C. (2008). </w:t>
      </w:r>
      <w:r>
        <w:rPr>
          <w:rFonts w:eastAsia="Calibri" w:cs="Calibri"/>
          <w:iCs/>
          <w:sz w:val="24"/>
          <w:szCs w:val="24"/>
          <w:lang w:val="fr-FR" w:eastAsia="en-US"/>
        </w:rPr>
        <w:t xml:space="preserve">L'analyse de contenu. De la théorie à la pratique. La méthode Morin-Chartier. </w:t>
      </w:r>
      <w:r>
        <w:rPr>
          <w:rFonts w:eastAsia="Calibri" w:cs="Calibri"/>
          <w:sz w:val="24"/>
          <w:szCs w:val="24"/>
          <w:lang w:val="fr-FR" w:eastAsia="en-US"/>
        </w:rPr>
        <w:t>Presses de l'Université du Québec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rPr>
        <w:t xml:space="preserve">McLellan, L. ; Yardley, S. ; Norris, B. ; de Bruin, A. ; Tully, M.P. &amp;Dornan, T. (2015). Preparing to prescribe: How do clerkship students learn in the midst of complexity? </w:t>
      </w:r>
      <w:r>
        <w:rPr>
          <w:rFonts w:cs="Calibri"/>
          <w:sz w:val="24"/>
          <w:szCs w:val="24"/>
          <w:lang w:val="fr-FR"/>
        </w:rPr>
        <w:t>Advances in Health Sciences Education, 20: 1339–1354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cs="Calibri"/>
          <w:sz w:val="24"/>
          <w:szCs w:val="24"/>
          <w:lang w:val="fr-FR"/>
        </w:rPr>
        <w:t xml:space="preserve">Notal, N. (2011). La responsabilité sociale des entreprises (RSE). </w:t>
      </w:r>
      <w:r>
        <w:rPr>
          <w:rFonts w:cs="Calibri"/>
          <w:sz w:val="24"/>
          <w:szCs w:val="24"/>
        </w:rPr>
        <w:t xml:space="preserve">URL : </w:t>
      </w:r>
      <w:hyperlink r:id="rId133" w:history="1">
        <w:r>
          <w:rPr>
            <w:rStyle w:val="Lienhypertexte"/>
            <w:rFonts w:cs="Calibri"/>
            <w:sz w:val="24"/>
            <w:szCs w:val="24"/>
          </w:rPr>
          <w:t>https://interactions.utc.fr/thematiques/regards-sur-le-monde/la-responsabilite-sociale-des-entreprises-rse.html</w:t>
        </w:r>
      </w:hyperlink>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 xml:space="preserve">OCDE, (2015). Chaînes d’approvisionnement en minerais et liens avec les conflits dans l’est de la République Démocratique du Congo : 5 ans de mise en œuvre du devoir de diligence dans les chaînes d’approvisionnement, 50 p. </w:t>
      </w:r>
      <w:hyperlink r:id="rId134" w:history="1">
        <w:r>
          <w:rPr>
            <w:rStyle w:val="Lienhypertexte"/>
            <w:rFonts w:cs="Calibri"/>
            <w:sz w:val="24"/>
            <w:szCs w:val="24"/>
            <w:lang w:val="fr-FR"/>
          </w:rPr>
          <w:t>www.mneguidelines.oecd.org/mining.htm</w:t>
        </w:r>
      </w:hyperlink>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Ramade, F.  (2020). Introduction à l'écologie de la conservation : la protection de la nature pour une humanité durable, Lavoisier Tec &amp; Doc, 2020, 720 pages, 325 figures, ISBN 978-2-7430-2393-5</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t>Sadeleer, N. (1994). Essai sur la genèse des principes du droit de l'environnement : l'exemple du droit communautaire, Ministère de l’environnement, France</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lang w:val="fr-FR"/>
        </w:rPr>
        <w:lastRenderedPageBreak/>
        <w:t>Sadeleer, N., (1994). Essai sur la genèse des principes du droit de l'environnement : l'exemple du droit communautaire, Ministère de l’environnement, France </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eastAsia="en-US"/>
        </w:rPr>
      </w:pPr>
      <w:r>
        <w:rPr>
          <w:rFonts w:cs="Calibri"/>
          <w:sz w:val="24"/>
          <w:szCs w:val="24"/>
        </w:rPr>
        <w:t>Tiwari, P (2000). An analysis of sectoral energy intensity in India. Energy policy, 28 (11), 771-778</w:t>
      </w:r>
    </w:p>
    <w:p w:rsidR="0089405D" w:rsidRDefault="003468E2">
      <w:pPr>
        <w:pStyle w:val="Paragraphedeliste"/>
        <w:numPr>
          <w:ilvl w:val="0"/>
          <w:numId w:val="42"/>
        </w:numPr>
        <w:autoSpaceDE w:val="0"/>
        <w:autoSpaceDN w:val="0"/>
        <w:adjustRightInd w:val="0"/>
        <w:spacing w:line="312" w:lineRule="auto"/>
        <w:jc w:val="both"/>
        <w:rPr>
          <w:rFonts w:eastAsia="Calibri" w:cs="Calibri"/>
          <w:iCs/>
          <w:sz w:val="24"/>
          <w:szCs w:val="24"/>
          <w:lang w:val="fr-FR" w:eastAsia="en-US"/>
        </w:rPr>
      </w:pPr>
      <w:r>
        <w:rPr>
          <w:rFonts w:cs="Calibri"/>
          <w:sz w:val="24"/>
          <w:szCs w:val="24"/>
        </w:rPr>
        <w:t xml:space="preserve">Van Berkel R (2007). The relationship between cleaner production and industrial ecology. </w:t>
      </w:r>
      <w:r>
        <w:rPr>
          <w:rFonts w:cs="Calibri"/>
          <w:sz w:val="24"/>
          <w:szCs w:val="24"/>
          <w:lang w:val="fr-FR"/>
        </w:rPr>
        <w:t>International journal of sociology and social policy, 1 (1), 51-66 </w:t>
      </w:r>
    </w:p>
    <w:p w:rsidR="0089405D" w:rsidRDefault="003468E2">
      <w:pPr>
        <w:pStyle w:val="Paragraphedeliste"/>
        <w:numPr>
          <w:ilvl w:val="0"/>
          <w:numId w:val="42"/>
        </w:numPr>
        <w:autoSpaceDE w:val="0"/>
        <w:autoSpaceDN w:val="0"/>
        <w:adjustRightInd w:val="0"/>
        <w:spacing w:line="312" w:lineRule="auto"/>
        <w:jc w:val="both"/>
        <w:rPr>
          <w:rFonts w:cs="Calibri"/>
          <w:sz w:val="24"/>
          <w:szCs w:val="24"/>
        </w:rPr>
      </w:pPr>
      <w:r>
        <w:rPr>
          <w:rFonts w:cs="Calibri"/>
          <w:sz w:val="24"/>
          <w:szCs w:val="24"/>
        </w:rPr>
        <w:t>Wellmer, F-W. &amp; Becker-Platen, JD. (2002). Sustainable development and the exploitation of mineral and energy resources: a review. International Journal of Earth Sciences (Geol Rdschau) 91: 723-745 </w:t>
      </w:r>
    </w:p>
    <w:p w:rsidR="0089405D" w:rsidRDefault="003468E2">
      <w:pPr>
        <w:spacing w:after="0" w:line="312" w:lineRule="auto"/>
        <w:rPr>
          <w:rFonts w:cs="Calibri"/>
          <w:sz w:val="24"/>
          <w:szCs w:val="24"/>
        </w:rPr>
      </w:pPr>
      <w:r>
        <w:rPr>
          <w:rFonts w:cs="Calibri"/>
          <w:sz w:val="24"/>
          <w:szCs w:val="24"/>
        </w:rPr>
        <w:br w:type="page"/>
      </w:r>
    </w:p>
    <w:p w:rsidR="0089405D" w:rsidRDefault="003468E2">
      <w:pPr>
        <w:keepNext/>
        <w:keepLines/>
        <w:widowControl w:val="0"/>
        <w:spacing w:after="0" w:line="312" w:lineRule="auto"/>
        <w:jc w:val="center"/>
        <w:outlineLvl w:val="0"/>
        <w:rPr>
          <w:rFonts w:cs="Calibri"/>
          <w:b/>
          <w:bCs/>
          <w:sz w:val="36"/>
          <w:szCs w:val="36"/>
        </w:rPr>
      </w:pPr>
      <w:bookmarkStart w:id="1099" w:name="_Toc59458404"/>
      <w:bookmarkStart w:id="1100" w:name="_Toc71470333"/>
      <w:bookmarkStart w:id="1101" w:name="_Toc73431913"/>
      <w:bookmarkStart w:id="1102" w:name="_Toc79393087"/>
      <w:bookmarkStart w:id="1103" w:name="_Toc111888740"/>
      <w:bookmarkStart w:id="1104" w:name="_Toc127187316"/>
      <w:bookmarkStart w:id="1105" w:name="_Toc127187593"/>
      <w:bookmarkStart w:id="1106" w:name="_Toc127432350"/>
      <w:r>
        <w:rPr>
          <w:rFonts w:cs="Calibri"/>
          <w:b/>
          <w:bCs/>
          <w:sz w:val="36"/>
          <w:szCs w:val="36"/>
        </w:rPr>
        <w:lastRenderedPageBreak/>
        <w:t>CONCLUSION GENERALE</w:t>
      </w:r>
      <w:bookmarkEnd w:id="1099"/>
      <w:bookmarkEnd w:id="1100"/>
      <w:bookmarkEnd w:id="1101"/>
      <w:bookmarkEnd w:id="1102"/>
      <w:bookmarkEnd w:id="1103"/>
      <w:bookmarkEnd w:id="1104"/>
      <w:bookmarkEnd w:id="1105"/>
      <w:bookmarkEnd w:id="1106"/>
    </w:p>
    <w:p w:rsidR="0089405D" w:rsidRDefault="0089405D">
      <w:pPr>
        <w:spacing w:after="0" w:line="312" w:lineRule="auto"/>
        <w:jc w:val="both"/>
        <w:rPr>
          <w:rFonts w:cs="Calibri"/>
          <w:b/>
          <w:kern w:val="24"/>
          <w:sz w:val="28"/>
          <w:szCs w:val="28"/>
          <w:lang w:eastAsia="fr-FR"/>
        </w:rPr>
      </w:pPr>
    </w:p>
    <w:p w:rsidR="0089405D" w:rsidRDefault="003468E2">
      <w:pPr>
        <w:keepNext/>
        <w:keepLines/>
        <w:widowControl w:val="0"/>
        <w:spacing w:after="0" w:line="312" w:lineRule="auto"/>
        <w:outlineLvl w:val="0"/>
        <w:rPr>
          <w:rFonts w:eastAsia="Times New Roman" w:cs="Calibri"/>
          <w:b/>
          <w:sz w:val="28"/>
          <w:szCs w:val="28"/>
          <w:lang w:eastAsia="fr-FR"/>
        </w:rPr>
      </w:pPr>
      <w:bookmarkStart w:id="1107" w:name="_Toc127181843"/>
      <w:bookmarkStart w:id="1108" w:name="_Toc127187142"/>
      <w:bookmarkStart w:id="1109" w:name="_Toc127187317"/>
      <w:bookmarkStart w:id="1110" w:name="_Toc127187594"/>
      <w:bookmarkStart w:id="1111" w:name="_Toc127432351"/>
      <w:bookmarkStart w:id="1112" w:name="_Toc71470334"/>
      <w:r>
        <w:rPr>
          <w:rFonts w:eastAsia="Times New Roman" w:cs="Calibri"/>
          <w:b/>
          <w:sz w:val="28"/>
          <w:szCs w:val="28"/>
          <w:lang w:eastAsia="fr-FR"/>
        </w:rPr>
        <w:t>Mangambu Mokoso Jean De Dieu</w:t>
      </w:r>
      <w:bookmarkEnd w:id="1107"/>
      <w:bookmarkEnd w:id="1108"/>
      <w:bookmarkEnd w:id="1109"/>
      <w:bookmarkEnd w:id="1110"/>
      <w:bookmarkEnd w:id="1111"/>
    </w:p>
    <w:p w:rsidR="0089405D" w:rsidRDefault="0089405D">
      <w:pPr>
        <w:keepNext/>
        <w:keepLines/>
        <w:widowControl w:val="0"/>
        <w:spacing w:after="0" w:line="312" w:lineRule="auto"/>
        <w:outlineLvl w:val="0"/>
        <w:rPr>
          <w:rFonts w:cs="Calibri"/>
          <w:b/>
          <w:kern w:val="24"/>
          <w:sz w:val="24"/>
          <w:szCs w:val="24"/>
          <w:lang w:eastAsia="fr-FR"/>
        </w:rPr>
      </w:pPr>
    </w:p>
    <w:p w:rsidR="0089405D" w:rsidRDefault="003468E2">
      <w:pPr>
        <w:keepNext/>
        <w:keepLines/>
        <w:widowControl w:val="0"/>
        <w:spacing w:after="0" w:line="312" w:lineRule="auto"/>
        <w:outlineLvl w:val="0"/>
        <w:rPr>
          <w:rFonts w:cs="Calibri"/>
          <w:b/>
          <w:kern w:val="24"/>
          <w:sz w:val="24"/>
          <w:szCs w:val="24"/>
          <w:lang w:val="fr-FR" w:eastAsia="fr-FR"/>
        </w:rPr>
      </w:pPr>
      <w:bookmarkStart w:id="1113" w:name="_Toc73431914"/>
      <w:bookmarkStart w:id="1114" w:name="_Toc79393088"/>
      <w:bookmarkStart w:id="1115" w:name="_Toc111888741"/>
      <w:bookmarkStart w:id="1116" w:name="_Toc127187318"/>
      <w:bookmarkStart w:id="1117" w:name="_Toc127187595"/>
      <w:bookmarkStart w:id="1118" w:name="_Toc127432352"/>
      <w:r>
        <w:rPr>
          <w:rFonts w:cs="Calibri"/>
          <w:b/>
          <w:kern w:val="24"/>
          <w:sz w:val="24"/>
          <w:szCs w:val="24"/>
          <w:lang w:val="fr-FR" w:eastAsia="fr-FR"/>
        </w:rPr>
        <w:t>I. LES MINERAIS FONT PARTIE DE NOTRE VIE QUOTIDIENNE</w:t>
      </w:r>
      <w:bookmarkEnd w:id="1112"/>
      <w:bookmarkEnd w:id="1113"/>
      <w:bookmarkEnd w:id="1114"/>
      <w:bookmarkEnd w:id="1115"/>
      <w:bookmarkEnd w:id="1116"/>
      <w:bookmarkEnd w:id="1117"/>
      <w:bookmarkEnd w:id="1118"/>
    </w:p>
    <w:p w:rsidR="0089405D" w:rsidRDefault="0089405D">
      <w:pPr>
        <w:spacing w:after="0" w:line="312" w:lineRule="auto"/>
        <w:jc w:val="both"/>
        <w:rPr>
          <w:rFonts w:cs="Calibri"/>
          <w:kern w:val="24"/>
          <w:sz w:val="24"/>
          <w:szCs w:val="24"/>
          <w:lang w:val="fr-FR" w:eastAsia="fr-FR"/>
        </w:rPr>
      </w:pPr>
    </w:p>
    <w:p w:rsidR="0089405D" w:rsidRDefault="003468E2">
      <w:pPr>
        <w:spacing w:after="0" w:line="312" w:lineRule="auto"/>
        <w:ind w:firstLine="708"/>
        <w:jc w:val="both"/>
        <w:rPr>
          <w:rFonts w:cs="Calibri"/>
          <w:kern w:val="24"/>
          <w:sz w:val="24"/>
          <w:szCs w:val="24"/>
          <w:lang w:val="fr-FR" w:eastAsia="fr-FR"/>
        </w:rPr>
      </w:pPr>
      <w:r>
        <w:rPr>
          <w:rFonts w:cs="Calibri"/>
          <w:kern w:val="24"/>
          <w:sz w:val="24"/>
          <w:szCs w:val="24"/>
          <w:lang w:val="fr-FR" w:eastAsia="fr-FR"/>
        </w:rPr>
        <w:t xml:space="preserve">Les minerais font partie de notre vie quotidienne. Voitures, téléphones portables, bijoux, ils sont partout et, comme c’est aussi le cas pour le pétrole, le gaz et d’autres ressources naturelles, nos besoins ne cessent d’augmenter ! Jusqu'au milieu du vingtième siècle, la méthode la plus fréquente d'extraction de grands gisements était la mine souterraine. Après la deuxième guerre mondiale, les progrès technologiques et la production de défonceuses, niveleuses, pelleteuses et camions plus grands et plus puissants ont permis le déplacement d'énormes volumes de matériaux et conduit à l'exploitation des mines à ciel ouvert.  </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ab/>
        <w:t xml:space="preserve">Et à l'heure actuelle, plus de 60 % des matériaux extraits dans le monde proviennent de mines de surface, qui provoquent la dévastation des ectomésodermes où elles sont installées, par déforestation, contamination et la dégradation de l'eau, la destruction d'habitats. Parmi les mines de ce genre on distingue, entre autres, les mines à ciel ouvert, les carrières, et les mines de lixiviation. Cette agression de l'environnement que provoque l'exploitation des carrières s'aggrave par l'emplacement de ces dernières à proximité des zones urbaines comme le cas de la Zone Liambi proche de la ville de Basoko. Cette proximité provoquera de nouveaux problèmes environnementaux, car les zones ou les excavations sont effectuées, qui manquent de couvert végétatif, finissent par devenir des décharges urbaines, et atteignent en plus les eaux superficielles et souterraines proches de l'exploitation. </w:t>
      </w:r>
    </w:p>
    <w:p w:rsidR="0089405D" w:rsidRDefault="0089405D">
      <w:pPr>
        <w:spacing w:after="0" w:line="312" w:lineRule="auto"/>
        <w:jc w:val="both"/>
        <w:rPr>
          <w:rFonts w:cs="Calibri"/>
          <w:kern w:val="24"/>
          <w:sz w:val="24"/>
          <w:szCs w:val="24"/>
          <w:lang w:val="fr-FR" w:eastAsia="fr-FR"/>
        </w:rPr>
      </w:pPr>
    </w:p>
    <w:p w:rsidR="0089405D" w:rsidRDefault="003468E2">
      <w:pPr>
        <w:keepNext/>
        <w:keepLines/>
        <w:widowControl w:val="0"/>
        <w:spacing w:after="0" w:line="312" w:lineRule="auto"/>
        <w:jc w:val="both"/>
        <w:outlineLvl w:val="0"/>
        <w:rPr>
          <w:rFonts w:cs="Calibri"/>
          <w:b/>
          <w:kern w:val="24"/>
          <w:sz w:val="24"/>
          <w:szCs w:val="24"/>
          <w:lang w:val="fr-FR" w:eastAsia="fr-FR"/>
        </w:rPr>
      </w:pPr>
      <w:bookmarkStart w:id="1119" w:name="_Toc71470335"/>
      <w:bookmarkStart w:id="1120" w:name="_Toc73431915"/>
      <w:bookmarkStart w:id="1121" w:name="_Toc79393089"/>
      <w:bookmarkStart w:id="1122" w:name="_Toc111888742"/>
      <w:bookmarkStart w:id="1123" w:name="_Toc127187319"/>
      <w:bookmarkStart w:id="1124" w:name="_Toc127187596"/>
      <w:bookmarkStart w:id="1125" w:name="_Toc127432353"/>
      <w:r>
        <w:rPr>
          <w:rFonts w:cs="Calibri"/>
          <w:b/>
          <w:kern w:val="24"/>
          <w:sz w:val="24"/>
          <w:szCs w:val="24"/>
          <w:lang w:val="fr-FR" w:eastAsia="fr-FR"/>
        </w:rPr>
        <w:t>II. L'EXTRACTION MINIERE : DESTRUCTION DE L’ENVIRONNEMENT FLUVIALE ET ENVIRONNANTE</w:t>
      </w:r>
      <w:bookmarkEnd w:id="1119"/>
      <w:bookmarkEnd w:id="1120"/>
      <w:bookmarkEnd w:id="1121"/>
      <w:bookmarkEnd w:id="1122"/>
      <w:bookmarkEnd w:id="1123"/>
      <w:bookmarkEnd w:id="1124"/>
      <w:bookmarkEnd w:id="1125"/>
      <w:r>
        <w:rPr>
          <w:rFonts w:cs="Calibri"/>
          <w:b/>
          <w:kern w:val="24"/>
          <w:sz w:val="24"/>
          <w:szCs w:val="24"/>
          <w:lang w:val="fr-FR" w:eastAsia="fr-FR"/>
        </w:rPr>
        <w:t xml:space="preserve"> </w:t>
      </w:r>
    </w:p>
    <w:p w:rsidR="0089405D" w:rsidRDefault="0089405D">
      <w:pPr>
        <w:spacing w:after="0" w:line="312" w:lineRule="auto"/>
        <w:jc w:val="both"/>
        <w:rPr>
          <w:rFonts w:cs="Calibri"/>
          <w:kern w:val="24"/>
          <w:sz w:val="24"/>
          <w:szCs w:val="24"/>
          <w:lang w:val="fr-FR" w:eastAsia="fr-FR"/>
        </w:rPr>
      </w:pPr>
    </w:p>
    <w:p w:rsidR="0089405D" w:rsidRDefault="003468E2">
      <w:pPr>
        <w:spacing w:after="0" w:line="312" w:lineRule="auto"/>
        <w:ind w:firstLine="708"/>
        <w:jc w:val="both"/>
        <w:rPr>
          <w:rFonts w:cs="Calibri"/>
          <w:kern w:val="24"/>
          <w:sz w:val="24"/>
          <w:szCs w:val="24"/>
          <w:lang w:val="fr-FR" w:eastAsia="fr-FR"/>
        </w:rPr>
      </w:pPr>
      <w:r>
        <w:rPr>
          <w:rFonts w:cs="Calibri"/>
          <w:kern w:val="24"/>
          <w:sz w:val="24"/>
          <w:szCs w:val="24"/>
          <w:lang w:val="fr-FR" w:eastAsia="fr-FR"/>
        </w:rPr>
        <w:t xml:space="preserve">L'extraction minière par lixiviation utilise de produits chimiques, tes que l'acide sulfurique dans le cas du cuivre ou une solution de cyanure et de sodium dans le cas de l'or pour dissoudre les métaux en question et extraire du minerais. Les solutions chimiques employées libèrent les métaux souhaités, mais aussi d'autres métaux lourds (tels que le cadmium) ce qui provoque souvent la contamination des eaux superficielles et souterraines </w:t>
      </w:r>
      <w:r>
        <w:rPr>
          <w:rFonts w:cs="Calibri"/>
          <w:kern w:val="24"/>
          <w:sz w:val="24"/>
          <w:szCs w:val="24"/>
          <w:lang w:val="fr-FR" w:eastAsia="fr-FR"/>
        </w:rPr>
        <w:lastRenderedPageBreak/>
        <w:t xml:space="preserve">malgré le nouveau code minier dans notre pays. En plus, on a constaté en effet qu’une bonne partie des pays les plus riches en ressources naturelles se trouvent au rang des plus pauvres de la planète. C’est ce que certains appellent la «malédiction des ressources». Pire encore, en République Démocratique du Congo (RDC), comme dans d’autres pays du monde, une corrélation existe entre l’exploitation de ces ressources et les conflits qui ravagent certaines régions. </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ab/>
        <w:t>Si l’industrie minière contribue au développement économique</w:t>
      </w:r>
      <w:r>
        <w:rPr>
          <w:rFonts w:cs="Calibri"/>
          <w:sz w:val="24"/>
          <w:szCs w:val="24"/>
          <w:lang w:val="fr-FR"/>
        </w:rPr>
        <w:t xml:space="preserve"> </w:t>
      </w:r>
      <w:r>
        <w:rPr>
          <w:rFonts w:cs="Calibri"/>
          <w:kern w:val="24"/>
          <w:sz w:val="24"/>
          <w:szCs w:val="24"/>
          <w:lang w:val="fr-FR" w:eastAsia="fr-FR"/>
        </w:rPr>
        <w:t xml:space="preserve">des pays développés, les mines et les activités qui leur sont associées (telles que la construction de routes d’accès et d’autres infrastructures) génèrent des impacts directs et indirects sur l’environnement, et, plus spécifiquement, sur les habitats naturels et les espèces (la biodiversité). La réduction de la superficie et de la qualité des habitats naturels impacte les communautés locales, qui dépendent des services écosystémiques (notamment l’eau, la nourriture, les matériaux de construction) et des plantes et animaux indigènes, lesquels font partie intégrante de la culture et du patrimoine des habitants des îles du Pacifique. </w:t>
      </w:r>
    </w:p>
    <w:p w:rsidR="0089405D" w:rsidRDefault="0089405D">
      <w:pPr>
        <w:spacing w:after="0" w:line="312" w:lineRule="auto"/>
        <w:jc w:val="both"/>
        <w:rPr>
          <w:rFonts w:cs="Calibri"/>
          <w:kern w:val="24"/>
          <w:sz w:val="24"/>
          <w:szCs w:val="24"/>
          <w:lang w:val="fr-FR" w:eastAsia="fr-FR"/>
        </w:rPr>
      </w:pPr>
    </w:p>
    <w:p w:rsidR="0089405D" w:rsidRDefault="003468E2">
      <w:pPr>
        <w:keepNext/>
        <w:keepLines/>
        <w:widowControl w:val="0"/>
        <w:spacing w:after="0" w:line="312" w:lineRule="auto"/>
        <w:outlineLvl w:val="0"/>
        <w:rPr>
          <w:rFonts w:cs="Calibri"/>
          <w:b/>
          <w:kern w:val="24"/>
          <w:sz w:val="24"/>
          <w:szCs w:val="24"/>
          <w:lang w:val="fr-FR" w:eastAsia="fr-FR"/>
        </w:rPr>
      </w:pPr>
      <w:bookmarkStart w:id="1126" w:name="_Toc71470336"/>
      <w:bookmarkStart w:id="1127" w:name="_Toc73431916"/>
      <w:bookmarkStart w:id="1128" w:name="_Toc79393090"/>
      <w:bookmarkStart w:id="1129" w:name="_Toc111888743"/>
      <w:bookmarkStart w:id="1130" w:name="_Toc127187320"/>
      <w:bookmarkStart w:id="1131" w:name="_Toc127187597"/>
      <w:bookmarkStart w:id="1132" w:name="_Toc127432354"/>
      <w:r>
        <w:rPr>
          <w:rFonts w:cs="Calibri"/>
          <w:b/>
          <w:kern w:val="24"/>
          <w:sz w:val="24"/>
          <w:szCs w:val="24"/>
          <w:lang w:val="fr-FR" w:eastAsia="fr-FR"/>
        </w:rPr>
        <w:t>III. LES IMPACTS DIRECTS SUR LA DIVERSITE</w:t>
      </w:r>
      <w:bookmarkEnd w:id="1126"/>
      <w:r>
        <w:rPr>
          <w:rFonts w:cs="Calibri"/>
          <w:b/>
          <w:kern w:val="24"/>
          <w:sz w:val="24"/>
          <w:szCs w:val="24"/>
          <w:lang w:val="fr-FR" w:eastAsia="fr-FR"/>
        </w:rPr>
        <w:t xml:space="preserve"> BIOLOGIQUE</w:t>
      </w:r>
      <w:bookmarkEnd w:id="1127"/>
      <w:bookmarkEnd w:id="1128"/>
      <w:bookmarkEnd w:id="1129"/>
      <w:bookmarkEnd w:id="1130"/>
      <w:bookmarkEnd w:id="1131"/>
      <w:bookmarkEnd w:id="1132"/>
    </w:p>
    <w:p w:rsidR="0089405D" w:rsidRDefault="0089405D">
      <w:pPr>
        <w:spacing w:after="0" w:line="312" w:lineRule="auto"/>
        <w:jc w:val="both"/>
        <w:rPr>
          <w:rFonts w:cs="Calibri"/>
          <w:kern w:val="24"/>
          <w:sz w:val="24"/>
          <w:szCs w:val="24"/>
          <w:lang w:val="fr-FR" w:eastAsia="fr-FR"/>
        </w:rPr>
      </w:pPr>
    </w:p>
    <w:p w:rsidR="0089405D" w:rsidRDefault="003468E2">
      <w:pPr>
        <w:spacing w:after="0" w:line="312" w:lineRule="auto"/>
        <w:ind w:firstLine="708"/>
        <w:jc w:val="both"/>
        <w:rPr>
          <w:rFonts w:cs="Calibri"/>
          <w:kern w:val="24"/>
          <w:sz w:val="24"/>
          <w:szCs w:val="24"/>
          <w:lang w:val="fr-FR" w:eastAsia="fr-FR"/>
        </w:rPr>
      </w:pPr>
      <w:r>
        <w:rPr>
          <w:rFonts w:cs="Calibri"/>
          <w:kern w:val="24"/>
          <w:sz w:val="24"/>
          <w:szCs w:val="24"/>
          <w:lang w:val="fr-FR" w:eastAsia="fr-FR"/>
        </w:rPr>
        <w:t xml:space="preserve">Les impacts directs sur la biodiversité générés par les activités minières comprennent: le défrichement des terres, qui provoque une perte d’habitat à grande échelle souvent irréversible ; la dégradation des habitats, due par exemple au drainage minier acide ou à la contamination; la perturbation des espèces en raison de la poussière et de la pollution sonore et lumineuse; la fragmentation des habitats due aux infrastructures linéaires, telles que les routes, les voies de chemin de fer ou les lignes électriques approvisionnant le site de la mine. </w:t>
      </w:r>
      <w:r>
        <w:rPr>
          <w:rFonts w:cs="Calibri"/>
          <w:kern w:val="24"/>
          <w:sz w:val="24"/>
          <w:szCs w:val="24"/>
          <w:lang w:val="fr-FR" w:eastAsia="fr-FR"/>
        </w:rPr>
        <w:tab/>
        <w:t xml:space="preserve">Les impacts indirects sont ceux qui sont induits par le projet, tels que l’immigration, lorsqu’un grand nombre de personnes se déplacent afin de vivre à proximité d’un site minier dans l’espoir d’y trouver un emploi. Davantage de logements et de ressources sont alors nécessaires afin d'accueillir cette nouvelle population, ce qui entraîne une hausse du taux de défrichement lié à la collecte de matériaux de construction et de jardinage, ainsi qu’une augmentation de la chasse, de la pêche et de la cueillette. La construction des routes de la mine peut également faciliter l’accès à des terres qui étaient auparavant inaccessibles. </w:t>
      </w:r>
    </w:p>
    <w:p w:rsidR="0089405D" w:rsidRDefault="0089405D">
      <w:pPr>
        <w:spacing w:after="0" w:line="312" w:lineRule="auto"/>
        <w:ind w:firstLine="708"/>
        <w:jc w:val="both"/>
        <w:rPr>
          <w:rFonts w:cs="Calibri"/>
          <w:kern w:val="24"/>
          <w:sz w:val="24"/>
          <w:szCs w:val="24"/>
          <w:lang w:val="fr-FR" w:eastAsia="fr-FR"/>
        </w:rPr>
      </w:pPr>
    </w:p>
    <w:p w:rsidR="0089405D" w:rsidRDefault="003468E2">
      <w:pPr>
        <w:keepNext/>
        <w:keepLines/>
        <w:widowControl w:val="0"/>
        <w:spacing w:after="0" w:line="312" w:lineRule="auto"/>
        <w:outlineLvl w:val="0"/>
        <w:rPr>
          <w:rFonts w:cs="Calibri"/>
          <w:b/>
          <w:kern w:val="24"/>
          <w:sz w:val="24"/>
          <w:szCs w:val="24"/>
          <w:lang w:val="fr-FR" w:eastAsia="fr-FR"/>
        </w:rPr>
      </w:pPr>
      <w:bookmarkStart w:id="1133" w:name="_Toc71470337"/>
      <w:bookmarkStart w:id="1134" w:name="_Toc73431917"/>
      <w:bookmarkStart w:id="1135" w:name="_Toc79393091"/>
      <w:bookmarkStart w:id="1136" w:name="_Toc111888744"/>
      <w:bookmarkStart w:id="1137" w:name="_Toc127187321"/>
      <w:bookmarkStart w:id="1138" w:name="_Toc127187598"/>
      <w:bookmarkStart w:id="1139" w:name="_Toc127432355"/>
      <w:r>
        <w:rPr>
          <w:rFonts w:cs="Calibri"/>
          <w:b/>
          <w:kern w:val="24"/>
          <w:sz w:val="24"/>
          <w:szCs w:val="24"/>
          <w:lang w:val="fr-FR" w:eastAsia="fr-FR"/>
        </w:rPr>
        <w:lastRenderedPageBreak/>
        <w:t>IV. BASOKO : TERRITOIRE ENCLAVE</w:t>
      </w:r>
      <w:bookmarkEnd w:id="1133"/>
      <w:bookmarkEnd w:id="1134"/>
      <w:bookmarkEnd w:id="1135"/>
      <w:bookmarkEnd w:id="1136"/>
      <w:bookmarkEnd w:id="1137"/>
      <w:bookmarkEnd w:id="1138"/>
      <w:bookmarkEnd w:id="1139"/>
    </w:p>
    <w:p w:rsidR="0089405D" w:rsidRDefault="0089405D">
      <w:pPr>
        <w:keepNext/>
        <w:keepLines/>
        <w:widowControl w:val="0"/>
        <w:spacing w:after="0" w:line="312" w:lineRule="auto"/>
        <w:outlineLvl w:val="0"/>
        <w:rPr>
          <w:rFonts w:cs="Calibri"/>
          <w:kern w:val="24"/>
          <w:sz w:val="24"/>
          <w:szCs w:val="24"/>
          <w:lang w:val="fr-FR" w:eastAsia="fr-FR"/>
        </w:rPr>
      </w:pP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ab/>
        <w:t xml:space="preserve">De tout ce qui précède, dans ce conflit entre Basoko et les Chinois, il sied d’affirmer que l’Etat congolais n’a pas de réelle capacité d’administrer les territoires miniers, et particulièrement ceux situés à l’Est et dans le territoire enclavé comme celui de Basoko. </w:t>
      </w:r>
    </w:p>
    <w:p w:rsidR="0089405D" w:rsidRDefault="003468E2">
      <w:pPr>
        <w:spacing w:after="0" w:line="312" w:lineRule="auto"/>
        <w:jc w:val="both"/>
        <w:rPr>
          <w:rFonts w:cs="Calibri"/>
          <w:kern w:val="24"/>
          <w:sz w:val="24"/>
          <w:szCs w:val="24"/>
          <w:lang w:val="fr-FR" w:eastAsia="fr-FR"/>
        </w:rPr>
      </w:pPr>
      <w:r>
        <w:rPr>
          <w:rFonts w:cs="Calibri"/>
          <w:kern w:val="24"/>
          <w:sz w:val="24"/>
          <w:szCs w:val="24"/>
          <w:lang w:val="fr-FR" w:eastAsia="fr-FR"/>
        </w:rPr>
        <w:tab/>
        <w:t xml:space="preserve">Depuis sa libéralisation en 1982, il est surtout envisagé par Kinshasa comme une activité de survie pour la population. Il n’y a donc pas de volonté de contrôler ce qui s’y passe... En 2002 et 2018, les réglementations concernant le secteur minier ont été revisitées, donnant lieu à un nouveau Code Minier et ce, sous l’influence des institutions financières internationales. L’un des objectifs de ce Code était la réglementation du secteur artisanal, absente dans le précédent document, à travers l’amélioration des conditions de travail et de la sécurité des artisans creuseurs, la prévention des conflits liés à cette activité et la limitation des atteintes aux droits de l’Homme. Mais peu d’améliorations ont réellement été observées dans le secteur. La corruption de l’administration congolaise freine l’application stricte du Code Minier et la Société civile estime de plus que certains aspects doivent être révisés, notamment concernant les questions de transparence, de responsabilité, de droits humains et surtout le respect de l’environnement. </w:t>
      </w:r>
    </w:p>
    <w:p w:rsidR="0089405D" w:rsidRDefault="003468E2">
      <w:pPr>
        <w:spacing w:after="0" w:line="312" w:lineRule="auto"/>
        <w:jc w:val="both"/>
        <w:rPr>
          <w:rFonts w:cs="Calibri"/>
          <w:sz w:val="24"/>
          <w:szCs w:val="24"/>
          <w:lang w:val="fr-FR"/>
        </w:rPr>
      </w:pPr>
      <w:r>
        <w:rPr>
          <w:rFonts w:eastAsia="Times New Roman" w:cs="Calibri"/>
          <w:bCs/>
          <w:sz w:val="24"/>
          <w:szCs w:val="24"/>
          <w:lang w:val="fr-FR" w:eastAsia="fr-FR"/>
        </w:rPr>
        <w:tab/>
        <w:t xml:space="preserve">Les impacts de l'industrie minière ont trait à la mine elle-même, à l'élimination des déchets de la mine, au transport du minerai et au traitement de ce dernier, ce qui implique souvent l'utilisation ou la production des substances dangereuses. Pour concasser le minerai, on utilise sans terre des marteaux piqueurs et des explosifs; généralement les mines de ce genre ont moins d'impacts sur l'environnement que les mines à ciel ouvert, car les perturbations sont moindres à la surface de la terre. Mais elles peuvent quand même avoir des conséquences négatives sur l'eau en le contaminant par des acides et de métaux, ou en interceptant des nappes aquifères. </w:t>
      </w:r>
      <w:r>
        <w:rPr>
          <w:rFonts w:cs="Calibri"/>
          <w:sz w:val="24"/>
          <w:szCs w:val="24"/>
          <w:lang w:val="fr-FR"/>
        </w:rPr>
        <w:t xml:space="preserve">C’est ainsi que l’utilisation et à la gestion directe des ressources naturelles (terres, eaux, forêts) d’une manière irresponsable crée toujours des conséquences environnementales graves.  </w:t>
      </w:r>
    </w:p>
    <w:p w:rsidR="0089405D" w:rsidRDefault="003468E2">
      <w:pPr>
        <w:spacing w:after="0" w:line="312" w:lineRule="auto"/>
        <w:ind w:firstLine="709"/>
        <w:jc w:val="both"/>
        <w:rPr>
          <w:rFonts w:cs="Calibri"/>
          <w:sz w:val="24"/>
          <w:szCs w:val="24"/>
          <w:lang w:val="fr-FR"/>
        </w:rPr>
      </w:pPr>
      <w:r>
        <w:rPr>
          <w:rFonts w:cs="Calibri"/>
          <w:sz w:val="24"/>
          <w:szCs w:val="24"/>
          <w:lang w:val="fr-FR"/>
        </w:rPr>
        <w:t xml:space="preserve">La prédation des mines en République démocratique du Congo, le commerce des minerais de guerre seraient la cause principale des conflits armés dans la Région des Grands Lacs en Afrique centrale. Une telle situation nécessite de revenir sur le lien historique entre les violences extrêmes dont la région est le théâtre et le commerce des minerais, de rappeler qu’il résulte de ces violences une disparition presque totale de l’ordre juridique congolais qui ne peut lutter contre le commerce illégal de minerais (1.2), et enfin d’évoquer l’analyse dite du « modèle de la convoitise » qui impute directement ces violences au commerce mondial </w:t>
      </w:r>
      <w:r>
        <w:rPr>
          <w:rFonts w:cs="Calibri"/>
          <w:sz w:val="24"/>
          <w:szCs w:val="24"/>
          <w:lang w:val="fr-FR"/>
        </w:rPr>
        <w:lastRenderedPageBreak/>
        <w:t>afin de justifier une régulation indirecte et mondiale des produits miniers à défaut d’une régulation directe et africaine des mines.</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1140" w:name="_Toc71470338"/>
      <w:bookmarkStart w:id="1141" w:name="_Toc73431918"/>
      <w:bookmarkStart w:id="1142" w:name="_Toc79393092"/>
      <w:bookmarkStart w:id="1143" w:name="_Toc111888745"/>
      <w:bookmarkStart w:id="1144" w:name="_Toc127187322"/>
      <w:bookmarkStart w:id="1145" w:name="_Toc127187599"/>
      <w:bookmarkStart w:id="1146" w:name="_Toc127432356"/>
      <w:r>
        <w:rPr>
          <w:rFonts w:cs="Calibri"/>
          <w:b/>
          <w:sz w:val="24"/>
          <w:szCs w:val="24"/>
          <w:lang w:val="fr-FR"/>
        </w:rPr>
        <w:t>V. NON APPROPRIATION POUR UN DEVELOPPEMENT DURABLE</w:t>
      </w:r>
      <w:bookmarkEnd w:id="1140"/>
      <w:bookmarkEnd w:id="1141"/>
      <w:bookmarkEnd w:id="1142"/>
      <w:bookmarkEnd w:id="1143"/>
      <w:bookmarkEnd w:id="1144"/>
      <w:bookmarkEnd w:id="1145"/>
      <w:bookmarkEnd w:id="1146"/>
      <w:r>
        <w:rPr>
          <w:rFonts w:cs="Calibri"/>
          <w:b/>
          <w:sz w:val="24"/>
          <w:szCs w:val="24"/>
          <w:lang w:val="fr-FR"/>
        </w:rPr>
        <w:t xml:space="preserve"> </w:t>
      </w:r>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L'appropriation de la nature par des communautés à populations plus ou moins denses et les modèles sociaux et technico-économiques qui déterminent cette appropriation constitue certains des obstacles à une gestion correcte des ressources. Qu'il s'agisse d'un excès ou d'une insuffisance en particulier qualitative de terres, d'un excès ou d'une insuffisance d'eau, d'une insuffisance de sources d'énergie, la question centrale est celle qui lie la taille de la population, les structures et mécanismes d'appropriation des ressources et modèles techniques. Dans ce premier groupe, les problèmes sont vécus, empiriquement, comme dégradation des terres et des forêts, comme pollution de l'eau et dégradation massive du cadre de vie : environnement et développement sont une seule et même réalité. La préservation de l'environnement passe par l'établissement des équilibres nouveaux entre les trois facteurs cités, mais la lutte contre la pauvreté relève très exactement de la même analyse et des mêmes politiques </w:t>
      </w:r>
    </w:p>
    <w:p w:rsidR="0089405D" w:rsidRDefault="003468E2">
      <w:pPr>
        <w:spacing w:after="0" w:line="312" w:lineRule="auto"/>
        <w:jc w:val="both"/>
        <w:rPr>
          <w:rFonts w:cs="Calibri"/>
          <w:sz w:val="24"/>
          <w:szCs w:val="24"/>
          <w:lang w:val="fr-FR"/>
        </w:rPr>
      </w:pPr>
      <w:r>
        <w:rPr>
          <w:rFonts w:cs="Calibri"/>
          <w:sz w:val="24"/>
          <w:szCs w:val="24"/>
          <w:lang w:val="fr-FR"/>
        </w:rPr>
        <w:tab/>
        <w:t xml:space="preserve">Malgré les effets positifs et l’amélioration des opérations d’extraction des dernières années, les risques pour l’environnement restent bien présents. Des impacts sont occasionnés par plusieurs causes comme, notamment : </w:t>
      </w:r>
    </w:p>
    <w:p w:rsidR="0089405D" w:rsidRDefault="003468E2">
      <w:pPr>
        <w:spacing w:after="0" w:line="312" w:lineRule="auto"/>
        <w:jc w:val="both"/>
        <w:rPr>
          <w:rFonts w:cs="Calibri"/>
          <w:sz w:val="24"/>
          <w:szCs w:val="24"/>
          <w:lang w:val="fr-FR"/>
        </w:rPr>
      </w:pPr>
      <w:r>
        <w:rPr>
          <w:rFonts w:cs="Calibri"/>
          <w:sz w:val="24"/>
          <w:szCs w:val="24"/>
          <w:lang w:val="fr-FR"/>
        </w:rPr>
        <w:t xml:space="preserve">- la sédimentation à cause de routes mal construites et contamination de l’eau durant la construction d’une mine ; </w:t>
      </w:r>
    </w:p>
    <w:p w:rsidR="0089405D" w:rsidRDefault="003468E2">
      <w:pPr>
        <w:spacing w:after="0" w:line="312" w:lineRule="auto"/>
        <w:jc w:val="both"/>
        <w:rPr>
          <w:rFonts w:cs="Calibri"/>
          <w:sz w:val="24"/>
          <w:szCs w:val="24"/>
          <w:lang w:val="fr-FR"/>
        </w:rPr>
      </w:pPr>
      <w:r>
        <w:rPr>
          <w:rFonts w:cs="Calibri"/>
          <w:sz w:val="24"/>
          <w:szCs w:val="24"/>
          <w:lang w:val="fr-FR"/>
        </w:rPr>
        <w:t xml:space="preserve">- la pollution de l’eau causée par l’exploitation minière pouvant prendre des décennies même des siècles avant de se dépolluer après la fermeture de la mine. </w:t>
      </w:r>
    </w:p>
    <w:p w:rsidR="0089405D" w:rsidRDefault="003468E2">
      <w:pPr>
        <w:spacing w:after="0" w:line="312" w:lineRule="auto"/>
        <w:jc w:val="both"/>
        <w:rPr>
          <w:rFonts w:cs="Calibri"/>
          <w:b/>
          <w:sz w:val="24"/>
          <w:szCs w:val="24"/>
          <w:lang w:val="fr-FR"/>
        </w:rPr>
      </w:pPr>
      <w:r>
        <w:rPr>
          <w:rFonts w:cs="Calibri"/>
          <w:sz w:val="24"/>
          <w:szCs w:val="24"/>
          <w:lang w:val="fr-FR"/>
        </w:rPr>
        <w:tab/>
        <w:t xml:space="preserve">Ces impacts dépendent d’une variété des facteurs comme la sensibilité du terrain. Le terrain des zones d’exploitation minière ciblé par la société chinoise dans le territoire de Basoko (Liambe, Liokombe et Ilongo) est de nature superficielle. </w:t>
      </w:r>
    </w:p>
    <w:p w:rsidR="0089405D" w:rsidRDefault="003468E2">
      <w:pPr>
        <w:spacing w:after="0" w:line="312" w:lineRule="auto"/>
        <w:jc w:val="both"/>
        <w:rPr>
          <w:rFonts w:cs="Calibri"/>
          <w:sz w:val="24"/>
          <w:szCs w:val="24"/>
          <w:lang w:val="fr-FR"/>
        </w:rPr>
      </w:pPr>
      <w:r>
        <w:rPr>
          <w:rFonts w:cs="Calibri"/>
          <w:sz w:val="24"/>
          <w:szCs w:val="24"/>
          <w:lang w:val="fr-FR"/>
        </w:rPr>
        <w:tab/>
        <w:t xml:space="preserve">L’extraction dans les fosses ouvertes dans l’eau implique la fouille avec beaucoup de roches superflues (roches qui ne contiennent aucun minerai comme énuméré ci-dessous). Pour extraire le minerai on va d’abord écraser la roche, creusage des puits dans l’eau pour ensuite la traiter avec des produits chimiques qui va extraire… </w:t>
      </w: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Après l’extraction, la roche superflue (qui contient des sulfures produisant de l’acide), les métaux lourds et d’autres polluants sont entassés dans de vastes étendues. Cette roche </w:t>
      </w:r>
      <w:r>
        <w:rPr>
          <w:rFonts w:cs="Calibri"/>
          <w:sz w:val="24"/>
          <w:szCs w:val="24"/>
          <w:lang w:val="fr-FR"/>
        </w:rPr>
        <w:lastRenderedPageBreak/>
        <w:t xml:space="preserve">superflue exposée, gravie est la cause de la pollution par le métal et crée des difficultés de navigation, contamination des faunes aquatiques… </w:t>
      </w:r>
    </w:p>
    <w:p w:rsidR="0089405D" w:rsidRDefault="003468E2">
      <w:pPr>
        <w:spacing w:after="0" w:line="312" w:lineRule="auto"/>
        <w:jc w:val="both"/>
        <w:rPr>
          <w:rFonts w:cs="Calibri"/>
          <w:sz w:val="24"/>
          <w:szCs w:val="24"/>
          <w:lang w:val="fr-FR"/>
        </w:rPr>
      </w:pPr>
      <w:r>
        <w:rPr>
          <w:rFonts w:cs="Calibri"/>
          <w:sz w:val="24"/>
          <w:szCs w:val="24"/>
          <w:lang w:val="fr-FR"/>
        </w:rPr>
        <w:t xml:space="preserve">L’exploitation des minerais dans les lits des rivières prend plus de temps que celle faite à un endroit sec. Cette exploitation produit une pollution à tous les niveaux, par exemple : </w:t>
      </w:r>
    </w:p>
    <w:p w:rsidR="0089405D" w:rsidRDefault="003468E2">
      <w:pPr>
        <w:spacing w:after="0" w:line="312" w:lineRule="auto"/>
        <w:jc w:val="both"/>
        <w:rPr>
          <w:rFonts w:cs="Calibri"/>
          <w:sz w:val="24"/>
          <w:szCs w:val="24"/>
          <w:lang w:val="fr-FR"/>
        </w:rPr>
      </w:pPr>
      <w:r>
        <w:rPr>
          <w:rFonts w:cs="Calibri"/>
          <w:sz w:val="24"/>
          <w:szCs w:val="24"/>
          <w:lang w:val="fr-FR"/>
        </w:rPr>
        <w:t xml:space="preserve">- l’érosion des sols ; </w:t>
      </w:r>
    </w:p>
    <w:p w:rsidR="0089405D" w:rsidRDefault="003468E2">
      <w:pPr>
        <w:spacing w:after="0" w:line="312" w:lineRule="auto"/>
        <w:jc w:val="both"/>
        <w:rPr>
          <w:rFonts w:cs="Calibri"/>
          <w:sz w:val="24"/>
          <w:szCs w:val="24"/>
          <w:lang w:val="fr-FR"/>
        </w:rPr>
      </w:pPr>
      <w:r>
        <w:rPr>
          <w:rFonts w:cs="Calibri"/>
          <w:sz w:val="24"/>
          <w:szCs w:val="24"/>
          <w:lang w:val="fr-FR"/>
        </w:rPr>
        <w:t xml:space="preserve">- la destruction du biotope de certaines espèces animales ; </w:t>
      </w:r>
    </w:p>
    <w:p w:rsidR="0089405D" w:rsidRDefault="003468E2">
      <w:pPr>
        <w:spacing w:after="0" w:line="312" w:lineRule="auto"/>
        <w:jc w:val="both"/>
        <w:rPr>
          <w:rFonts w:cs="Calibri"/>
          <w:sz w:val="24"/>
          <w:szCs w:val="24"/>
          <w:lang w:val="fr-FR"/>
        </w:rPr>
      </w:pPr>
      <w:r>
        <w:rPr>
          <w:rFonts w:cs="Calibri"/>
          <w:sz w:val="24"/>
          <w:szCs w:val="24"/>
          <w:lang w:val="fr-FR"/>
        </w:rPr>
        <w:t xml:space="preserve">- la destruction de l’habitat aquatique ; </w:t>
      </w:r>
    </w:p>
    <w:p w:rsidR="0089405D" w:rsidRDefault="003468E2">
      <w:pPr>
        <w:spacing w:after="0" w:line="312" w:lineRule="auto"/>
        <w:jc w:val="both"/>
        <w:rPr>
          <w:rFonts w:cs="Calibri"/>
          <w:sz w:val="24"/>
          <w:szCs w:val="24"/>
          <w:lang w:val="fr-FR"/>
        </w:rPr>
      </w:pPr>
      <w:r>
        <w:rPr>
          <w:rFonts w:cs="Calibri"/>
          <w:sz w:val="24"/>
          <w:szCs w:val="24"/>
          <w:lang w:val="fr-FR"/>
        </w:rPr>
        <w:t xml:space="preserve">- la mort de certaines espèces ; </w:t>
      </w:r>
    </w:p>
    <w:p w:rsidR="0089405D" w:rsidRDefault="003468E2">
      <w:pPr>
        <w:spacing w:after="0" w:line="312" w:lineRule="auto"/>
        <w:jc w:val="both"/>
        <w:rPr>
          <w:rFonts w:cs="Calibri"/>
          <w:sz w:val="24"/>
          <w:szCs w:val="24"/>
          <w:lang w:val="fr-FR"/>
        </w:rPr>
      </w:pPr>
      <w:r>
        <w:rPr>
          <w:rFonts w:cs="Calibri"/>
          <w:sz w:val="24"/>
          <w:szCs w:val="24"/>
          <w:lang w:val="fr-FR"/>
        </w:rPr>
        <w:t xml:space="preserve">- la pollution sonore ; </w:t>
      </w:r>
    </w:p>
    <w:p w:rsidR="0089405D" w:rsidRDefault="003468E2">
      <w:pPr>
        <w:spacing w:after="0" w:line="312" w:lineRule="auto"/>
        <w:jc w:val="both"/>
        <w:rPr>
          <w:rFonts w:cs="Calibri"/>
          <w:sz w:val="24"/>
          <w:szCs w:val="24"/>
          <w:lang w:val="fr-FR"/>
        </w:rPr>
      </w:pPr>
      <w:r>
        <w:rPr>
          <w:rFonts w:cs="Calibri"/>
          <w:sz w:val="24"/>
          <w:szCs w:val="24"/>
          <w:lang w:val="fr-FR"/>
        </w:rPr>
        <w:t xml:space="preserve">- le rejet des déchets humains à n’importe quel endroit car ne possédant pas de toilettes… </w:t>
      </w:r>
    </w:p>
    <w:p w:rsidR="0089405D" w:rsidRDefault="003468E2">
      <w:pPr>
        <w:spacing w:after="0" w:line="312" w:lineRule="auto"/>
        <w:jc w:val="both"/>
        <w:rPr>
          <w:rFonts w:cs="Calibri"/>
          <w:sz w:val="24"/>
          <w:szCs w:val="24"/>
          <w:lang w:val="fr-FR"/>
        </w:rPr>
      </w:pPr>
      <w:r>
        <w:rPr>
          <w:rFonts w:cs="Calibri"/>
          <w:sz w:val="24"/>
          <w:szCs w:val="24"/>
          <w:lang w:val="fr-FR"/>
        </w:rPr>
        <w:tab/>
        <w:t xml:space="preserve">D’une manière brève, l’exploitation sous le lit de la rivière et ses environs a beaucoup d’effets négatifs sur la biodiversité. Etant donné que les minerais se trouvent dans des lits des rivières sont les plus préférés grâce à leur bonne qualité, les exploitants s’arrangent à délocaliser les eaux pour accéder aux minerais qui logent dans ces derniers. Cette exploitation se déroule simultanément avec celle de création de passage forcé en détruisant les rives avec des marteaux, bêches, pioche pour permettre à l’eau de passer et ne pas créer des dégâts aux exploitants. Ainsi donc, les conséquences négatives de cette exploitation entraineraient la destruction de notre écosystème allant de Mongandjo via Liambe jusqu’à Basoko-centre. </w:t>
      </w:r>
    </w:p>
    <w:p w:rsidR="0089405D" w:rsidRDefault="0089405D">
      <w:pPr>
        <w:spacing w:after="0" w:line="312" w:lineRule="auto"/>
        <w:jc w:val="both"/>
        <w:rPr>
          <w:rFonts w:cs="Calibri"/>
          <w:sz w:val="24"/>
          <w:szCs w:val="24"/>
          <w:lang w:val="fr-FR"/>
        </w:rPr>
      </w:pPr>
    </w:p>
    <w:p w:rsidR="0089405D" w:rsidRDefault="003468E2">
      <w:pPr>
        <w:keepNext/>
        <w:keepLines/>
        <w:widowControl w:val="0"/>
        <w:spacing w:after="0" w:line="312" w:lineRule="auto"/>
        <w:outlineLvl w:val="0"/>
        <w:rPr>
          <w:rFonts w:cs="Calibri"/>
          <w:b/>
          <w:sz w:val="24"/>
          <w:szCs w:val="24"/>
          <w:lang w:val="fr-FR"/>
        </w:rPr>
      </w:pPr>
      <w:bookmarkStart w:id="1147" w:name="_Toc71470340"/>
      <w:bookmarkStart w:id="1148" w:name="_Toc73431919"/>
      <w:bookmarkStart w:id="1149" w:name="_Toc79393093"/>
      <w:bookmarkStart w:id="1150" w:name="_Toc111888746"/>
      <w:bookmarkStart w:id="1151" w:name="_Toc127187323"/>
      <w:bookmarkStart w:id="1152" w:name="_Toc127187600"/>
      <w:bookmarkStart w:id="1153" w:name="_Toc127432357"/>
      <w:r>
        <w:rPr>
          <w:rFonts w:cs="Calibri"/>
          <w:b/>
          <w:sz w:val="24"/>
          <w:szCs w:val="24"/>
          <w:lang w:val="fr-FR"/>
        </w:rPr>
        <w:t>VII. DESOLATION POUR LES GENERATIONS PRESENTES ET A VENIR</w:t>
      </w:r>
      <w:bookmarkEnd w:id="1147"/>
      <w:bookmarkEnd w:id="1148"/>
      <w:bookmarkEnd w:id="1149"/>
      <w:bookmarkEnd w:id="1150"/>
      <w:bookmarkEnd w:id="1151"/>
      <w:bookmarkEnd w:id="1152"/>
      <w:bookmarkEnd w:id="1153"/>
    </w:p>
    <w:p w:rsidR="0089405D" w:rsidRDefault="0089405D">
      <w:pPr>
        <w:spacing w:after="0" w:line="312" w:lineRule="auto"/>
        <w:jc w:val="both"/>
        <w:rPr>
          <w:rFonts w:cs="Calibri"/>
          <w:sz w:val="24"/>
          <w:szCs w:val="24"/>
          <w:lang w:val="fr-FR"/>
        </w:rPr>
      </w:pPr>
    </w:p>
    <w:p w:rsidR="0089405D" w:rsidRDefault="003468E2">
      <w:pPr>
        <w:spacing w:after="0" w:line="312" w:lineRule="auto"/>
        <w:ind w:firstLine="708"/>
        <w:jc w:val="both"/>
        <w:rPr>
          <w:rFonts w:cs="Calibri"/>
          <w:sz w:val="24"/>
          <w:szCs w:val="24"/>
          <w:lang w:val="fr-FR"/>
        </w:rPr>
      </w:pPr>
      <w:r>
        <w:rPr>
          <w:rFonts w:cs="Calibri"/>
          <w:sz w:val="24"/>
          <w:szCs w:val="24"/>
          <w:lang w:val="fr-FR"/>
        </w:rPr>
        <w:t xml:space="preserve">La production de ce livre obéit donc aux dispositions d’un nouveau code minier et de la réglementation du code forestier : « réfléchir et informer sur toutes les questions d’ordre social, économique, culturel et politique touchant la vie du territoire de Basoko et sa population » et « conscientiser la population sur la protection des forêts, des eaux, du sol et du sous-sol constituant ainsi les patrimoines communs du territoire». En effet, d’autres problèmes auraient pu être soulevés, comme le déchargement de roches dans les cours d’eau détruisant ainsi les habitats de poissons, la construction des routes produisant de l’acide et la mauvaise gestion des déchets qui entamerait considérablement la qualité de l’eau. Sans normes, nous ferons face à une diminution de l’esprit écologique dont les conséquences pourront être immédiates ou lointaines. </w:t>
      </w:r>
    </w:p>
    <w:p w:rsidR="0089405D" w:rsidRDefault="003468E2">
      <w:pPr>
        <w:spacing w:after="0" w:line="312" w:lineRule="auto"/>
        <w:jc w:val="both"/>
        <w:rPr>
          <w:rFonts w:cs="Calibri"/>
          <w:sz w:val="24"/>
          <w:szCs w:val="24"/>
          <w:lang w:val="fr-FR"/>
        </w:rPr>
      </w:pPr>
      <w:r>
        <w:rPr>
          <w:rFonts w:cs="Calibri"/>
          <w:sz w:val="24"/>
          <w:szCs w:val="24"/>
          <w:lang w:val="fr-FR"/>
        </w:rPr>
        <w:tab/>
        <w:t xml:space="preserve">Néanmoins cette exploitation devra répondre aux exigences du développement durable, si non, elle n’apporterait que misère et désolation pour les générations présentes et à venir. La procédure édictée par le législateur, laquelle est inscrite dans le code minier doit </w:t>
      </w:r>
      <w:r>
        <w:rPr>
          <w:rFonts w:cs="Calibri"/>
          <w:sz w:val="24"/>
          <w:szCs w:val="24"/>
          <w:lang w:val="fr-FR"/>
        </w:rPr>
        <w:lastRenderedPageBreak/>
        <w:t>scrupuleusement être suivie. Aussi un préalable du développement durable doit s’assurer que le cours d’eaux ne soient pas contaminés ni très envahi pour d’autres activités nocives. Ces gens sont de mauvaise foi, il ne faut pas les renvoyer au code minier et forestier, ils vont jurer et promettre de les observer. Que cet ouvrage verrouille toutes les entrées possibles en s’appuyant uniquement sur les analyses scientifiques ci-haut détaillées !!</w:t>
      </w:r>
      <w:r>
        <w:rPr>
          <w:rFonts w:cs="Calibri"/>
          <w:lang w:val="fr-FR"/>
        </w:rPr>
        <w:t xml:space="preserve"> </w:t>
      </w:r>
    </w:p>
    <w:p w:rsidR="0089405D" w:rsidRDefault="003468E2">
      <w:pPr>
        <w:spacing w:after="0" w:line="312" w:lineRule="auto"/>
        <w:ind w:firstLine="708"/>
        <w:jc w:val="both"/>
        <w:rPr>
          <w:rFonts w:cs="Calibri"/>
          <w:sz w:val="24"/>
          <w:szCs w:val="24"/>
          <w:lang w:val="fr-FR"/>
        </w:rPr>
      </w:pPr>
      <w:r>
        <w:rPr>
          <w:rFonts w:cs="Calibri"/>
          <w:sz w:val="24"/>
          <w:szCs w:val="24"/>
          <w:lang w:val="fr-FR"/>
        </w:rPr>
        <w:t>Les conflits opposant les communautés locales à société minière ont reçu ainsi un important écho médiatique et nous des ONG environnementalistes avons développé des campagnes visant à attirer l’attention de l’opinion publique sur les nuisances environnementales et sociales de ce projet minier. Vu l’ampleur des impacts telle que démontrée dans cette littérature et les conséquences fâcheuses sur les paisibles citoyens des localités ciblées dans l’exploitation minière par la société chinoise (Liambe, Likombe, Ilongo…) en particulier et ceux du territoire de Basoko en général, et au regard des effets désolants créés par cette société là où elle est passée, notamment à Banalia et à Bafwasende,</w:t>
      </w:r>
      <w:r>
        <w:rPr>
          <w:rFonts w:cs="Calibri"/>
          <w:b/>
          <w:sz w:val="24"/>
          <w:szCs w:val="24"/>
          <w:lang w:val="fr-FR"/>
        </w:rPr>
        <w:t xml:space="preserve"> le peuple Mosoko dit NON à cette exploitation.</w:t>
      </w:r>
      <w:r>
        <w:rPr>
          <w:rFonts w:cs="Calibri"/>
          <w:sz w:val="24"/>
          <w:szCs w:val="24"/>
          <w:lang w:val="fr-FR"/>
        </w:rPr>
        <w:t xml:space="preserve">  Pour ce faire, l’Etat congolais, qui est censé garantir la sécurité et le bien-être de sa population en général, et particulièrement celle du Territoire de Basoko, est appelé à mettre en place une bonne politique d’exploitation minière, surtout en privilégiant les intérêts communautaires, et non celui d’un groupe d’individus. </w:t>
      </w:r>
    </w:p>
    <w:p w:rsidR="0089405D" w:rsidRDefault="0089405D">
      <w:pPr>
        <w:spacing w:after="0" w:line="312" w:lineRule="auto"/>
        <w:rPr>
          <w:rFonts w:cs="Calibri"/>
          <w:b/>
          <w:sz w:val="24"/>
          <w:szCs w:val="24"/>
          <w:lang w:val="fr-FR"/>
        </w:rPr>
        <w:sectPr w:rsidR="0089405D">
          <w:pgSz w:w="12240" w:h="15840"/>
          <w:pgMar w:top="1440" w:right="1440" w:bottom="1440" w:left="1800" w:header="720" w:footer="720" w:gutter="0"/>
          <w:pgNumType w:start="1"/>
          <w:cols w:space="720"/>
          <w:docGrid w:linePitch="360"/>
        </w:sectPr>
      </w:pPr>
    </w:p>
    <w:p w:rsidR="0089405D" w:rsidRDefault="003468E2">
      <w:pPr>
        <w:spacing w:after="0"/>
        <w:jc w:val="both"/>
        <w:rPr>
          <w:rFonts w:cs="Calibri"/>
          <w:sz w:val="24"/>
          <w:szCs w:val="24"/>
          <w:lang w:val="fr-FR"/>
        </w:rPr>
      </w:pPr>
      <w:r>
        <w:rPr>
          <w:rFonts w:cs="Calibri"/>
          <w:sz w:val="24"/>
          <w:szCs w:val="24"/>
          <w:lang w:val="fr-FR"/>
        </w:rPr>
        <w:lastRenderedPageBreak/>
        <w:t>Ce livre n’est pas une anthologie mais un titan best-seller d’éveil de conscience sur l’appréciation des impacts socio-économiques et environnementaux des projets d’exploitation de ressources minière sur le lit de la rivière Aruwimi en RDC. La terre et l’eau ont toujours constitué de tous les temps les sources de revenus de subsistance des communautés locales, prisées de ses écosystèmes, les communautés locales deviennent vulnérables. L’exploitation minière semi-industrielle comme industrielle tractent des terres aux producteurs agricoles et perturbent l’eau pour la survie c’est-à dire brouillent toujours les utilisations du sol et les activités existantes telles que l’agriculture, la pêche….. Les drames sur la qualité de l’eau et de la disponibilité des ressources en eau dans la zone du projet minière engendrent toujours des impacts les plus dramatiques sans égard de la loi. La manière dont la transmutation se produit influence également la manière dont cette mutation est vécue par la société. L’immigration et le changement démographique qui vont survenir affectent la cohésion sociale, les coutumes des communautés et perturbent l’ordre social. Il est nécessaire que les parties prenantes aient l’opportunité de participer diligemment à la prise de décision dans l’exploitation des ressources pour s’assurer que les projets sont conformes à leurs valeurs et moyens de subsistance. Ainsi, l’Etat congolais, qui est présumé assurer la sécurité et le bien-être de sa population en général, et particulièrement celle du Territoire de Basoko, est appelé à mettre en œuvre le code minier ainsi qu’une bonne politique d’exploitation minière, surtout en privilégiant les intérêts collectifs, et non ceux d’un ligue d’individus.</w:t>
      </w:r>
    </w:p>
    <w:p w:rsidR="0089405D" w:rsidRDefault="0089405D">
      <w:pPr>
        <w:spacing w:after="0"/>
        <w:jc w:val="both"/>
        <w:rPr>
          <w:rFonts w:cs="Calibri"/>
          <w:b/>
          <w:sz w:val="24"/>
          <w:szCs w:val="24"/>
          <w:lang w:val="fr-FR"/>
        </w:rPr>
      </w:pPr>
    </w:p>
    <w:p w:rsidR="0089405D" w:rsidRDefault="003468E2">
      <w:pPr>
        <w:spacing w:after="0"/>
        <w:jc w:val="both"/>
        <w:rPr>
          <w:rFonts w:cs="Calibri"/>
          <w:b/>
          <w:sz w:val="24"/>
          <w:szCs w:val="24"/>
          <w:lang w:val="fr-FR"/>
        </w:rPr>
      </w:pPr>
      <w:r>
        <w:rPr>
          <w:rFonts w:cs="Calibri"/>
          <w:b/>
          <w:noProof/>
          <w:sz w:val="24"/>
          <w:szCs w:val="24"/>
          <w:lang w:val="fr-FR" w:eastAsia="fr-FR"/>
        </w:rPr>
        <w:drawing>
          <wp:anchor distT="0" distB="0" distL="114300" distR="114300" simplePos="0" relativeHeight="2" behindDoc="1" locked="0" layoutInCell="1" allowOverlap="1">
            <wp:simplePos x="0" y="0"/>
            <wp:positionH relativeFrom="column">
              <wp:posOffset>76200</wp:posOffset>
            </wp:positionH>
            <wp:positionV relativeFrom="paragraph">
              <wp:posOffset>78740</wp:posOffset>
            </wp:positionV>
            <wp:extent cx="1714500" cy="2419985"/>
            <wp:effectExtent l="0" t="0" r="0" b="0"/>
            <wp:wrapTight wrapText="bothSides">
              <wp:wrapPolygon edited="0">
                <wp:start x="0" y="0"/>
                <wp:lineTo x="0" y="21424"/>
                <wp:lineTo x="21360" y="21424"/>
                <wp:lineTo x="21360" y="0"/>
                <wp:lineTo x="0" y="0"/>
              </wp:wrapPolygon>
            </wp:wrapTight>
            <wp:docPr id="1046"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4"/>
                    <pic:cNvPicPr/>
                  </pic:nvPicPr>
                  <pic:blipFill>
                    <a:blip r:embed="rId135" cstate="print"/>
                    <a:srcRect t="6292"/>
                    <a:stretch/>
                  </pic:blipFill>
                  <pic:spPr>
                    <a:xfrm>
                      <a:off x="0" y="0"/>
                      <a:ext cx="1714500" cy="2419985"/>
                    </a:xfrm>
                    <a:prstGeom prst="rect">
                      <a:avLst/>
                    </a:prstGeom>
                    <a:ln>
                      <a:noFill/>
                    </a:ln>
                  </pic:spPr>
                </pic:pic>
              </a:graphicData>
            </a:graphic>
            <wp14:sizeRelH relativeFrom="page">
              <wp14:pctWidth>0</wp14:pctWidth>
            </wp14:sizeRelH>
            <wp14:sizeRelV relativeFrom="page">
              <wp14:pctHeight>0</wp14:pctHeight>
            </wp14:sizeRelV>
          </wp:anchor>
        </w:drawing>
      </w:r>
      <w:r>
        <w:rPr>
          <w:rFonts w:cs="Calibri"/>
          <w:sz w:val="24"/>
          <w:szCs w:val="24"/>
          <w:lang w:val="fr-FR"/>
        </w:rPr>
        <w:t xml:space="preserve">Docteur Mangambu Mokoso Jean De Dieu, diplômé de l’Université d’Anvers (Universiteit Antwerpen) en Belgique, est Professeur des Universités, activiste de le Société civile Environnementale,  l’auteur de plus des cinquante articles Scientifiques et de deux livres et membres des plusieurs associations savantes au monde. Il est aussi membre de la Rédaction de la flore d’Afrique Centrale et lecteur de plusieurs revues internationales en Biologie et Sciences de l’environnement, managements des écosystèmes, etc. Ces dernières années, il a élargi ses travaux de recherches dans le domaine d’aménagement urbain, restauration du paysage, environnements anthropisés, conflits environnementaux dans les aires protégées et du paysage industriel en particulier dans les milieux extractifs. Dans son université, il est le Responsable du Laboratoire de Bio-Systématique, Biodiversité &amp; Management des Écosystèmes et le Point focal des Éditions de l'Université Officielle de Bukavu.  Il coordonne l’ASBL Minorité Silencieuse (MS), pour la mise en œuvre du programme Agroenvironnemental du Territoire de Basoko en Province de la Tshopo (RD Congo).                                                       </w:t>
      </w:r>
    </w:p>
    <w:sectPr w:rsidR="0089405D">
      <w:pgSz w:w="12240" w:h="15840"/>
      <w:pgMar w:top="1440" w:right="1440" w:bottom="1440" w:left="1800" w:header="720" w:footer="720" w:gutter="0"/>
      <w:pgNumType w:start="179"/>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319F" w:rsidRDefault="007E319F">
      <w:pPr>
        <w:spacing w:after="0" w:line="240" w:lineRule="auto"/>
      </w:pPr>
      <w:r>
        <w:separator/>
      </w:r>
    </w:p>
  </w:endnote>
  <w:endnote w:type="continuationSeparator" w:id="0">
    <w:p w:rsidR="007E319F" w:rsidRDefault="007E31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MT">
    <w:altName w:val="ArialMT"/>
    <w:charset w:val="00"/>
    <w:family w:val="swiss"/>
    <w:pitch w:val="default"/>
    <w:sig w:usb0="00000003" w:usb1="00000000" w:usb2="00000000" w:usb3="00000000" w:csb0="00000001" w:csb1="00000000"/>
  </w:font>
  <w:font w:name="ACaslonPro-Regular">
    <w:altName w:val="Calibri"/>
    <w:panose1 w:val="0205050205050A020403"/>
    <w:charset w:val="00"/>
    <w:family w:val="auto"/>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D" w:rsidRDefault="0089405D">
    <w:pPr>
      <w:pStyle w:val="Pieddepage"/>
      <w:jc w:val="center"/>
    </w:pPr>
  </w:p>
  <w:p w:rsidR="0089405D" w:rsidRDefault="0089405D">
    <w:pPr>
      <w:pStyle w:val="Pieddepag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319F" w:rsidRDefault="007E319F">
      <w:pPr>
        <w:spacing w:after="0" w:line="240" w:lineRule="auto"/>
      </w:pPr>
      <w:r>
        <w:separator/>
      </w:r>
    </w:p>
  </w:footnote>
  <w:footnote w:type="continuationSeparator" w:id="0">
    <w:p w:rsidR="007E319F" w:rsidRDefault="007E319F">
      <w:pPr>
        <w:spacing w:after="0" w:line="240" w:lineRule="auto"/>
      </w:pPr>
      <w:r>
        <w:continuationSeparator/>
      </w:r>
    </w:p>
  </w:footnote>
  <w:footnote w:id="1">
    <w:p w:rsidR="0089405D" w:rsidRDefault="003468E2">
      <w:pPr>
        <w:pStyle w:val="Notedebasdepage"/>
        <w:jc w:val="both"/>
        <w:rPr>
          <w:lang w:val="fr-FR"/>
        </w:rPr>
      </w:pPr>
      <w:r>
        <w:rPr>
          <w:rStyle w:val="Appelnotedebasdep"/>
        </w:rPr>
        <w:footnoteRef/>
      </w:r>
      <w:r>
        <w:rPr>
          <w:lang w:val="fr-FR"/>
        </w:rPr>
        <w:t xml:space="preserve"> </w:t>
      </w:r>
      <w:r>
        <w:rPr>
          <w:rFonts w:ascii="Calibri Light" w:hAnsi="Calibri Light" w:cs="Calibri Light"/>
          <w:sz w:val="22"/>
          <w:szCs w:val="22"/>
          <w:lang w:val="fr-FR"/>
        </w:rPr>
        <w:t>L'Organisation de coopération et de développement économiques (OCDE) est une organisation internationale d'études économiques, dont les pays membres — des pays développés pour la plupart — ont en commun un système de gouvernement démocratique et une économie de marché. Elle joue essentiellement un rôle d'assemblée consultative</w:t>
      </w:r>
    </w:p>
  </w:footnote>
  <w:footnote w:id="2">
    <w:p w:rsidR="0089405D" w:rsidRDefault="003468E2">
      <w:pPr>
        <w:pStyle w:val="Notedebasdepage"/>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Le terme minerais est utilisé pour désigner toute roche suffisamment riche en minéraux pour être exploitable, mais également pour désigner les minéraux exploités tels que l’or ou le fer. Un minéral, quant à lui, est composé d’un ou plusieurs éléments chimiques, il possède une structure cristalline déterminée comme le diamant ou le quartz et se trouve en assemblage dans les roches (Le Ster, M., 2011, L’Est de la République Démocratique du Congo : du « scandale géologique » au scandale politique, économique, humanitaire. Cahiers d’Outre-Mer, 64(255), 435-438. https://doi.org/10.4000/com.6341).</w:t>
      </w:r>
    </w:p>
  </w:footnote>
  <w:footnote w:id="3">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Article 2 alinéa 23 de la Loi N°2008-005 du 30 mai 2008 portant Loi-cadre sur l’environnement.</w:t>
      </w:r>
    </w:p>
  </w:footnote>
  <w:footnote w:id="4">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Le rapport Brundtland est élaboré en 1987 par la commission mondiale sur l’environnement et le développement. Son contenu est aujourd’hui objet de multiples controverses doctrinales.</w:t>
      </w:r>
    </w:p>
  </w:footnote>
  <w:footnote w:id="5">
    <w:p w:rsidR="0089405D" w:rsidRDefault="003468E2">
      <w:pPr>
        <w:pStyle w:val="Notedebasdepage"/>
        <w:spacing w:line="276" w:lineRule="auto"/>
        <w:jc w:val="both"/>
        <w:rPr>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Ambassade de France en RD Congo. (2020). L’exploitation minière en RD Congo. Direction Générale du Trésor. https://www.tresor.economie.gouv.fr/PagesInternationales/Pages/c4657524-6a6d-4cf3-8391-9d70556e302b/files/5a28b9a8-fb05-4129-989c-db141bae3025</w:t>
      </w:r>
    </w:p>
  </w:footnote>
  <w:footnote w:id="6">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 Guide de l’OCDE pour des chaînes d’approvisionnement responsables en minerais provenant de zones de conflit ou à haut risque ».</w:t>
      </w:r>
    </w:p>
  </w:footnote>
  <w:footnote w:id="7">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La diversité biologique, ou biodiversité, correspond à la dynamique des interactions entre organismes dans des milieux en changement. On parle du tissu du monde vivant, construit sur des milliards d’années, et dont les composantes sont à la fois. En d’autre terme, la diversité biologique, ou biodiversité, correspond à la dynamique des interactions entre organismes dans des milieux en changement. On parle du tissu du monde vivant, construit sur des milliards d’années, et dont les composantes sont à la fois interdépendantes et en co-évolution. La biodiversité constitue le moteur des écosystèmes de la biosphère. Il n’existe qu’un seul système vivant planétaire dont la brique élémentaire est l’ADN et renvoie plus précisément à : La diversité et la variabilité génétique au sein de chaque espèce, Celles des espèces et de leurs formes de vie, Celles des associations d’espèces et de leurs interactions, L’ensemble des processus écosystémiques dont les organismes vivants sont les acteurs directs ou indirects. Les écosystèmes sont définis comme ensembles biologiques et physiques dynamiques, capables d’autorégulation et qui procèdent à la fois des lois de la thermodynamique et des théories de l’évolution. Tandis que la biosphère est l’écosystème global, auto-entretenu, qui intègre tous les êtres vivants et les relations qu’ils tissent entre eux et avec l’hydrosphère (l’eau), l’atmosphère (l’air) et la lithosphère (les roches), dans un métabolisme qui change sans cesse ces derniers en les modifiant, les stockant ou les recyclant (Sala, S., 2018). </w:t>
      </w:r>
    </w:p>
  </w:footnote>
  <w:footnote w:id="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Une étude d’impact environnemental (EIE) et social (EIES) est un processus qui, en début de planification, détermine et évalue les risques d’incidences environnementales d’un projet. L’EIES établit les mesures qui peuvent être adoptées pour contrer les effets environnementaux négatifs ou pour les réduire à des niveaux acceptables. En ce sens, l’EIES représente une approche proactive et préventive en matière de gestion et de protection environnementale (Ashanti Goldfields Kilo, 2015).</w:t>
      </w:r>
      <w:r>
        <w:rPr>
          <w:rFonts w:ascii="Calibri Light" w:hAnsi="Calibri Light" w:cs="Calibri Light"/>
          <w:lang w:val="fr-FR"/>
        </w:rPr>
        <w:t xml:space="preserve"> </w:t>
      </w:r>
      <w:r>
        <w:rPr>
          <w:rFonts w:ascii="Calibri Light" w:hAnsi="Calibri Light" w:cs="Calibri Light"/>
          <w:sz w:val="22"/>
          <w:szCs w:val="22"/>
          <w:lang w:val="fr-FR"/>
        </w:rPr>
        <w:t>L'étude d'impact sur l'environnement (EIE) est un processus qui, au tout début de la planification, cerne et évalue les risques d'incidences environnementales découlant d'un projet prévu.</w:t>
      </w:r>
      <w:r>
        <w:rPr>
          <w:rFonts w:ascii="Calibri Light" w:hAnsi="Calibri Light" w:cs="Calibri Light"/>
          <w:lang w:val="fr-FR"/>
        </w:rPr>
        <w:t xml:space="preserve"> </w:t>
      </w:r>
      <w:r>
        <w:rPr>
          <w:rFonts w:ascii="Calibri Light" w:hAnsi="Calibri Light" w:cs="Calibri Light"/>
          <w:sz w:val="22"/>
          <w:szCs w:val="22"/>
          <w:lang w:val="fr-FR"/>
        </w:rPr>
        <w:t>La démarche d'évaluation environnementale se traduit par la production d'un dossier d'étude d'impact pour les projets ou d'un rapport environnemental pour les plans/programmes. L'évaluation environnementale fait l'objet d'un avis d'une autorité environnementale.</w:t>
      </w:r>
    </w:p>
  </w:footnote>
  <w:footnote w:id="9">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Plans de Gestion Environnementale et Sociale (PGES) a pour objectif de décrire l’ensemble du contexte en termes d’enjeux et des mesures qui seront prises pour assurer la conformité aux exigences légales nationales applicables en matière environnementale et sociale ainsi qu’aux exigences du système de sauvegardes intègre de la pour soutenir les efforts fournis pour réhabiliter les infrastructures de base (Sala, S., 2018).</w:t>
      </w:r>
    </w:p>
  </w:footnote>
  <w:footnote w:id="10">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La démarche inductive, aussi appelée approche empirico-inductive, est une méthode de travail qui part de faits, de données brutes réelles et observables, pour aller vers l'explication de celles-ci. À partir des phénomènes particuliers observés sur le terrain, le chercheur peut comprendre un phénomène général. En d’autre terme, a méthode inductive se base sur un fait connu. Cette méthode de travail cherche à comprendre les causes d'un phénomène à travers ses effets. Le phénomène ou le fait étudié est connu grâce à : Des données chiffrées (</w:t>
      </w:r>
      <w:r>
        <w:rPr>
          <w:rFonts w:ascii="Calibri Light" w:hAnsi="Calibri Light" w:cs="Calibri Light"/>
          <w:color w:val="0070C0"/>
          <w:sz w:val="22"/>
          <w:szCs w:val="22"/>
          <w:u w:val="single"/>
          <w:lang w:val="fr-FR"/>
        </w:rPr>
        <w:t>https://www.scribbr.fr › methodes-inductives-deductives</w:t>
      </w:r>
      <w:r>
        <w:rPr>
          <w:rFonts w:ascii="Calibri Light" w:hAnsi="Calibri Light" w:cs="Calibri Light"/>
          <w:sz w:val="22"/>
          <w:szCs w:val="22"/>
          <w:lang w:val="fr-FR"/>
        </w:rPr>
        <w:t>).</w:t>
      </w:r>
    </w:p>
    <w:p w:rsidR="0089405D" w:rsidRDefault="003468E2">
      <w:pPr>
        <w:pStyle w:val="Notedebasdepage"/>
        <w:spacing w:line="276" w:lineRule="auto"/>
        <w:jc w:val="both"/>
        <w:rPr>
          <w:rFonts w:ascii="Calibri Light" w:hAnsi="Calibri Light" w:cs="Calibri Light"/>
          <w:sz w:val="22"/>
          <w:szCs w:val="22"/>
          <w:lang w:val="fr-FR"/>
        </w:rPr>
      </w:pPr>
      <w:r>
        <w:rPr>
          <w:rFonts w:ascii="Calibri Light" w:hAnsi="Calibri Light" w:cs="Calibri Light"/>
          <w:sz w:val="22"/>
          <w:szCs w:val="22"/>
          <w:lang w:val="fr-FR"/>
        </w:rPr>
        <w:t>- Le raisonnement inductif : il part d'observations particulières pour aboutir à une conclusion de portée générale. - Le raisonnement déductif : il part d'une idée générale pour en déduire des propositions particulières. - Le raisonnement par analogie : il procède à une comparaison avant d'aboutir à une conclusion(</w:t>
      </w:r>
      <w:r>
        <w:rPr>
          <w:rFonts w:ascii="Calibri Light" w:hAnsi="Calibri Light" w:cs="Calibri Light"/>
          <w:color w:val="0070C0"/>
          <w:sz w:val="22"/>
          <w:szCs w:val="22"/>
          <w:u w:val="single"/>
          <w:lang w:val="fr-FR"/>
        </w:rPr>
        <w:t>https://www.scribbr.fr › methodes-inductives-deductives</w:t>
      </w:r>
      <w:r>
        <w:rPr>
          <w:rFonts w:ascii="Calibri Light" w:hAnsi="Calibri Light" w:cs="Calibri Light"/>
          <w:sz w:val="22"/>
          <w:szCs w:val="22"/>
          <w:lang w:val="fr-FR"/>
        </w:rPr>
        <w:t>)</w:t>
      </w:r>
    </w:p>
    <w:p w:rsidR="0089405D" w:rsidRDefault="003468E2">
      <w:pPr>
        <w:pStyle w:val="Notedebasdepage"/>
        <w:jc w:val="both"/>
        <w:rPr>
          <w:rFonts w:ascii="Calibri Light" w:hAnsi="Calibri Light" w:cs="Calibri Light"/>
          <w:sz w:val="22"/>
          <w:szCs w:val="22"/>
        </w:rPr>
      </w:pPr>
      <w:r>
        <w:rPr>
          <w:rFonts w:ascii="Calibri Light" w:hAnsi="Calibri Light" w:cs="Calibri Light"/>
          <w:sz w:val="22"/>
          <w:szCs w:val="22"/>
          <w:lang w:val="fr-FR"/>
        </w:rPr>
        <w:t xml:space="preserve">Le raisonnement inductif peut être opposé au raisonnement déductif. Dans ce cas, il faut partir d'une idée générale pour en tirer des conséquences spécifiques. </w:t>
      </w:r>
      <w:hyperlink r:id="rId1" w:history="1">
        <w:r>
          <w:rPr>
            <w:rStyle w:val="Lienhypertexte"/>
            <w:rFonts w:ascii="Calibri Light" w:hAnsi="Calibri Light" w:cs="Calibri Light"/>
            <w:sz w:val="22"/>
            <w:szCs w:val="22"/>
          </w:rPr>
          <w:t>https://www.erudit.org</w:t>
        </w:r>
      </w:hyperlink>
    </w:p>
    <w:p w:rsidR="0089405D" w:rsidRDefault="0089405D">
      <w:pPr>
        <w:pStyle w:val="Notedebasdepage"/>
        <w:jc w:val="both"/>
        <w:rPr>
          <w:rFonts w:ascii="Calibri Light" w:hAnsi="Calibri Light" w:cs="Calibri Light"/>
          <w:sz w:val="22"/>
          <w:szCs w:val="22"/>
        </w:rPr>
      </w:pPr>
    </w:p>
    <w:p w:rsidR="0089405D" w:rsidRDefault="0089405D">
      <w:pPr>
        <w:pStyle w:val="Notedebasdepage"/>
        <w:jc w:val="both"/>
        <w:rPr>
          <w:rFonts w:ascii="Calibri Light" w:hAnsi="Calibri Light" w:cs="Calibri Light"/>
          <w:sz w:val="22"/>
          <w:szCs w:val="22"/>
        </w:rPr>
      </w:pPr>
    </w:p>
  </w:footnote>
  <w:footnote w:id="11">
    <w:p w:rsidR="0089405D" w:rsidRDefault="003468E2">
      <w:pPr>
        <w:pStyle w:val="Notedebasdepage"/>
        <w:spacing w:line="276" w:lineRule="auto"/>
        <w:jc w:val="both"/>
        <w:rPr>
          <w:rFonts w:ascii="Calibri Light" w:hAnsi="Calibri Light" w:cs="Calibri Light"/>
          <w:sz w:val="22"/>
          <w:szCs w:val="22"/>
        </w:rPr>
      </w:pPr>
      <w:r>
        <w:rPr>
          <w:rStyle w:val="Appelnotedebasdep"/>
          <w:rFonts w:ascii="Calibri Light" w:hAnsi="Calibri Light" w:cs="Calibri Light"/>
          <w:sz w:val="22"/>
          <w:szCs w:val="22"/>
        </w:rPr>
        <w:footnoteRef/>
      </w:r>
      <w:r>
        <w:rPr>
          <w:rFonts w:ascii="Calibri Light" w:hAnsi="Calibri Light" w:cs="Calibri Light"/>
          <w:sz w:val="22"/>
          <w:szCs w:val="22"/>
        </w:rPr>
        <w:t xml:space="preserve"> Rapport de durabilité de Newmont Gold Company, Beyond the Mine: http://www.beyondthemine.com/2006/?l=4&amp;pid=4&amp;pt=93&amp;parent=16&amp;id=314, oct. 2009.</w:t>
      </w:r>
    </w:p>
  </w:footnote>
  <w:footnote w:id="12">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Le Patriarche considère la cause de la défense des équilibres planétaires et du développement durable et équitable comme faisant partie de sa mission religieuse. Cet engagement lui vaut le surnom de « Patriarche vert », et lui a permis de recevoir le prix Sophie (2002) et le prix de la Fondation Cardinal-Paul-Poupard (2010).  </w:t>
      </w:r>
    </w:p>
  </w:footnote>
  <w:footnote w:id="13">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Pour le professeur Prieur (PRIEUR, 2001), la reconnaissance de l’intérêt général lié à l’environnement entraîne des effets concernant « le contrôle de légalité, l’apparition d’un service public de l’environnement et d’un ordre public écologique ».</w:t>
      </w:r>
    </w:p>
  </w:footnote>
  <w:footnote w:id="14">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Selon Iraj M. et Mehrdad M. (2005), les Organisation Non Gouvernementales environnementales(ONGE) sont des organisations indépendantes des gouvernements dédiées à la connaissance, protection, restauration ou gestion de l'environnement, sur un territoire et des sujets précisés par leurs statuts. Elles sont devenues un nouveau paradigme de l’Organisation de la Société Civile (OSC)</w:t>
      </w:r>
    </w:p>
  </w:footnote>
  <w:footnote w:id="15">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La voiture électrique, par exemple, est très friande de cobalt. Sur les enjeux liés à la voiture électrique, voir : Justice et Paix, Voiture du futur ou futur sans voiture ?, 25 septembre 2018.</w:t>
      </w:r>
    </w:p>
  </w:footnote>
  <w:footnote w:id="16">
    <w:p w:rsidR="0089405D" w:rsidRDefault="003468E2">
      <w:pPr>
        <w:pStyle w:val="Notedebasdepage"/>
        <w:spacing w:line="276" w:lineRule="auto"/>
        <w:jc w:val="both"/>
        <w:rPr>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Une institution financière internationale (IFI) est une institution financière, généralement non-privée, qui apporte des financements aux gouvernements des pays en difficulté ou au secteur privé de pays où l'on veut favoriser l'investissement.</w:t>
      </w:r>
      <w:r>
        <w:rPr>
          <w:lang w:val="fr-FR"/>
        </w:rPr>
        <w:t xml:space="preserve"> </w:t>
      </w:r>
      <w:r>
        <w:rPr>
          <w:rFonts w:ascii="Calibri Light" w:hAnsi="Calibri Light" w:cs="Calibri Light"/>
          <w:sz w:val="22"/>
          <w:szCs w:val="22"/>
          <w:lang w:val="fr-FR"/>
        </w:rPr>
        <w:t>La démarche d'évaluation environnementale se traduit par la production d'un dossier d’étude d'impact pour les projets ou d'un rapport environnemental pour les plans/programmes. L'évaluation environnementale fait l'objet d'un avis d'une autorité environnementale.</w:t>
      </w:r>
    </w:p>
  </w:footnote>
  <w:footnote w:id="17">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Sur les enjeux liés à ce qu’on appelle les terres rares, voir : Justice et Paix, Les terres rares… Une transition énergétique plus vertueuse ?, 26 septembre 2018 (UNDP, Indices et Indicateurs de Développement humain, 2018 Mise à jour statistique). Fonds Monétaire International : La République Démocratique du Congo excelle en matière de croissance, mais reste à la traîne sur le front de la réduction de la pauvreté, Bulletin du Fonds Monétaire International (FMI), le 13 octobre 2015</w:t>
      </w:r>
    </w:p>
  </w:footnote>
  <w:footnote w:id="1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eastAsia="Calibri" w:hAnsi="Calibri Light" w:cs="Calibri Light"/>
          <w:sz w:val="22"/>
          <w:szCs w:val="22"/>
          <w:lang w:val="fr-FR" w:eastAsia="en-US"/>
        </w:rPr>
        <w:t xml:space="preserve">Discours du ministre de Mines à l'occasion des assises sur les états généraux des mines organisées en Mars 2008 à Kinshasa ainsi que sur les journées minières qui s'en ont suivies en Mai 2008 au Katanga. Martin Kabue Lulu, Ministre de Mines, a annoncé les mesures fermes qui menacent de fermeture et de retrait de permis d'exploitation les entreprises qui ne se conforment pas au respect et à la protection de l'environnement en RDC. Malheureusement, le canal du lien de causalité entre les ressources naturelles et les conflits vient du financement des guerres. Si je m’appuis à  Ranveig, D. F., &amp; Soysa, I. (2012), comme le souligne « les guerres sont coûteuses; elles n’ont pas lieu si ceux qui investissent n’attendent rien en retour » (Ranveig, D. F., &amp; Soysa, I. (2012). Le mécontentement ne peut pas à lui seul provoquer de conflit armé, car « défier l’État nécessite un financement considérable ainsi qu’un nombre suffisamment important de volontaires » (Ranveig, D. F., &amp; Soysa, I., 2012). Mais le motif du financement n’est pas une condition suffisante pour établir un lien entre les ressources naturelles et les conflits. Dans le cas de la RDC, deux facteurs supplémentaires ont rendu possible la corrélation entre les ressources naturelles et les conflits. Le premier est, encore une fois, le vide de pouvoir laissé par un État central faible. Le deuxième est l’inégale répartition des recettes provenant de l’exploitation des ressources naturelles entre l’état, les firmes étrangers et la population locale et autochtones. En présence d’un État centralisé fort, les ressources naturelles peuvent aider à mettre en place une sécurité solide, une bonne gouvernance et une répartition efficace des revenus, qui, ensemble, réduisent les incitations et la faisabilité de rébellion sécessionnistes et le développement dans les zones ou </w:t>
      </w:r>
      <w:r>
        <w:rPr>
          <w:rFonts w:ascii="Calibri Light" w:eastAsia="Times New Roman" w:hAnsi="Calibri Light" w:cs="Calibri Light"/>
          <w:sz w:val="22"/>
          <w:szCs w:val="22"/>
          <w:lang w:val="fr-FR" w:eastAsia="fr-FR"/>
        </w:rPr>
        <w:t>secteur</w:t>
      </w:r>
      <w:r>
        <w:rPr>
          <w:rFonts w:ascii="Calibri Light" w:eastAsia="Calibri" w:hAnsi="Calibri Light" w:cs="Calibri Light"/>
          <w:sz w:val="22"/>
          <w:szCs w:val="22"/>
          <w:lang w:val="fr-FR" w:eastAsia="en-US"/>
        </w:rPr>
        <w:t xml:space="preserve"> d’exploitation, malheureusement c’est slogan.</w:t>
      </w:r>
    </w:p>
  </w:footnote>
  <w:footnote w:id="19">
    <w:p w:rsidR="0089405D" w:rsidRDefault="003468E2">
      <w:pPr>
        <w:pStyle w:val="Notedebasdepage"/>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Personne n’ignore tout de ce qu’est une mine illégale en RDC. Nous recommandons deux documentaires d’information anglais (de la BBC -BBC News Africa en date du 15 mai 2012 (</w:t>
      </w:r>
      <w:r>
        <w:rPr>
          <w:rFonts w:ascii="Calibri Light" w:hAnsi="Calibri Light" w:cs="Calibri Light"/>
          <w:color w:val="0070C0"/>
          <w:sz w:val="22"/>
          <w:szCs w:val="22"/>
          <w:u w:val="single"/>
          <w:lang w:val="fr-FR"/>
        </w:rPr>
        <w:t>http://www.bbc.co.uk/news/world-africa-18068183</w:t>
      </w:r>
      <w:r>
        <w:rPr>
          <w:rFonts w:ascii="Calibri Light" w:hAnsi="Calibri Light" w:cs="Calibri Light"/>
          <w:color w:val="0070C0"/>
          <w:sz w:val="22"/>
          <w:szCs w:val="22"/>
          <w:lang w:val="fr-FR"/>
        </w:rPr>
        <w:t xml:space="preserve"> </w:t>
      </w:r>
      <w:r>
        <w:rPr>
          <w:rFonts w:ascii="Calibri Light" w:hAnsi="Calibri Light" w:cs="Calibri Light"/>
          <w:sz w:val="22"/>
          <w:szCs w:val="22"/>
          <w:lang w:val="fr-FR"/>
        </w:rPr>
        <w:t xml:space="preserve">et du Guardian en date du 2 septembre 2011  </w:t>
      </w:r>
      <w:r>
        <w:rPr>
          <w:rFonts w:ascii="Calibri Light" w:hAnsi="Calibri Light" w:cs="Calibri Light"/>
          <w:color w:val="0070C0"/>
          <w:sz w:val="22"/>
          <w:szCs w:val="22"/>
          <w:u w:val="single"/>
          <w:lang w:val="fr-FR"/>
        </w:rPr>
        <w:t>http://www.guardian.co.uk/world/video/2011/sep/02/congo-blood-gold-mobile-phones-video)</w:t>
      </w:r>
    </w:p>
  </w:footnote>
  <w:footnote w:id="20">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Horizon Mines Magazine, mensuel N°00 vol. 23 du Juillet 2012. La problématique de la question des minerais de conflit ou minerais de sang en RDC : bilan d’une décennie d’efforts et perspectives. Depuis plus de deux décennies, le vocable « Minerais de conflit ou Minerais de sang » a été forgé et utilisé dans le secteur Minier international. Ce vocable est aujourd’hui au centre des préoccupations de l’Organisation des Nations Unies (ONU), de l’Organisation de Coopération et de Développement Economiques (OCDE) et des pays de la Conférence Internationale sur la Conférence Internationale sur la Région Grands Lacs « CIRGL » dont la RDC est membre, ainsi que des ONGs des droits de l’homme et des organisations des sociétés civiles. La situation dans l’est du pays à l’est   du   pays,   les   provinces   du    Nord-Kivu    et    Sud-Kivu,    ainsi que la  partie  Nord-Est  de  la   Province   Orientale   vivent   une  insécurité  permanente.</w:t>
      </w:r>
    </w:p>
  </w:footnote>
  <w:footnote w:id="21">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Le bulletin de juin 2003 de l’ONG World Rainforest Movement (</w:t>
      </w:r>
      <w:r>
        <w:rPr>
          <w:rFonts w:ascii="Calibri Light" w:hAnsi="Calibri Light" w:cs="Calibri Light"/>
          <w:color w:val="0070C0"/>
          <w:sz w:val="22"/>
          <w:szCs w:val="22"/>
          <w:u w:val="single"/>
          <w:lang w:val="fr-FR"/>
        </w:rPr>
        <w:t>http://www.wrm.org.uy</w:t>
      </w:r>
      <w:r>
        <w:rPr>
          <w:rFonts w:ascii="Calibri Light" w:hAnsi="Calibri Light" w:cs="Calibri Light"/>
          <w:sz w:val="22"/>
          <w:szCs w:val="22"/>
          <w:lang w:val="fr-FR"/>
        </w:rPr>
        <w:t>) est ainsi un réquisitoire sans appel contre l’industrie minière : « En raison de ses impacts, l’industrie minière est une de ces activités qui exigent le contrôle strict de toutes ses étapes, de la prospection et l’exploitation au transport, au traitement et à la consommation. Dans de nombreux cas, ce contrôle strict veut dire, tout simplement, l’interdiction ».  Informations obtenues lors d’un atelier sur le code minier organisé à Kinshasa du 4 au 6 juin 2019 avec les partenaires du Centre national de coopération au développement (CNCD)-11.11.11.</w:t>
      </w:r>
    </w:p>
  </w:footnote>
  <w:footnote w:id="22">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Informations obtenues lors d’un atelier sur le code minier organisé à Kinshasa du 4 au 6 juin 2019 avec les partenaires du Centre national de coopération au développement (CNCD)-11.11.11.</w:t>
      </w:r>
    </w:p>
  </w:footnote>
  <w:footnote w:id="23">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Cahier des charges définissant la responsabilité sociale vis-à-vis des communautés locales affectées par les activités du projet. En d’autres termes simples, les « cahiers des charges » sont des documents qui reprennent les engagements des entreprises vis-à-vis des populations locales en vue d’une amélioration de leurs conditions de vie, d’une part, et des relations des populations avec les entreprises, d’autre part. Mais, un Cahier des charges environnementales du projet minier consistant en un programme de mise en œuvre et de suivi des mesures envisagées par l’EIES pour supprimer, réduire et éventuellement compenser les conséquences dommageables du projet minier sur l’environnement (Loi n°18/001 du 09 mars 2018 modifiant et complétant la Loi n° 007/2002 du 11 juillet 2002 portant Code minier de la RDC).</w:t>
      </w:r>
    </w:p>
  </w:footnote>
  <w:footnote w:id="24">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Fonds Monétaire International, Bulletin du FMI (2015) : La République Démocratique du Congo excelle en matière de croissance, mais reste à la traîne sur le front de la réduction de la pauvreté, Bulletin du FMI, </w:t>
      </w:r>
      <w:hyperlink r:id="rId2" w:history="1">
        <w:r>
          <w:rPr>
            <w:rStyle w:val="Lienhypertexte"/>
            <w:rFonts w:ascii="Calibri Light" w:hAnsi="Calibri Light" w:cs="Calibri Light"/>
            <w:sz w:val="22"/>
            <w:szCs w:val="22"/>
            <w:lang w:val="fr-FR"/>
          </w:rPr>
          <w:t>https://www.imf.org/en/Publications/CR/Issues/2016/12/31/Democratic‐Republic‐of‐the‐Congo‐2015‐Article‐IV‐Consultation‐Press‐Release‐Staff‐Report‐and‐43335</w:t>
        </w:r>
      </w:hyperlink>
      <w:r>
        <w:rPr>
          <w:rFonts w:ascii="Calibri Light" w:hAnsi="Calibri Light" w:cs="Calibri Light"/>
          <w:sz w:val="22"/>
          <w:szCs w:val="22"/>
          <w:lang w:val="fr-FR"/>
        </w:rPr>
        <w:t>.</w:t>
      </w:r>
    </w:p>
    <w:p w:rsidR="0089405D" w:rsidRDefault="0089405D">
      <w:pPr>
        <w:pStyle w:val="Notedebasdepage"/>
        <w:spacing w:line="276" w:lineRule="auto"/>
        <w:jc w:val="both"/>
        <w:rPr>
          <w:rFonts w:ascii="Calibri Light" w:hAnsi="Calibri Light" w:cs="Calibri Light"/>
          <w:sz w:val="22"/>
          <w:szCs w:val="22"/>
          <w:lang w:val="fr-FR"/>
        </w:rPr>
      </w:pPr>
    </w:p>
  </w:footnote>
  <w:footnote w:id="25">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République Démocratique du Congo, présidence de la république, Loi n°18/001 du 09 mars 2018 modifiant et complétant la Loi n° 007/2002 du 11 juillet 2002 portant Code minier, Journal officiel, n°spécial, 28 mars 2018 </w:t>
      </w:r>
    </w:p>
  </w:footnote>
  <w:footnote w:id="26">
    <w:p w:rsidR="0089405D" w:rsidRDefault="003468E2">
      <w:pPr>
        <w:pStyle w:val="Notedebasdepage"/>
        <w:spacing w:line="276" w:lineRule="auto"/>
        <w:jc w:val="both"/>
        <w:rPr>
          <w:rFonts w:ascii="Calibri Light" w:hAnsi="Calibri Light" w:cs="Calibri Light"/>
          <w:sz w:val="22"/>
          <w:szCs w:val="22"/>
        </w:rPr>
      </w:pPr>
      <w:r>
        <w:rPr>
          <w:rStyle w:val="Appelnotedebasdep"/>
          <w:rFonts w:ascii="Calibri Light" w:hAnsi="Calibri Light" w:cs="Calibri Light"/>
          <w:sz w:val="22"/>
          <w:szCs w:val="22"/>
        </w:rPr>
        <w:footnoteRef/>
      </w:r>
      <w:r>
        <w:rPr>
          <w:rFonts w:ascii="Calibri Light" w:hAnsi="Calibri Light" w:cs="Calibri Light"/>
          <w:sz w:val="22"/>
          <w:szCs w:val="22"/>
        </w:rPr>
        <w:t xml:space="preserve"> United Nations. (1987). Report of the World Commission on Environment and Development: Our Common Future. </w:t>
      </w:r>
      <w:r>
        <w:rPr>
          <w:rFonts w:ascii="Calibri Light" w:hAnsi="Calibri Light" w:cs="Calibri Light"/>
          <w:color w:val="0070C0"/>
          <w:sz w:val="22"/>
          <w:szCs w:val="22"/>
          <w:u w:val="single"/>
        </w:rPr>
        <w:t>http://www.un-documents.net/ocf-02.htm#I</w:t>
      </w:r>
    </w:p>
  </w:footnote>
  <w:footnote w:id="27">
    <w:p w:rsidR="0089405D" w:rsidRDefault="0089405D">
      <w:pPr>
        <w:pStyle w:val="Notedebasdepage"/>
        <w:spacing w:line="276" w:lineRule="auto"/>
        <w:jc w:val="both"/>
        <w:rPr>
          <w:rFonts w:ascii="Calibri Light" w:hAnsi="Calibri Light" w:cs="Calibri Light"/>
          <w:sz w:val="22"/>
          <w:szCs w:val="22"/>
        </w:rPr>
      </w:pPr>
    </w:p>
  </w:footnote>
  <w:footnote w:id="2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hyperlink r:id="rId3" w:history="1">
        <w:r>
          <w:rPr>
            <w:rStyle w:val="Lienhypertexte"/>
            <w:rFonts w:ascii="Calibri Light" w:hAnsi="Calibri Light" w:cs="Calibri Light"/>
            <w:sz w:val="22"/>
            <w:szCs w:val="22"/>
            <w:lang w:val="fr-FR"/>
          </w:rPr>
          <w:t>https://www.dw.com/fr/rdc-angola-pollution/a-59080657</w:t>
        </w:r>
      </w:hyperlink>
      <w:r>
        <w:rPr>
          <w:rFonts w:ascii="Calibri Light" w:hAnsi="Calibri Light" w:cs="Calibri Light"/>
          <w:sz w:val="22"/>
          <w:szCs w:val="22"/>
          <w:lang w:val="fr-FR"/>
        </w:rPr>
        <w:t>: Selon les autorités, quatre des cinq territoires de la province du Kasaï sont touchés par la pollution, 968.000 habitants affectés et 161.490 ménages concernés.  Rose Mbuyi est la présidente de la société civile de la province du Kasaï Oriental. Pour elle, une solution à long terme doit être trouvée : "Nous avons proposé que le gouvernement congolais puisse se mettre autour d’une même table avec ce groupe angolais. Ils doivent trouver des solutions ou bien ils doivent arrêter leur production minière. Parce que nous n’allons pas accepter de perdre encore des vies humaines." La société angolaise affirme pour sa part avoir immédiatement pris des mesures pour minimiser le débit de sédiments dans les rivières et avoir fait don de nourriture aux communautés touchées pour atténuer l'impact du déversement.</w:t>
      </w:r>
    </w:p>
  </w:footnote>
  <w:footnote w:id="29">
    <w:p w:rsidR="0089405D" w:rsidRDefault="003468E2">
      <w:pPr>
        <w:pStyle w:val="Notedebasdepage"/>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ttps://www.google.com/url?sa=t&amp;rct=j&amp;q=&amp;esrc=s&amp;source=web&amp;cd=&amp;cad=rja&amp;uact=8&amp;ved=2ahUKEwjQrbT57Jv9AhUPVKQEHfZtBGQQFnoECAoQAQ&amp;url=http%3A%2F%2Fwww.leganet.cd%2FLegislation%2FDroit%2520economique%2FCode%2520Forestier%2Frdc-loiforets.pdf&amp;usg=AOvVaw1hTEvV8jrI3g5vD8VzvX7f</w:t>
      </w:r>
    </w:p>
  </w:footnote>
  <w:footnote w:id="30">
    <w:p w:rsidR="0089405D" w:rsidRDefault="003468E2">
      <w:pPr>
        <w:pStyle w:val="Notedebasdepage"/>
        <w:jc w:val="both"/>
        <w:rPr>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Loi n°011/2002 du 29 août 2002 portant code forestier en République Démocratique du Congo</w:t>
      </w:r>
    </w:p>
  </w:footnote>
  <w:footnote w:id="31">
    <w:p w:rsidR="0089405D" w:rsidRDefault="003468E2">
      <w:pPr>
        <w:pStyle w:val="Notedebasdepage"/>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République Démocratique du Congo, présidence de la république, Loi n°18/001 du 09 mars 2018 modifiant et complétant la Loi n° 007/2002 du 11 juillet 2002 portant Code minier, Journal officiel, n°spécial, 28 mars 2018</w:t>
      </w:r>
    </w:p>
  </w:footnote>
  <w:footnote w:id="32">
    <w:p w:rsidR="0089405D" w:rsidRDefault="003468E2">
      <w:pPr>
        <w:pStyle w:val="Notedebasdepage"/>
        <w:spacing w:line="276" w:lineRule="auto"/>
        <w:jc w:val="both"/>
        <w:rPr>
          <w:rFonts w:ascii="Calibri Light" w:hAnsi="Calibri Light" w:cs="Calibri Light"/>
          <w:color w:val="0070C0"/>
          <w:sz w:val="22"/>
          <w:szCs w:val="22"/>
          <w:u w:val="single"/>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RDC Code minier Loi n°2002-07 du 11 juillet 2002. (2002). Droit Afrique. </w:t>
      </w:r>
      <w:r>
        <w:rPr>
          <w:rFonts w:ascii="Calibri Light" w:hAnsi="Calibri Light" w:cs="Calibri Light"/>
          <w:color w:val="0070C0"/>
          <w:sz w:val="22"/>
          <w:szCs w:val="22"/>
          <w:u w:val="single"/>
          <w:lang w:val="fr-FR"/>
        </w:rPr>
        <w:t>http://www.droitafrique.</w:t>
      </w:r>
    </w:p>
    <w:p w:rsidR="0089405D" w:rsidRDefault="003468E2">
      <w:pPr>
        <w:pStyle w:val="Notedebasdepage"/>
        <w:spacing w:line="276" w:lineRule="auto"/>
        <w:jc w:val="both"/>
        <w:rPr>
          <w:rFonts w:ascii="Calibri Light" w:hAnsi="Calibri Light" w:cs="Calibri Light"/>
          <w:color w:val="0070C0"/>
          <w:sz w:val="22"/>
          <w:szCs w:val="22"/>
          <w:u w:val="single"/>
          <w:lang w:val="fr-FR"/>
        </w:rPr>
      </w:pPr>
      <w:r>
        <w:rPr>
          <w:rFonts w:ascii="Calibri Light" w:hAnsi="Calibri Light" w:cs="Calibri Light"/>
          <w:color w:val="0070C0"/>
          <w:sz w:val="22"/>
          <w:szCs w:val="22"/>
          <w:u w:val="single"/>
          <w:lang w:val="fr-FR"/>
        </w:rPr>
        <w:t>com/uploads/RDC-Code-minier-MAJ-2018.pdf</w:t>
      </w:r>
    </w:p>
  </w:footnote>
  <w:footnote w:id="33">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Mouvement mondial pour les forêts tropicales, L’industrie minière : Impacts sur la société et l’environnement, 2005, p.13. Voir en outre les analyses de Justice et Paix au sujet des impacts de l’extraction minière sur le site </w:t>
      </w:r>
      <w:r>
        <w:rPr>
          <w:rFonts w:ascii="Calibri Light" w:hAnsi="Calibri Light" w:cs="Calibri Light"/>
          <w:color w:val="0070C0"/>
          <w:sz w:val="22"/>
          <w:szCs w:val="22"/>
          <w:u w:val="single"/>
          <w:lang w:val="fr-FR"/>
        </w:rPr>
        <w:t>www. justicepaix.be</w:t>
      </w:r>
    </w:p>
  </w:footnote>
  <w:footnote w:id="34">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L'économie écologique englobe différents types de capitaux (naturel, social, culturel, humain ou encore de "fabrication humaine"). Ce n'est seulement qu'en considérant ces différents capitaux que l'économie écologique pourra atteindre ses trois objectifs interconnectés - un cadre durable, une distribution juste des ressources et une allocation efficace des ressources (Malte F., 2008).</w:t>
      </w:r>
    </w:p>
  </w:footnote>
  <w:footnote w:id="35">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L’être  humain  semble « ne percevoir d’autres significations de son milieu  naturel  que  celles  de  servir  à  un  usage  et  à  une consommation dans l’immédiat » Jean-Paul  II.,  Redemptor hominis</w:t>
      </w:r>
    </w:p>
  </w:footnote>
  <w:footnote w:id="36">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Article 17 de la Déclaration de Rio sur l’environnement et le développement « Une étude d'impact sur l'environnement, en tant qu'instrument national, doit être entreprise dans le cas des activités envisagées qui risquent d'avoir des effets nocifs importants sur l'environnement et dépendent de la décision d'une autorité nationale compétente ».</w:t>
      </w:r>
    </w:p>
  </w:footnote>
  <w:footnote w:id="37">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Discours du Lauréat du Prix Nobel de la Paix 2018 Denis Mukwege «….Je viens d’un des pays les plus riches de la planète. Pourtant, le peuple de mon pays est parmi les plus pauvres du monde. La réalité troublante est que l’abondance de nos ressources naturelles – or, coltan, cobalt et autres minerais stratégiques – alimente la guerre, source de la violence extrême et de la pauvreté abjecte au Congo. Nous aimons les belles voitures, les bijoux et les gadgets....Mon pays est systématiquement pillé avec la complicité des gens qui prétendent être nos dirigeants. Pillé pour leur pouvoir, leur richesse et leur gloire. Pillé aux dépens de millions d’hommes, de femmes et d’enfants innocents abandonnés dans une misère extrême… tandis que les bénéfices de nos minerais finissent sur les comptes opaques d’une oligarchie prédatrice.</w:t>
      </w:r>
    </w:p>
  </w:footnote>
  <w:footnote w:id="3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Le Cadastre Minier est un service public doté de la personnalité juridique et de l’autonomie financière. Il est placé sous la tutelle des Ministres ayant les mines et les finances dans leurs attributions. Ses statuts,    son    organisation    et    son fonctionnement sont fixés par Décret du Président de la République. Pour couvrir ses frais de fonctionnement, le Cadastre Minier est autorisé à percevoir et à gérer les frais de dépôt des dossiers par carré. Le Cadastre Minier est chargé de l’inscription : a) de la demande d’octroi des droits miniers et/ou de carrières ; b) des droits miniers et/ou de carrières octroyés ainsi que des décisions de refus ; c) du cas de retrait, d’annulation et de déchéance de droits miniers ou de carrières ; d) des mutations et amodiation des droits miniers ; e) des sûretés minières. Il est, en outre, chargé de l’instruction cadastrale des demandes des droits miniers et/ou      de carrières, de l’extension des droits miniers ou des carrières à d’autres substances, de la coordination de l’instruction technique et environnementale des demandes de droits miniers ou de carrières ainsi que de la délivrance de l’Attestation de Prospection. Le Cadastre Minier certifie la capacité    financière    minimum    des requérants de droits miniers et de carrières de recherche.  Il conserve les titres miniers et de carrières</w:t>
      </w:r>
    </w:p>
  </w:footnote>
  <w:footnote w:id="39">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Global Witness et CCFD-Terre Solidaire, EU takes step towards conflict-free supply chains, 27 janvier 2012, </w:t>
      </w:r>
      <w:r>
        <w:rPr>
          <w:rFonts w:ascii="Calibri Light" w:hAnsi="Calibri Light" w:cs="Calibri Light"/>
          <w:color w:val="0070C0"/>
          <w:sz w:val="22"/>
          <w:szCs w:val="22"/>
          <w:u w:val="single"/>
          <w:lang w:val="fr-FR"/>
        </w:rPr>
        <w:t>http://www.globalwitness.org/library/eu-takes-step-towards-conflict-free-supply-chains</w:t>
      </w:r>
    </w:p>
  </w:footnote>
  <w:footnote w:id="40">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Selon le rapport de </w:t>
      </w:r>
      <w:r>
        <w:rPr>
          <w:rStyle w:val="reference-text"/>
          <w:rFonts w:ascii="Calibri Light" w:hAnsi="Calibri Light" w:cs="Calibri Light"/>
          <w:iCs/>
          <w:sz w:val="22"/>
          <w:szCs w:val="22"/>
          <w:lang w:val="fr-FR"/>
        </w:rPr>
        <w:t xml:space="preserve">PNUD (2010), </w:t>
      </w:r>
      <w:r>
        <w:rPr>
          <w:rFonts w:ascii="Calibri Light" w:hAnsi="Calibri Light" w:cs="Calibri Light"/>
          <w:sz w:val="22"/>
          <w:szCs w:val="22"/>
          <w:lang w:val="fr-FR"/>
        </w:rPr>
        <w:t xml:space="preserve">la typologie la plus courante, les pays en développement ou pays du Sud sont des pays moins développés économiquement que les pays du Nord ou pays développés. L'expression remplace des dénominations antérieures, jugées inadéquates, obsolètes ou incorrectes : les pays du tiers monde, les pays sous-développés. Elle s'est substituée à « pays en voie de développement ». On mesure le développement d'un pays à partir d'indices statistiques tels l'indice de développement humain (IDH), le revenu par habitant, le taux d'analphabétisme, l'accès à l'eau... </w:t>
      </w:r>
    </w:p>
  </w:footnote>
  <w:footnote w:id="41">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Catholic Relief Service (CRS) et Commission Épiscopale pour les Ressources Naturelles (CERN), Étude des besoins. Communautés minières de Luttwinja, Mukungwe, Ninja et Nzibira (Sud Kivu – RDC), octobre 2011.</w:t>
      </w:r>
    </w:p>
  </w:footnote>
  <w:footnote w:id="42">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Groupe d’Experts des Nations Unies sur la République Démocratique du Congo, Rapport final 2011, Conseil de Sécurité des Nations Unies, décembre 2011, 37-40.</w:t>
      </w:r>
    </w:p>
  </w:footnote>
  <w:footnote w:id="43">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Global Witness, L’avenir du commerce de minerais congolais dans la balance : opportunités et obstacles associés à la démilitarisation, 18 mai 2011, voir page 6-7.</w:t>
      </w:r>
    </w:p>
  </w:footnote>
  <w:footnote w:id="44">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https://fr.wikipedia.org/wiki/Lohale</w:t>
      </w:r>
    </w:p>
  </w:footnote>
  <w:footnote w:id="45">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Stanleyville, s'amorce le grand bief navigable de 1.734 km dénommé Haut-Congo ou Haut-Fleuve. Au pied des rapides, le lit mineur n'a plus que 650 m de largeur. A partir de là, le fleuve commence à s'infléchir vers l'Ouest et son lit s'élargit bientôt. Il ne tarde pas à s'augmenter de grands affluents. A lsangi, il reçoit, à gauche, le Lomami dont le cours est parallèle au sien et qui est navigable dès l'endroit où il entre dans la cuvette centrale. Sur la droite, à Basoko, il absorbe l'Aruwimi qui, sous le nom d’Ituri, a ses sources aux confins du grand Graben, près du lac Albert. Avant Bumba, sur la rive droite, vient l'ltimbiri (dont la partie supérieure s'appelle Rubi) et qui est praticable jusqu'à Aketi…..</w:t>
      </w:r>
    </w:p>
  </w:footnote>
  <w:footnote w:id="46">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https://fr.qaz.wiki/wiki/Aruwimi_River</w:t>
      </w:r>
    </w:p>
  </w:footnote>
  <w:footnote w:id="47">
    <w:p w:rsidR="0089405D" w:rsidRDefault="003468E2">
      <w:pPr>
        <w:pStyle w:val="Notedebasdepage"/>
        <w:spacing w:line="276" w:lineRule="auto"/>
        <w:jc w:val="both"/>
        <w:rPr>
          <w:rFonts w:ascii="Calibri Light" w:hAnsi="Calibri Light" w:cs="Calibri Light"/>
          <w:color w:val="0070C0"/>
          <w:sz w:val="22"/>
          <w:szCs w:val="22"/>
          <w:u w:val="single"/>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https://sitesavisiter.com/s?as=mapa&amp;n=aruwimi</w:t>
      </w:r>
    </w:p>
  </w:footnote>
  <w:footnote w:id="4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color w:val="0070C0"/>
          <w:sz w:val="22"/>
          <w:szCs w:val="22"/>
          <w:u w:val="single"/>
        </w:rPr>
        <w:footnoteRef/>
      </w:r>
      <w:r>
        <w:rPr>
          <w:rFonts w:ascii="Calibri Light" w:hAnsi="Calibri Light" w:cs="Calibri Light"/>
          <w:color w:val="0070C0"/>
          <w:sz w:val="22"/>
          <w:szCs w:val="22"/>
          <w:u w:val="single"/>
          <w:lang w:val="fr-FR"/>
        </w:rPr>
        <w:t xml:space="preserve"> https://www.congo-autrement.com/page/congo-nature/hydrographie/cours-d-eau-en-republique-democratique-du-congo.html</w:t>
      </w:r>
    </w:p>
  </w:footnote>
  <w:footnote w:id="49">
    <w:p w:rsidR="0089405D" w:rsidRDefault="003468E2">
      <w:pPr>
        <w:pStyle w:val="Notedebasdepage"/>
        <w:tabs>
          <w:tab w:val="left" w:pos="567"/>
          <w:tab w:val="left" w:pos="851"/>
          <w:tab w:val="left" w:pos="1134"/>
          <w:tab w:val="left" w:pos="1843"/>
        </w:tabs>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color w:val="0070C0"/>
          <w:sz w:val="22"/>
          <w:szCs w:val="22"/>
          <w:u w:val="single"/>
          <w:lang w:val="fr-FR"/>
        </w:rPr>
        <w:t>https://www.caid.cd/index.php/donnees-par-province-administrative/province-de-tshopo/territoire-de-basoko/?secteur=developpement</w:t>
      </w:r>
    </w:p>
  </w:footnote>
  <w:footnote w:id="50">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http://wikimonde.com/article/Basoko_%28Orientale%29</w:t>
      </w:r>
    </w:p>
  </w:footnote>
  <w:footnote w:id="51">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color w:val="0070C0"/>
          <w:sz w:val="22"/>
          <w:szCs w:val="22"/>
          <w:u w:val="single"/>
          <w:lang w:val="fr-FR"/>
        </w:rPr>
        <w:t>https://www.caid.cd/index.php/donnees-par-province-administrative/province-de-tshopo/territoire-de-basoko/?secteur=fiche</w:t>
      </w:r>
    </w:p>
  </w:footnote>
  <w:footnote w:id="52">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L’Union   Européenne   (UE)   avait   confié   l’étude   d’impact   socio-environnemental du projet Pro-Routes à la firme environnementale   Agreco.   Le   projet   Pro-Routes   est   un   fonds   fiduciaire avec, pour maître d’ouvrage délégué, la Cellule des Infrastructures du ministère des Infrastructures et des Travaux publics.  Les bailleurs sont DFID (Coopération britannique),  l’Union européenne et la Banque mondiale, 2007)</w:t>
      </w:r>
    </w:p>
  </w:footnote>
  <w:footnote w:id="53">
    <w:p w:rsidR="0089405D" w:rsidRDefault="003468E2">
      <w:pPr>
        <w:pStyle w:val="Notedebasdepage"/>
        <w:tabs>
          <w:tab w:val="left" w:pos="851"/>
          <w:tab w:val="left" w:pos="2835"/>
        </w:tabs>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color w:val="0070C0"/>
          <w:sz w:val="22"/>
          <w:szCs w:val="22"/>
          <w:u w:val="single"/>
          <w:lang w:val="fr-FR"/>
        </w:rPr>
        <w:t>https://www.humanitarianresponse.info/fr/operations/democratic-republic-congo/assessment/enquete-nutritionnelle-zone-de-sante-de-feshi</w:t>
      </w:r>
    </w:p>
  </w:footnote>
  <w:footnote w:id="54">
    <w:p w:rsidR="0089405D" w:rsidRDefault="003468E2">
      <w:pPr>
        <w:pStyle w:val="Notedebasdepage"/>
        <w:spacing w:line="276" w:lineRule="auto"/>
        <w:jc w:val="both"/>
        <w:rPr>
          <w:rFonts w:ascii="Calibri Light" w:hAnsi="Calibri Light" w:cs="Calibri Light"/>
          <w:color w:val="0070C0"/>
          <w:sz w:val="22"/>
          <w:szCs w:val="22"/>
          <w:u w:val="single"/>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https://archives.africamuseum.be/repositories/2/archival_objects/7530</w:t>
      </w:r>
    </w:p>
  </w:footnote>
  <w:footnote w:id="55">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color w:val="0070C0"/>
          <w:sz w:val="22"/>
          <w:szCs w:val="22"/>
          <w:u w:val="single"/>
          <w:lang w:val="fr-FR"/>
        </w:rPr>
        <w:t>https://www.village-justice.com/articles/cooperation-territoriale-rdc-opportunite-pour-developpement-local,38264.html</w:t>
      </w:r>
    </w:p>
  </w:footnote>
  <w:footnote w:id="56">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Cette Loi numéro 007/2002 du 11 Juillet 2002 portant Code Minier en République Démocratique du Congo était élaborée dans un contexte post conflit où le pays avait plus besoin des investisseurs. Pendant la période de la pacification, les rêves du développement étaient nourris, cependant le pays n’avaient pas de capitaux pour répondre aux exigences du développement, d’où le besoin des lois incitatives à l’endroit des investisseurs. Pour répondre aux exigences du développement, il fallait une loi qui protège les communautés, protège l’environnement et une amélioration du régime fiscal vis-à-vis des promoteurs des projets miniers. Raison pour laquelle le code minier de 2002 a été modifié et complété par La Loi No 18/001 du 9 Mars 2018 portant CODE MINIER.</w:t>
      </w:r>
    </w:p>
  </w:footnote>
  <w:footnote w:id="57">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hyperlink r:id="rId4" w:history="1">
        <w:r>
          <w:rPr>
            <w:rStyle w:val="Lienhypertexte"/>
            <w:rFonts w:ascii="Calibri Light" w:hAnsi="Calibri Light" w:cs="Calibri Light"/>
            <w:sz w:val="22"/>
            <w:szCs w:val="22"/>
            <w:lang w:val="fr-FR"/>
          </w:rPr>
          <w:t>https://www.election-net.com/tshopo-polemique-autour-de-lexploitation-miniere-a-basokodossier/</w:t>
        </w:r>
      </w:hyperlink>
    </w:p>
  </w:footnote>
  <w:footnote w:id="5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hyperlink r:id="rId5" w:history="1">
        <w:r>
          <w:rPr>
            <w:rStyle w:val="Lienhypertexte"/>
            <w:rFonts w:ascii="Calibri Light" w:hAnsi="Calibri Light" w:cs="Calibri Light"/>
            <w:sz w:val="22"/>
            <w:szCs w:val="22"/>
            <w:lang w:val="fr-FR"/>
          </w:rPr>
          <w:t>https://congoaujourlejour.blogspot.com/2020/04/on-denonce-les-irregularites-et-la.html</w:t>
        </w:r>
      </w:hyperlink>
    </w:p>
  </w:footnote>
  <w:footnote w:id="59">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Grosso modo, les statuts de l’association indique la raison sociale de la société, sa nature, sa durée, sa personnalité juridique, son siège social, son objet, les associés, son capital social, l’apport de chaque associé ainsi que l’administration de l’entreprise</w:t>
      </w:r>
    </w:p>
  </w:footnote>
  <w:footnote w:id="60">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hyperlink r:id="rId6" w:history="1">
        <w:r>
          <w:rPr>
            <w:rStyle w:val="Lienhypertexte"/>
            <w:rFonts w:ascii="Calibri Light" w:hAnsi="Calibri Light" w:cs="Calibri Light"/>
            <w:sz w:val="22"/>
            <w:szCs w:val="22"/>
            <w:lang w:val="fr-FR"/>
          </w:rPr>
          <w:t>https://desknature.com/province-de-la-tshopo-xiang-jiang-mining-a-renonce-a-son-projet-dexploitation-de-lor-et-de-diamant-dans-le-lit-de-la-riviere-aruwimi/</w:t>
        </w:r>
      </w:hyperlink>
    </w:p>
  </w:footnote>
  <w:footnote w:id="61">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Permis de recherche de territoire de Banalia</w:t>
      </w:r>
      <w:r>
        <w:rPr>
          <w:rFonts w:ascii="Calibri Light" w:hAnsi="Calibri Light" w:cs="Calibri Light"/>
          <w:b/>
          <w:sz w:val="22"/>
          <w:szCs w:val="22"/>
          <w:lang w:val="fr-FR"/>
        </w:rPr>
        <w:t xml:space="preserve"> : </w:t>
      </w:r>
      <w:r>
        <w:rPr>
          <w:rFonts w:ascii="Calibri Light" w:hAnsi="Calibri Light" w:cs="Calibri Light"/>
          <w:sz w:val="22"/>
          <w:szCs w:val="22"/>
          <w:lang w:val="fr-FR"/>
        </w:rPr>
        <w:t>N°CAM/CR/8260 du 29 novembre 2019 pour le Permis de recherche N°14765, Exclusivité de 10 carrés, situés dans le territoire de BANALIA en Province Orientale</w:t>
      </w:r>
    </w:p>
  </w:footnote>
  <w:footnote w:id="62">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Correspondances non réunies sont ci-après</w:t>
      </w:r>
      <w:r>
        <w:rPr>
          <w:rFonts w:ascii="Calibri Light" w:hAnsi="Calibri Light" w:cs="Calibri Light"/>
          <w:b/>
          <w:sz w:val="22"/>
          <w:szCs w:val="22"/>
          <w:lang w:val="fr-FR"/>
        </w:rPr>
        <w:t xml:space="preserve"> : </w:t>
      </w:r>
      <w:r>
        <w:rPr>
          <w:rFonts w:ascii="Calibri Light" w:hAnsi="Calibri Light" w:cs="Calibri Light"/>
          <w:sz w:val="22"/>
          <w:szCs w:val="22"/>
          <w:lang w:val="fr-FR"/>
        </w:rPr>
        <w:t>1. N°CAM/CR/8262 du 29 novembre 2019 pour le Permis de recherche N°14764, Exclusivité de 30 carrés, situés dans le territoire de BASOKO en Province Orientale ;</w:t>
      </w:r>
    </w:p>
    <w:p w:rsidR="0089405D" w:rsidRDefault="003468E2">
      <w:pPr>
        <w:pStyle w:val="Notedebasdepage"/>
        <w:spacing w:line="276" w:lineRule="auto"/>
        <w:jc w:val="both"/>
        <w:rPr>
          <w:rFonts w:ascii="Calibri Light" w:hAnsi="Calibri Light" w:cs="Calibri Light"/>
          <w:sz w:val="22"/>
          <w:szCs w:val="22"/>
          <w:lang w:val="fr-FR"/>
        </w:rPr>
      </w:pPr>
      <w:r>
        <w:rPr>
          <w:rFonts w:ascii="Calibri Light" w:hAnsi="Calibri Light" w:cs="Calibri Light"/>
          <w:sz w:val="22"/>
          <w:szCs w:val="22"/>
          <w:lang w:val="fr-FR"/>
        </w:rPr>
        <w:t>2. N°CAM/CR/8261 du 29 novembre 2019 pour le Permis de recherche N°14763, Exclusivité de 20 carrés, situés dans le territoire de BASOKO en Province Orientale ;</w:t>
      </w:r>
    </w:p>
    <w:p w:rsidR="0089405D" w:rsidRDefault="003468E2">
      <w:pPr>
        <w:pStyle w:val="Notedebasdepage"/>
        <w:spacing w:line="276" w:lineRule="auto"/>
        <w:jc w:val="both"/>
        <w:rPr>
          <w:rFonts w:ascii="Calibri Light" w:hAnsi="Calibri Light" w:cs="Calibri Light"/>
          <w:sz w:val="22"/>
          <w:szCs w:val="22"/>
          <w:lang w:val="fr-FR"/>
        </w:rPr>
      </w:pPr>
      <w:r>
        <w:rPr>
          <w:rFonts w:ascii="Calibri Light" w:hAnsi="Calibri Light" w:cs="Calibri Light"/>
          <w:sz w:val="22"/>
          <w:szCs w:val="22"/>
          <w:lang w:val="fr-FR"/>
        </w:rPr>
        <w:t>3. N°CAM/CR/8260 du 29 novembre 2019 pour le Permis de recherche N°14765, Exclusivité de 10 carrés, situés dans le territoire de BANALIA en Province Orientale</w:t>
      </w:r>
    </w:p>
    <w:p w:rsidR="0089405D" w:rsidRDefault="003468E2">
      <w:pPr>
        <w:pStyle w:val="Notedebasdepage"/>
        <w:spacing w:line="276" w:lineRule="auto"/>
        <w:jc w:val="both"/>
        <w:rPr>
          <w:rFonts w:ascii="Calibri Light" w:hAnsi="Calibri Light" w:cs="Calibri Light"/>
          <w:sz w:val="22"/>
          <w:szCs w:val="22"/>
          <w:lang w:val="fr-FR"/>
        </w:rPr>
      </w:pPr>
      <w:r>
        <w:rPr>
          <w:rFonts w:ascii="Calibri Light" w:hAnsi="Calibri Light" w:cs="Calibri Light"/>
          <w:sz w:val="22"/>
          <w:szCs w:val="22"/>
          <w:lang w:val="fr-FR"/>
        </w:rPr>
        <w:t>4. Extrait de la carte de retombée minière et coordonnées géographiques pour les 03 (trois) concessions y compris les numéros du jugement sous RPNC 45.190iété.</w:t>
      </w:r>
    </w:p>
  </w:footnote>
  <w:footnote w:id="63">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Minorité Silencieuse (Asbl MS en sigle), est une asbl d’éveil de la conscience morale en préparant la jeunesse à tenir une attitude convenable face aux douloureux dilemmes éthiques qu’ils ont ou auront à confronter dans leur vie de chaque jour, au présent ou dans le futur. C’est pousser et aider la jeunesse à défendre la dignité et les intérêts communautaires, à canaliser les aspirations légitimes de la base pour le développement de Basoko tout en respectant les valeurs morales dans la réussite des affaires, à se forger une éthique personnelle et/ou collective dans la conduite de leurs affaires lucratives, à savoir l’appliquer et la communiquer à la communauté pour la protéger.</w:t>
      </w:r>
    </w:p>
  </w:footnote>
  <w:footnote w:id="64">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Les procédures des EIES d'exploitation de projets miniers sont fixés par la loi N° 007/2002 tel que modifiant et complétant la Loi n° 007/2002 du 11 juillet 2002 portant Code minier portant code minier de 2018 dans son article 204 </w:t>
      </w:r>
    </w:p>
    <w:p w:rsidR="0089405D" w:rsidRDefault="003468E2">
      <w:pPr>
        <w:pStyle w:val="Notedebasdepage"/>
        <w:spacing w:line="276" w:lineRule="auto"/>
        <w:jc w:val="both"/>
        <w:rPr>
          <w:rFonts w:ascii="Calibri Light" w:hAnsi="Calibri Light" w:cs="Calibri Light"/>
          <w:sz w:val="22"/>
          <w:szCs w:val="22"/>
          <w:lang w:val="fr-FR"/>
        </w:rPr>
      </w:pPr>
      <w:r>
        <w:rPr>
          <w:rFonts w:ascii="Calibri Light" w:hAnsi="Calibri Light" w:cs="Calibri Light"/>
          <w:sz w:val="22"/>
          <w:szCs w:val="22"/>
          <w:lang w:val="fr-FR"/>
        </w:rPr>
        <w:t xml:space="preserve">- Céder à l’Etat 10% des parts ou actions constitutives du capital social de la société requérante. Ces parts sont libres de toutes charges et non diluables  et créer, à chaque transformation, dans le cadre d’une mine distincte ou d’un projet minier d’exploitation distinct, une société affiliée dans laquelle la société requérante détient au moins 51% des parts ou actions sociales; </w:t>
      </w:r>
    </w:p>
    <w:p w:rsidR="0089405D" w:rsidRDefault="003468E2">
      <w:pPr>
        <w:pStyle w:val="Notedebasdepage"/>
        <w:spacing w:line="276" w:lineRule="auto"/>
        <w:jc w:val="both"/>
        <w:rPr>
          <w:rFonts w:ascii="Calibri Light" w:hAnsi="Calibri Light" w:cs="Calibri Light"/>
          <w:sz w:val="22"/>
          <w:szCs w:val="22"/>
          <w:lang w:val="fr-FR"/>
        </w:rPr>
      </w:pPr>
      <w:r>
        <w:rPr>
          <w:rFonts w:ascii="Calibri Light" w:hAnsi="Calibri Light" w:cs="Calibri Light"/>
          <w:sz w:val="22"/>
          <w:szCs w:val="22"/>
          <w:lang w:val="fr-FR"/>
        </w:rPr>
        <w:t>- déposer un acte d’engagement de se conformer au cahier des charges définissant la responsabilité sociétale vis-à-vis des communautés locales affectées par les activités du projet.</w:t>
      </w:r>
    </w:p>
  </w:footnote>
  <w:footnote w:id="65">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La procédure de consentement préalable (PCP) est une procédure utilisée avant le commencement d'activités afin d'éviter un conflit potentiel et de réduire les risques de dommages environnementaux ou sociaux.  Dans la plupart des cas, les produits auxquels s'applique la procédure sont ceux comportant des risques graves ou irréversibles pour la santé ou pour l'environnement. La loi peut exiger la procédure de consentement préalable des communautés indigènes ou locales avant que leurs ressources ne soient exploitées.</w:t>
      </w:r>
    </w:p>
  </w:footnote>
  <w:footnote w:id="66">
    <w:p w:rsidR="0089405D" w:rsidRDefault="003468E2">
      <w:pPr>
        <w:pStyle w:val="Notedebasdepage"/>
        <w:rPr>
          <w:rFonts w:ascii="Calibri Light" w:hAnsi="Calibri Light" w:cs="Calibri Light"/>
          <w:sz w:val="22"/>
          <w:szCs w:val="22"/>
        </w:rPr>
      </w:pPr>
      <w:r>
        <w:rPr>
          <w:rStyle w:val="Appelnotedebasdep"/>
          <w:rFonts w:ascii="Calibri Light" w:hAnsi="Calibri Light" w:cs="Calibri Light"/>
          <w:sz w:val="22"/>
          <w:szCs w:val="22"/>
        </w:rPr>
        <w:footnoteRef/>
      </w:r>
      <w:r>
        <w:rPr>
          <w:rFonts w:ascii="Calibri Light" w:hAnsi="Calibri Light" w:cs="Calibri Light"/>
          <w:sz w:val="22"/>
          <w:szCs w:val="22"/>
        </w:rPr>
        <w:t xml:space="preserve"> Document de discussion d’ITRI, Towards a Responsible Cassiterite Supply Chain: Improved Due Diligence and Steps towards Voluntary Industry Declarations or Audited Certiication., Londres, 10 février 2009.</w:t>
      </w:r>
    </w:p>
  </w:footnote>
  <w:footnote w:id="67">
    <w:p w:rsidR="0089405D" w:rsidRDefault="003468E2">
      <w:pPr>
        <w:pStyle w:val="Notedebasdepage"/>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Rapport du Groupe d’Experts, 13 février 2008, S/2008/43, §84, op. cit supra.</w:t>
      </w:r>
    </w:p>
  </w:footnote>
  <w:footnote w:id="6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Commission Européenne, Commerce, croissance et développement. Ajuster la politique commerciale et d’investissement aux pays qui ont le plus besoin d’aide, 27/01/2012,</w:t>
      </w:r>
    </w:p>
  </w:footnote>
  <w:footnote w:id="69">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ARC Working Group on the Evaluation of Carcinogenic Risks to Humans, « Evaluations Globales de la Cancérogénicité pour l'Homme, Groupe 1 : Cancérogènes pour l'homme » [archive], sur </w:t>
      </w:r>
      <w:r>
        <w:rPr>
          <w:rFonts w:ascii="Calibri Light" w:hAnsi="Calibri Light" w:cs="Calibri Light"/>
          <w:color w:val="0070C0"/>
          <w:sz w:val="22"/>
          <w:szCs w:val="22"/>
          <w:u w:val="single"/>
          <w:lang w:val="fr-FR"/>
        </w:rPr>
        <w:t>http://monographs.iarc.fr</w:t>
      </w:r>
      <w:r>
        <w:rPr>
          <w:rFonts w:ascii="Calibri Light" w:hAnsi="Calibri Light" w:cs="Calibri Light"/>
          <w:sz w:val="22"/>
          <w:szCs w:val="22"/>
          <w:lang w:val="fr-FR"/>
        </w:rPr>
        <w:t xml:space="preserve"> [archive], CIRC, 16 janvier 2020</w:t>
      </w:r>
    </w:p>
  </w:footnote>
  <w:footnote w:id="70">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Cette pollution avait été constatée par les riverains fin juillet, lorsque les eaux s'étaient colorées de rouge et que des poissons morts avaient été vus au niveau de Tshikapa (sud de la République démocratique du Congo). Des élus du Kasaï avaient également fait état de cadavres d'hippopotames dans la rivière, important affluent du fleuve Congo.  Des experts d'une commission mixte congolo-angolaise ont établi depuis que "cette catastrophe avait été causée par une entreprise minière angolaise qui a reconnu les faits", a précisé Eve Bazaïba lors d'un briefing dont le compte-rendu a été diffusé dans la nuit. Les autorités provinciales ont interdit la consommation de l'eau de la rivière, mais "entre-temps les conséquences étaient déjà enregistrées".</w:t>
      </w:r>
    </w:p>
  </w:footnote>
  <w:footnote w:id="71">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hyperlink r:id="rId7" w:history="1">
        <w:r>
          <w:rPr>
            <w:rStyle w:val="Lienhypertexte"/>
            <w:rFonts w:ascii="Calibri Light" w:hAnsi="Calibri Light" w:cs="Calibri Light"/>
            <w:sz w:val="22"/>
            <w:szCs w:val="22"/>
            <w:lang w:val="fr-FR"/>
          </w:rPr>
          <w:t>https://www.lemonde.fr/afrique/article/2019/10/09/perenco-boite-noire-petroliere-et-toxique-en-rdc_6014880_3212.html</w:t>
        </w:r>
      </w:hyperlink>
      <w:r>
        <w:rPr>
          <w:rFonts w:ascii="Calibri Light" w:hAnsi="Calibri Light" w:cs="Calibri Light"/>
          <w:sz w:val="22"/>
          <w:szCs w:val="22"/>
          <w:lang w:val="fr-FR"/>
        </w:rPr>
        <w:t>. La société franco-britannique est accusée de préjudices écologiques. Elle a contesté une décision judiciaire et a refusé à un huissier l’entrée dans ses locaux parisiens.</w:t>
      </w:r>
    </w:p>
  </w:footnote>
  <w:footnote w:id="72">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https://www.csiro.au/en/Research/MRF</w:t>
      </w:r>
      <w:r>
        <w:rPr>
          <w:rFonts w:ascii="Calibri Light" w:hAnsi="Calibri Light" w:cs="Calibri Light"/>
          <w:sz w:val="22"/>
          <w:szCs w:val="22"/>
          <w:lang w:val="fr-FR"/>
        </w:rPr>
        <w:t>. Les projets miniers Australiens font beaucoup d’études  en fonction de types des métaux ou de matériaux à extraire de la terre. La majorité de projets miniers proposés concernent l'extraction des minerais tels que : cuivre, nickel, cobalt, or, argent, plomb, zinc, molybdène et platine. Ce point ne discute pas l'exploitation des minerais qui sont souvent extraits en utilisant les méthodes d'exploitation minière par décapage direct des couches incluant l'aluminium (bauxite), le phosphate et l'uranium. Ce point ne discute pas non plus de l'exploitation minière pour l'extraction du charbon ou des agrégats tels que le sable, le gravier et le calcaire.</w:t>
      </w:r>
    </w:p>
  </w:footnote>
  <w:footnote w:id="73">
    <w:p w:rsidR="0089405D" w:rsidRDefault="003468E2">
      <w:pPr>
        <w:pStyle w:val="Notedebasdepage"/>
        <w:spacing w:line="276" w:lineRule="auto"/>
        <w:jc w:val="both"/>
        <w:rPr>
          <w:rFonts w:ascii="Calibri Light" w:hAnsi="Calibri Light" w:cs="Calibri Light"/>
          <w:sz w:val="22"/>
          <w:szCs w:val="22"/>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w:t>
      </w:r>
      <w:r>
        <w:rPr>
          <w:rFonts w:ascii="Calibri Light" w:hAnsi="Calibri Light" w:cs="Calibri Light"/>
          <w:color w:val="0070C0"/>
          <w:sz w:val="22"/>
          <w:szCs w:val="22"/>
          <w:u w:val="single"/>
          <w:lang w:val="fr-FR"/>
        </w:rPr>
        <w:t>http://www.minerals.csiro.au/sd/.</w:t>
      </w:r>
      <w:r>
        <w:rPr>
          <w:rFonts w:ascii="Calibri Light" w:hAnsi="Calibri Light" w:cs="Calibri Light"/>
          <w:sz w:val="22"/>
          <w:szCs w:val="22"/>
          <w:lang w:val="fr-FR"/>
        </w:rPr>
        <w:t xml:space="preserve"> </w:t>
      </w:r>
      <w:r>
        <w:rPr>
          <w:rFonts w:ascii="Calibri Light" w:hAnsi="Calibri Light" w:cs="Calibri Light"/>
          <w:sz w:val="22"/>
          <w:szCs w:val="22"/>
        </w:rPr>
        <w:t>Norgate T. E. &amp; Rankin W. J. (2000) «Life Cycle Assessment of Copper and nickel Production, Published in Proceedings, Minprex 2000, International Conference on Minerals Processing and Extractive Metallurgy, 133-138.</w:t>
      </w:r>
    </w:p>
  </w:footnote>
  <w:footnote w:id="74">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L’Institut international du Développement Durable (IISD) est un groupe de réflexion indépendant qui défend des solutions durables aux problèmes du XXIe siècle.  Sa mission est de promouvoir le développement humain et la durabilité environnementale. Sa vision globale nous permet d’aborder les causes profondes de certains des plus grands problèmes auxquels notre planète est confrontée aujourd’hui : la destruction de l’environnement, l’exclusion sociale, les lois et les règles économiques injustes, le changement climatique. Le personnel de l’IISD, qui représente plus de 120 personnes, plus de 50 associés et une centaine de consultants, vient du monde entier et de nombreuses disciplines. Notre travail a un impact sur la vie des habitants de près de 100 pays. Avec une démarche autant scientifique que stratégique, l’IISD apporte les connaissances qui sont nécessaires à l’action.</w:t>
      </w:r>
    </w:p>
  </w:footnote>
  <w:footnote w:id="75">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eastAsia="Batang" w:hAnsi="Calibri Light" w:cs="Calibri Light"/>
          <w:sz w:val="22"/>
          <w:szCs w:val="22"/>
        </w:rPr>
        <w:footnoteRef/>
      </w:r>
      <w:r>
        <w:rPr>
          <w:rFonts w:ascii="Calibri Light" w:eastAsia="Batang" w:hAnsi="Calibri Light" w:cs="Calibri Light"/>
          <w:sz w:val="22"/>
          <w:szCs w:val="22"/>
          <w:lang w:val="fr-FR"/>
        </w:rPr>
        <w:t xml:space="preserve"> Loi n°18/001 du 09 mars 2018 modifiant et complétant la Loi n° 007/2002 du 11 juillet 2002 portant Code minier. La nouvelle législation se voulait plus compétitive, avec des procédures d’octroi des droits miniers et/ou des carrières objectives, rapides et transparentes, ainsi qu’un régime fiscal, douanier et de change incitatif pour l’investisseur. Son application de juillet 2002 au 31 décembre 2016 a été à la base de l’augmentation sensible du nombre des sociétés minières et des droits miniers et des carrières ainsi que de l’accroissement de la production minière en République Démocratique du Congo. Néanmoins, l’essor du secteur minier, censé rapporter à l’Etat des recettes substantielles pour son développement économique et social, n’a pas su rencontrer ces attentes. Cette situation insatisfaisante a conduit à reconsidérer ce Code minier et son application. Cette reconsidération a été justifiée par un certain nombre des lacunes et faiblesses dans son chef</w:t>
      </w:r>
      <w:r>
        <w:rPr>
          <w:rFonts w:ascii="Calibri Light" w:hAnsi="Calibri Light" w:cs="Calibri Light"/>
          <w:sz w:val="22"/>
          <w:szCs w:val="22"/>
          <w:lang w:val="fr-FR"/>
        </w:rPr>
        <w:t>.</w:t>
      </w:r>
    </w:p>
  </w:footnote>
  <w:footnote w:id="76">
    <w:p w:rsidR="0089405D" w:rsidRDefault="003468E2">
      <w:pPr>
        <w:pStyle w:val="Notedebasdepage"/>
        <w:spacing w:line="276" w:lineRule="auto"/>
        <w:jc w:val="both"/>
        <w:rPr>
          <w:rFonts w:ascii="Calibri Light" w:hAnsi="Calibri Light" w:cs="Calibri Light"/>
          <w:sz w:val="22"/>
          <w:szCs w:val="22"/>
        </w:rPr>
      </w:pPr>
      <w:r>
        <w:rPr>
          <w:rStyle w:val="Appelnotedebasdep"/>
          <w:rFonts w:ascii="Calibri Light" w:hAnsi="Calibri Light" w:cs="Calibri Light"/>
          <w:sz w:val="22"/>
          <w:szCs w:val="22"/>
        </w:rPr>
        <w:footnoteRef/>
      </w:r>
      <w:r>
        <w:rPr>
          <w:rFonts w:ascii="Calibri Light" w:hAnsi="Calibri Light" w:cs="Calibri Light"/>
          <w:sz w:val="22"/>
          <w:szCs w:val="22"/>
        </w:rPr>
        <w:t xml:space="preserve"> EURAC &amp; Fatal Transactions, EURAC and Fatal Transactions call for the EU to step up engagement on conflict minerals, 27 avril 2011, </w:t>
      </w:r>
    </w:p>
    <w:p w:rsidR="0089405D" w:rsidRDefault="007E319F">
      <w:pPr>
        <w:pStyle w:val="Notedebasdepage"/>
        <w:spacing w:line="276" w:lineRule="auto"/>
        <w:jc w:val="both"/>
        <w:rPr>
          <w:rFonts w:ascii="Calibri Light" w:hAnsi="Calibri Light" w:cs="Calibri Light"/>
          <w:sz w:val="22"/>
          <w:szCs w:val="22"/>
        </w:rPr>
      </w:pPr>
      <w:hyperlink r:id="rId8" w:history="1">
        <w:r w:rsidR="003468E2">
          <w:rPr>
            <w:rStyle w:val="Lienhypertexte"/>
            <w:rFonts w:ascii="Calibri Light" w:hAnsi="Calibri Light" w:cs="Calibri Light"/>
            <w:sz w:val="22"/>
            <w:szCs w:val="22"/>
          </w:rPr>
          <w:t>http://www.eurac-network.org/accueil.php?lg=en&amp;pg=advocacy&amp;spg=2011-04-27</w:t>
        </w:r>
      </w:hyperlink>
      <w:r w:rsidR="003468E2">
        <w:rPr>
          <w:rFonts w:ascii="Calibri Light" w:hAnsi="Calibri Light" w:cs="Calibri Light"/>
          <w:sz w:val="22"/>
          <w:szCs w:val="22"/>
        </w:rPr>
        <w:t>.</w:t>
      </w:r>
    </w:p>
    <w:p w:rsidR="0089405D" w:rsidRDefault="0089405D">
      <w:pPr>
        <w:pStyle w:val="Notedebasdepage"/>
        <w:spacing w:line="276" w:lineRule="auto"/>
        <w:jc w:val="both"/>
        <w:rPr>
          <w:rFonts w:ascii="Calibri Light" w:hAnsi="Calibri Light" w:cs="Calibri Light"/>
          <w:sz w:val="22"/>
          <w:szCs w:val="22"/>
        </w:rPr>
      </w:pPr>
    </w:p>
  </w:footnote>
  <w:footnote w:id="77">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Toute prérogative d’effectuer    la    recherche    et/ou l’exploitation        des        substances minérales      classées      en      mines conformément aux dispositions du présent    Code.    Le    Permis    de Recherches, le Permis d’Exploitation, le Permis d’Exploitation des Rejets et le Permis d’Exploitation de Petite Mine sont des droits miniers </w:t>
      </w:r>
    </w:p>
  </w:footnote>
  <w:footnote w:id="78">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L’humanité possède encore la capacité de collaborer pour construire notre maison commune…. Le changement climatique est un problème global aux graves répercussions environnementales, sociales, économiques, distributives ainsi que politiques, et constitue l’un des principaux défis actuels pour l’humanité.  Les pires conséquences retomberont probablement au cours  des  prochaines décennies sur les pays en développement. Pape François, Laudato Si’, 13 p</w:t>
      </w:r>
    </w:p>
    <w:p w:rsidR="0089405D" w:rsidRDefault="0089405D">
      <w:pPr>
        <w:pStyle w:val="Notedebasdepage"/>
        <w:spacing w:line="276" w:lineRule="auto"/>
        <w:jc w:val="both"/>
        <w:rPr>
          <w:rFonts w:ascii="Calibri Light" w:hAnsi="Calibri Light" w:cs="Calibri Light"/>
          <w:sz w:val="22"/>
          <w:szCs w:val="22"/>
          <w:lang w:val="fr-FR"/>
        </w:rPr>
      </w:pPr>
    </w:p>
  </w:footnote>
  <w:footnote w:id="79">
    <w:p w:rsidR="0089405D" w:rsidRDefault="003468E2">
      <w:pPr>
        <w:pStyle w:val="Notedebasdepage"/>
        <w:spacing w:line="276" w:lineRule="auto"/>
        <w:jc w:val="both"/>
        <w:rPr>
          <w:rFonts w:ascii="Calibri Light" w:hAnsi="Calibri Light" w:cs="Calibri Light"/>
          <w:sz w:val="22"/>
          <w:szCs w:val="22"/>
          <w:lang w:val="fr-FR"/>
        </w:rPr>
      </w:pPr>
      <w:r>
        <w:rPr>
          <w:rStyle w:val="Appelnotedebasdep"/>
          <w:rFonts w:ascii="Calibri Light" w:hAnsi="Calibri Light" w:cs="Calibri Light"/>
          <w:sz w:val="22"/>
          <w:szCs w:val="22"/>
        </w:rPr>
        <w:footnoteRef/>
      </w:r>
      <w:r>
        <w:rPr>
          <w:rFonts w:ascii="Calibri Light" w:hAnsi="Calibri Light" w:cs="Calibri Light"/>
          <w:sz w:val="22"/>
          <w:szCs w:val="22"/>
          <w:lang w:val="fr-FR"/>
        </w:rPr>
        <w:t xml:space="preserve"> La RSE est utilisée pour décrire une grande variété d'initiatives économiques, sociales et environnementales. Elle désigne la prise en compte par les entreprises, sur base volontaire, et parfois juridique, des enjeux, environnementaux, sociaux, économiques et éthiques dans leurs activités. La RSE est donc souvent comprise comme la mise en œuvre dans l'entreprise des concepts de développement durable, qui intègrent les trois piliers environnementaux, sociaux, et économiques. Elle a été à l'ordre du jour du sommet de la Terre de Johannesburg en 2002, auquel ont participé de grandes entreprises, en particulier françaises, des secteurs de l'environnement et de l'énergie. La RSE tend aussi à redéfinir les responsabilités, c'est-à-dire les devoirs des entreprises vis-à-vis de ses parties prenantes : au-delà des controverses sur cette notion de « partie prenante », l'enjeu, très présent dans la norme ISO 26000, est notamment d'organiser les devoirs de l'entreprise vis-à-vis de personnes ou groupes qui ne peuvent pas faire valoir de contrats (salarial, commercial…) ni de réglementation pour faire valoir leur demande auprès d'une entreprise.</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D" w:rsidRDefault="003468E2">
    <w:pPr>
      <w:pStyle w:val="En-tte"/>
      <w:jc w:val="center"/>
      <w:rPr>
        <w:sz w:val="24"/>
        <w:szCs w:val="24"/>
      </w:rPr>
    </w:pPr>
    <w:r>
      <w:rPr>
        <w:sz w:val="24"/>
        <w:szCs w:val="24"/>
      </w:rPr>
      <w:fldChar w:fldCharType="begin"/>
    </w:r>
    <w:r>
      <w:rPr>
        <w:sz w:val="24"/>
        <w:szCs w:val="24"/>
      </w:rPr>
      <w:instrText>PAGE   \* MERGEFORMAT</w:instrText>
    </w:r>
    <w:r>
      <w:rPr>
        <w:sz w:val="24"/>
        <w:szCs w:val="24"/>
      </w:rPr>
      <w:fldChar w:fldCharType="separate"/>
    </w:r>
    <w:r w:rsidR="00A142F8" w:rsidRPr="00A142F8">
      <w:rPr>
        <w:noProof/>
        <w:sz w:val="24"/>
        <w:szCs w:val="24"/>
        <w:lang w:val="fr-FR"/>
      </w:rPr>
      <w:t>136</w:t>
    </w:r>
    <w:r>
      <w:rPr>
        <w:sz w:val="24"/>
        <w:szCs w:val="24"/>
      </w:rPr>
      <w:fldChar w:fldCharType="end"/>
    </w:r>
  </w:p>
  <w:p w:rsidR="0089405D" w:rsidRDefault="003468E2">
    <w:pPr>
      <w:pStyle w:val="En-tte"/>
      <w:tabs>
        <w:tab w:val="clear" w:pos="4520"/>
        <w:tab w:val="clear" w:pos="9060"/>
      </w:tabs>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405D" w:rsidRDefault="003468E2">
    <w:pPr>
      <w:pStyle w:val="En-tte"/>
      <w:tabs>
        <w:tab w:val="clear" w:pos="9060"/>
      </w:tabs>
    </w:pPr>
    <w:r>
      <w:tab/>
    </w:r>
    <w:r>
      <w:tab/>
    </w: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131A4ED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 w15:restartNumberingAfterBreak="0">
    <w:nsid w:val="00000002"/>
    <w:multiLevelType w:val="hybridMultilevel"/>
    <w:tmpl w:val="F7284E1E"/>
    <w:lvl w:ilvl="0" w:tplc="8996BF96">
      <w:start w:val="3"/>
      <w:numFmt w:val="bullet"/>
      <w:lvlText w:val="-"/>
      <w:lvlJc w:val="left"/>
      <w:pPr>
        <w:ind w:left="360" w:hanging="360"/>
      </w:pPr>
      <w:rPr>
        <w:rFonts w:ascii="Tahoma" w:eastAsia="Times New Roman" w:hAnsi="Tahoma" w:cs="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0000003"/>
    <w:multiLevelType w:val="hybridMultilevel"/>
    <w:tmpl w:val="D2604B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0000004"/>
    <w:multiLevelType w:val="hybridMultilevel"/>
    <w:tmpl w:val="95F2DE6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0000005"/>
    <w:multiLevelType w:val="hybridMultilevel"/>
    <w:tmpl w:val="C500118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0000006"/>
    <w:multiLevelType w:val="hybridMultilevel"/>
    <w:tmpl w:val="E9EA3F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0000007"/>
    <w:multiLevelType w:val="hybridMultilevel"/>
    <w:tmpl w:val="C7F46F44"/>
    <w:lvl w:ilvl="0" w:tplc="278C790C">
      <w:start w:val="1"/>
      <w:numFmt w:val="decimal"/>
      <w:lvlText w:val="%1."/>
      <w:lvlJc w:val="left"/>
      <w:pPr>
        <w:ind w:left="720" w:hanging="360"/>
      </w:pPr>
      <w:rPr>
        <w:rFonts w:hint="default"/>
        <w:b w:val="0"/>
        <w:color w:val="000000"/>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0000008"/>
    <w:multiLevelType w:val="hybridMultilevel"/>
    <w:tmpl w:val="2182EFC4"/>
    <w:lvl w:ilvl="0" w:tplc="D0C49E36">
      <w:start w:val="1"/>
      <w:numFmt w:val="decimal"/>
      <w:lvlText w:val="%1."/>
      <w:lvlJc w:val="left"/>
      <w:pPr>
        <w:ind w:left="720" w:hanging="360"/>
      </w:pPr>
      <w:rPr>
        <w:rFonts w:hint="default"/>
        <w:b w:val="0"/>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0000009"/>
    <w:multiLevelType w:val="hybridMultilevel"/>
    <w:tmpl w:val="C0F03E1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0000000A"/>
    <w:multiLevelType w:val="hybridMultilevel"/>
    <w:tmpl w:val="533457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0000000B"/>
    <w:multiLevelType w:val="hybridMultilevel"/>
    <w:tmpl w:val="F20ECB18"/>
    <w:lvl w:ilvl="0" w:tplc="0B8C375A">
      <w:start w:val="1"/>
      <w:numFmt w:val="bullet"/>
      <w:lvlText w:val="•"/>
      <w:lvlJc w:val="left"/>
      <w:pPr>
        <w:tabs>
          <w:tab w:val="left" w:pos="720"/>
        </w:tabs>
        <w:ind w:left="720" w:hanging="360"/>
      </w:pPr>
      <w:rPr>
        <w:rFonts w:ascii="Arial" w:hAnsi="Arial" w:hint="default"/>
      </w:rPr>
    </w:lvl>
    <w:lvl w:ilvl="1" w:tplc="D474EED4" w:tentative="1">
      <w:start w:val="1"/>
      <w:numFmt w:val="bullet"/>
      <w:lvlText w:val="•"/>
      <w:lvlJc w:val="left"/>
      <w:pPr>
        <w:tabs>
          <w:tab w:val="left" w:pos="1440"/>
        </w:tabs>
        <w:ind w:left="1440" w:hanging="360"/>
      </w:pPr>
      <w:rPr>
        <w:rFonts w:ascii="Arial" w:hAnsi="Arial" w:hint="default"/>
      </w:rPr>
    </w:lvl>
    <w:lvl w:ilvl="2" w:tplc="F9AC04D6" w:tentative="1">
      <w:start w:val="1"/>
      <w:numFmt w:val="bullet"/>
      <w:lvlText w:val="•"/>
      <w:lvlJc w:val="left"/>
      <w:pPr>
        <w:tabs>
          <w:tab w:val="left" w:pos="2160"/>
        </w:tabs>
        <w:ind w:left="2160" w:hanging="360"/>
      </w:pPr>
      <w:rPr>
        <w:rFonts w:ascii="Arial" w:hAnsi="Arial" w:hint="default"/>
      </w:rPr>
    </w:lvl>
    <w:lvl w:ilvl="3" w:tplc="EC0E7BDE" w:tentative="1">
      <w:start w:val="1"/>
      <w:numFmt w:val="bullet"/>
      <w:lvlText w:val="•"/>
      <w:lvlJc w:val="left"/>
      <w:pPr>
        <w:tabs>
          <w:tab w:val="left" w:pos="2880"/>
        </w:tabs>
        <w:ind w:left="2880" w:hanging="360"/>
      </w:pPr>
      <w:rPr>
        <w:rFonts w:ascii="Arial" w:hAnsi="Arial" w:hint="default"/>
      </w:rPr>
    </w:lvl>
    <w:lvl w:ilvl="4" w:tplc="737829BC" w:tentative="1">
      <w:start w:val="1"/>
      <w:numFmt w:val="bullet"/>
      <w:lvlText w:val="•"/>
      <w:lvlJc w:val="left"/>
      <w:pPr>
        <w:tabs>
          <w:tab w:val="left" w:pos="3600"/>
        </w:tabs>
        <w:ind w:left="3600" w:hanging="360"/>
      </w:pPr>
      <w:rPr>
        <w:rFonts w:ascii="Arial" w:hAnsi="Arial" w:hint="default"/>
      </w:rPr>
    </w:lvl>
    <w:lvl w:ilvl="5" w:tplc="5BF2D21E" w:tentative="1">
      <w:start w:val="1"/>
      <w:numFmt w:val="bullet"/>
      <w:lvlText w:val="•"/>
      <w:lvlJc w:val="left"/>
      <w:pPr>
        <w:tabs>
          <w:tab w:val="left" w:pos="4320"/>
        </w:tabs>
        <w:ind w:left="4320" w:hanging="360"/>
      </w:pPr>
      <w:rPr>
        <w:rFonts w:ascii="Arial" w:hAnsi="Arial" w:hint="default"/>
      </w:rPr>
    </w:lvl>
    <w:lvl w:ilvl="6" w:tplc="79CAD714" w:tentative="1">
      <w:start w:val="1"/>
      <w:numFmt w:val="bullet"/>
      <w:lvlText w:val="•"/>
      <w:lvlJc w:val="left"/>
      <w:pPr>
        <w:tabs>
          <w:tab w:val="left" w:pos="5040"/>
        </w:tabs>
        <w:ind w:left="5040" w:hanging="360"/>
      </w:pPr>
      <w:rPr>
        <w:rFonts w:ascii="Arial" w:hAnsi="Arial" w:hint="default"/>
      </w:rPr>
    </w:lvl>
    <w:lvl w:ilvl="7" w:tplc="CA12BC24" w:tentative="1">
      <w:start w:val="1"/>
      <w:numFmt w:val="bullet"/>
      <w:lvlText w:val="•"/>
      <w:lvlJc w:val="left"/>
      <w:pPr>
        <w:tabs>
          <w:tab w:val="left" w:pos="5760"/>
        </w:tabs>
        <w:ind w:left="5760" w:hanging="360"/>
      </w:pPr>
      <w:rPr>
        <w:rFonts w:ascii="Arial" w:hAnsi="Arial" w:hint="default"/>
      </w:rPr>
    </w:lvl>
    <w:lvl w:ilvl="8" w:tplc="34447A46" w:tentative="1">
      <w:start w:val="1"/>
      <w:numFmt w:val="bullet"/>
      <w:lvlText w:val="•"/>
      <w:lvlJc w:val="left"/>
      <w:pPr>
        <w:tabs>
          <w:tab w:val="left" w:pos="6480"/>
        </w:tabs>
        <w:ind w:left="6480" w:hanging="360"/>
      </w:pPr>
      <w:rPr>
        <w:rFonts w:ascii="Arial" w:hAnsi="Arial" w:hint="default"/>
      </w:rPr>
    </w:lvl>
  </w:abstractNum>
  <w:abstractNum w:abstractNumId="11" w15:restartNumberingAfterBreak="0">
    <w:nsid w:val="0000000C"/>
    <w:multiLevelType w:val="multilevel"/>
    <w:tmpl w:val="283844F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15:restartNumberingAfterBreak="0">
    <w:nsid w:val="0000000D"/>
    <w:multiLevelType w:val="multilevel"/>
    <w:tmpl w:val="C3E0256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15:restartNumberingAfterBreak="0">
    <w:nsid w:val="0000000E"/>
    <w:multiLevelType w:val="hybridMultilevel"/>
    <w:tmpl w:val="6696DF9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0000000F"/>
    <w:multiLevelType w:val="multilevel"/>
    <w:tmpl w:val="44D28AA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5" w15:restartNumberingAfterBreak="0">
    <w:nsid w:val="00000010"/>
    <w:multiLevelType w:val="hybridMultilevel"/>
    <w:tmpl w:val="160AC82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00000011"/>
    <w:multiLevelType w:val="hybridMultilevel"/>
    <w:tmpl w:val="C8B4309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00000012"/>
    <w:multiLevelType w:val="multilevel"/>
    <w:tmpl w:val="559CC25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15:restartNumberingAfterBreak="0">
    <w:nsid w:val="00000013"/>
    <w:multiLevelType w:val="hybridMultilevel"/>
    <w:tmpl w:val="7C089A6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00000014"/>
    <w:multiLevelType w:val="hybridMultilevel"/>
    <w:tmpl w:val="A2DA0C9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00000015"/>
    <w:multiLevelType w:val="hybridMultilevel"/>
    <w:tmpl w:val="CEBC89C6"/>
    <w:lvl w:ilvl="0" w:tplc="D8A490AA">
      <w:start w:val="1"/>
      <w:numFmt w:val="decimal"/>
      <w:lvlText w:val="%1."/>
      <w:lvlJc w:val="left"/>
      <w:pPr>
        <w:ind w:left="720" w:hanging="360"/>
      </w:pPr>
      <w:rPr>
        <w:rFonts w:ascii="Times New Roman" w:hAnsi="Times New Roman" w:cs="Times New Roman" w:hint="default"/>
        <w:b w:val="0"/>
        <w:i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00000016"/>
    <w:multiLevelType w:val="hybridMultilevel"/>
    <w:tmpl w:val="B0402B8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00000017"/>
    <w:multiLevelType w:val="hybridMultilevel"/>
    <w:tmpl w:val="3A064A3E"/>
    <w:lvl w:ilvl="0" w:tplc="A208BDB0">
      <w:start w:val="1"/>
      <w:numFmt w:val="decimal"/>
      <w:lvlText w:val="%1."/>
      <w:lvlJc w:val="left"/>
      <w:pPr>
        <w:ind w:left="1440" w:hanging="360"/>
      </w:pPr>
      <w:rPr>
        <w:rFonts w:ascii="Calibri" w:eastAsia="Calibri" w:hAnsi="Calibri" w:cs="Calibri"/>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00000018"/>
    <w:multiLevelType w:val="hybridMultilevel"/>
    <w:tmpl w:val="D2548E3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00000019"/>
    <w:multiLevelType w:val="multilevel"/>
    <w:tmpl w:val="404C141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5" w15:restartNumberingAfterBreak="0">
    <w:nsid w:val="0000001A"/>
    <w:multiLevelType w:val="hybridMultilevel"/>
    <w:tmpl w:val="12082710"/>
    <w:lvl w:ilvl="0" w:tplc="13A88030">
      <w:start w:val="1"/>
      <w:numFmt w:val="decimal"/>
      <w:lvlText w:val="%1."/>
      <w:lvlJc w:val="left"/>
      <w:pPr>
        <w:ind w:left="720" w:hanging="360"/>
      </w:pPr>
      <w:rPr>
        <w:rFonts w:hint="default"/>
        <w:b w:val="0"/>
        <w:color w:val="auto"/>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0000001B"/>
    <w:multiLevelType w:val="hybridMultilevel"/>
    <w:tmpl w:val="C51072D6"/>
    <w:lvl w:ilvl="0" w:tplc="8996BF96">
      <w:start w:val="3"/>
      <w:numFmt w:val="bullet"/>
      <w:lvlText w:val="-"/>
      <w:lvlJc w:val="left"/>
      <w:pPr>
        <w:ind w:left="360" w:hanging="360"/>
      </w:pPr>
      <w:rPr>
        <w:rFonts w:ascii="Tahoma" w:eastAsia="Times New Roman" w:hAnsi="Tahoma" w:cs="Tahoma"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7" w15:restartNumberingAfterBreak="0">
    <w:nsid w:val="0000001C"/>
    <w:multiLevelType w:val="multilevel"/>
    <w:tmpl w:val="5C62944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8" w15:restartNumberingAfterBreak="0">
    <w:nsid w:val="0000001D"/>
    <w:multiLevelType w:val="multilevel"/>
    <w:tmpl w:val="13282E1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9" w15:restartNumberingAfterBreak="0">
    <w:nsid w:val="0000001E"/>
    <w:multiLevelType w:val="hybridMultilevel"/>
    <w:tmpl w:val="702239BE"/>
    <w:lvl w:ilvl="0" w:tplc="BAC4A0EC">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0000001F"/>
    <w:multiLevelType w:val="hybridMultilevel"/>
    <w:tmpl w:val="46EC32BA"/>
    <w:lvl w:ilvl="0" w:tplc="7AE64C82">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00000020"/>
    <w:multiLevelType w:val="hybridMultilevel"/>
    <w:tmpl w:val="1A0EF904"/>
    <w:lvl w:ilvl="0" w:tplc="B84CAD70">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00000021"/>
    <w:multiLevelType w:val="hybridMultilevel"/>
    <w:tmpl w:val="F3942022"/>
    <w:lvl w:ilvl="0" w:tplc="040C000B">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33" w15:restartNumberingAfterBreak="0">
    <w:nsid w:val="00000022"/>
    <w:multiLevelType w:val="hybridMultilevel"/>
    <w:tmpl w:val="B4AE2AFA"/>
    <w:lvl w:ilvl="0" w:tplc="ED50AE9A">
      <w:start w:val="1"/>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00000023"/>
    <w:multiLevelType w:val="hybridMultilevel"/>
    <w:tmpl w:val="A894D9EA"/>
    <w:lvl w:ilvl="0" w:tplc="8996BF96">
      <w:start w:val="3"/>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00000024"/>
    <w:multiLevelType w:val="hybridMultilevel"/>
    <w:tmpl w:val="F446C53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15:restartNumberingAfterBreak="0">
    <w:nsid w:val="00000025"/>
    <w:multiLevelType w:val="hybridMultilevel"/>
    <w:tmpl w:val="D49608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00000026"/>
    <w:multiLevelType w:val="hybridMultilevel"/>
    <w:tmpl w:val="C45A2C72"/>
    <w:lvl w:ilvl="0" w:tplc="F61C529E">
      <w:start w:val="1"/>
      <w:numFmt w:val="decimal"/>
      <w:lvlText w:val="%1."/>
      <w:lvlJc w:val="left"/>
      <w:pPr>
        <w:ind w:left="502" w:hanging="360"/>
      </w:pPr>
      <w:rPr>
        <w:rFonts w:ascii="Calisto MT" w:eastAsia="Calibri" w:hAnsi="Calisto MT" w:cs="Times New Roman"/>
        <w:b w:val="0"/>
        <w:i w:val="0"/>
        <w:color w:val="00000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8" w15:restartNumberingAfterBreak="0">
    <w:nsid w:val="00000027"/>
    <w:multiLevelType w:val="hybridMultilevel"/>
    <w:tmpl w:val="E556A6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00000028"/>
    <w:multiLevelType w:val="hybridMultilevel"/>
    <w:tmpl w:val="3F7E45E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00000029"/>
    <w:multiLevelType w:val="hybridMultilevel"/>
    <w:tmpl w:val="A404E14C"/>
    <w:lvl w:ilvl="0" w:tplc="A4E0C1E0">
      <w:start w:val="1"/>
      <w:numFmt w:val="decimal"/>
      <w:lvlText w:val="%1."/>
      <w:lvlJc w:val="left"/>
      <w:pPr>
        <w:ind w:left="720"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0000002A"/>
    <w:multiLevelType w:val="hybridMultilevel"/>
    <w:tmpl w:val="9C4A70C6"/>
    <w:lvl w:ilvl="0" w:tplc="4620A842">
      <w:start w:val="2"/>
      <w:numFmt w:val="bullet"/>
      <w:lvlText w:val="-"/>
      <w:lvlJc w:val="left"/>
      <w:pPr>
        <w:ind w:left="720" w:hanging="360"/>
      </w:pPr>
      <w:rPr>
        <w:rFonts w:ascii="Calisto MT" w:eastAsia="Times New Roman" w:hAnsi="Calisto MT" w:cs="Tahoma"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15:restartNumberingAfterBreak="0">
    <w:nsid w:val="72876711"/>
    <w:multiLevelType w:val="multilevel"/>
    <w:tmpl w:val="67B8703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6"/>
  </w:num>
  <w:num w:numId="2">
    <w:abstractNumId w:val="33"/>
  </w:num>
  <w:num w:numId="3">
    <w:abstractNumId w:val="1"/>
  </w:num>
  <w:num w:numId="4">
    <w:abstractNumId w:val="26"/>
  </w:num>
  <w:num w:numId="5">
    <w:abstractNumId w:val="41"/>
  </w:num>
  <w:num w:numId="6">
    <w:abstractNumId w:val="10"/>
  </w:num>
  <w:num w:numId="7">
    <w:abstractNumId w:val="32"/>
  </w:num>
  <w:num w:numId="8">
    <w:abstractNumId w:val="0"/>
  </w:num>
  <w:num w:numId="9">
    <w:abstractNumId w:val="27"/>
  </w:num>
  <w:num w:numId="10">
    <w:abstractNumId w:val="21"/>
  </w:num>
  <w:num w:numId="11">
    <w:abstractNumId w:val="31"/>
  </w:num>
  <w:num w:numId="12">
    <w:abstractNumId w:val="19"/>
  </w:num>
  <w:num w:numId="13">
    <w:abstractNumId w:val="24"/>
  </w:num>
  <w:num w:numId="14">
    <w:abstractNumId w:val="28"/>
  </w:num>
  <w:num w:numId="15">
    <w:abstractNumId w:val="12"/>
  </w:num>
  <w:num w:numId="16">
    <w:abstractNumId w:val="2"/>
  </w:num>
  <w:num w:numId="17">
    <w:abstractNumId w:val="14"/>
  </w:num>
  <w:num w:numId="18">
    <w:abstractNumId w:val="42"/>
  </w:num>
  <w:num w:numId="19">
    <w:abstractNumId w:val="17"/>
  </w:num>
  <w:num w:numId="20">
    <w:abstractNumId w:val="11"/>
  </w:num>
  <w:num w:numId="21">
    <w:abstractNumId w:val="5"/>
  </w:num>
  <w:num w:numId="22">
    <w:abstractNumId w:val="4"/>
  </w:num>
  <w:num w:numId="23">
    <w:abstractNumId w:val="13"/>
  </w:num>
  <w:num w:numId="24">
    <w:abstractNumId w:val="38"/>
  </w:num>
  <w:num w:numId="25">
    <w:abstractNumId w:val="15"/>
  </w:num>
  <w:num w:numId="26">
    <w:abstractNumId w:val="9"/>
  </w:num>
  <w:num w:numId="27">
    <w:abstractNumId w:val="35"/>
  </w:num>
  <w:num w:numId="28">
    <w:abstractNumId w:val="23"/>
  </w:num>
  <w:num w:numId="29">
    <w:abstractNumId w:val="20"/>
  </w:num>
  <w:num w:numId="30">
    <w:abstractNumId w:val="3"/>
  </w:num>
  <w:num w:numId="31">
    <w:abstractNumId w:val="16"/>
  </w:num>
  <w:num w:numId="32">
    <w:abstractNumId w:val="18"/>
  </w:num>
  <w:num w:numId="33">
    <w:abstractNumId w:val="36"/>
  </w:num>
  <w:num w:numId="34">
    <w:abstractNumId w:val="22"/>
  </w:num>
  <w:num w:numId="35">
    <w:abstractNumId w:val="37"/>
  </w:num>
  <w:num w:numId="36">
    <w:abstractNumId w:val="34"/>
  </w:num>
  <w:num w:numId="37">
    <w:abstractNumId w:val="39"/>
  </w:num>
  <w:num w:numId="38">
    <w:abstractNumId w:val="8"/>
  </w:num>
  <w:num w:numId="39">
    <w:abstractNumId w:val="40"/>
  </w:num>
  <w:num w:numId="40">
    <w:abstractNumId w:val="25"/>
  </w:num>
  <w:num w:numId="41">
    <w:abstractNumId w:val="29"/>
  </w:num>
  <w:num w:numId="42">
    <w:abstractNumId w:val="30"/>
  </w:num>
  <w:num w:numId="4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mirrorMargins/>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405D"/>
    <w:rsid w:val="001810C9"/>
    <w:rsid w:val="003468E2"/>
    <w:rsid w:val="00440F56"/>
    <w:rsid w:val="004F6BF9"/>
    <w:rsid w:val="007E319F"/>
    <w:rsid w:val="0085116E"/>
    <w:rsid w:val="0089405D"/>
    <w:rsid w:val="00A142F8"/>
    <w:rsid w:val="00B54865"/>
    <w:rsid w:val="00C830E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61AE2D-3F44-4E95-929E-A2EF6A02A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eastAsia="SimSun" w:cs="Times New Roman"/>
      <w:lang w:val="en-US" w:eastAsia="zh-CN"/>
    </w:rPr>
  </w:style>
  <w:style w:type="paragraph" w:styleId="Titre1">
    <w:name w:val="heading 1"/>
    <w:basedOn w:val="Normal"/>
    <w:link w:val="Titre1Car"/>
    <w:qFormat/>
    <w:pPr>
      <w:keepNext/>
      <w:keepLines/>
      <w:widowControl w:val="0"/>
      <w:spacing w:before="240" w:after="0"/>
      <w:outlineLvl w:val="0"/>
    </w:pPr>
    <w:rPr>
      <w:color w:val="2E74B5"/>
      <w:sz w:val="32"/>
      <w:szCs w:val="32"/>
    </w:rPr>
  </w:style>
  <w:style w:type="paragraph" w:styleId="Titre2">
    <w:name w:val="heading 2"/>
    <w:basedOn w:val="Normal"/>
    <w:next w:val="Normal"/>
    <w:link w:val="Titre2Car"/>
    <w:uiPriority w:val="9"/>
    <w:qFormat/>
    <w:pPr>
      <w:keepNext/>
      <w:keepLines/>
      <w:spacing w:before="40" w:after="0"/>
      <w:outlineLvl w:val="1"/>
    </w:pPr>
    <w:rPr>
      <w:rFonts w:ascii="Calibri Light" w:hAnsi="Calibri Light" w:cs="SimSun"/>
      <w:color w:val="2E74B5"/>
      <w:sz w:val="26"/>
      <w:szCs w:val="26"/>
    </w:rPr>
  </w:style>
  <w:style w:type="paragraph" w:styleId="Titre3">
    <w:name w:val="heading 3"/>
    <w:basedOn w:val="Normal"/>
    <w:next w:val="Normal"/>
    <w:link w:val="Titre3Car"/>
    <w:uiPriority w:val="9"/>
    <w:qFormat/>
    <w:pPr>
      <w:keepNext/>
      <w:keepLines/>
      <w:spacing w:before="40" w:after="0"/>
      <w:outlineLvl w:val="2"/>
    </w:pPr>
    <w:rPr>
      <w:rFonts w:ascii="Calibri Light" w:hAnsi="Calibri Light" w:cs="SimSun"/>
      <w:color w:val="1F4D78"/>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Pr>
      <w:rFonts w:ascii="Calibri" w:eastAsia="SimSun" w:hAnsi="Calibri" w:cs="Times New Roman"/>
      <w:color w:val="2E74B5"/>
      <w:sz w:val="32"/>
      <w:szCs w:val="32"/>
      <w:lang w:val="en-US" w:eastAsia="zh-CN"/>
    </w:rPr>
  </w:style>
  <w:style w:type="character" w:styleId="Appelnotedebasdep">
    <w:name w:val="footnote reference"/>
    <w:basedOn w:val="Policepardfaut"/>
    <w:rPr>
      <w:rFonts w:ascii="Calibri" w:eastAsia="SimSun" w:hAnsi="Calibri" w:cs="Times New Roman"/>
      <w:vertAlign w:val="superscript"/>
    </w:rPr>
  </w:style>
  <w:style w:type="paragraph" w:customStyle="1" w:styleId="Default">
    <w:name w:val="Default"/>
    <w:pPr>
      <w:autoSpaceDE w:val="0"/>
      <w:autoSpaceDN w:val="0"/>
      <w:adjustRightInd w:val="0"/>
      <w:spacing w:after="0" w:line="240" w:lineRule="auto"/>
    </w:pPr>
    <w:rPr>
      <w:rFonts w:ascii="Times New Roman" w:eastAsia="SimSun" w:hAnsi="Times New Roman" w:cs="Times New Roman"/>
      <w:color w:val="000000"/>
      <w:sz w:val="24"/>
      <w:szCs w:val="24"/>
      <w:lang w:eastAsia="fr-FR"/>
    </w:rPr>
  </w:style>
  <w:style w:type="paragraph" w:styleId="En-ttedetabledesmatires">
    <w:name w:val="TOC Heading"/>
    <w:basedOn w:val="Titre1"/>
    <w:uiPriority w:val="39"/>
    <w:qFormat/>
    <w:pPr>
      <w:outlineLvl w:val="9"/>
    </w:pPr>
    <w:rPr>
      <w:lang w:eastAsia="fr-FR"/>
    </w:rPr>
  </w:style>
  <w:style w:type="paragraph" w:styleId="TM1">
    <w:name w:val="toc 1"/>
    <w:basedOn w:val="Normal"/>
    <w:uiPriority w:val="39"/>
    <w:pPr>
      <w:tabs>
        <w:tab w:val="right" w:leader="dot" w:pos="8480"/>
      </w:tabs>
      <w:spacing w:after="0" w:line="312" w:lineRule="auto"/>
      <w:jc w:val="both"/>
    </w:pPr>
    <w:rPr>
      <w:rFonts w:ascii="Tahoma" w:hAnsi="Tahoma" w:cs="Tahoma"/>
      <w:noProof/>
      <w:sz w:val="28"/>
      <w:szCs w:val="28"/>
    </w:rPr>
  </w:style>
  <w:style w:type="character" w:styleId="Lienhypertexte">
    <w:name w:val="Hyperlink"/>
    <w:basedOn w:val="Policepardfaut"/>
    <w:uiPriority w:val="99"/>
    <w:rPr>
      <w:rFonts w:ascii="Calibri" w:eastAsia="SimSun" w:hAnsi="Calibri" w:cs="Times New Roman"/>
      <w:color w:val="0563C1"/>
      <w:u w:val="single"/>
    </w:rPr>
  </w:style>
  <w:style w:type="paragraph" w:styleId="Paragraphedeliste">
    <w:name w:val="List Paragraph"/>
    <w:basedOn w:val="Normal"/>
    <w:uiPriority w:val="34"/>
    <w:qFormat/>
    <w:pPr>
      <w:spacing w:after="0"/>
    </w:pPr>
    <w:rPr>
      <w:sz w:val="21"/>
    </w:rPr>
  </w:style>
  <w:style w:type="character" w:customStyle="1" w:styleId="SansinterligneCar">
    <w:name w:val="Sans interligne Car"/>
    <w:basedOn w:val="Policepardfaut"/>
    <w:rPr>
      <w:rFonts w:ascii="Calibri" w:eastAsia="SimSun" w:hAnsi="Calibri" w:cs="Times New Roman"/>
      <w:lang w:eastAsia="fr-FR"/>
    </w:rPr>
  </w:style>
  <w:style w:type="character" w:customStyle="1" w:styleId="ObjetducommentaireCar">
    <w:name w:val="Objet du commentaire Car"/>
    <w:rPr>
      <w:rFonts w:ascii="Calibri" w:eastAsia="SimSun" w:hAnsi="Calibri"/>
      <w:b/>
      <w:sz w:val="20"/>
      <w:szCs w:val="20"/>
    </w:rPr>
  </w:style>
  <w:style w:type="paragraph" w:styleId="TM3">
    <w:name w:val="toc 3"/>
    <w:basedOn w:val="Normal"/>
    <w:uiPriority w:val="39"/>
    <w:pPr>
      <w:spacing w:after="100"/>
    </w:pPr>
    <w:rPr>
      <w:sz w:val="21"/>
      <w:lang w:eastAsia="fr-FR"/>
    </w:rPr>
  </w:style>
  <w:style w:type="paragraph" w:styleId="TM2">
    <w:name w:val="toc 2"/>
    <w:basedOn w:val="Normal"/>
    <w:uiPriority w:val="39"/>
    <w:pPr>
      <w:spacing w:after="100"/>
    </w:pPr>
    <w:rPr>
      <w:sz w:val="21"/>
    </w:rPr>
  </w:style>
  <w:style w:type="paragraph" w:styleId="Commentaire">
    <w:name w:val="annotation text"/>
    <w:basedOn w:val="Normal"/>
    <w:link w:val="CommentaireCar"/>
    <w:pPr>
      <w:spacing w:after="0" w:line="240" w:lineRule="auto"/>
    </w:pPr>
    <w:rPr>
      <w:sz w:val="20"/>
      <w:szCs w:val="20"/>
    </w:rPr>
  </w:style>
  <w:style w:type="character" w:customStyle="1" w:styleId="CommentaireCar">
    <w:name w:val="Commentaire Car"/>
    <w:basedOn w:val="Policepardfaut"/>
    <w:link w:val="Commentaire"/>
    <w:rPr>
      <w:rFonts w:ascii="Calibri" w:eastAsia="SimSun" w:hAnsi="Calibri" w:cs="Times New Roman"/>
      <w:sz w:val="20"/>
      <w:szCs w:val="20"/>
      <w:lang w:val="en-US" w:eastAsia="zh-CN"/>
    </w:rPr>
  </w:style>
  <w:style w:type="paragraph" w:styleId="TM5">
    <w:name w:val="toc 5"/>
    <w:basedOn w:val="Normal"/>
    <w:uiPriority w:val="39"/>
    <w:pPr>
      <w:spacing w:after="100"/>
    </w:pPr>
    <w:rPr>
      <w:sz w:val="21"/>
      <w:lang w:eastAsia="fr-FR"/>
    </w:rPr>
  </w:style>
  <w:style w:type="paragraph" w:styleId="TM4">
    <w:name w:val="toc 4"/>
    <w:basedOn w:val="Normal"/>
    <w:uiPriority w:val="39"/>
    <w:pPr>
      <w:spacing w:after="100"/>
    </w:pPr>
    <w:rPr>
      <w:sz w:val="21"/>
      <w:lang w:eastAsia="fr-FR"/>
    </w:rPr>
  </w:style>
  <w:style w:type="paragraph" w:styleId="TM7">
    <w:name w:val="toc 7"/>
    <w:basedOn w:val="Normal"/>
    <w:uiPriority w:val="39"/>
    <w:pPr>
      <w:spacing w:after="100"/>
    </w:pPr>
    <w:rPr>
      <w:sz w:val="21"/>
      <w:lang w:eastAsia="fr-FR"/>
    </w:rPr>
  </w:style>
  <w:style w:type="paragraph" w:styleId="TM6">
    <w:name w:val="toc 6"/>
    <w:basedOn w:val="Normal"/>
    <w:uiPriority w:val="39"/>
    <w:pPr>
      <w:spacing w:after="100"/>
    </w:pPr>
    <w:rPr>
      <w:sz w:val="21"/>
      <w:lang w:eastAsia="fr-FR"/>
    </w:rPr>
  </w:style>
  <w:style w:type="character" w:styleId="Accentuation">
    <w:name w:val="Emphasis"/>
    <w:basedOn w:val="Policepardfaut"/>
    <w:qFormat/>
    <w:rPr>
      <w:rFonts w:ascii="Calibri" w:eastAsia="SimSun" w:hAnsi="Calibri" w:cs="Times New Roman"/>
      <w:i/>
    </w:rPr>
  </w:style>
  <w:style w:type="character" w:styleId="Marquedecommentaire">
    <w:name w:val="annotation reference"/>
    <w:basedOn w:val="Policepardfaut"/>
    <w:rPr>
      <w:rFonts w:ascii="Calibri" w:eastAsia="SimSun" w:hAnsi="Calibri" w:cs="Times New Roman"/>
      <w:sz w:val="16"/>
      <w:szCs w:val="16"/>
    </w:rPr>
  </w:style>
  <w:style w:type="paragraph" w:styleId="Sansinterligne">
    <w:name w:val="No Spacing"/>
    <w:qFormat/>
    <w:pPr>
      <w:spacing w:after="0" w:line="240" w:lineRule="auto"/>
    </w:pPr>
    <w:rPr>
      <w:rFonts w:eastAsia="SimSun" w:cs="Times New Roman"/>
      <w:sz w:val="21"/>
      <w:szCs w:val="20"/>
      <w:lang w:eastAsia="fr-FR"/>
    </w:rPr>
  </w:style>
  <w:style w:type="character" w:customStyle="1" w:styleId="NotedebasdepageCar">
    <w:name w:val="Note de bas de page Car"/>
    <w:basedOn w:val="Policepardfaut"/>
    <w:uiPriority w:val="99"/>
    <w:rPr>
      <w:rFonts w:ascii="Calibri" w:eastAsia="SimSun" w:hAnsi="Calibri" w:cs="Times New Roman"/>
      <w:sz w:val="20"/>
      <w:szCs w:val="20"/>
    </w:rPr>
  </w:style>
  <w:style w:type="character" w:customStyle="1" w:styleId="PieddepageCar">
    <w:name w:val="Pied de page Car"/>
    <w:basedOn w:val="Policepardfaut"/>
    <w:rPr>
      <w:rFonts w:ascii="Calibri" w:eastAsia="SimSun" w:hAnsi="Calibri" w:cs="Times New Roman"/>
    </w:rPr>
  </w:style>
  <w:style w:type="paragraph" w:styleId="Textedebulles">
    <w:name w:val="Balloon Text"/>
    <w:basedOn w:val="Normal"/>
    <w:link w:val="TextedebullesCar"/>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rPr>
      <w:rFonts w:ascii="Segoe UI" w:eastAsia="SimSun" w:hAnsi="Segoe UI" w:cs="Segoe UI"/>
      <w:sz w:val="18"/>
      <w:szCs w:val="18"/>
      <w:lang w:val="en-US" w:eastAsia="zh-CN"/>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En-tteCar">
    <w:name w:val="En-tête Car"/>
    <w:basedOn w:val="Policepardfaut"/>
    <w:rPr>
      <w:rFonts w:ascii="Calibri" w:eastAsia="SimSun" w:hAnsi="Calibri" w:cs="Times New Roman"/>
    </w:rPr>
  </w:style>
  <w:style w:type="paragraph" w:styleId="Objetducommentaire">
    <w:name w:val="annotation subject"/>
    <w:basedOn w:val="Commentaire"/>
    <w:link w:val="ObjetducommentaireCar1"/>
    <w:rPr>
      <w:b/>
    </w:rPr>
  </w:style>
  <w:style w:type="character" w:customStyle="1" w:styleId="ObjetducommentaireCar1">
    <w:name w:val="Objet du commentaire Car1"/>
    <w:basedOn w:val="CommentaireCar"/>
    <w:link w:val="Objetducommentaire"/>
    <w:rPr>
      <w:rFonts w:ascii="Calibri" w:eastAsia="SimSun" w:hAnsi="Calibri" w:cs="Times New Roman"/>
      <w:b/>
      <w:sz w:val="20"/>
      <w:szCs w:val="20"/>
      <w:lang w:val="en-US" w:eastAsia="zh-CN"/>
    </w:rPr>
  </w:style>
  <w:style w:type="character" w:customStyle="1" w:styleId="acopre">
    <w:name w:val="acopre"/>
    <w:basedOn w:val="Policepardfaut"/>
    <w:rPr>
      <w:rFonts w:ascii="Calibri" w:eastAsia="SimSun" w:hAnsi="Calibri" w:cs="Times New Roman"/>
    </w:rPr>
  </w:style>
  <w:style w:type="paragraph" w:styleId="En-tte">
    <w:name w:val="header"/>
    <w:basedOn w:val="Normal"/>
    <w:link w:val="En-tteCar1"/>
    <w:pPr>
      <w:tabs>
        <w:tab w:val="center" w:pos="4520"/>
        <w:tab w:val="right" w:pos="9060"/>
      </w:tabs>
      <w:spacing w:after="0" w:line="240" w:lineRule="auto"/>
    </w:pPr>
    <w:rPr>
      <w:sz w:val="21"/>
    </w:rPr>
  </w:style>
  <w:style w:type="character" w:customStyle="1" w:styleId="En-tteCar1">
    <w:name w:val="En-tête Car1"/>
    <w:basedOn w:val="Policepardfaut"/>
    <w:link w:val="En-tte"/>
    <w:rPr>
      <w:rFonts w:ascii="Calibri" w:eastAsia="SimSun" w:hAnsi="Calibri" w:cs="Times New Roman"/>
      <w:sz w:val="21"/>
      <w:lang w:val="en-US" w:eastAsia="zh-CN"/>
    </w:rPr>
  </w:style>
  <w:style w:type="character" w:customStyle="1" w:styleId="reference-text">
    <w:name w:val="reference-text"/>
    <w:basedOn w:val="Policepardfaut"/>
    <w:rPr>
      <w:rFonts w:ascii="Calibri" w:eastAsia="SimSun" w:hAnsi="Calibri" w:cs="Times New Roman"/>
    </w:rPr>
  </w:style>
  <w:style w:type="paragraph" w:styleId="Pieddepage">
    <w:name w:val="footer"/>
    <w:basedOn w:val="Normal"/>
    <w:link w:val="PieddepageCar1"/>
    <w:pPr>
      <w:tabs>
        <w:tab w:val="center" w:pos="4520"/>
        <w:tab w:val="right" w:pos="9060"/>
      </w:tabs>
      <w:spacing w:after="0" w:line="240" w:lineRule="auto"/>
    </w:pPr>
    <w:rPr>
      <w:sz w:val="21"/>
    </w:rPr>
  </w:style>
  <w:style w:type="character" w:customStyle="1" w:styleId="PieddepageCar1">
    <w:name w:val="Pied de page Car1"/>
    <w:basedOn w:val="Policepardfaut"/>
    <w:link w:val="Pieddepage"/>
    <w:rPr>
      <w:rFonts w:ascii="Calibri" w:eastAsia="SimSun" w:hAnsi="Calibri" w:cs="Times New Roman"/>
      <w:sz w:val="21"/>
      <w:lang w:val="en-US" w:eastAsia="zh-CN"/>
    </w:rPr>
  </w:style>
  <w:style w:type="paragraph" w:styleId="TM8">
    <w:name w:val="toc 8"/>
    <w:basedOn w:val="Normal"/>
    <w:uiPriority w:val="39"/>
    <w:pPr>
      <w:spacing w:after="100"/>
    </w:pPr>
    <w:rPr>
      <w:sz w:val="21"/>
      <w:lang w:eastAsia="fr-FR"/>
    </w:rPr>
  </w:style>
  <w:style w:type="paragraph" w:styleId="TM9">
    <w:name w:val="toc 9"/>
    <w:basedOn w:val="Normal"/>
    <w:uiPriority w:val="39"/>
    <w:pPr>
      <w:spacing w:after="100"/>
    </w:pPr>
    <w:rPr>
      <w:sz w:val="21"/>
      <w:lang w:eastAsia="fr-FR"/>
    </w:rPr>
  </w:style>
  <w:style w:type="character" w:styleId="Lienhypertextesuivivisit">
    <w:name w:val="FollowedHyperlink"/>
    <w:basedOn w:val="Policepardfaut"/>
    <w:rPr>
      <w:rFonts w:ascii="Calibri" w:eastAsia="SimSun" w:hAnsi="Calibri" w:cs="Times New Roman"/>
      <w:color w:val="954F72"/>
      <w:u w:val="single"/>
    </w:rPr>
  </w:style>
  <w:style w:type="paragraph" w:styleId="Notedebasdepage">
    <w:name w:val="footnote text"/>
    <w:basedOn w:val="Normal"/>
    <w:link w:val="NotedebasdepageCar1"/>
    <w:uiPriority w:val="99"/>
    <w:pPr>
      <w:spacing w:after="0" w:line="240" w:lineRule="auto"/>
    </w:pPr>
    <w:rPr>
      <w:sz w:val="20"/>
      <w:szCs w:val="20"/>
    </w:rPr>
  </w:style>
  <w:style w:type="character" w:customStyle="1" w:styleId="NotedebasdepageCar1">
    <w:name w:val="Note de bas de page Car1"/>
    <w:basedOn w:val="Policepardfaut"/>
    <w:link w:val="Notedebasdepage"/>
    <w:uiPriority w:val="99"/>
    <w:rPr>
      <w:rFonts w:ascii="Calibri" w:eastAsia="SimSun" w:hAnsi="Calibri" w:cs="Times New Roman"/>
      <w:sz w:val="20"/>
      <w:szCs w:val="20"/>
      <w:lang w:val="en-US" w:eastAsia="zh-CN"/>
    </w:rPr>
  </w:style>
  <w:style w:type="table" w:styleId="Grilledutableau">
    <w:name w:val="Table Grid"/>
    <w:basedOn w:val="Tableau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2Car">
    <w:name w:val="Titre 2 Car"/>
    <w:basedOn w:val="Policepardfaut"/>
    <w:link w:val="Titre2"/>
    <w:uiPriority w:val="9"/>
    <w:rPr>
      <w:rFonts w:ascii="Calibri Light" w:eastAsia="SimSun" w:hAnsi="Calibri Light" w:cs="SimSun"/>
      <w:color w:val="2E74B5"/>
      <w:sz w:val="26"/>
      <w:szCs w:val="26"/>
      <w:lang w:val="en-US" w:eastAsia="zh-CN"/>
    </w:rPr>
  </w:style>
  <w:style w:type="character" w:customStyle="1" w:styleId="Titre3Car">
    <w:name w:val="Titre 3 Car"/>
    <w:basedOn w:val="Policepardfaut"/>
    <w:link w:val="Titre3"/>
    <w:uiPriority w:val="9"/>
    <w:rPr>
      <w:rFonts w:ascii="Calibri Light" w:eastAsia="SimSun" w:hAnsi="Calibri Light" w:cs="SimSun"/>
      <w:color w:val="1F4D78"/>
      <w:sz w:val="24"/>
      <w:szCs w:val="24"/>
      <w:lang w:val="en-US" w:eastAsia="zh-CN"/>
    </w:rPr>
  </w:style>
  <w:style w:type="character" w:customStyle="1" w:styleId="UnresolvedMention1">
    <w:name w:val="Unresolved Mention1"/>
    <w:basedOn w:val="Policepardfaut"/>
    <w:uiPriority w:val="99"/>
    <w:rPr>
      <w:color w:val="605E5C"/>
      <w:shd w:val="clear" w:color="auto" w:fill="E1DFDD"/>
    </w:rPr>
  </w:style>
  <w:style w:type="character" w:styleId="lev">
    <w:name w:val="Strong"/>
    <w:basedOn w:val="Policepardfaut"/>
    <w:uiPriority w:val="22"/>
    <w:qFormat/>
    <w:rPr>
      <w:b/>
      <w:bCs/>
    </w:rPr>
  </w:style>
  <w:style w:type="character" w:customStyle="1" w:styleId="romain">
    <w:name w:val="romain"/>
    <w:basedOn w:val="Policepardfaut"/>
  </w:style>
  <w:style w:type="character" w:customStyle="1" w:styleId="nowrap">
    <w:name w:val="nowrap"/>
    <w:basedOn w:val="Policepardfaut"/>
  </w:style>
  <w:style w:type="character" w:styleId="CitationHTML">
    <w:name w:val="HTML Cite"/>
    <w:basedOn w:val="Policepardfaut"/>
    <w:uiPriority w:val="99"/>
    <w:rPr>
      <w:i/>
      <w:iCs/>
    </w:rPr>
  </w:style>
  <w:style w:type="character" w:customStyle="1" w:styleId="plainlinks">
    <w:name w:val="plainlinks"/>
    <w:basedOn w:val="Policepardfaut"/>
  </w:style>
  <w:style w:type="character" w:customStyle="1" w:styleId="ouvrage">
    <w:name w:val="ouvrage"/>
    <w:basedOn w:val="Policepardfaut"/>
  </w:style>
  <w:style w:type="character" w:customStyle="1" w:styleId="nomauteur">
    <w:name w:val="nom_auteur"/>
    <w:basedOn w:val="Policepardfaut"/>
  </w:style>
  <w:style w:type="character" w:customStyle="1" w:styleId="mw-cite-backlink">
    <w:name w:val="mw-cite-backlink"/>
    <w:basedOn w:val="Policepardfaut"/>
  </w:style>
  <w:style w:type="character" w:customStyle="1" w:styleId="italique">
    <w:name w:val="italique"/>
    <w:basedOn w:val="Policepardfaut"/>
  </w:style>
  <w:style w:type="character" w:customStyle="1" w:styleId="color15">
    <w:name w:val="color_15"/>
    <w:basedOn w:val="Policepardfaut"/>
  </w:style>
  <w:style w:type="numbering" w:customStyle="1" w:styleId="Aucuneliste1">
    <w:name w:val="Aucune liste1"/>
    <w:next w:val="Aucuneliste"/>
    <w:uiPriority w:val="99"/>
  </w:style>
  <w:style w:type="numbering" w:customStyle="1" w:styleId="Aucuneliste11">
    <w:name w:val="Aucune liste11"/>
    <w:next w:val="Aucuneliste"/>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isd.org/" TargetMode="External"/><Relationship Id="rId21" Type="http://schemas.openxmlformats.org/officeDocument/2006/relationships/image" Target="media/image2.png"/><Relationship Id="rId42" Type="http://schemas.openxmlformats.org/officeDocument/2006/relationships/hyperlink" Target="https://eiti.org/files/documents/itie_rapaudind_cadragcouverexploitmin_estrdc_1.pdf" TargetMode="External"/><Relationship Id="rId63" Type="http://schemas.openxmlformats.org/officeDocument/2006/relationships/image" Target="media/image8.jpeg"/><Relationship Id="rId84" Type="http://schemas.openxmlformats.org/officeDocument/2006/relationships/hyperlink" Target="https://www.tni.org/files/publication" TargetMode="External"/><Relationship Id="rId16" Type="http://schemas.openxmlformats.org/officeDocument/2006/relationships/hyperlink" Target="https://doi.org/10.4000/com.6341" TargetMode="External"/><Relationship Id="rId107" Type="http://schemas.openxmlformats.org/officeDocument/2006/relationships/hyperlink" Target="https://doi.org/10.19044/esj.2021.v17n29p328" TargetMode="External"/><Relationship Id="rId11" Type="http://schemas.openxmlformats.org/officeDocument/2006/relationships/footer" Target="footer1.xml"/><Relationship Id="rId32" Type="http://schemas.openxmlformats.org/officeDocument/2006/relationships/hyperlink" Target="https://www.imf.org/en/Publications/CR/Issues/2016/12/31/Democratic&#8208;Republic&#8208;of&#8208;the&#8208;Congo&#8208;2015&#8208;Article&#8208;IV&#8208;Consultation&#8208;Press&#8208;Release&#8208;Staff&#8208;Report&#8208;and&#8208;43335" TargetMode="External"/><Relationship Id="rId37" Type="http://schemas.openxmlformats.org/officeDocument/2006/relationships/hyperlink" Target="https://doi.org/10.3917/rindu1.193.0046" TargetMode="External"/><Relationship Id="rId53" Type="http://schemas.openxmlformats.org/officeDocument/2006/relationships/hyperlink" Target="http://documents.worldbank.org/curated/en/573451468002164226/pdf/multi0page.pdf" TargetMode="External"/><Relationship Id="rId58" Type="http://schemas.openxmlformats.org/officeDocument/2006/relationships/hyperlink" Target="https://www.ifc.org/wps/wcm/connect/22ad720048855b25880cda6a6515bb18/ResettlementHandbook.PDF?MOD=AJPERES&amp;CACHEID=22ad720048855b25880cda6a6515bb18" TargetMode="External"/><Relationship Id="rId74" Type="http://schemas.openxmlformats.org/officeDocument/2006/relationships/hyperlink" Target="https://doi.org/10.9790/2402-1509020920" TargetMode="External"/><Relationship Id="rId79" Type="http://schemas.openxmlformats.org/officeDocument/2006/relationships/hyperlink" Target="http://mend-nedem.org/wp-content/uploads/2013/01/1.61.7.pdf" TargetMode="External"/><Relationship Id="rId102" Type="http://schemas.openxmlformats.org/officeDocument/2006/relationships/hyperlink" Target="http://www.atsdr.cdc.gov/toxprofiles/tp.asp?id=72&amp;tid=19" TargetMode="External"/><Relationship Id="rId123" Type="http://schemas.openxmlformats.org/officeDocument/2006/relationships/hyperlink" Target="http://www.geoecotrop.be/index.php?page=numero-45" TargetMode="External"/><Relationship Id="rId128" Type="http://schemas.openxmlformats.org/officeDocument/2006/relationships/hyperlink" Target="http://constellation.uqac.ca/3959/" TargetMode="External"/><Relationship Id="rId5" Type="http://schemas.openxmlformats.org/officeDocument/2006/relationships/webSettings" Target="webSettings.xml"/><Relationship Id="rId90" Type="http://schemas.openxmlformats.org/officeDocument/2006/relationships/hyperlink" Target="https://www.noovomoi.ca/content/dam/style-de-vie/migrated/vivre/sante/articles/2012/10/04/alzheimer" TargetMode="External"/><Relationship Id="rId95" Type="http://schemas.openxmlformats.org/officeDocument/2006/relationships/hyperlink" Target="http://www.canalvie.com/recettes/savoir-cuisiner/guide-des-aliments/abats-1.1370272" TargetMode="External"/><Relationship Id="rId22" Type="http://schemas.openxmlformats.org/officeDocument/2006/relationships/image" Target="media/image3.jpeg"/><Relationship Id="rId27" Type="http://schemas.openxmlformats.org/officeDocument/2006/relationships/hyperlink" Target="http://ceecertification.org/cert_icgl.html42" TargetMode="External"/><Relationship Id="rId43" Type="http://schemas.openxmlformats.org/officeDocument/2006/relationships/hyperlink" Target="https://demop.netbaz.be/2021/jp/wp-content/uploads/2016/11/pdf_2016-11_revue_valeriane_les_etudes_d_impact_environnemental_en_rd_congo.pdf" TargetMode="External"/><Relationship Id="rId48" Type="http://schemas.openxmlformats.org/officeDocument/2006/relationships/hyperlink" Target="https://doi.org/10.3917/rfse.011.0125" TargetMode="External"/><Relationship Id="rId64" Type="http://schemas.openxmlformats.org/officeDocument/2006/relationships/image" Target="media/image9.jpeg"/><Relationship Id="rId69" Type="http://schemas.openxmlformats.org/officeDocument/2006/relationships/image" Target="media/image14.jpeg"/><Relationship Id="rId113" Type="http://schemas.openxmlformats.org/officeDocument/2006/relationships/hyperlink" Target="https://doi.org/10.29121/granthaalayah.v8.i7.2020.426" TargetMode="External"/><Relationship Id="rId118" Type="http://schemas.openxmlformats.org/officeDocument/2006/relationships/hyperlink" Target="http://www.elaw.org/files/mining-eia-guidebook/Full%20French%20Guidebook.pdf" TargetMode="External"/><Relationship Id="rId134" Type="http://schemas.openxmlformats.org/officeDocument/2006/relationships/hyperlink" Target="http://www.mneguidelines.oecd.org/mining.htm" TargetMode="External"/><Relationship Id="rId80" Type="http://schemas.openxmlformats.org/officeDocument/2006/relationships/hyperlink" Target="https://www.jstor.org/stable/25837059" TargetMode="External"/><Relationship Id="rId85" Type="http://schemas.openxmlformats.org/officeDocument/2006/relationships/hyperlink" Target="https://doi.org/10.4000/revdh.11336" TargetMode="External"/><Relationship Id="rId12" Type="http://schemas.openxmlformats.org/officeDocument/2006/relationships/hyperlink" Target="https://doi.org/10.3917/ris.091.0038" TargetMode="External"/><Relationship Id="rId17" Type="http://schemas.openxmlformats.org/officeDocument/2006/relationships/hyperlink" Target="https://doi.org/10.4000/revdh.11336" TargetMode="External"/><Relationship Id="rId33" Type="http://schemas.openxmlformats.org/officeDocument/2006/relationships/hyperlink" Target="https://www.tni.org/files/publication" TargetMode="External"/><Relationship Id="rId38" Type="http://schemas.openxmlformats.org/officeDocument/2006/relationships/hyperlink" Target="https://journals.openedition.org/vertigo/17522" TargetMode="External"/><Relationship Id="rId59" Type="http://schemas.openxmlformats.org/officeDocument/2006/relationships/hyperlink" Target="https://www.cairn.info/revue-realites-industrielles-2018-4-page-10.htm" TargetMode="External"/><Relationship Id="rId103" Type="http://schemas.openxmlformats.org/officeDocument/2006/relationships/hyperlink" Target="https://doi.org/10.1039/b801115j" TargetMode="External"/><Relationship Id="rId108" Type="http://schemas.openxmlformats.org/officeDocument/2006/relationships/hyperlink" Target="https://www.friscris.be/en/publications/diversite-floristique-succession-et-dynamique-des-jacheres-postculturales-de-la-localite-de-mbobero-kabare-sudkivu-rd-congo(075705b1-cda5-45a1-af90-768517127832).html" TargetMode="External"/><Relationship Id="rId124" Type="http://schemas.openxmlformats.org/officeDocument/2006/relationships/hyperlink" Target="http://www.geoecotrop.be/index.php?page=numero-45" TargetMode="External"/><Relationship Id="rId129" Type="http://schemas.openxmlformats.org/officeDocument/2006/relationships/hyperlink" Target="https://electricautonomy.ca/2020/06/04/auto-sector-bailout-green-strings-attached/" TargetMode="External"/><Relationship Id="rId54" Type="http://schemas.openxmlformats.org/officeDocument/2006/relationships/hyperlink" Target="http://www.africabusinessmarket.com/fichier/1290108564aspect.pdf" TargetMode="External"/><Relationship Id="rId70" Type="http://schemas.openxmlformats.org/officeDocument/2006/relationships/image" Target="media/image15.jpeg"/><Relationship Id="rId75" Type="http://schemas.openxmlformats.org/officeDocument/2006/relationships/hyperlink" Target="http://www.sciencemag.org" TargetMode="External"/><Relationship Id="rId91" Type="http://schemas.openxmlformats.org/officeDocument/2006/relationships/hyperlink" Target="https://www.noovomoi.ca/content/dam/style-de-vie/migrated/vivre/sante/articles/2012/10/09/arthrite" TargetMode="External"/><Relationship Id="rId96" Type="http://schemas.openxmlformats.org/officeDocument/2006/relationships/hyperlink" Target="http://www.canalvie.com/recettes/savoir-cuisiner/guide-des-aliments/champignon-1.1125186"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hyperlink" Target="http://www.theirc.org/sites/default/files/resourcefile/20067_congoMortalitySurvey.pdf" TargetMode="External"/><Relationship Id="rId49" Type="http://schemas.openxmlformats.org/officeDocument/2006/relationships/hyperlink" Target="http://www.droitafrique.com/uploads/RDC-Code-minier-MAJ-2018.pdf" TargetMode="External"/><Relationship Id="rId114" Type="http://schemas.openxmlformats.org/officeDocument/2006/relationships/hyperlink" Target="https://doi.org/10.9790/2402-1509020920" TargetMode="External"/><Relationship Id="rId119" Type="http://schemas.openxmlformats.org/officeDocument/2006/relationships/hyperlink" Target="https://dx.doi.org/10.4314/jab.v143i1.2331" TargetMode="External"/><Relationship Id="rId44" Type="http://schemas.openxmlformats.org/officeDocument/2006/relationships/hyperlink" Target="https://www.lepoint.fr/economie/mines-de-rdc-jamal-usseni-relever-l-immense-defi-de-lacanalisation-des-exportations-03-05-2018-2215486_28.php" TargetMode="External"/><Relationship Id="rId60" Type="http://schemas.openxmlformats.org/officeDocument/2006/relationships/hyperlink" Target="http://www.ipisresearch.beBisie" TargetMode="External"/><Relationship Id="rId65" Type="http://schemas.openxmlformats.org/officeDocument/2006/relationships/image" Target="media/image10.jpeg"/><Relationship Id="rId81" Type="http://schemas.openxmlformats.org/officeDocument/2006/relationships/image" Target="media/image17.jpeg"/><Relationship Id="rId86" Type="http://schemas.openxmlformats.org/officeDocument/2006/relationships/image" Target="media/image18.png"/><Relationship Id="rId130" Type="http://schemas.openxmlformats.org/officeDocument/2006/relationships/hyperlink" Target="https://doi.org/10.1016/j.resourpol.2008.01.002" TargetMode="External"/><Relationship Id="rId135" Type="http://schemas.openxmlformats.org/officeDocument/2006/relationships/image" Target="media/image20.png"/><Relationship Id="rId13" Type="http://schemas.openxmlformats.org/officeDocument/2006/relationships/hyperlink" Target="https://www.sifee.org/static/uploaded/Files/ressources/actes-des-colloques/lome/session-3-3/COULIBALY_DIAPO.pdf" TargetMode="External"/><Relationship Id="rId18" Type="http://schemas.openxmlformats.org/officeDocument/2006/relationships/hyperlink" Target="https://doi.org/10.1787/9789264253520-fr" TargetMode="External"/><Relationship Id="rId39" Type="http://schemas.openxmlformats.org/officeDocument/2006/relationships/image" Target="media/image5.jpeg"/><Relationship Id="rId109" Type="http://schemas.openxmlformats.org/officeDocument/2006/relationships/hyperlink" Target="http://www.ajeam-ragee.org/vol5p102t139.htm" TargetMode="External"/><Relationship Id="rId34" Type="http://schemas.openxmlformats.org/officeDocument/2006/relationships/hyperlink" Target="https://halshs.archives-ouvertes.fr/halshs-01480326/document" TargetMode="External"/><Relationship Id="rId50" Type="http://schemas.openxmlformats.org/officeDocument/2006/relationships/hyperlink" Target="https://www.iris-france.org/wpcontent/uploads/2018/04/ObsProspecHuma-RDC-Avril.pdf" TargetMode="External"/><Relationship Id="rId55" Type="http://schemas.openxmlformats.org/officeDocument/2006/relationships/hyperlink" Target="https://doi.org/10.3917/mouv.067.0168" TargetMode="External"/><Relationship Id="rId76" Type="http://schemas.openxmlformats.org/officeDocument/2006/relationships/hyperlink" Target="https://miningwatch.ca/sites/default/files/amd_1.pdf" TargetMode="External"/><Relationship Id="rId97" Type="http://schemas.openxmlformats.org/officeDocument/2006/relationships/hyperlink" Target="http://www.canalvie.com/recettes/savoir-cuisiner/guide-des-aliments/moule-1.1125181" TargetMode="External"/><Relationship Id="rId104" Type="http://schemas.openxmlformats.org/officeDocument/2006/relationships/hyperlink" Target="https://doi.org/10.1007/978-3-642-13185-1_1" TargetMode="External"/><Relationship Id="rId120" Type="http://schemas.openxmlformats.org/officeDocument/2006/relationships/hyperlink" Target="https://doi.org/10.19044/esj.2021.v17n29p328" TargetMode="External"/><Relationship Id="rId125" Type="http://schemas.openxmlformats.org/officeDocument/2006/relationships/hyperlink" Target="http://web.unep.org/fr" TargetMode="External"/><Relationship Id="rId7" Type="http://schemas.openxmlformats.org/officeDocument/2006/relationships/endnotes" Target="endnotes.xml"/><Relationship Id="rId71" Type="http://schemas.openxmlformats.org/officeDocument/2006/relationships/image" Target="media/image16.jpeg"/><Relationship Id="rId92" Type="http://schemas.openxmlformats.org/officeDocument/2006/relationships/hyperlink" Target="https://www.noovomoi.ca/content/dam/style-de-vie/migrated/vivre/sante/articles/2016/07/20/la-sclerose-en-plaques" TargetMode="External"/><Relationship Id="rId2" Type="http://schemas.openxmlformats.org/officeDocument/2006/relationships/numbering" Target="numbering.xml"/><Relationship Id="rId29" Type="http://schemas.openxmlformats.org/officeDocument/2006/relationships/hyperlink" Target="https://doi.org/10.4000/rge.1838" TargetMode="External"/><Relationship Id="rId24" Type="http://schemas.openxmlformats.org/officeDocument/2006/relationships/hyperlink" Target="https://doi.org/10.1093/jae/ejs036" TargetMode="External"/><Relationship Id="rId40" Type="http://schemas.openxmlformats.org/officeDocument/2006/relationships/hyperlink" Target="https://doi.org/10.1037/0022-3514.58.6.1015" TargetMode="External"/><Relationship Id="rId45" Type="http://schemas.openxmlformats.org/officeDocument/2006/relationships/hyperlink" Target="http://www.ajeam-ragee.org/vol5p102t139.htm" TargetMode="External"/><Relationship Id="rId66" Type="http://schemas.openxmlformats.org/officeDocument/2006/relationships/image" Target="media/image11.png"/><Relationship Id="rId87" Type="http://schemas.openxmlformats.org/officeDocument/2006/relationships/hyperlink" Target="http://www.canalvie.com/sante-beaute/sante/troubles-anxieux" TargetMode="External"/><Relationship Id="rId110" Type="http://schemas.openxmlformats.org/officeDocument/2006/relationships/hyperlink" Target="https://doi.org/10.1177/001316448904900412" TargetMode="External"/><Relationship Id="rId115" Type="http://schemas.openxmlformats.org/officeDocument/2006/relationships/hyperlink" Target="http://www.uneca.org/sites/default/files/PublicationFiles/mineral_report_fre.pdf" TargetMode="External"/><Relationship Id="rId131" Type="http://schemas.openxmlformats.org/officeDocument/2006/relationships/hyperlink" Target="https://doi.org/10.1016/j.resconrec.2010.05.005" TargetMode="External"/><Relationship Id="rId136" Type="http://schemas.openxmlformats.org/officeDocument/2006/relationships/fontTable" Target="fontTable.xml"/><Relationship Id="rId61" Type="http://schemas.openxmlformats.org/officeDocument/2006/relationships/image" Target="media/image6.jpeg"/><Relationship Id="rId82" Type="http://schemas.openxmlformats.org/officeDocument/2006/relationships/hyperlink" Target="https://dx.doi.org/10.9790/0837-2707066374" TargetMode="External"/><Relationship Id="rId19" Type="http://schemas.openxmlformats.org/officeDocument/2006/relationships/hyperlink" Target="http://web.unep.org/fr" TargetMode="External"/><Relationship Id="rId14" Type="http://schemas.openxmlformats.org/officeDocument/2006/relationships/hyperlink" Target="http://www.justicepaix.be" TargetMode="External"/><Relationship Id="rId30" Type="http://schemas.openxmlformats.org/officeDocument/2006/relationships/hyperlink" Target="https://doi.org/10.4000/espacepolitique.2113$" TargetMode="External"/><Relationship Id="rId35" Type="http://schemas.openxmlformats.org/officeDocument/2006/relationships/hyperlink" Target="https://demop.netbaz.be/2021/jp/wp-content/uploads/2016/11/pdf_2016-11_revue_valeriane_les_etudes_d_impact_environnemental_en_rd_congo.pdf" TargetMode="External"/><Relationship Id="rId56" Type="http://schemas.openxmlformats.org/officeDocument/2006/relationships/hyperlink" Target="https://doi.org/10.3917/mouv.067.016855" TargetMode="External"/><Relationship Id="rId77" Type="http://schemas.openxmlformats.org/officeDocument/2006/relationships/hyperlink" Target="https://doi.org/10.19044/esj.2021.v17n29p328" TargetMode="External"/><Relationship Id="rId100" Type="http://schemas.openxmlformats.org/officeDocument/2006/relationships/hyperlink" Target="https://dx.doi.org/10.9790/0837-2707066374" TargetMode="External"/><Relationship Id="rId105" Type="http://schemas.openxmlformats.org/officeDocument/2006/relationships/hyperlink" Target="https://dx.doi.org/10.1684%2Fabc.2010.0442" TargetMode="External"/><Relationship Id="rId126" Type="http://schemas.openxmlformats.org/officeDocument/2006/relationships/hyperlink" Target="http://ecoconseil.uqac.ca/dialogue-ethique-et-developpement-durable-pour-la-pratique-de-leco-conseil/" TargetMode="External"/><Relationship Id="rId8" Type="http://schemas.openxmlformats.org/officeDocument/2006/relationships/image" Target="media/image1.jpeg"/><Relationship Id="rId51" Type="http://schemas.openxmlformats.org/officeDocument/2006/relationships/hyperlink" Target="https://doi.org/10.3917/med.148.0015" TargetMode="External"/><Relationship Id="rId72" Type="http://schemas.openxmlformats.org/officeDocument/2006/relationships/hyperlink" Target="https://dx.doi.org/10.9790/0837-2707066374" TargetMode="External"/><Relationship Id="rId93" Type="http://schemas.openxmlformats.org/officeDocument/2006/relationships/hyperlink" Target="https://www.noovomoi.ca/content/dam/style-de-vie/migrated/vivre/sante/articles/2012/08/24/hypertension-arterielle" TargetMode="External"/><Relationship Id="rId98" Type="http://schemas.openxmlformats.org/officeDocument/2006/relationships/hyperlink" Target="https://www.noovomoi.ca/content/dam/style-de-vie/migrated/vivre/sante/articles/2013/07/09/osteoporose" TargetMode="External"/><Relationship Id="rId121" Type="http://schemas.openxmlformats.org/officeDocument/2006/relationships/hyperlink" Target="https://doi.org/10.19044/esj.2021.v17n32p319" TargetMode="External"/><Relationship Id="rId3" Type="http://schemas.openxmlformats.org/officeDocument/2006/relationships/styles" Target="styles.xml"/><Relationship Id="rId25" Type="http://schemas.openxmlformats.org/officeDocument/2006/relationships/hyperlink" Target="https://doi.org/10.2139/ssrn.1297212" TargetMode="External"/><Relationship Id="rId46" Type="http://schemas.openxmlformats.org/officeDocument/2006/relationships/hyperlink" Target="http://www.unep.org/french/pdf/PNUEen2002.pdf" TargetMode="External"/><Relationship Id="rId67" Type="http://schemas.openxmlformats.org/officeDocument/2006/relationships/image" Target="media/image12.jpeg"/><Relationship Id="rId116" Type="http://schemas.openxmlformats.org/officeDocument/2006/relationships/hyperlink" Target="http://www.icmm.com/languages/french" TargetMode="External"/><Relationship Id="rId137" Type="http://schemas.openxmlformats.org/officeDocument/2006/relationships/theme" Target="theme/theme1.xml"/><Relationship Id="rId20" Type="http://schemas.openxmlformats.org/officeDocument/2006/relationships/hyperlink" Target="http://mend-nedem.org/wp-content/uploads/2013/01/1.61.7.pdf" TargetMode="External"/><Relationship Id="rId41" Type="http://schemas.openxmlformats.org/officeDocument/2006/relationships/hyperlink" Target="https://doi.org/10.4000/communiquer.584" TargetMode="External"/><Relationship Id="rId62" Type="http://schemas.openxmlformats.org/officeDocument/2006/relationships/image" Target="media/image7.png"/><Relationship Id="rId83" Type="http://schemas.openxmlformats.org/officeDocument/2006/relationships/hyperlink" Target="http://www.africabusinessmarket.com/fichier/1290108564aspect.pdf" TargetMode="External"/><Relationship Id="rId88" Type="http://schemas.openxmlformats.org/officeDocument/2006/relationships/hyperlink" Target="https://www.noovomoi.ca/content/dam/style-de-vie/migrated/vivre/sante/articles/2013/09/25/depression" TargetMode="External"/><Relationship Id="rId111" Type="http://schemas.openxmlformats.org/officeDocument/2006/relationships/hyperlink" Target="http://web.unep.org/fr" TargetMode="External"/><Relationship Id="rId132" Type="http://schemas.openxmlformats.org/officeDocument/2006/relationships/hyperlink" Target="https://doi.org/10.1073/pnas.1015619108" TargetMode="External"/><Relationship Id="rId15" Type="http://schemas.openxmlformats.org/officeDocument/2006/relationships/hyperlink" Target="http://www.resourcegovernance.org" TargetMode="External"/><Relationship Id="rId36" Type="http://schemas.openxmlformats.org/officeDocument/2006/relationships/hyperlink" Target="https://doi.org/10.19044/esj.2021.v17n29p328" TargetMode="External"/><Relationship Id="rId57" Type="http://schemas.openxmlformats.org/officeDocument/2006/relationships/hyperlink" Target="https://doi.org/10.5771/2363%20Sony%20-6262-2015-3-581" TargetMode="External"/><Relationship Id="rId106" Type="http://schemas.openxmlformats.org/officeDocument/2006/relationships/hyperlink" Target="https://doi.org/10.19044/esj.2021.v17n32p319" TargetMode="External"/><Relationship Id="rId127" Type="http://schemas.openxmlformats.org/officeDocument/2006/relationships/hyperlink" Target="http://www.jstor.org/stable/1818065" TargetMode="External"/><Relationship Id="rId10" Type="http://schemas.openxmlformats.org/officeDocument/2006/relationships/header" Target="header2.xml"/><Relationship Id="rId31" Type="http://schemas.openxmlformats.org/officeDocument/2006/relationships/hyperlink" Target="https://www.francetvinfo.fr/monde/afrique/rwanda/l-union-europeenneimpose-le-tracage-des-metaux-rares-pour-lutter-contre-le-trafic-des-minerais-du-conflit_4259099.html" TargetMode="External"/><Relationship Id="rId52" Type="http://schemas.openxmlformats.org/officeDocument/2006/relationships/hyperlink" Target="http://congomines.org/reports/788-resume-de-l-etude-d-impact-environnemental-et-du-plan-de-gestion-environnemental-du-projet-mongbwalu" TargetMode="External"/><Relationship Id="rId73" Type="http://schemas.openxmlformats.org/officeDocument/2006/relationships/hyperlink" Target="https://miningwatch.ca" TargetMode="External"/><Relationship Id="rId78" Type="http://schemas.openxmlformats.org/officeDocument/2006/relationships/hyperlink" Target="http://www.ajeam-ragee.org/vol5p102t139.htm" TargetMode="External"/><Relationship Id="rId94" Type="http://schemas.openxmlformats.org/officeDocument/2006/relationships/hyperlink" Target="https://www.noovomoi.ca/content/dam/style-de-vie/migrated/vivre/sante/articles/2012/09/10/autisme" TargetMode="External"/><Relationship Id="rId99" Type="http://schemas.openxmlformats.org/officeDocument/2006/relationships/image" Target="media/image19.png"/><Relationship Id="rId101" Type="http://schemas.openxmlformats.org/officeDocument/2006/relationships/hyperlink" Target="https://doi.org/10.9790/2402-1509020920" TargetMode="External"/><Relationship Id="rId122" Type="http://schemas.openxmlformats.org/officeDocument/2006/relationships/hyperlink" Target="https://dx.doi.org/7010.9790/2402-1606016170"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africabusinessmarket.com/fichier/1290108564aspect.pdf" TargetMode="External"/><Relationship Id="rId47" Type="http://schemas.openxmlformats.org/officeDocument/2006/relationships/hyperlink" Target="https://doi.org/10.3917/rfse.011.0125" TargetMode="External"/><Relationship Id="rId68" Type="http://schemas.openxmlformats.org/officeDocument/2006/relationships/image" Target="media/image13.jpeg"/><Relationship Id="rId89" Type="http://schemas.openxmlformats.org/officeDocument/2006/relationships/hyperlink" Target="https://www.noovomoi.ca/content/dam/style-de-vie/migrated/vivre/sante/articles/2012/09/07/migraine" TargetMode="External"/><Relationship Id="rId112" Type="http://schemas.openxmlformats.org/officeDocument/2006/relationships/hyperlink" Target="https://dx.doi.org/10.9790/0837-2707066374" TargetMode="External"/><Relationship Id="rId133" Type="http://schemas.openxmlformats.org/officeDocument/2006/relationships/hyperlink" Target="https://interactions.utc.fr/thematiques/regards-sur-le-monde/la-responsabilite-sociale-des-entreprises-rse.html"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eurac-network.org/accueil.php?lg=en&amp;pg=advocacy&amp;spg=2011-04-27" TargetMode="External"/><Relationship Id="rId3" Type="http://schemas.openxmlformats.org/officeDocument/2006/relationships/hyperlink" Target="https://www.dw.com/fr/rdc-angola-pollution/a-59080657" TargetMode="External"/><Relationship Id="rId7" Type="http://schemas.openxmlformats.org/officeDocument/2006/relationships/hyperlink" Target="https://www.lemonde.fr/afrique/article/2019/10/09/perenco-boite-noire-petroliere-et-toxique-en-rdc_6014880_3212.html" TargetMode="External"/><Relationship Id="rId2" Type="http://schemas.openxmlformats.org/officeDocument/2006/relationships/hyperlink" Target="https://www.imf.org/en/Publications/CR/Issues/2016/12/31/Democratic&#8208;Republic&#8208;of&#8208;the&#8208;Congo&#8208;2015&#8208;Article&#8208;IV&#8208;Consultation&#8208;Press&#8208;Release&#8208;Staff&#8208;Report&#8208;and&#8208;43335" TargetMode="External"/><Relationship Id="rId1" Type="http://schemas.openxmlformats.org/officeDocument/2006/relationships/hyperlink" Target="https://www.erudit.org" TargetMode="External"/><Relationship Id="rId6" Type="http://schemas.openxmlformats.org/officeDocument/2006/relationships/hyperlink" Target="https://desknature.com/province-de-la-tshopo-xiang-jiang-mining-a-renonce-a-son-projet-dexploitation-de-lor-et-de-diamant-dans-le-lit-de-la-riviere-aruwimi/" TargetMode="External"/><Relationship Id="rId5" Type="http://schemas.openxmlformats.org/officeDocument/2006/relationships/hyperlink" Target="https://congoaujourlejour.blogspot.com/2020/04/on-denonce-les-irregularites-et-la.html" TargetMode="External"/><Relationship Id="rId4" Type="http://schemas.openxmlformats.org/officeDocument/2006/relationships/hyperlink" Target="https://www.election-net.com/tshopo-polemique-autour-de-lexploitation-miniere-a-basokodossi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E0E055-74BB-4A46-8E82-50CC6F208A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251</Pages>
  <Words>86188</Words>
  <Characters>474039</Characters>
  <Application>Microsoft Office Word</Application>
  <DocSecurity>0</DocSecurity>
  <Lines>3950</Lines>
  <Paragraphs>1118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559109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MANGAMBU J DE DIEU</dc:creator>
  <cp:lastModifiedBy>Alaïs Lorenzo</cp:lastModifiedBy>
  <cp:revision>5</cp:revision>
  <cp:lastPrinted>2023-02-20T07:38:00Z</cp:lastPrinted>
  <dcterms:created xsi:type="dcterms:W3CDTF">2024-02-26T15:52:00Z</dcterms:created>
  <dcterms:modified xsi:type="dcterms:W3CDTF">2025-04-20T12:09:00Z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a0f9fd3727ba42a99bf108689138a44d</vt:lpwstr>
  </property>
</Properties>
</file>